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A8D766" w14:textId="77777777" w:rsidR="00AE5C9B" w:rsidRDefault="007F0D68">
      <w:pPr>
        <w:spacing w:line="360" w:lineRule="auto"/>
        <w:jc w:val="center"/>
      </w:pPr>
      <w:r>
        <w:rPr>
          <w:rFonts w:asciiTheme="minorBidi" w:hAnsiTheme="minorBidi"/>
          <w:noProof/>
          <w:lang w:eastAsia="en-GB"/>
        </w:rPr>
        <w:drawing>
          <wp:anchor distT="0" distB="0" distL="114300" distR="114300" simplePos="0" relativeHeight="251659264" behindDoc="1" locked="0" layoutInCell="1" allowOverlap="1" wp14:anchorId="44BC88AA" wp14:editId="0FD3C14B">
            <wp:simplePos x="0" y="0"/>
            <wp:positionH relativeFrom="column">
              <wp:posOffset>2051685</wp:posOffset>
            </wp:positionH>
            <wp:positionV relativeFrom="paragraph">
              <wp:posOffset>-88900</wp:posOffset>
            </wp:positionV>
            <wp:extent cx="1910080" cy="814070"/>
            <wp:effectExtent l="0" t="0" r="7620" b="0"/>
            <wp:wrapTight wrapText="bothSides">
              <wp:wrapPolygon edited="0">
                <wp:start x="0" y="1685"/>
                <wp:lineTo x="0" y="14153"/>
                <wp:lineTo x="1580" y="17860"/>
                <wp:lineTo x="1580" y="19207"/>
                <wp:lineTo x="3160" y="19544"/>
                <wp:lineTo x="8617" y="20218"/>
                <wp:lineTo x="9622" y="20218"/>
                <wp:lineTo x="16947" y="19544"/>
                <wp:lineTo x="17952" y="19207"/>
                <wp:lineTo x="17665" y="17860"/>
                <wp:lineTo x="21399" y="15164"/>
                <wp:lineTo x="21399" y="12131"/>
                <wp:lineTo x="18814" y="7076"/>
                <wp:lineTo x="19676" y="3370"/>
                <wp:lineTo x="19388" y="1685"/>
                <wp:lineTo x="15223" y="1685"/>
                <wp:lineTo x="0" y="1685"/>
              </wp:wrapPolygon>
            </wp:wrapTight>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910080" cy="814070"/>
                    </a:xfrm>
                    <a:prstGeom prst="rect">
                      <a:avLst/>
                    </a:prstGeom>
                    <a:noFill/>
                    <a:ln>
                      <a:noFill/>
                    </a:ln>
                  </pic:spPr>
                </pic:pic>
              </a:graphicData>
            </a:graphic>
          </wp:anchor>
        </w:drawing>
      </w:r>
    </w:p>
    <w:p w14:paraId="025C5D71" w14:textId="77777777" w:rsidR="00AE5C9B" w:rsidRDefault="00AE5C9B">
      <w:pPr>
        <w:spacing w:line="360" w:lineRule="auto"/>
      </w:pPr>
    </w:p>
    <w:p w14:paraId="2C79756B" w14:textId="77777777" w:rsidR="00AE5C9B" w:rsidRDefault="00AE5C9B">
      <w:pPr>
        <w:spacing w:line="360" w:lineRule="auto"/>
      </w:pPr>
    </w:p>
    <w:p w14:paraId="4A9A5AA5" w14:textId="77777777" w:rsidR="00AE5C9B" w:rsidRDefault="00AE5C9B">
      <w:pPr>
        <w:spacing w:line="360" w:lineRule="auto"/>
      </w:pPr>
    </w:p>
    <w:p w14:paraId="1E945571" w14:textId="77777777" w:rsidR="00AE5C9B" w:rsidRDefault="00AE5C9B">
      <w:pPr>
        <w:spacing w:line="360" w:lineRule="auto"/>
      </w:pPr>
    </w:p>
    <w:p w14:paraId="3B9EA04D" w14:textId="77777777" w:rsidR="00AE5C9B" w:rsidRDefault="007F0D68">
      <w:pPr>
        <w:spacing w:line="360" w:lineRule="auto"/>
        <w:jc w:val="center"/>
        <w:rPr>
          <w:b/>
          <w:bCs/>
          <w:sz w:val="28"/>
          <w:szCs w:val="28"/>
        </w:rPr>
      </w:pPr>
      <w:r>
        <w:rPr>
          <w:b/>
          <w:bCs/>
          <w:sz w:val="28"/>
          <w:szCs w:val="28"/>
        </w:rPr>
        <w:t>Tuberculosis: Diagnosis, Control Strategies, and Socioeconomic Impacts on Public Health</w:t>
      </w:r>
    </w:p>
    <w:p w14:paraId="4F78720E" w14:textId="77777777" w:rsidR="00AE5C9B" w:rsidRDefault="00AE5C9B">
      <w:pPr>
        <w:spacing w:line="360" w:lineRule="auto"/>
        <w:jc w:val="center"/>
        <w:rPr>
          <w:b/>
          <w:bCs/>
          <w:sz w:val="28"/>
          <w:szCs w:val="28"/>
        </w:rPr>
      </w:pPr>
    </w:p>
    <w:p w14:paraId="5ABC52E2" w14:textId="77777777" w:rsidR="00AE5C9B" w:rsidRDefault="00AE5C9B">
      <w:pPr>
        <w:spacing w:line="360" w:lineRule="auto"/>
        <w:jc w:val="center"/>
        <w:rPr>
          <w:b/>
          <w:bCs/>
          <w:sz w:val="28"/>
          <w:szCs w:val="28"/>
        </w:rPr>
      </w:pPr>
    </w:p>
    <w:p w14:paraId="05C4931A" w14:textId="77777777" w:rsidR="00AE5C9B" w:rsidRDefault="007F0D68">
      <w:pPr>
        <w:jc w:val="center"/>
        <w:rPr>
          <w:rFonts w:cs="Arial"/>
          <w:b/>
          <w:szCs w:val="24"/>
          <w:u w:val="single"/>
        </w:rPr>
      </w:pPr>
      <w:r>
        <w:rPr>
          <w:rFonts w:cs="Arial"/>
          <w:b/>
          <w:szCs w:val="24"/>
          <w:u w:val="single"/>
        </w:rPr>
        <w:t>LCHS 4008</w:t>
      </w:r>
    </w:p>
    <w:p w14:paraId="614C0E9B" w14:textId="77777777" w:rsidR="00AE5C9B" w:rsidRDefault="007F0D68">
      <w:pPr>
        <w:jc w:val="center"/>
        <w:rPr>
          <w:rFonts w:cs="Arial"/>
          <w:b/>
          <w:szCs w:val="24"/>
        </w:rPr>
      </w:pPr>
      <w:r>
        <w:rPr>
          <w:rFonts w:cs="Arial"/>
          <w:b/>
        </w:rPr>
        <w:t>Introduction to Public Health</w:t>
      </w:r>
    </w:p>
    <w:p w14:paraId="3DD9390F" w14:textId="77777777" w:rsidR="00AE5C9B" w:rsidRDefault="00AE5C9B">
      <w:pPr>
        <w:spacing w:line="360" w:lineRule="auto"/>
        <w:jc w:val="center"/>
        <w:rPr>
          <w:b/>
          <w:bCs/>
          <w:sz w:val="28"/>
          <w:szCs w:val="28"/>
        </w:rPr>
      </w:pPr>
    </w:p>
    <w:p w14:paraId="516ECBBD" w14:textId="77777777" w:rsidR="00AE5C9B" w:rsidRDefault="00AE5C9B">
      <w:pPr>
        <w:spacing w:line="360" w:lineRule="auto"/>
        <w:jc w:val="center"/>
        <w:rPr>
          <w:b/>
          <w:bCs/>
          <w:sz w:val="28"/>
          <w:szCs w:val="28"/>
        </w:rPr>
      </w:pPr>
    </w:p>
    <w:p w14:paraId="228B02F4" w14:textId="77777777" w:rsidR="00AE5C9B" w:rsidRDefault="007F0D68">
      <w:pPr>
        <w:jc w:val="center"/>
        <w:rPr>
          <w:rFonts w:cs="Arial"/>
          <w:b/>
          <w:szCs w:val="24"/>
        </w:rPr>
      </w:pPr>
      <w:r>
        <w:rPr>
          <w:rFonts w:cs="Arial"/>
          <w:b/>
          <w:szCs w:val="24"/>
        </w:rPr>
        <w:t xml:space="preserve">Student Name:  </w:t>
      </w:r>
    </w:p>
    <w:p w14:paraId="06CAF8D1" w14:textId="067EB34F" w:rsidR="007F0D68" w:rsidRDefault="007F0D68">
      <w:pPr>
        <w:jc w:val="center"/>
        <w:rPr>
          <w:rFonts w:cs="Arial"/>
          <w:b/>
          <w:szCs w:val="24"/>
        </w:rPr>
      </w:pPr>
      <w:r>
        <w:rPr>
          <w:rFonts w:cs="Arial"/>
          <w:b/>
          <w:szCs w:val="24"/>
        </w:rPr>
        <w:t>Natasha Rose Ilsley</w:t>
      </w:r>
    </w:p>
    <w:p w14:paraId="49FD16B1" w14:textId="1B87ACEE" w:rsidR="00AE5C9B" w:rsidRDefault="007F0D68">
      <w:pPr>
        <w:jc w:val="center"/>
        <w:rPr>
          <w:rFonts w:cs="Arial"/>
          <w:b/>
          <w:szCs w:val="24"/>
        </w:rPr>
      </w:pPr>
      <w:r>
        <w:rPr>
          <w:rFonts w:cs="Arial"/>
          <w:b/>
          <w:szCs w:val="24"/>
        </w:rPr>
        <w:t>Student ID:  2506011</w:t>
      </w:r>
    </w:p>
    <w:p w14:paraId="0D5C6C28" w14:textId="77777777" w:rsidR="00AE5C9B" w:rsidRDefault="00AE5C9B">
      <w:pPr>
        <w:jc w:val="center"/>
        <w:rPr>
          <w:rFonts w:cs="Arial"/>
          <w:b/>
          <w:szCs w:val="24"/>
        </w:rPr>
      </w:pPr>
    </w:p>
    <w:p w14:paraId="2DADE491" w14:textId="77777777" w:rsidR="00AE5C9B" w:rsidRDefault="00AE5C9B">
      <w:pPr>
        <w:jc w:val="center"/>
        <w:rPr>
          <w:rFonts w:cs="Arial"/>
          <w:b/>
          <w:szCs w:val="24"/>
        </w:rPr>
      </w:pPr>
    </w:p>
    <w:p w14:paraId="032664B3" w14:textId="77777777" w:rsidR="00AE5C9B" w:rsidRDefault="00AE5C9B">
      <w:pPr>
        <w:jc w:val="center"/>
        <w:rPr>
          <w:rFonts w:cs="Arial"/>
          <w:b/>
          <w:szCs w:val="24"/>
        </w:rPr>
      </w:pPr>
    </w:p>
    <w:p w14:paraId="72F1C838" w14:textId="77777777" w:rsidR="00AE5C9B" w:rsidRDefault="00AE5C9B">
      <w:pPr>
        <w:jc w:val="center"/>
        <w:rPr>
          <w:rFonts w:cs="Arial"/>
          <w:b/>
          <w:szCs w:val="24"/>
        </w:rPr>
      </w:pPr>
    </w:p>
    <w:p w14:paraId="409AF818" w14:textId="77777777" w:rsidR="00AE5C9B" w:rsidRDefault="007F0D68">
      <w:pPr>
        <w:jc w:val="center"/>
        <w:rPr>
          <w:rFonts w:cs="Arial"/>
          <w:b/>
          <w:sz w:val="28"/>
          <w:szCs w:val="28"/>
        </w:rPr>
      </w:pPr>
      <w:r>
        <w:rPr>
          <w:rFonts w:cs="Arial"/>
          <w:b/>
          <w:sz w:val="28"/>
          <w:szCs w:val="28"/>
        </w:rPr>
        <w:t xml:space="preserve">Date of Submission: </w:t>
      </w:r>
    </w:p>
    <w:p w14:paraId="142C82C5" w14:textId="3E017BFB" w:rsidR="00AE5C9B" w:rsidRDefault="007F0D68">
      <w:pPr>
        <w:spacing w:line="360" w:lineRule="auto"/>
        <w:jc w:val="center"/>
        <w:rPr>
          <w:b/>
          <w:bCs/>
          <w:sz w:val="28"/>
          <w:szCs w:val="28"/>
        </w:rPr>
      </w:pPr>
      <w:r>
        <w:rPr>
          <w:b/>
          <w:bCs/>
          <w:sz w:val="28"/>
          <w:szCs w:val="28"/>
        </w:rPr>
        <w:t>24</w:t>
      </w:r>
      <w:r w:rsidRPr="007F0D68">
        <w:rPr>
          <w:b/>
          <w:bCs/>
          <w:sz w:val="28"/>
          <w:szCs w:val="28"/>
          <w:vertAlign w:val="superscript"/>
        </w:rPr>
        <w:t>th</w:t>
      </w:r>
      <w:r>
        <w:rPr>
          <w:b/>
          <w:bCs/>
          <w:sz w:val="28"/>
          <w:szCs w:val="28"/>
        </w:rPr>
        <w:t xml:space="preserve"> of March 2026</w:t>
      </w:r>
    </w:p>
    <w:p w14:paraId="0AA16F13" w14:textId="77777777" w:rsidR="00AE5C9B" w:rsidRDefault="007F0D68">
      <w:pPr>
        <w:spacing w:line="360" w:lineRule="auto"/>
      </w:pPr>
      <w:r>
        <w:br w:type="page"/>
      </w:r>
    </w:p>
    <w:sdt>
      <w:sdtPr>
        <w:rPr>
          <w:rFonts w:ascii="Arial" w:eastAsiaTheme="minorHAnsi" w:hAnsi="Arial" w:cstheme="minorBidi"/>
          <w:color w:val="auto"/>
          <w:sz w:val="22"/>
          <w:szCs w:val="22"/>
        </w:rPr>
        <w:id w:val="-1668630909"/>
        <w:docPartObj>
          <w:docPartGallery w:val="Table of Contents"/>
          <w:docPartUnique/>
        </w:docPartObj>
      </w:sdtPr>
      <w:sdtEndPr>
        <w:rPr>
          <w:b/>
          <w:bCs/>
        </w:rPr>
      </w:sdtEndPr>
      <w:sdtContent>
        <w:p w14:paraId="6E2EE585" w14:textId="77777777" w:rsidR="00AE5C9B" w:rsidRDefault="007F0D68">
          <w:pPr>
            <w:pStyle w:val="TOCHeading1"/>
          </w:pPr>
          <w:r>
            <w:t xml:space="preserve">Table of </w:t>
          </w:r>
          <w:r>
            <w:t>Contents</w:t>
          </w:r>
        </w:p>
        <w:p w14:paraId="1828134F" w14:textId="77777777" w:rsidR="00AE5C9B" w:rsidRDefault="00AE5C9B">
          <w:pPr>
            <w:rPr>
              <w:sz w:val="4"/>
              <w:szCs w:val="4"/>
            </w:rPr>
          </w:pPr>
        </w:p>
        <w:p w14:paraId="54797811" w14:textId="77777777" w:rsidR="00AE5C9B" w:rsidRDefault="007F0D68">
          <w:pPr>
            <w:pStyle w:val="TOC1"/>
            <w:tabs>
              <w:tab w:val="right" w:leader="dot" w:pos="9360"/>
            </w:tabs>
          </w:pPr>
          <w:r>
            <w:fldChar w:fldCharType="begin"/>
          </w:r>
          <w:r>
            <w:instrText xml:space="preserve"> TOC \o "1-3" \h \z \u </w:instrText>
          </w:r>
          <w:r>
            <w:fldChar w:fldCharType="separate"/>
          </w:r>
          <w:hyperlink w:anchor="_Toc27910" w:history="1">
            <w:r>
              <w:t>Introduction</w:t>
            </w:r>
            <w:r>
              <w:tab/>
            </w:r>
            <w:r>
              <w:fldChar w:fldCharType="begin"/>
            </w:r>
            <w:r>
              <w:instrText xml:space="preserve"> PAGEREF _Toc27910 \h </w:instrText>
            </w:r>
            <w:r>
              <w:fldChar w:fldCharType="separate"/>
            </w:r>
            <w:r>
              <w:t>3</w:t>
            </w:r>
            <w:r>
              <w:fldChar w:fldCharType="end"/>
            </w:r>
          </w:hyperlink>
        </w:p>
        <w:p w14:paraId="5300111F" w14:textId="77777777" w:rsidR="00AE5C9B" w:rsidRDefault="007F0D68">
          <w:pPr>
            <w:pStyle w:val="TOC1"/>
            <w:tabs>
              <w:tab w:val="right" w:leader="dot" w:pos="9360"/>
            </w:tabs>
          </w:pPr>
          <w:hyperlink w:anchor="_Toc6471" w:history="1">
            <w:r>
              <w:t>Main Body</w:t>
            </w:r>
            <w:r>
              <w:tab/>
            </w:r>
            <w:r>
              <w:fldChar w:fldCharType="begin"/>
            </w:r>
            <w:r>
              <w:instrText xml:space="preserve"> PAGEREF _Toc6471 \h </w:instrText>
            </w:r>
            <w:r>
              <w:fldChar w:fldCharType="separate"/>
            </w:r>
            <w:r>
              <w:t>4</w:t>
            </w:r>
            <w:r>
              <w:fldChar w:fldCharType="end"/>
            </w:r>
          </w:hyperlink>
        </w:p>
        <w:p w14:paraId="449DB026" w14:textId="77777777" w:rsidR="00AE5C9B" w:rsidRDefault="007F0D68">
          <w:pPr>
            <w:pStyle w:val="TOC2"/>
            <w:tabs>
              <w:tab w:val="right" w:leader="dot" w:pos="9360"/>
            </w:tabs>
          </w:pPr>
          <w:hyperlink w:anchor="_Toc19287" w:history="1">
            <w:r>
              <w:t>Approaches to Measuring and Monitoring Tuberculosis</w:t>
            </w:r>
            <w:r>
              <w:tab/>
            </w:r>
            <w:r>
              <w:fldChar w:fldCharType="begin"/>
            </w:r>
            <w:r>
              <w:instrText xml:space="preserve"> PAGEREF _Toc19287 \h </w:instrText>
            </w:r>
            <w:r>
              <w:fldChar w:fldCharType="separate"/>
            </w:r>
            <w:r>
              <w:t>4</w:t>
            </w:r>
            <w:r>
              <w:fldChar w:fldCharType="end"/>
            </w:r>
          </w:hyperlink>
        </w:p>
        <w:p w14:paraId="707B6C22" w14:textId="77777777" w:rsidR="00AE5C9B" w:rsidRDefault="007F0D68">
          <w:pPr>
            <w:pStyle w:val="TOC3"/>
            <w:tabs>
              <w:tab w:val="right" w:leader="dot" w:pos="9360"/>
            </w:tabs>
            <w:ind w:left="880"/>
          </w:pPr>
          <w:hyperlink w:anchor="_Toc22048" w:history="1">
            <w:r>
              <w:rPr>
                <w:szCs w:val="24"/>
              </w:rPr>
              <w:t>Screening and Diagnosis:</w:t>
            </w:r>
            <w:r>
              <w:tab/>
            </w:r>
            <w:r>
              <w:fldChar w:fldCharType="begin"/>
            </w:r>
            <w:r>
              <w:instrText xml:space="preserve"> PAGEREF _Toc22048 \h </w:instrText>
            </w:r>
            <w:r>
              <w:fldChar w:fldCharType="separate"/>
            </w:r>
            <w:r>
              <w:t>4</w:t>
            </w:r>
            <w:r>
              <w:fldChar w:fldCharType="end"/>
            </w:r>
          </w:hyperlink>
        </w:p>
        <w:p w14:paraId="49F03562" w14:textId="77777777" w:rsidR="00AE5C9B" w:rsidRDefault="007F0D68">
          <w:pPr>
            <w:pStyle w:val="TOC3"/>
            <w:tabs>
              <w:tab w:val="right" w:leader="dot" w:pos="9360"/>
            </w:tabs>
            <w:ind w:left="880"/>
          </w:pPr>
          <w:hyperlink w:anchor="_Toc17036" w:history="1">
            <w:r>
              <w:rPr>
                <w:bCs/>
                <w:szCs w:val="24"/>
              </w:rPr>
              <w:t>Monitoring:</w:t>
            </w:r>
            <w:r>
              <w:tab/>
            </w:r>
            <w:r>
              <w:fldChar w:fldCharType="begin"/>
            </w:r>
            <w:r>
              <w:instrText xml:space="preserve"> PAGEREF _Toc17036 \h </w:instrText>
            </w:r>
            <w:r>
              <w:fldChar w:fldCharType="separate"/>
            </w:r>
            <w:r>
              <w:t>5</w:t>
            </w:r>
            <w:r>
              <w:fldChar w:fldCharType="end"/>
            </w:r>
          </w:hyperlink>
        </w:p>
        <w:p w14:paraId="1F3CD322" w14:textId="77777777" w:rsidR="00AE5C9B" w:rsidRDefault="007F0D68">
          <w:pPr>
            <w:pStyle w:val="TOC2"/>
            <w:tabs>
              <w:tab w:val="right" w:leader="dot" w:pos="9360"/>
            </w:tabs>
          </w:pPr>
          <w:hyperlink w:anchor="_Toc18402" w:history="1">
            <w:r>
              <w:t>Control of Tuberculosis</w:t>
            </w:r>
            <w:r>
              <w:tab/>
            </w:r>
            <w:r>
              <w:fldChar w:fldCharType="begin"/>
            </w:r>
            <w:r>
              <w:instrText xml:space="preserve"> PAGEREF _Toc18402 \h </w:instrText>
            </w:r>
            <w:r>
              <w:fldChar w:fldCharType="separate"/>
            </w:r>
            <w:r>
              <w:t>5</w:t>
            </w:r>
            <w:r>
              <w:fldChar w:fldCharType="end"/>
            </w:r>
          </w:hyperlink>
        </w:p>
        <w:p w14:paraId="7B7C93B8" w14:textId="77777777" w:rsidR="00AE5C9B" w:rsidRDefault="007F0D68">
          <w:pPr>
            <w:pStyle w:val="TOC3"/>
            <w:tabs>
              <w:tab w:val="right" w:leader="dot" w:pos="9360"/>
            </w:tabs>
            <w:ind w:left="880"/>
          </w:pPr>
          <w:hyperlink w:anchor="_Toc17731" w:history="1">
            <w:r>
              <w:rPr>
                <w:bCs/>
                <w:szCs w:val="24"/>
              </w:rPr>
              <w:t>Prevention Strategies:</w:t>
            </w:r>
            <w:r>
              <w:tab/>
            </w:r>
            <w:r>
              <w:fldChar w:fldCharType="begin"/>
            </w:r>
            <w:r>
              <w:instrText xml:space="preserve"> PAGEREF _Toc17731 \h </w:instrText>
            </w:r>
            <w:r>
              <w:fldChar w:fldCharType="separate"/>
            </w:r>
            <w:r>
              <w:t>5</w:t>
            </w:r>
            <w:r>
              <w:fldChar w:fldCharType="end"/>
            </w:r>
          </w:hyperlink>
        </w:p>
        <w:p w14:paraId="753BE7E9" w14:textId="77777777" w:rsidR="00AE5C9B" w:rsidRDefault="007F0D68">
          <w:pPr>
            <w:pStyle w:val="TOC3"/>
            <w:tabs>
              <w:tab w:val="right" w:leader="dot" w:pos="9360"/>
            </w:tabs>
            <w:ind w:left="880"/>
          </w:pPr>
          <w:hyperlink w:anchor="_Toc7524" w:history="1">
            <w:r>
              <w:rPr>
                <w:bCs/>
                <w:szCs w:val="24"/>
              </w:rPr>
              <w:t>Secondary Prevention:</w:t>
            </w:r>
            <w:r>
              <w:tab/>
            </w:r>
            <w:r>
              <w:fldChar w:fldCharType="begin"/>
            </w:r>
            <w:r>
              <w:instrText xml:space="preserve"> PAGEREF _Toc7524 \h </w:instrText>
            </w:r>
            <w:r>
              <w:fldChar w:fldCharType="separate"/>
            </w:r>
            <w:r>
              <w:t>6</w:t>
            </w:r>
            <w:r>
              <w:fldChar w:fldCharType="end"/>
            </w:r>
          </w:hyperlink>
        </w:p>
        <w:p w14:paraId="163CCF68" w14:textId="77777777" w:rsidR="00AE5C9B" w:rsidRDefault="007F0D68">
          <w:pPr>
            <w:pStyle w:val="TOC3"/>
            <w:tabs>
              <w:tab w:val="right" w:leader="dot" w:pos="9360"/>
            </w:tabs>
            <w:ind w:left="880"/>
          </w:pPr>
          <w:hyperlink w:anchor="_Toc31455" w:history="1">
            <w:r>
              <w:rPr>
                <w:bCs/>
                <w:szCs w:val="24"/>
              </w:rPr>
              <w:t>Tertiary Prevention:</w:t>
            </w:r>
            <w:r>
              <w:tab/>
            </w:r>
            <w:r>
              <w:fldChar w:fldCharType="begin"/>
            </w:r>
            <w:r>
              <w:instrText xml:space="preserve"> PAGEREF _Toc31455 \h </w:instrText>
            </w:r>
            <w:r>
              <w:fldChar w:fldCharType="separate"/>
            </w:r>
            <w:r>
              <w:t>6</w:t>
            </w:r>
            <w:r>
              <w:fldChar w:fldCharType="end"/>
            </w:r>
          </w:hyperlink>
        </w:p>
        <w:p w14:paraId="35ED82B4" w14:textId="77777777" w:rsidR="00AE5C9B" w:rsidRDefault="007F0D68">
          <w:pPr>
            <w:pStyle w:val="TOC3"/>
            <w:tabs>
              <w:tab w:val="right" w:leader="dot" w:pos="9360"/>
            </w:tabs>
            <w:ind w:left="880"/>
          </w:pPr>
          <w:hyperlink w:anchor="_Toc27843" w:history="1">
            <w:r>
              <w:rPr>
                <w:bCs/>
                <w:szCs w:val="24"/>
              </w:rPr>
              <w:t>Treatment Options:</w:t>
            </w:r>
            <w:r>
              <w:tab/>
            </w:r>
            <w:r>
              <w:fldChar w:fldCharType="begin"/>
            </w:r>
            <w:r>
              <w:instrText xml:space="preserve"> PAGEREF _Toc27843 \h </w:instrText>
            </w:r>
            <w:r>
              <w:fldChar w:fldCharType="separate"/>
            </w:r>
            <w:r>
              <w:t>6</w:t>
            </w:r>
            <w:r>
              <w:fldChar w:fldCharType="end"/>
            </w:r>
          </w:hyperlink>
        </w:p>
        <w:p w14:paraId="73BBF686" w14:textId="77777777" w:rsidR="00AE5C9B" w:rsidRDefault="007F0D68">
          <w:pPr>
            <w:pStyle w:val="TOC3"/>
            <w:tabs>
              <w:tab w:val="right" w:leader="dot" w:pos="9360"/>
            </w:tabs>
            <w:ind w:left="880"/>
          </w:pPr>
          <w:hyperlink w:anchor="_Toc1096" w:history="1">
            <w:r>
              <w:rPr>
                <w:bCs/>
                <w:szCs w:val="24"/>
              </w:rPr>
              <w:t>International and Domestic Control Programs:</w:t>
            </w:r>
            <w:r>
              <w:tab/>
            </w:r>
            <w:r>
              <w:fldChar w:fldCharType="begin"/>
            </w:r>
            <w:r>
              <w:instrText xml:space="preserve"> PAGEREF _Toc1096 \h </w:instrText>
            </w:r>
            <w:r>
              <w:fldChar w:fldCharType="separate"/>
            </w:r>
            <w:r>
              <w:t>7</w:t>
            </w:r>
            <w:r>
              <w:fldChar w:fldCharType="end"/>
            </w:r>
          </w:hyperlink>
        </w:p>
        <w:p w14:paraId="0CED694B" w14:textId="77777777" w:rsidR="00AE5C9B" w:rsidRDefault="007F0D68">
          <w:pPr>
            <w:pStyle w:val="TOC2"/>
            <w:tabs>
              <w:tab w:val="right" w:leader="dot" w:pos="9360"/>
            </w:tabs>
          </w:pPr>
          <w:hyperlink w:anchor="_Toc4507" w:history="1">
            <w:r>
              <w:t>Consequences of Tuberculosis on People in the Community</w:t>
            </w:r>
            <w:r>
              <w:tab/>
            </w:r>
            <w:r>
              <w:fldChar w:fldCharType="begin"/>
            </w:r>
            <w:r>
              <w:instrText xml:space="preserve"> PAGEREF _Toc4507 \h </w:instrText>
            </w:r>
            <w:r>
              <w:fldChar w:fldCharType="separate"/>
            </w:r>
            <w:r>
              <w:t>7</w:t>
            </w:r>
            <w:r>
              <w:fldChar w:fldCharType="end"/>
            </w:r>
          </w:hyperlink>
        </w:p>
        <w:p w14:paraId="0AED2A68" w14:textId="77777777" w:rsidR="00AE5C9B" w:rsidRDefault="007F0D68">
          <w:pPr>
            <w:pStyle w:val="TOC3"/>
            <w:tabs>
              <w:tab w:val="right" w:leader="dot" w:pos="9360"/>
            </w:tabs>
            <w:ind w:left="880"/>
          </w:pPr>
          <w:hyperlink w:anchor="_Toc23475" w:history="1">
            <w:r>
              <w:rPr>
                <w:bCs/>
                <w:szCs w:val="24"/>
              </w:rPr>
              <w:t>Health Consequences:</w:t>
            </w:r>
            <w:r>
              <w:tab/>
            </w:r>
            <w:r>
              <w:fldChar w:fldCharType="begin"/>
            </w:r>
            <w:r>
              <w:instrText xml:space="preserve"> PAGEREF _Toc23475 \h </w:instrText>
            </w:r>
            <w:r>
              <w:fldChar w:fldCharType="separate"/>
            </w:r>
            <w:r>
              <w:t>7</w:t>
            </w:r>
            <w:r>
              <w:fldChar w:fldCharType="end"/>
            </w:r>
          </w:hyperlink>
        </w:p>
        <w:p w14:paraId="4780882F" w14:textId="77777777" w:rsidR="00AE5C9B" w:rsidRDefault="007F0D68">
          <w:pPr>
            <w:pStyle w:val="TOC3"/>
            <w:tabs>
              <w:tab w:val="right" w:leader="dot" w:pos="9360"/>
            </w:tabs>
            <w:ind w:left="880"/>
          </w:pPr>
          <w:hyperlink w:anchor="_Toc7720" w:history="1">
            <w:r>
              <w:rPr>
                <w:bCs/>
                <w:szCs w:val="24"/>
              </w:rPr>
              <w:t>Social and Economic Impact:</w:t>
            </w:r>
            <w:r>
              <w:tab/>
            </w:r>
            <w:r>
              <w:fldChar w:fldCharType="begin"/>
            </w:r>
            <w:r>
              <w:instrText xml:space="preserve"> PAGEREF _Toc7720 \h </w:instrText>
            </w:r>
            <w:r>
              <w:fldChar w:fldCharType="separate"/>
            </w:r>
            <w:r>
              <w:t>7</w:t>
            </w:r>
            <w:r>
              <w:fldChar w:fldCharType="end"/>
            </w:r>
          </w:hyperlink>
        </w:p>
        <w:p w14:paraId="28F559F4" w14:textId="77777777" w:rsidR="00AE5C9B" w:rsidRDefault="007F0D68">
          <w:pPr>
            <w:pStyle w:val="TOC3"/>
            <w:tabs>
              <w:tab w:val="right" w:leader="dot" w:pos="9360"/>
            </w:tabs>
            <w:ind w:left="880"/>
          </w:pPr>
          <w:hyperlink w:anchor="_Toc20418" w:history="1">
            <w:r>
              <w:rPr>
                <w:bCs/>
                <w:szCs w:val="24"/>
              </w:rPr>
              <w:t>Impact on Vulnerable Populations:</w:t>
            </w:r>
            <w:r>
              <w:tab/>
            </w:r>
            <w:r>
              <w:fldChar w:fldCharType="begin"/>
            </w:r>
            <w:r>
              <w:instrText xml:space="preserve"> PAGEREF _Toc20418 \h </w:instrText>
            </w:r>
            <w:r>
              <w:fldChar w:fldCharType="separate"/>
            </w:r>
            <w:r>
              <w:t>8</w:t>
            </w:r>
            <w:r>
              <w:fldChar w:fldCharType="end"/>
            </w:r>
          </w:hyperlink>
        </w:p>
        <w:p w14:paraId="6788A82D" w14:textId="77777777" w:rsidR="00AE5C9B" w:rsidRDefault="007F0D68">
          <w:pPr>
            <w:pStyle w:val="TOC2"/>
            <w:tabs>
              <w:tab w:val="right" w:leader="dot" w:pos="9360"/>
            </w:tabs>
          </w:pPr>
          <w:hyperlink w:anchor="_Toc32376" w:history="1">
            <w:r>
              <w:t>Health and Social Care Support Services</w:t>
            </w:r>
            <w:r>
              <w:tab/>
            </w:r>
            <w:r>
              <w:fldChar w:fldCharType="begin"/>
            </w:r>
            <w:r>
              <w:instrText xml:space="preserve"> PAGEREF _Toc32376 \h </w:instrText>
            </w:r>
            <w:r>
              <w:fldChar w:fldCharType="separate"/>
            </w:r>
            <w:r>
              <w:t>8</w:t>
            </w:r>
            <w:r>
              <w:fldChar w:fldCharType="end"/>
            </w:r>
          </w:hyperlink>
        </w:p>
        <w:p w14:paraId="00A8AB94" w14:textId="77777777" w:rsidR="00AE5C9B" w:rsidRDefault="007F0D68">
          <w:pPr>
            <w:pStyle w:val="TOC3"/>
            <w:tabs>
              <w:tab w:val="right" w:leader="dot" w:pos="9360"/>
            </w:tabs>
            <w:ind w:left="880"/>
          </w:pPr>
          <w:hyperlink w:anchor="_Toc23669" w:history="1">
            <w:r>
              <w:rPr>
                <w:bCs/>
                <w:szCs w:val="24"/>
              </w:rPr>
              <w:t>Healthcare Services:</w:t>
            </w:r>
            <w:r>
              <w:tab/>
            </w:r>
            <w:r>
              <w:fldChar w:fldCharType="begin"/>
            </w:r>
            <w:r>
              <w:instrText xml:space="preserve"> PAGEREF _Toc23669 \h </w:instrText>
            </w:r>
            <w:r>
              <w:fldChar w:fldCharType="separate"/>
            </w:r>
            <w:r>
              <w:t>8</w:t>
            </w:r>
            <w:r>
              <w:fldChar w:fldCharType="end"/>
            </w:r>
          </w:hyperlink>
        </w:p>
        <w:p w14:paraId="61CB0F73" w14:textId="77777777" w:rsidR="00AE5C9B" w:rsidRDefault="007F0D68">
          <w:pPr>
            <w:pStyle w:val="TOC3"/>
            <w:tabs>
              <w:tab w:val="right" w:leader="dot" w:pos="9360"/>
            </w:tabs>
            <w:ind w:left="880"/>
          </w:pPr>
          <w:hyperlink w:anchor="_Toc9742" w:history="1">
            <w:r>
              <w:rPr>
                <w:bCs/>
                <w:szCs w:val="24"/>
              </w:rPr>
              <w:t>Social Support:</w:t>
            </w:r>
            <w:r>
              <w:tab/>
            </w:r>
            <w:r>
              <w:fldChar w:fldCharType="begin"/>
            </w:r>
            <w:r>
              <w:instrText xml:space="preserve"> PAGEREF _Toc9742 \h </w:instrText>
            </w:r>
            <w:r>
              <w:fldChar w:fldCharType="separate"/>
            </w:r>
            <w:r>
              <w:t>8</w:t>
            </w:r>
            <w:r>
              <w:fldChar w:fldCharType="end"/>
            </w:r>
          </w:hyperlink>
        </w:p>
        <w:p w14:paraId="461CA1F1" w14:textId="77777777" w:rsidR="00AE5C9B" w:rsidRDefault="007F0D68">
          <w:pPr>
            <w:pStyle w:val="TOC3"/>
            <w:tabs>
              <w:tab w:val="right" w:leader="dot" w:pos="9360"/>
            </w:tabs>
            <w:ind w:left="880"/>
          </w:pPr>
          <w:hyperlink w:anchor="_Toc30913" w:history="1">
            <w:r>
              <w:rPr>
                <w:bCs/>
                <w:szCs w:val="24"/>
              </w:rPr>
              <w:t>Role of Non-Governmental Organizations and Public Health Organizations:</w:t>
            </w:r>
            <w:r>
              <w:tab/>
            </w:r>
            <w:r>
              <w:fldChar w:fldCharType="begin"/>
            </w:r>
            <w:r>
              <w:instrText xml:space="preserve"> PAGEREF _Toc30913 \h </w:instrText>
            </w:r>
            <w:r>
              <w:fldChar w:fldCharType="separate"/>
            </w:r>
            <w:r>
              <w:t>9</w:t>
            </w:r>
            <w:r>
              <w:fldChar w:fldCharType="end"/>
            </w:r>
          </w:hyperlink>
        </w:p>
        <w:p w14:paraId="537D86D2" w14:textId="77777777" w:rsidR="00AE5C9B" w:rsidRDefault="007F0D68">
          <w:pPr>
            <w:pStyle w:val="TOC1"/>
            <w:tabs>
              <w:tab w:val="right" w:leader="dot" w:pos="9360"/>
            </w:tabs>
          </w:pPr>
          <w:hyperlink w:anchor="_Toc9121" w:history="1">
            <w:r>
              <w:t>Conclusion</w:t>
            </w:r>
            <w:r>
              <w:tab/>
            </w:r>
            <w:r>
              <w:fldChar w:fldCharType="begin"/>
            </w:r>
            <w:r>
              <w:instrText xml:space="preserve"> PAGEREF _Toc9121 \h </w:instrText>
            </w:r>
            <w:r>
              <w:fldChar w:fldCharType="separate"/>
            </w:r>
            <w:r>
              <w:t>10</w:t>
            </w:r>
            <w:r>
              <w:fldChar w:fldCharType="end"/>
            </w:r>
          </w:hyperlink>
        </w:p>
        <w:p w14:paraId="11AA1230" w14:textId="77777777" w:rsidR="00AE5C9B" w:rsidRDefault="007F0D68">
          <w:pPr>
            <w:pStyle w:val="TOC1"/>
            <w:tabs>
              <w:tab w:val="right" w:leader="dot" w:pos="9360"/>
            </w:tabs>
          </w:pPr>
          <w:hyperlink w:anchor="_Toc26057" w:history="1">
            <w:r>
              <w:t>Reference</w:t>
            </w:r>
            <w:r>
              <w:tab/>
            </w:r>
            <w:r>
              <w:fldChar w:fldCharType="begin"/>
            </w:r>
            <w:r>
              <w:instrText xml:space="preserve"> PAGEREF _Toc26057 \h </w:instrText>
            </w:r>
            <w:r>
              <w:fldChar w:fldCharType="separate"/>
            </w:r>
            <w:r>
              <w:t>11</w:t>
            </w:r>
            <w:r>
              <w:fldChar w:fldCharType="end"/>
            </w:r>
          </w:hyperlink>
        </w:p>
        <w:p w14:paraId="4488847E" w14:textId="77777777" w:rsidR="00AE5C9B" w:rsidRDefault="007F0D68">
          <w:r>
            <w:rPr>
              <w:bCs/>
            </w:rPr>
            <w:fldChar w:fldCharType="end"/>
          </w:r>
        </w:p>
      </w:sdtContent>
    </w:sdt>
    <w:p w14:paraId="444FB36F" w14:textId="77777777" w:rsidR="00AE5C9B" w:rsidRDefault="007F0D68">
      <w:pPr>
        <w:rPr>
          <w:rFonts w:eastAsiaTheme="majorEastAsia" w:cstheme="majorBidi"/>
          <w:color w:val="365F91" w:themeColor="accent1" w:themeShade="BF"/>
          <w:sz w:val="28"/>
          <w:szCs w:val="32"/>
        </w:rPr>
      </w:pPr>
      <w:r>
        <w:br w:type="page"/>
      </w:r>
    </w:p>
    <w:p w14:paraId="40A3851D" w14:textId="77777777" w:rsidR="00AE5C9B" w:rsidRDefault="007F0D68">
      <w:pPr>
        <w:pStyle w:val="Heading1"/>
      </w:pPr>
      <w:bookmarkStart w:id="0" w:name="_Toc27910"/>
      <w:r>
        <w:lastRenderedPageBreak/>
        <w:t>Introduction</w:t>
      </w:r>
      <w:bookmarkEnd w:id="0"/>
      <w:r>
        <w:t xml:space="preserve"> </w:t>
      </w:r>
    </w:p>
    <w:p w14:paraId="5C367091" w14:textId="77777777" w:rsidR="00AE5C9B" w:rsidRDefault="00AE5C9B">
      <w:pPr>
        <w:spacing w:line="360" w:lineRule="auto"/>
      </w:pPr>
    </w:p>
    <w:p w14:paraId="2F894C02" w14:textId="77777777" w:rsidR="00AE5C9B" w:rsidRDefault="007F0D68">
      <w:pPr>
        <w:spacing w:line="360" w:lineRule="auto"/>
      </w:pPr>
      <w:r>
        <w:t>Tuberculosis (TB) is an infectious disease that is caused by Mycobacterium tuberculosis bacteria. It may involve other organs such as spine, brain, and kidneys, primarily affecting the lungs (</w:t>
      </w:r>
      <w:proofErr w:type="spellStart"/>
      <w:r>
        <w:rPr>
          <w:color w:val="222222"/>
          <w:shd w:val="clear" w:color="auto" w:fill="FFFFFF"/>
        </w:rPr>
        <w:t>Grosset</w:t>
      </w:r>
      <w:proofErr w:type="spellEnd"/>
      <w:r>
        <w:rPr>
          <w:color w:val="222222"/>
          <w:shd w:val="clear" w:color="auto" w:fill="FFFFFF"/>
        </w:rPr>
        <w:t xml:space="preserve"> and </w:t>
      </w:r>
      <w:proofErr w:type="spellStart"/>
      <w:r>
        <w:rPr>
          <w:color w:val="222222"/>
          <w:shd w:val="clear" w:color="auto" w:fill="FFFFFF"/>
        </w:rPr>
        <w:t>Chaisson</w:t>
      </w:r>
      <w:proofErr w:type="spellEnd"/>
      <w:r>
        <w:rPr>
          <w:color w:val="222222"/>
          <w:shd w:val="clear" w:color="auto" w:fill="FFFFFF"/>
        </w:rPr>
        <w:t>, 2017)</w:t>
      </w:r>
      <w:r>
        <w:t>. Symptoms of TB are usually common and they may include persistent coughing, which takes over three weeks, chest pains, coughing of blood, fatigue, loss of weight, fever and night sweats (</w:t>
      </w:r>
      <w:r>
        <w:rPr>
          <w:color w:val="222222"/>
          <w:shd w:val="clear" w:color="auto" w:fill="FFFFFF"/>
        </w:rPr>
        <w:t>Raviglione, 2016)</w:t>
      </w:r>
      <w:r>
        <w:t xml:space="preserve">.The World Health Organization (WHO) estimates that in 2023, there were 10.8 million new cases and 1.25 million deaths worldwide </w:t>
      </w:r>
      <w:r>
        <w:t xml:space="preserve">but </w:t>
      </w:r>
      <w:r>
        <w:rPr>
          <w:color w:val="000000" w:themeColor="text1"/>
        </w:rPr>
        <w:t>incidence in UK is lower being approximately 4,000 new cases per year</w:t>
      </w:r>
      <w:r>
        <w:t>(WHO, 2024)</w:t>
      </w:r>
      <w:r>
        <w:t>.</w:t>
      </w:r>
    </w:p>
    <w:p w14:paraId="4135C0B1" w14:textId="77777777" w:rsidR="00AE5C9B" w:rsidRDefault="007F0D68">
      <w:pPr>
        <w:spacing w:line="360" w:lineRule="auto"/>
        <w:jc w:val="center"/>
        <w:rPr>
          <w:rFonts w:ascii="SimSun" w:eastAsia="SimSun" w:hAnsi="SimSun" w:cs="SimSun"/>
          <w:sz w:val="24"/>
          <w:szCs w:val="24"/>
        </w:rPr>
      </w:pPr>
      <w:r>
        <w:rPr>
          <w:rFonts w:ascii="SimSun" w:eastAsia="SimSun" w:hAnsi="SimSun" w:cs="SimSun"/>
          <w:noProof/>
          <w:sz w:val="24"/>
          <w:szCs w:val="24"/>
        </w:rPr>
        <w:drawing>
          <wp:inline distT="0" distB="0" distL="114300" distR="114300" wp14:anchorId="49AB246D" wp14:editId="45A13CB1">
            <wp:extent cx="2381250" cy="2705100"/>
            <wp:effectExtent l="0" t="0" r="6350" b="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9"/>
                    <a:stretch>
                      <a:fillRect/>
                    </a:stretch>
                  </pic:blipFill>
                  <pic:spPr>
                    <a:xfrm>
                      <a:off x="0" y="0"/>
                      <a:ext cx="2381250" cy="2705100"/>
                    </a:xfrm>
                    <a:prstGeom prst="rect">
                      <a:avLst/>
                    </a:prstGeom>
                    <a:noFill/>
                    <a:ln w="9525">
                      <a:noFill/>
                    </a:ln>
                  </pic:spPr>
                </pic:pic>
              </a:graphicData>
            </a:graphic>
          </wp:inline>
        </w:drawing>
      </w:r>
    </w:p>
    <w:p w14:paraId="462E2995" w14:textId="77777777" w:rsidR="00AE5C9B" w:rsidRDefault="007F0D68">
      <w:pPr>
        <w:spacing w:line="360" w:lineRule="auto"/>
        <w:jc w:val="center"/>
      </w:pPr>
      <w:r>
        <w:rPr>
          <w:sz w:val="20"/>
          <w:szCs w:val="20"/>
        </w:rPr>
        <w:t xml:space="preserve">Figure 1: Tuberculosis scarring </w:t>
      </w:r>
      <w:r>
        <w:rPr>
          <w:sz w:val="20"/>
          <w:szCs w:val="20"/>
        </w:rPr>
        <w:t>(</w:t>
      </w:r>
      <w:proofErr w:type="spellStart"/>
      <w:r>
        <w:rPr>
          <w:color w:val="222222"/>
          <w:sz w:val="20"/>
          <w:szCs w:val="20"/>
          <w:shd w:val="clear" w:color="auto" w:fill="FFFFFF"/>
        </w:rPr>
        <w:t>Grosset</w:t>
      </w:r>
      <w:proofErr w:type="spellEnd"/>
      <w:r>
        <w:rPr>
          <w:color w:val="222222"/>
          <w:sz w:val="20"/>
          <w:szCs w:val="20"/>
          <w:shd w:val="clear" w:color="auto" w:fill="FFFFFF"/>
        </w:rPr>
        <w:t xml:space="preserve"> and </w:t>
      </w:r>
      <w:proofErr w:type="spellStart"/>
      <w:r>
        <w:rPr>
          <w:color w:val="222222"/>
          <w:sz w:val="20"/>
          <w:szCs w:val="20"/>
          <w:shd w:val="clear" w:color="auto" w:fill="FFFFFF"/>
        </w:rPr>
        <w:t>Chaisson</w:t>
      </w:r>
      <w:proofErr w:type="spellEnd"/>
      <w:r>
        <w:rPr>
          <w:color w:val="222222"/>
          <w:sz w:val="20"/>
          <w:szCs w:val="20"/>
          <w:shd w:val="clear" w:color="auto" w:fill="FFFFFF"/>
        </w:rPr>
        <w:t>, 2017)</w:t>
      </w:r>
    </w:p>
    <w:p w14:paraId="73FE0674" w14:textId="77777777" w:rsidR="00AE5C9B" w:rsidRDefault="00AE5C9B">
      <w:pPr>
        <w:spacing w:line="360" w:lineRule="auto"/>
      </w:pPr>
    </w:p>
    <w:p w14:paraId="734A7B5C" w14:textId="77777777" w:rsidR="00AE5C9B" w:rsidRDefault="00AE5C9B">
      <w:pPr>
        <w:spacing w:line="360" w:lineRule="auto"/>
      </w:pPr>
    </w:p>
    <w:p w14:paraId="0B6B75EE" w14:textId="77777777" w:rsidR="00AE5C9B" w:rsidRDefault="00AE5C9B">
      <w:pPr>
        <w:spacing w:line="360" w:lineRule="auto"/>
      </w:pPr>
    </w:p>
    <w:p w14:paraId="3497E887" w14:textId="77777777" w:rsidR="00AE5C9B" w:rsidRDefault="00AE5C9B">
      <w:pPr>
        <w:spacing w:line="360" w:lineRule="auto"/>
      </w:pPr>
    </w:p>
    <w:p w14:paraId="42C05E4E" w14:textId="77777777" w:rsidR="00AE5C9B" w:rsidRDefault="00AE5C9B">
      <w:pPr>
        <w:spacing w:line="360" w:lineRule="auto"/>
      </w:pPr>
    </w:p>
    <w:p w14:paraId="68EEB950" w14:textId="59FE15E9" w:rsidR="00AE5C9B" w:rsidRDefault="007F0D68">
      <w:pPr>
        <w:pStyle w:val="Heading1"/>
      </w:pPr>
      <w:bookmarkStart w:id="1" w:name="_Toc6471"/>
      <w:r>
        <w:t>Main Body</w:t>
      </w:r>
      <w:bookmarkEnd w:id="1"/>
      <w:r>
        <w:t xml:space="preserve"> </w:t>
      </w:r>
    </w:p>
    <w:p w14:paraId="2948303E" w14:textId="77777777" w:rsidR="00AE5C9B" w:rsidRDefault="00AE5C9B">
      <w:pPr>
        <w:spacing w:line="360" w:lineRule="auto"/>
      </w:pPr>
    </w:p>
    <w:p w14:paraId="516F8FDE" w14:textId="77777777" w:rsidR="00AE5C9B" w:rsidRDefault="007F0D68">
      <w:pPr>
        <w:pStyle w:val="Heading2"/>
      </w:pPr>
      <w:bookmarkStart w:id="2" w:name="_Toc19287"/>
      <w:r>
        <w:lastRenderedPageBreak/>
        <w:t>Approaches to Measuring and Monitoring Tuberculosis</w:t>
      </w:r>
      <w:bookmarkEnd w:id="2"/>
    </w:p>
    <w:p w14:paraId="3FEF0D38" w14:textId="77777777" w:rsidR="00AE5C9B" w:rsidRDefault="00AE5C9B">
      <w:pPr>
        <w:spacing w:line="360" w:lineRule="auto"/>
        <w:rPr>
          <w:color w:val="000000" w:themeColor="text1"/>
        </w:rPr>
      </w:pPr>
    </w:p>
    <w:p w14:paraId="50DAE174" w14:textId="77777777" w:rsidR="00AE5C9B" w:rsidRDefault="007F0D68">
      <w:pPr>
        <w:pStyle w:val="Heading3"/>
        <w:rPr>
          <w:sz w:val="24"/>
          <w:szCs w:val="24"/>
        </w:rPr>
      </w:pPr>
      <w:bookmarkStart w:id="3" w:name="_Toc22048"/>
      <w:r>
        <w:rPr>
          <w:sz w:val="24"/>
          <w:szCs w:val="24"/>
        </w:rPr>
        <w:t xml:space="preserve">Screening and </w:t>
      </w:r>
      <w:r>
        <w:rPr>
          <w:sz w:val="24"/>
          <w:szCs w:val="24"/>
        </w:rPr>
        <w:t>Diagnosis:</w:t>
      </w:r>
      <w:bookmarkEnd w:id="3"/>
    </w:p>
    <w:p w14:paraId="7807FD3F" w14:textId="77777777" w:rsidR="00AE5C9B" w:rsidRDefault="007F0D68">
      <w:pPr>
        <w:spacing w:line="360" w:lineRule="auto"/>
        <w:rPr>
          <w:color w:val="000000" w:themeColor="text1"/>
        </w:rPr>
      </w:pPr>
      <w:r>
        <w:rPr>
          <w:color w:val="000000" w:themeColor="text1"/>
        </w:rPr>
        <w:t xml:space="preserve">The diagnosis of TB is conducted as a complex of tests. The Tuberculin skin test (TST) or Mantoux test are usually referred, which is a </w:t>
      </w:r>
      <w:proofErr w:type="gramStart"/>
      <w:r>
        <w:rPr>
          <w:color w:val="000000" w:themeColor="text1"/>
        </w:rPr>
        <w:t>wide spread</w:t>
      </w:r>
      <w:proofErr w:type="gramEnd"/>
      <w:r>
        <w:rPr>
          <w:color w:val="000000" w:themeColor="text1"/>
        </w:rPr>
        <w:t xml:space="preserve"> test used to determine people who have been exposed to the TB bacterium (</w:t>
      </w:r>
      <w:proofErr w:type="spellStart"/>
      <w:r>
        <w:rPr>
          <w:color w:val="000000" w:themeColor="text1"/>
          <w:shd w:val="clear" w:color="auto" w:fill="FFFFFF"/>
        </w:rPr>
        <w:t>Grosset</w:t>
      </w:r>
      <w:proofErr w:type="spellEnd"/>
      <w:r>
        <w:rPr>
          <w:color w:val="000000" w:themeColor="text1"/>
          <w:shd w:val="clear" w:color="auto" w:fill="FFFFFF"/>
        </w:rPr>
        <w:t xml:space="preserve"> and </w:t>
      </w:r>
      <w:proofErr w:type="spellStart"/>
      <w:r>
        <w:rPr>
          <w:color w:val="000000" w:themeColor="text1"/>
          <w:shd w:val="clear" w:color="auto" w:fill="FFFFFF"/>
        </w:rPr>
        <w:t>Chaisson</w:t>
      </w:r>
      <w:proofErr w:type="spellEnd"/>
      <w:r>
        <w:rPr>
          <w:color w:val="000000" w:themeColor="text1"/>
          <w:shd w:val="clear" w:color="auto" w:fill="FFFFFF"/>
        </w:rPr>
        <w:t>, 2017)</w:t>
      </w:r>
      <w:r>
        <w:rPr>
          <w:color w:val="000000" w:themeColor="text1"/>
        </w:rPr>
        <w:t xml:space="preserve">. However, it is not able to ascertain whether the individual has an active infection and therefore additional tests are needed. The most common means of diagnosing the active pulmonary TB is </w:t>
      </w:r>
      <w:proofErr w:type="gramStart"/>
      <w:r>
        <w:rPr>
          <w:color w:val="000000" w:themeColor="text1"/>
        </w:rPr>
        <w:t>through the use of</w:t>
      </w:r>
      <w:proofErr w:type="gramEnd"/>
      <w:r>
        <w:rPr>
          <w:color w:val="000000" w:themeColor="text1"/>
        </w:rPr>
        <w:t xml:space="preserve"> sputum smear microscopy whereby sputum samples are placed under a microscope to determine the presence of Mycobacterium tuberculosis. Although this technique is effective, it may fail to pi</w:t>
      </w:r>
      <w:r>
        <w:rPr>
          <w:color w:val="000000" w:themeColor="text1"/>
        </w:rPr>
        <w:t>ck up drug-resistant ones.</w:t>
      </w:r>
    </w:p>
    <w:p w14:paraId="658B5F7B" w14:textId="77777777" w:rsidR="00AE5C9B" w:rsidRDefault="007F0D68">
      <w:pPr>
        <w:spacing w:line="360" w:lineRule="auto"/>
        <w:rPr>
          <w:color w:val="000000" w:themeColor="text1"/>
        </w:rPr>
      </w:pPr>
      <w:r>
        <w:rPr>
          <w:color w:val="000000" w:themeColor="text1"/>
        </w:rPr>
        <w:t>There are some breakthroughs in molecular diagnostics such as GeneXpert test that provide quicker and more precise outcomes (</w:t>
      </w:r>
      <w:proofErr w:type="spellStart"/>
      <w:r>
        <w:rPr>
          <w:color w:val="000000" w:themeColor="text1"/>
          <w:shd w:val="clear" w:color="auto" w:fill="FFFFFF"/>
        </w:rPr>
        <w:t>Grosset</w:t>
      </w:r>
      <w:proofErr w:type="spellEnd"/>
      <w:r>
        <w:rPr>
          <w:color w:val="000000" w:themeColor="text1"/>
          <w:shd w:val="clear" w:color="auto" w:fill="FFFFFF"/>
        </w:rPr>
        <w:t xml:space="preserve"> and </w:t>
      </w:r>
      <w:proofErr w:type="spellStart"/>
      <w:r>
        <w:rPr>
          <w:color w:val="000000" w:themeColor="text1"/>
          <w:shd w:val="clear" w:color="auto" w:fill="FFFFFF"/>
        </w:rPr>
        <w:t>Chaisson</w:t>
      </w:r>
      <w:proofErr w:type="spellEnd"/>
      <w:r>
        <w:rPr>
          <w:color w:val="000000" w:themeColor="text1"/>
          <w:shd w:val="clear" w:color="auto" w:fill="FFFFFF"/>
        </w:rPr>
        <w:t>, 2017)</w:t>
      </w:r>
      <w:r>
        <w:rPr>
          <w:color w:val="000000" w:themeColor="text1"/>
        </w:rPr>
        <w:t>. TB bacteria can be identified and resistance to Rifampicin, a first-line TB drug, detected in GeneXpert in two hours. This test has now been a game changer in resource limited environments that enable quick diagnosis and early intervention which minimizing chances of transmissions and better treatment results.</w:t>
      </w:r>
      <w:r>
        <w:rPr>
          <w:color w:val="000000" w:themeColor="text1"/>
        </w:rPr>
        <w:t xml:space="preserve"> The table below contrasts these key approaches.</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1359"/>
        <w:gridCol w:w="2942"/>
        <w:gridCol w:w="1250"/>
        <w:gridCol w:w="3799"/>
      </w:tblGrid>
      <w:tr w:rsidR="00AE5C9B" w14:paraId="2B8CE8EF" w14:textId="77777777">
        <w:trPr>
          <w:tblHeader/>
        </w:trPr>
        <w:tc>
          <w:tcPr>
            <w:tcW w:w="0" w:type="auto"/>
            <w:tcBorders>
              <w:top w:val="single" w:sz="4" w:space="0" w:color="000000"/>
              <w:left w:val="single" w:sz="4" w:space="0" w:color="000000"/>
              <w:bottom w:val="single" w:sz="4" w:space="0" w:color="000000"/>
              <w:right w:val="single" w:sz="4" w:space="0" w:color="000000"/>
              <w:tl2br w:val="nil"/>
            </w:tcBorders>
            <w:shd w:val="clear" w:color="auto" w:fill="FFFFFF"/>
            <w:tcMar>
              <w:top w:w="100" w:type="dxa"/>
              <w:left w:w="0" w:type="dxa"/>
              <w:bottom w:w="100" w:type="dxa"/>
              <w:right w:w="160" w:type="dxa"/>
            </w:tcMar>
            <w:vAlign w:val="center"/>
          </w:tcPr>
          <w:p w14:paraId="2EDAECCB" w14:textId="77777777" w:rsidR="00AE5C9B" w:rsidRDefault="007F0D68">
            <w:pPr>
              <w:spacing w:line="360" w:lineRule="auto"/>
              <w:jc w:val="center"/>
              <w:rPr>
                <w:b/>
                <w:bCs/>
                <w:color w:val="000000" w:themeColor="text1"/>
              </w:rPr>
            </w:pPr>
            <w:r>
              <w:rPr>
                <w:b/>
                <w:bCs/>
                <w:color w:val="000000" w:themeColor="text1"/>
                <w:lang w:eastAsia="zh-CN"/>
              </w:rPr>
              <w:t>Approach</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1FBAEBEF" w14:textId="77777777" w:rsidR="00AE5C9B" w:rsidRDefault="007F0D68">
            <w:pPr>
              <w:spacing w:line="360" w:lineRule="auto"/>
              <w:jc w:val="center"/>
              <w:rPr>
                <w:b/>
                <w:bCs/>
                <w:color w:val="000000" w:themeColor="text1"/>
              </w:rPr>
            </w:pPr>
            <w:r>
              <w:rPr>
                <w:b/>
                <w:bCs/>
                <w:color w:val="000000" w:themeColor="text1"/>
                <w:lang w:eastAsia="zh-CN"/>
              </w:rPr>
              <w:t>Purpose</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60F9EE8A" w14:textId="77777777" w:rsidR="00AE5C9B" w:rsidRDefault="007F0D68">
            <w:pPr>
              <w:spacing w:line="360" w:lineRule="auto"/>
              <w:jc w:val="center"/>
              <w:rPr>
                <w:b/>
                <w:bCs/>
                <w:color w:val="000000" w:themeColor="text1"/>
              </w:rPr>
            </w:pPr>
            <w:r>
              <w:rPr>
                <w:b/>
                <w:bCs/>
                <w:color w:val="000000" w:themeColor="text1"/>
                <w:lang w:eastAsia="zh-CN"/>
              </w:rPr>
              <w:t>Level</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6F40FF3E" w14:textId="77777777" w:rsidR="00AE5C9B" w:rsidRDefault="007F0D68">
            <w:pPr>
              <w:spacing w:line="360" w:lineRule="auto"/>
              <w:jc w:val="center"/>
              <w:rPr>
                <w:b/>
                <w:bCs/>
                <w:color w:val="000000" w:themeColor="text1"/>
              </w:rPr>
            </w:pPr>
            <w:r>
              <w:rPr>
                <w:b/>
                <w:bCs/>
                <w:color w:val="000000" w:themeColor="text1"/>
                <w:lang w:eastAsia="zh-CN"/>
              </w:rPr>
              <w:t>Example / Tool</w:t>
            </w:r>
          </w:p>
        </w:tc>
      </w:tr>
      <w:tr w:rsidR="00AE5C9B" w14:paraId="68E4CB0E" w14:textId="77777777">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0" w:type="dxa"/>
              <w:bottom w:w="100" w:type="dxa"/>
              <w:right w:w="160" w:type="dxa"/>
            </w:tcMar>
            <w:vAlign w:val="center"/>
          </w:tcPr>
          <w:p w14:paraId="57D0D298" w14:textId="77777777" w:rsidR="00AE5C9B" w:rsidRDefault="007F0D68">
            <w:pPr>
              <w:spacing w:line="360" w:lineRule="auto"/>
              <w:rPr>
                <w:color w:val="000000" w:themeColor="text1"/>
              </w:rPr>
            </w:pPr>
            <w:r>
              <w:rPr>
                <w:color w:val="000000" w:themeColor="text1"/>
                <w:lang w:eastAsia="zh-CN"/>
              </w:rPr>
              <w:t>Surveillance</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012BECC9" w14:textId="77777777" w:rsidR="00AE5C9B" w:rsidRDefault="007F0D68">
            <w:pPr>
              <w:spacing w:line="360" w:lineRule="auto"/>
              <w:rPr>
                <w:color w:val="000000" w:themeColor="text1"/>
              </w:rPr>
            </w:pPr>
            <w:r>
              <w:rPr>
                <w:color w:val="000000" w:themeColor="text1"/>
                <w:lang w:eastAsia="zh-CN"/>
              </w:rPr>
              <w:t xml:space="preserve">Track disease trends and </w:t>
            </w:r>
            <w:r>
              <w:rPr>
                <w:color w:val="000000" w:themeColor="text1"/>
                <w:lang w:eastAsia="zh-CN"/>
              </w:rPr>
              <w:t>inform policy</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0D278D26" w14:textId="77777777" w:rsidR="00AE5C9B" w:rsidRDefault="007F0D68">
            <w:pPr>
              <w:spacing w:line="360" w:lineRule="auto"/>
              <w:rPr>
                <w:color w:val="000000" w:themeColor="text1"/>
              </w:rPr>
            </w:pPr>
            <w:r>
              <w:rPr>
                <w:color w:val="000000" w:themeColor="text1"/>
                <w:lang w:eastAsia="zh-CN"/>
              </w:rPr>
              <w:t>Global</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0" w:type="dxa"/>
            </w:tcMar>
            <w:vAlign w:val="center"/>
          </w:tcPr>
          <w:p w14:paraId="415EB223" w14:textId="77777777" w:rsidR="00AE5C9B" w:rsidRDefault="007F0D68">
            <w:pPr>
              <w:spacing w:line="360" w:lineRule="auto"/>
              <w:rPr>
                <w:color w:val="000000" w:themeColor="text1"/>
              </w:rPr>
            </w:pPr>
            <w:r>
              <w:rPr>
                <w:color w:val="000000" w:themeColor="text1"/>
                <w:lang w:eastAsia="zh-CN"/>
              </w:rPr>
              <w:t>WHO Global Tuberculosis Report</w:t>
            </w:r>
          </w:p>
        </w:tc>
      </w:tr>
      <w:tr w:rsidR="00AE5C9B" w14:paraId="5F2F7008" w14:textId="77777777">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0" w:type="dxa"/>
              <w:bottom w:w="100" w:type="dxa"/>
              <w:right w:w="160" w:type="dxa"/>
            </w:tcMar>
            <w:vAlign w:val="center"/>
          </w:tcPr>
          <w:p w14:paraId="2C4ED49E" w14:textId="77777777" w:rsidR="00AE5C9B" w:rsidRDefault="007F0D68">
            <w:pPr>
              <w:spacing w:line="360" w:lineRule="auto"/>
              <w:rPr>
                <w:color w:val="000000" w:themeColor="text1"/>
              </w:rPr>
            </w:pPr>
            <w:r>
              <w:rPr>
                <w:color w:val="000000" w:themeColor="text1"/>
                <w:lang w:eastAsia="zh-CN"/>
              </w:rPr>
              <w:t>Surveillance</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673F86E4" w14:textId="77777777" w:rsidR="00AE5C9B" w:rsidRDefault="007F0D68">
            <w:pPr>
              <w:spacing w:line="360" w:lineRule="auto"/>
              <w:rPr>
                <w:color w:val="000000" w:themeColor="text1"/>
              </w:rPr>
            </w:pPr>
            <w:r>
              <w:rPr>
                <w:color w:val="000000" w:themeColor="text1"/>
                <w:lang w:eastAsia="zh-CN"/>
              </w:rPr>
              <w:t>Track disease trends and inform policy</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0B26BC56" w14:textId="77777777" w:rsidR="00AE5C9B" w:rsidRDefault="007F0D68">
            <w:pPr>
              <w:spacing w:line="360" w:lineRule="auto"/>
              <w:rPr>
                <w:color w:val="000000" w:themeColor="text1"/>
              </w:rPr>
            </w:pPr>
            <w:r>
              <w:rPr>
                <w:color w:val="000000" w:themeColor="text1"/>
                <w:lang w:eastAsia="zh-CN"/>
              </w:rPr>
              <w:t>National</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0" w:type="dxa"/>
            </w:tcMar>
            <w:vAlign w:val="center"/>
          </w:tcPr>
          <w:p w14:paraId="6813EB1C" w14:textId="77777777" w:rsidR="00AE5C9B" w:rsidRDefault="007F0D68">
            <w:pPr>
              <w:spacing w:line="360" w:lineRule="auto"/>
              <w:rPr>
                <w:color w:val="000000" w:themeColor="text1"/>
              </w:rPr>
            </w:pPr>
            <w:r>
              <w:rPr>
                <w:color w:val="000000" w:themeColor="text1"/>
                <w:lang w:eastAsia="zh-CN"/>
              </w:rPr>
              <w:t>UK National Tuberculosis Surveillance System (NTBS)</w:t>
            </w:r>
          </w:p>
        </w:tc>
      </w:tr>
      <w:tr w:rsidR="00AE5C9B" w14:paraId="40A5BD84" w14:textId="77777777">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0" w:type="dxa"/>
              <w:bottom w:w="100" w:type="dxa"/>
              <w:right w:w="160" w:type="dxa"/>
            </w:tcMar>
            <w:vAlign w:val="center"/>
          </w:tcPr>
          <w:p w14:paraId="39E9BB19" w14:textId="77777777" w:rsidR="00AE5C9B" w:rsidRDefault="007F0D68">
            <w:pPr>
              <w:spacing w:line="360" w:lineRule="auto"/>
              <w:rPr>
                <w:color w:val="000000" w:themeColor="text1"/>
              </w:rPr>
            </w:pPr>
            <w:r>
              <w:rPr>
                <w:color w:val="000000" w:themeColor="text1"/>
                <w:lang w:eastAsia="zh-CN"/>
              </w:rPr>
              <w:t>Diagnosis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56BB7FE7" w14:textId="77777777" w:rsidR="00AE5C9B" w:rsidRDefault="007F0D68">
            <w:pPr>
              <w:spacing w:line="360" w:lineRule="auto"/>
              <w:rPr>
                <w:color w:val="000000" w:themeColor="text1"/>
              </w:rPr>
            </w:pPr>
            <w:r>
              <w:rPr>
                <w:color w:val="000000" w:themeColor="text1"/>
                <w:lang w:eastAsia="zh-CN"/>
              </w:rPr>
              <w:t>Identify active TB and drug resistance</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7226A83E" w14:textId="77777777" w:rsidR="00AE5C9B" w:rsidRDefault="007F0D68">
            <w:pPr>
              <w:spacing w:line="360" w:lineRule="auto"/>
              <w:rPr>
                <w:color w:val="000000" w:themeColor="text1"/>
              </w:rPr>
            </w:pPr>
            <w:r>
              <w:rPr>
                <w:color w:val="000000" w:themeColor="text1"/>
                <w:lang w:eastAsia="zh-CN"/>
              </w:rPr>
              <w:t>Individual</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0" w:type="dxa"/>
            </w:tcMar>
            <w:vAlign w:val="center"/>
          </w:tcPr>
          <w:p w14:paraId="50113EDE" w14:textId="77777777" w:rsidR="00AE5C9B" w:rsidRDefault="007F0D68">
            <w:pPr>
              <w:spacing w:line="360" w:lineRule="auto"/>
              <w:rPr>
                <w:color w:val="000000" w:themeColor="text1"/>
              </w:rPr>
            </w:pPr>
            <w:r>
              <w:rPr>
                <w:color w:val="000000" w:themeColor="text1"/>
                <w:lang w:eastAsia="zh-CN"/>
              </w:rPr>
              <w:t xml:space="preserve">GeneXpert MTB/RIF </w:t>
            </w:r>
            <w:r>
              <w:rPr>
                <w:color w:val="000000" w:themeColor="text1"/>
                <w:lang w:eastAsia="zh-CN"/>
              </w:rPr>
              <w:t>(molecular test)</w:t>
            </w:r>
          </w:p>
        </w:tc>
      </w:tr>
      <w:tr w:rsidR="00AE5C9B" w14:paraId="5AE2537A" w14:textId="77777777">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0" w:type="dxa"/>
              <w:bottom w:w="100" w:type="dxa"/>
              <w:right w:w="160" w:type="dxa"/>
            </w:tcMar>
            <w:vAlign w:val="center"/>
          </w:tcPr>
          <w:p w14:paraId="316435E3" w14:textId="77777777" w:rsidR="00AE5C9B" w:rsidRDefault="007F0D68">
            <w:pPr>
              <w:spacing w:line="360" w:lineRule="auto"/>
              <w:rPr>
                <w:color w:val="000000" w:themeColor="text1"/>
              </w:rPr>
            </w:pPr>
            <w:r>
              <w:rPr>
                <w:color w:val="000000" w:themeColor="text1"/>
                <w:lang w:eastAsia="zh-CN"/>
              </w:rPr>
              <w:lastRenderedPageBreak/>
              <w:t>Screening</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6C74237F" w14:textId="77777777" w:rsidR="00AE5C9B" w:rsidRDefault="007F0D68">
            <w:pPr>
              <w:spacing w:line="360" w:lineRule="auto"/>
              <w:rPr>
                <w:color w:val="000000" w:themeColor="text1"/>
              </w:rPr>
            </w:pPr>
            <w:r>
              <w:rPr>
                <w:color w:val="000000" w:themeColor="text1"/>
                <w:lang w:eastAsia="zh-CN"/>
              </w:rPr>
              <w:t>Detect latent TB in at-risk groups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3E82BDC4" w14:textId="77777777" w:rsidR="00AE5C9B" w:rsidRDefault="007F0D68">
            <w:pPr>
              <w:spacing w:line="360" w:lineRule="auto"/>
              <w:rPr>
                <w:color w:val="000000" w:themeColor="text1"/>
              </w:rPr>
            </w:pPr>
            <w:r>
              <w:rPr>
                <w:color w:val="000000" w:themeColor="text1"/>
                <w:lang w:eastAsia="zh-CN"/>
              </w:rPr>
              <w:t>Individual</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0" w:type="dxa"/>
            </w:tcMar>
            <w:vAlign w:val="center"/>
          </w:tcPr>
          <w:p w14:paraId="38B6E0FE" w14:textId="77777777" w:rsidR="00AE5C9B" w:rsidRDefault="007F0D68">
            <w:pPr>
              <w:spacing w:line="360" w:lineRule="auto"/>
              <w:rPr>
                <w:color w:val="000000" w:themeColor="text1"/>
              </w:rPr>
            </w:pPr>
            <w:r>
              <w:rPr>
                <w:color w:val="000000" w:themeColor="text1"/>
                <w:lang w:eastAsia="zh-CN"/>
              </w:rPr>
              <w:t>Interferon-Gamma Release Assay (IGRA) blood test</w:t>
            </w:r>
          </w:p>
        </w:tc>
      </w:tr>
    </w:tbl>
    <w:p w14:paraId="37A95C0B" w14:textId="77777777" w:rsidR="00AE5C9B" w:rsidRDefault="007F0D68">
      <w:pPr>
        <w:spacing w:line="360" w:lineRule="auto"/>
        <w:jc w:val="center"/>
        <w:rPr>
          <w:sz w:val="20"/>
          <w:szCs w:val="20"/>
        </w:rPr>
      </w:pPr>
      <w:r>
        <w:rPr>
          <w:sz w:val="20"/>
          <w:szCs w:val="20"/>
        </w:rPr>
        <w:t xml:space="preserve">Table 1: Contrasts of key approaches (Self-made, 2026) </w:t>
      </w:r>
    </w:p>
    <w:p w14:paraId="773CDAF9" w14:textId="77777777" w:rsidR="00AE5C9B" w:rsidRDefault="007F0D68">
      <w:pPr>
        <w:pStyle w:val="Heading3"/>
        <w:rPr>
          <w:sz w:val="24"/>
          <w:szCs w:val="24"/>
        </w:rPr>
      </w:pPr>
      <w:bookmarkStart w:id="4" w:name="_Toc17036"/>
      <w:r>
        <w:rPr>
          <w:sz w:val="24"/>
          <w:szCs w:val="24"/>
        </w:rPr>
        <w:t>Monitoring:</w:t>
      </w:r>
      <w:bookmarkEnd w:id="4"/>
    </w:p>
    <w:p w14:paraId="74A97F82" w14:textId="77777777" w:rsidR="00AE5C9B" w:rsidRDefault="007F0D68">
      <w:pPr>
        <w:spacing w:line="360" w:lineRule="auto"/>
        <w:rPr>
          <w:color w:val="000000" w:themeColor="text1"/>
        </w:rPr>
      </w:pPr>
      <w:r>
        <w:rPr>
          <w:color w:val="000000" w:themeColor="text1"/>
        </w:rPr>
        <w:t xml:space="preserve">Monitoring TB incidence and prevalence is critical in informing the strategies to the health of the people. The WHO gathers data about TB global and reports of trends which are used to assist in monitoring the progress being made in the elimination of TB. The UK has a mechanism called the National Tuberculosis Surveillance System (NTBS) that is used to monitor TB cases and identify high-risk populations and areas. PHE takes advantage of this data to create specific interventions and distribute resources </w:t>
      </w:r>
      <w:r>
        <w:rPr>
          <w:color w:val="000000" w:themeColor="text1"/>
          <w:shd w:val="clear" w:color="auto" w:fill="FFFFFF"/>
        </w:rPr>
        <w:t>(Scotland, 2025)</w:t>
      </w:r>
      <w:r>
        <w:rPr>
          <w:color w:val="000000" w:themeColor="text1"/>
        </w:rPr>
        <w:t xml:space="preserve">. Spies are also involved in measuring the effectiveness of control measures, and it enables a modification of strategies </w:t>
      </w:r>
      <w:proofErr w:type="gramStart"/>
      <w:r>
        <w:rPr>
          <w:color w:val="000000" w:themeColor="text1"/>
        </w:rPr>
        <w:t>on the basis of</w:t>
      </w:r>
      <w:proofErr w:type="gramEnd"/>
      <w:r>
        <w:rPr>
          <w:color w:val="000000" w:themeColor="text1"/>
        </w:rPr>
        <w:t xml:space="preserve"> real-time data.</w:t>
      </w:r>
    </w:p>
    <w:p w14:paraId="258DA493" w14:textId="77777777" w:rsidR="00AE5C9B" w:rsidRDefault="00AE5C9B">
      <w:pPr>
        <w:spacing w:line="360" w:lineRule="auto"/>
        <w:rPr>
          <w:color w:val="000000" w:themeColor="text1"/>
        </w:rPr>
      </w:pPr>
    </w:p>
    <w:p w14:paraId="45EF691A" w14:textId="77777777" w:rsidR="00AE5C9B" w:rsidRDefault="00AE5C9B">
      <w:pPr>
        <w:spacing w:line="360" w:lineRule="auto"/>
        <w:rPr>
          <w:color w:val="000000" w:themeColor="text1"/>
        </w:rPr>
      </w:pPr>
    </w:p>
    <w:p w14:paraId="0C9FF226" w14:textId="77777777" w:rsidR="00AE5C9B" w:rsidRDefault="007F0D68">
      <w:pPr>
        <w:pStyle w:val="Heading2"/>
      </w:pPr>
      <w:bookmarkStart w:id="5" w:name="_Toc18402"/>
      <w:r>
        <w:t>Control of Tuberculosis</w:t>
      </w:r>
      <w:bookmarkEnd w:id="5"/>
    </w:p>
    <w:p w14:paraId="6F195E43" w14:textId="77777777" w:rsidR="00AE5C9B" w:rsidRDefault="00AE5C9B">
      <w:pPr>
        <w:spacing w:line="360" w:lineRule="auto"/>
        <w:rPr>
          <w:color w:val="000000" w:themeColor="text1"/>
        </w:rPr>
      </w:pPr>
    </w:p>
    <w:p w14:paraId="3B4234F7" w14:textId="77777777" w:rsidR="00AE5C9B" w:rsidRDefault="007F0D68">
      <w:pPr>
        <w:pStyle w:val="Heading3"/>
        <w:rPr>
          <w:sz w:val="24"/>
          <w:szCs w:val="24"/>
        </w:rPr>
      </w:pPr>
      <w:bookmarkStart w:id="6" w:name="_Toc17731"/>
      <w:r>
        <w:rPr>
          <w:sz w:val="24"/>
          <w:szCs w:val="24"/>
        </w:rPr>
        <w:t>Prevention Strategies:</w:t>
      </w:r>
      <w:bookmarkEnd w:id="6"/>
    </w:p>
    <w:p w14:paraId="75F6AE89" w14:textId="77777777" w:rsidR="00AE5C9B" w:rsidRDefault="007F0D68">
      <w:pPr>
        <w:spacing w:line="360" w:lineRule="auto"/>
        <w:rPr>
          <w:color w:val="000000" w:themeColor="text1"/>
        </w:rPr>
      </w:pPr>
      <w:r>
        <w:rPr>
          <w:color w:val="000000" w:themeColor="text1"/>
        </w:rPr>
        <w:t>Vaccination is the starting point in the prevention of TB. Children in high-risk countries receive the BCG (Bacillus Calmette-Guerin) vaccine which offers protection against severe forms of TB, such as TB meningitis (</w:t>
      </w:r>
      <w:proofErr w:type="spellStart"/>
      <w:r>
        <w:rPr>
          <w:color w:val="000000" w:themeColor="text1"/>
          <w:shd w:val="clear" w:color="auto" w:fill="FFFFFF"/>
        </w:rPr>
        <w:t>Grosset</w:t>
      </w:r>
      <w:proofErr w:type="spellEnd"/>
      <w:r>
        <w:rPr>
          <w:color w:val="000000" w:themeColor="text1"/>
          <w:shd w:val="clear" w:color="auto" w:fill="FFFFFF"/>
        </w:rPr>
        <w:t xml:space="preserve"> and </w:t>
      </w:r>
      <w:proofErr w:type="spellStart"/>
      <w:r>
        <w:rPr>
          <w:color w:val="000000" w:themeColor="text1"/>
          <w:shd w:val="clear" w:color="auto" w:fill="FFFFFF"/>
        </w:rPr>
        <w:t>Chaisson</w:t>
      </w:r>
      <w:proofErr w:type="spellEnd"/>
      <w:r>
        <w:rPr>
          <w:color w:val="000000" w:themeColor="text1"/>
          <w:shd w:val="clear" w:color="auto" w:fill="FFFFFF"/>
        </w:rPr>
        <w:t>, 2017)</w:t>
      </w:r>
      <w:r>
        <w:rPr>
          <w:color w:val="000000" w:themeColor="text1"/>
        </w:rPr>
        <w:t>. However, the BCG vaccine is not effective in preventing the pulmonary TB which is the most common and transmissible in adults. Other preventive strategies involve provision of better ventilation in congested places like in prisons, hospitals and the homeless shelters where TB is more easily spread. The use of personal protective gear (PPE) like masks is promoted via public health campaigns to promote infection control in healthcare facilities and high-risk population.</w:t>
      </w:r>
    </w:p>
    <w:p w14:paraId="1392B090" w14:textId="77777777" w:rsidR="00AE5C9B" w:rsidRDefault="00AE5C9B">
      <w:pPr>
        <w:spacing w:line="360" w:lineRule="auto"/>
        <w:rPr>
          <w:color w:val="000000" w:themeColor="text1"/>
        </w:rPr>
      </w:pPr>
    </w:p>
    <w:p w14:paraId="7D8C4246" w14:textId="77777777" w:rsidR="00AE5C9B" w:rsidRDefault="007F0D68">
      <w:pPr>
        <w:pStyle w:val="Heading3"/>
        <w:rPr>
          <w:sz w:val="24"/>
          <w:szCs w:val="24"/>
        </w:rPr>
      </w:pPr>
      <w:bookmarkStart w:id="7" w:name="_Toc7524"/>
      <w:r>
        <w:rPr>
          <w:sz w:val="24"/>
          <w:szCs w:val="24"/>
        </w:rPr>
        <w:lastRenderedPageBreak/>
        <w:t>Secondary Prevention:</w:t>
      </w:r>
      <w:bookmarkEnd w:id="7"/>
    </w:p>
    <w:p w14:paraId="08D77FF4" w14:textId="77777777" w:rsidR="00AE5C9B" w:rsidRDefault="007F0D68">
      <w:pPr>
        <w:spacing w:line="360" w:lineRule="auto"/>
        <w:rPr>
          <w:color w:val="000000" w:themeColor="text1"/>
        </w:rPr>
      </w:pPr>
      <w:r>
        <w:rPr>
          <w:color w:val="000000" w:themeColor="text1"/>
        </w:rPr>
        <w:t xml:space="preserve">Early detection through regular screening in at-risk groups is </w:t>
      </w:r>
      <w:r>
        <w:rPr>
          <w:color w:val="000000" w:themeColor="text1"/>
        </w:rPr>
        <w:t>crucial. TB should be regularly tested in healthcare workers, people with HIV and migrants in the areas of high rates of TB incidence (</w:t>
      </w:r>
      <w:r>
        <w:rPr>
          <w:color w:val="000000" w:themeColor="text1"/>
          <w:shd w:val="clear" w:color="auto" w:fill="FFFFFF"/>
        </w:rPr>
        <w:t>Raviglione, 2016)</w:t>
      </w:r>
      <w:r>
        <w:rPr>
          <w:color w:val="000000" w:themeColor="text1"/>
        </w:rPr>
        <w:t>. Through screening, latent TB infection can be identified which can be treated before it develops into an active disease. Another important measure is contact tracing, in which people who have been in close contact with a TB patient are diagnosed and tested. The chemoprophylaxis secondary prevention also involves the use of medications to prevent the develo</w:t>
      </w:r>
      <w:r>
        <w:rPr>
          <w:color w:val="000000" w:themeColor="text1"/>
        </w:rPr>
        <w:t>pment of the active disease in individuals with a latent TB infection.</w:t>
      </w:r>
    </w:p>
    <w:p w14:paraId="4E54652B" w14:textId="77777777" w:rsidR="00AE5C9B" w:rsidRDefault="00AE5C9B">
      <w:pPr>
        <w:spacing w:line="360" w:lineRule="auto"/>
        <w:rPr>
          <w:color w:val="000000" w:themeColor="text1"/>
        </w:rPr>
      </w:pPr>
    </w:p>
    <w:p w14:paraId="16B9FEF0" w14:textId="77777777" w:rsidR="00AE5C9B" w:rsidRDefault="007F0D68">
      <w:pPr>
        <w:pStyle w:val="Heading3"/>
        <w:rPr>
          <w:sz w:val="24"/>
          <w:szCs w:val="24"/>
        </w:rPr>
      </w:pPr>
      <w:bookmarkStart w:id="8" w:name="_Toc31455"/>
      <w:r>
        <w:rPr>
          <w:sz w:val="24"/>
          <w:szCs w:val="24"/>
        </w:rPr>
        <w:t>Tertiary Prevention:</w:t>
      </w:r>
      <w:bookmarkEnd w:id="8"/>
    </w:p>
    <w:p w14:paraId="7875E845" w14:textId="77777777" w:rsidR="00AE5C9B" w:rsidRDefault="007F0D68">
      <w:pPr>
        <w:spacing w:line="360" w:lineRule="auto"/>
        <w:rPr>
          <w:color w:val="000000" w:themeColor="text1"/>
        </w:rPr>
      </w:pPr>
      <w:r>
        <w:rPr>
          <w:color w:val="000000" w:themeColor="text1"/>
        </w:rPr>
        <w:t>As soon as TB is diagnosed, the treatment of this disease includes a six-month course of various antibiotics such as Rifampicin, Isoniazid, Pyrazinamide, and Ethambutol (</w:t>
      </w:r>
      <w:r>
        <w:rPr>
          <w:color w:val="000000" w:themeColor="text1"/>
          <w:shd w:val="clear" w:color="auto" w:fill="FFFFFF"/>
        </w:rPr>
        <w:t>Lu et al., 2017)</w:t>
      </w:r>
      <w:r>
        <w:rPr>
          <w:color w:val="000000" w:themeColor="text1"/>
        </w:rPr>
        <w:t>. Directly Observed Treatment (DOT) makes sure the patients are taking the medication as prescribed which minimizes chances of resistance and relapse. Tertiary prevention is aimed at disease management, complications prevention and providing patients with a course of treatment. Patients with drug-resistant TB (DR-TB) take more time to be treated using more poisonous and costly medications.</w:t>
      </w:r>
    </w:p>
    <w:p w14:paraId="5E5C89EA" w14:textId="77777777" w:rsidR="00AE5C9B" w:rsidRDefault="00AE5C9B">
      <w:pPr>
        <w:spacing w:line="360" w:lineRule="auto"/>
        <w:rPr>
          <w:color w:val="000000" w:themeColor="text1"/>
        </w:rPr>
      </w:pPr>
    </w:p>
    <w:p w14:paraId="1F23B099" w14:textId="77777777" w:rsidR="00AE5C9B" w:rsidRDefault="007F0D68">
      <w:pPr>
        <w:pStyle w:val="Heading3"/>
        <w:rPr>
          <w:sz w:val="24"/>
          <w:szCs w:val="24"/>
        </w:rPr>
      </w:pPr>
      <w:bookmarkStart w:id="9" w:name="_Toc27843"/>
      <w:r>
        <w:rPr>
          <w:sz w:val="24"/>
          <w:szCs w:val="24"/>
        </w:rPr>
        <w:t>Treatment Options:</w:t>
      </w:r>
      <w:bookmarkEnd w:id="9"/>
    </w:p>
    <w:p w14:paraId="373AA836" w14:textId="77777777" w:rsidR="00AE5C9B" w:rsidRDefault="007F0D68">
      <w:pPr>
        <w:spacing w:line="360" w:lineRule="auto"/>
        <w:rPr>
          <w:color w:val="000000" w:themeColor="text1"/>
        </w:rPr>
      </w:pPr>
      <w:r>
        <w:rPr>
          <w:color w:val="000000" w:themeColor="text1"/>
        </w:rPr>
        <w:t>The combination of the above-mentioned antibiotics has become the standard treatment of TB (</w:t>
      </w:r>
      <w:r>
        <w:rPr>
          <w:color w:val="000000" w:themeColor="text1"/>
          <w:shd w:val="clear" w:color="auto" w:fill="FFFFFF"/>
        </w:rPr>
        <w:t>Raviglione, 2016)</w:t>
      </w:r>
      <w:r>
        <w:rPr>
          <w:color w:val="000000" w:themeColor="text1"/>
        </w:rPr>
        <w:t xml:space="preserve">. However, there is a major challenge of drug-resistant TB (MDR-TB) which necessitate more comprehensive treatment and longer treatment duration, which has more side effects and lower efficacies in the form of second-line drugs. Treatment has become even more complicated with the outbreak of extensively drug-resistant TB (XDR-TB). MDR-TB and XDR-TB have new drugs that are being introduced, such as </w:t>
      </w:r>
      <w:proofErr w:type="spellStart"/>
      <w:r>
        <w:rPr>
          <w:color w:val="000000" w:themeColor="text1"/>
        </w:rPr>
        <w:t>bedaquiline</w:t>
      </w:r>
      <w:proofErr w:type="spellEnd"/>
      <w:r>
        <w:rPr>
          <w:color w:val="000000" w:themeColor="text1"/>
        </w:rPr>
        <w:t xml:space="preserve"> and </w:t>
      </w:r>
      <w:proofErr w:type="spellStart"/>
      <w:r>
        <w:rPr>
          <w:color w:val="000000" w:themeColor="text1"/>
        </w:rPr>
        <w:t>delamanid</w:t>
      </w:r>
      <w:proofErr w:type="spellEnd"/>
      <w:r>
        <w:rPr>
          <w:color w:val="000000" w:themeColor="text1"/>
        </w:rPr>
        <w:t>, and their long-term efficacy is in the process of evaluation.</w:t>
      </w:r>
    </w:p>
    <w:p w14:paraId="6053F628" w14:textId="77777777" w:rsidR="00AE5C9B" w:rsidRDefault="00AE5C9B">
      <w:pPr>
        <w:spacing w:line="360" w:lineRule="auto"/>
        <w:rPr>
          <w:color w:val="000000" w:themeColor="text1"/>
        </w:rPr>
      </w:pPr>
    </w:p>
    <w:p w14:paraId="101754DF" w14:textId="77777777" w:rsidR="00AE5C9B" w:rsidRDefault="007F0D68">
      <w:pPr>
        <w:pStyle w:val="Heading3"/>
        <w:rPr>
          <w:sz w:val="24"/>
          <w:szCs w:val="24"/>
        </w:rPr>
      </w:pPr>
      <w:bookmarkStart w:id="10" w:name="_Toc1096"/>
      <w:r>
        <w:rPr>
          <w:sz w:val="24"/>
          <w:szCs w:val="24"/>
        </w:rPr>
        <w:lastRenderedPageBreak/>
        <w:t>International and Domestic Control Programs:</w:t>
      </w:r>
      <w:bookmarkEnd w:id="10"/>
    </w:p>
    <w:p w14:paraId="6A1F978C" w14:textId="77777777" w:rsidR="00AE5C9B" w:rsidRDefault="007F0D68">
      <w:pPr>
        <w:spacing w:line="360" w:lineRule="auto"/>
        <w:rPr>
          <w:color w:val="000000" w:themeColor="text1"/>
        </w:rPr>
      </w:pPr>
      <w:r>
        <w:rPr>
          <w:color w:val="000000" w:themeColor="text1"/>
        </w:rPr>
        <w:t xml:space="preserve">The WHO End TB Strategy aims to eliminate TB as a public health threat by 2030, with a goal of cutting down the death rate by 90% and TB rate by 80% </w:t>
      </w:r>
      <w:r>
        <w:rPr>
          <w:color w:val="000000" w:themeColor="text1"/>
          <w:shd w:val="clear" w:color="auto" w:fill="FFFFFF"/>
        </w:rPr>
        <w:t>(Who.int, 2022)</w:t>
      </w:r>
      <w:r>
        <w:rPr>
          <w:color w:val="000000" w:themeColor="text1"/>
        </w:rPr>
        <w:t xml:space="preserve">. The National Institute of Health and Care Excellence (NICE) of the UK offers evidence-based management of TB, emphasizing on early diagnosis, treatment adherence, and management in the at-risk groups. Homeless people, migrants, and medical professionals are another group targeted by the government through </w:t>
      </w:r>
      <w:proofErr w:type="gramStart"/>
      <w:r>
        <w:rPr>
          <w:color w:val="000000" w:themeColor="text1"/>
        </w:rPr>
        <w:t>particular measures</w:t>
      </w:r>
      <w:proofErr w:type="gramEnd"/>
      <w:r>
        <w:rPr>
          <w:color w:val="000000" w:themeColor="text1"/>
        </w:rPr>
        <w:t>, which can have access to diagnosis and proper care at the right time.</w:t>
      </w:r>
    </w:p>
    <w:p w14:paraId="5905B9F6" w14:textId="77777777" w:rsidR="00AE5C9B" w:rsidRDefault="00AE5C9B">
      <w:pPr>
        <w:spacing w:line="360" w:lineRule="auto"/>
        <w:rPr>
          <w:color w:val="000000" w:themeColor="text1"/>
        </w:rPr>
      </w:pPr>
    </w:p>
    <w:p w14:paraId="4BBC05FB" w14:textId="77777777" w:rsidR="00AE5C9B" w:rsidRDefault="007F0D68">
      <w:pPr>
        <w:pStyle w:val="Heading2"/>
      </w:pPr>
      <w:bookmarkStart w:id="11" w:name="_Toc4507"/>
      <w:r>
        <w:t>Consequences of Tuberculosis on People in the Community</w:t>
      </w:r>
      <w:bookmarkEnd w:id="11"/>
    </w:p>
    <w:p w14:paraId="073E5271" w14:textId="77777777" w:rsidR="00AE5C9B" w:rsidRDefault="00AE5C9B">
      <w:pPr>
        <w:spacing w:line="360" w:lineRule="auto"/>
      </w:pPr>
    </w:p>
    <w:p w14:paraId="7CED6DDF" w14:textId="77777777" w:rsidR="00AE5C9B" w:rsidRDefault="007F0D68">
      <w:pPr>
        <w:pStyle w:val="Heading3"/>
        <w:rPr>
          <w:sz w:val="24"/>
          <w:szCs w:val="24"/>
        </w:rPr>
      </w:pPr>
      <w:bookmarkStart w:id="12" w:name="_Toc23475"/>
      <w:r>
        <w:rPr>
          <w:sz w:val="24"/>
          <w:szCs w:val="24"/>
        </w:rPr>
        <w:t>Health Consequences:</w:t>
      </w:r>
      <w:bookmarkEnd w:id="12"/>
    </w:p>
    <w:p w14:paraId="3B9D0663" w14:textId="77777777" w:rsidR="00AE5C9B" w:rsidRDefault="007F0D68">
      <w:pPr>
        <w:spacing w:line="360" w:lineRule="auto"/>
        <w:rPr>
          <w:color w:val="000000" w:themeColor="text1"/>
        </w:rPr>
      </w:pPr>
      <w:r>
        <w:rPr>
          <w:color w:val="000000" w:themeColor="text1"/>
        </w:rPr>
        <w:t>If left untreated, TB may result in serious lung damage, respiratory failure, and other organ dissemination, causing miliary TB or TB meningitis, either potentially fatal (</w:t>
      </w:r>
      <w:r>
        <w:rPr>
          <w:color w:val="000000" w:themeColor="text1"/>
          <w:shd w:val="clear" w:color="auto" w:fill="FFFFFF"/>
        </w:rPr>
        <w:t>Lu et al., 2017)</w:t>
      </w:r>
      <w:r>
        <w:rPr>
          <w:color w:val="000000" w:themeColor="text1"/>
        </w:rPr>
        <w:t>. The chronic coughing, fatigue and poor lung performance are the long-term effects, which may seriously undermine the quality of life of a person. Drug-resistant TB (DR-TB) makes it difficult because it demands a lengthier period of treatment in addition to other side effects. This may cause permanent disability since the disease can afflict other organs making it difficult to be treated especially when it goes unchecked.</w:t>
      </w:r>
    </w:p>
    <w:p w14:paraId="120ADFE8" w14:textId="77777777" w:rsidR="00AE5C9B" w:rsidRDefault="00AE5C9B">
      <w:pPr>
        <w:spacing w:line="360" w:lineRule="auto"/>
        <w:rPr>
          <w:color w:val="000000" w:themeColor="text1"/>
        </w:rPr>
      </w:pPr>
    </w:p>
    <w:p w14:paraId="463C75E3" w14:textId="77777777" w:rsidR="00AE5C9B" w:rsidRDefault="007F0D68">
      <w:pPr>
        <w:pStyle w:val="Heading3"/>
        <w:rPr>
          <w:sz w:val="24"/>
          <w:szCs w:val="24"/>
        </w:rPr>
      </w:pPr>
      <w:bookmarkStart w:id="13" w:name="_Toc7720"/>
      <w:r>
        <w:rPr>
          <w:sz w:val="24"/>
          <w:szCs w:val="24"/>
        </w:rPr>
        <w:t>Social and Economic Impact:</w:t>
      </w:r>
      <w:bookmarkEnd w:id="13"/>
    </w:p>
    <w:p w14:paraId="18835E8F" w14:textId="77777777" w:rsidR="00AE5C9B" w:rsidRDefault="007F0D68">
      <w:pPr>
        <w:spacing w:line="360" w:lineRule="auto"/>
        <w:rPr>
          <w:color w:val="000000" w:themeColor="text1"/>
        </w:rPr>
      </w:pPr>
      <w:r>
        <w:rPr>
          <w:color w:val="000000" w:themeColor="text1"/>
        </w:rPr>
        <w:t>TB has a high level of social impact such as discrimination and stigma (</w:t>
      </w:r>
      <w:r>
        <w:rPr>
          <w:color w:val="000000" w:themeColor="text1"/>
          <w:shd w:val="clear" w:color="auto" w:fill="FFFFFF"/>
        </w:rPr>
        <w:t>Raviglione, 2016)</w:t>
      </w:r>
      <w:r>
        <w:rPr>
          <w:color w:val="000000" w:themeColor="text1"/>
        </w:rPr>
        <w:t xml:space="preserve">. Patients tend to experience the social isolation, which may influence their mental status and desire to be treated. The economic costs are </w:t>
      </w:r>
      <w:proofErr w:type="gramStart"/>
      <w:r>
        <w:rPr>
          <w:color w:val="000000" w:themeColor="text1"/>
        </w:rPr>
        <w:t>high</w:t>
      </w:r>
      <w:proofErr w:type="gramEnd"/>
      <w:r>
        <w:rPr>
          <w:color w:val="000000" w:themeColor="text1"/>
        </w:rPr>
        <w:t xml:space="preserve"> and patients bear the medical expenses, lost earnings because of illness and healthcare expenses on long-term treatment. To the society, TB puts a strain on the healthcare facilities and as a result, it increases the cost of healthcare and lowers productivity since the employees cannot help because of sickness or hospitalization.</w:t>
      </w:r>
    </w:p>
    <w:p w14:paraId="02CF464E" w14:textId="77777777" w:rsidR="00AE5C9B" w:rsidRDefault="007F0D68">
      <w:pPr>
        <w:pStyle w:val="Heading3"/>
        <w:rPr>
          <w:sz w:val="24"/>
          <w:szCs w:val="24"/>
        </w:rPr>
      </w:pPr>
      <w:bookmarkStart w:id="14" w:name="_Toc20418"/>
      <w:r>
        <w:rPr>
          <w:sz w:val="24"/>
          <w:szCs w:val="24"/>
        </w:rPr>
        <w:lastRenderedPageBreak/>
        <w:t>Impact on Vulnerable Populations:</w:t>
      </w:r>
      <w:bookmarkEnd w:id="14"/>
    </w:p>
    <w:p w14:paraId="64C8D435" w14:textId="77777777" w:rsidR="00AE5C9B" w:rsidRDefault="007F0D68">
      <w:pPr>
        <w:spacing w:line="360" w:lineRule="auto"/>
        <w:rPr>
          <w:color w:val="000000" w:themeColor="text1"/>
        </w:rPr>
      </w:pPr>
      <w:r>
        <w:rPr>
          <w:color w:val="000000" w:themeColor="text1"/>
        </w:rPr>
        <w:t xml:space="preserve">Certain people are also prone to TB, such as HIV/AIDS sufferers, homeless people, and </w:t>
      </w:r>
      <w:r>
        <w:rPr>
          <w:color w:val="000000" w:themeColor="text1"/>
        </w:rPr>
        <w:t>migrants. TB is more prone to the HIV-positive people as they lack immunity (</w:t>
      </w:r>
      <w:r>
        <w:rPr>
          <w:color w:val="000000" w:themeColor="text1"/>
          <w:shd w:val="clear" w:color="auto" w:fill="FFFFFF"/>
        </w:rPr>
        <w:t>Lu et al., 2017)</w:t>
      </w:r>
      <w:r>
        <w:rPr>
          <w:color w:val="000000" w:themeColor="text1"/>
        </w:rPr>
        <w:t>. Overcrowded living conditions, often found in refugee camps or shelters, increase the risk of TB transmission. With access to healthcare opportunities and language barriers, migrants who are natives of countries with high rates of TB cannot get diagnosed and treated on time. These populations are prone to the effects of TB due to social determinants of health, including lack of health care and poverty.</w:t>
      </w:r>
    </w:p>
    <w:p w14:paraId="0781E61A" w14:textId="77777777" w:rsidR="00AE5C9B" w:rsidRDefault="00AE5C9B">
      <w:pPr>
        <w:spacing w:line="360" w:lineRule="auto"/>
        <w:rPr>
          <w:color w:val="000000" w:themeColor="text1"/>
        </w:rPr>
      </w:pPr>
    </w:p>
    <w:p w14:paraId="1D652CB1" w14:textId="77777777" w:rsidR="00AE5C9B" w:rsidRDefault="007F0D68">
      <w:pPr>
        <w:pStyle w:val="Heading2"/>
      </w:pPr>
      <w:bookmarkStart w:id="15" w:name="_Toc32376"/>
      <w:r>
        <w:t>Health and Social Care Support Services</w:t>
      </w:r>
      <w:bookmarkEnd w:id="15"/>
    </w:p>
    <w:p w14:paraId="4D705373" w14:textId="77777777" w:rsidR="00AE5C9B" w:rsidRDefault="00AE5C9B">
      <w:pPr>
        <w:spacing w:line="360" w:lineRule="auto"/>
        <w:rPr>
          <w:color w:val="000000" w:themeColor="text1"/>
        </w:rPr>
      </w:pPr>
    </w:p>
    <w:p w14:paraId="693E31C0" w14:textId="77777777" w:rsidR="00AE5C9B" w:rsidRDefault="007F0D68">
      <w:pPr>
        <w:pStyle w:val="Heading3"/>
        <w:rPr>
          <w:sz w:val="24"/>
          <w:szCs w:val="24"/>
        </w:rPr>
      </w:pPr>
      <w:bookmarkStart w:id="16" w:name="_Toc23669"/>
      <w:r>
        <w:rPr>
          <w:sz w:val="24"/>
          <w:szCs w:val="24"/>
        </w:rPr>
        <w:t>Healthcare Services:</w:t>
      </w:r>
      <w:bookmarkEnd w:id="16"/>
    </w:p>
    <w:p w14:paraId="12077DD3" w14:textId="77777777" w:rsidR="00AE5C9B" w:rsidRDefault="007F0D68">
      <w:pPr>
        <w:spacing w:line="360" w:lineRule="auto"/>
        <w:rPr>
          <w:color w:val="000000" w:themeColor="text1"/>
        </w:rPr>
      </w:pPr>
      <w:r>
        <w:rPr>
          <w:color w:val="000000" w:themeColor="text1"/>
        </w:rPr>
        <w:t>TB treatment involves the availability of a variety of healthcare services such as diagnosis, medication and follow-up. The outpatient clinics also offer routine follow-up of the patients to make sure that they are taking the treatment therapy. Severe cases or those which are drug-resistant may require inpatient care. Community health teams are also crucial in helping patients especially those who have the multidrug-resistant TB (MDR-TB) to adhere to the treatment plan and through constant monitoring.</w:t>
      </w:r>
    </w:p>
    <w:p w14:paraId="4472D0C8" w14:textId="77777777" w:rsidR="00AE5C9B" w:rsidRDefault="007F0D68">
      <w:pPr>
        <w:pStyle w:val="Heading3"/>
        <w:rPr>
          <w:sz w:val="24"/>
          <w:szCs w:val="24"/>
        </w:rPr>
      </w:pPr>
      <w:bookmarkStart w:id="17" w:name="_Toc9742"/>
      <w:r>
        <w:rPr>
          <w:sz w:val="24"/>
          <w:szCs w:val="24"/>
        </w:rPr>
        <w:t>Social Support:</w:t>
      </w:r>
      <w:bookmarkEnd w:id="17"/>
    </w:p>
    <w:p w14:paraId="03C06D4A" w14:textId="77777777" w:rsidR="00AE5C9B" w:rsidRDefault="007F0D68">
      <w:pPr>
        <w:spacing w:line="360" w:lineRule="auto"/>
        <w:rPr>
          <w:color w:val="000000" w:themeColor="text1"/>
        </w:rPr>
      </w:pPr>
      <w:r>
        <w:rPr>
          <w:color w:val="000000" w:themeColor="text1"/>
        </w:rPr>
        <w:t xml:space="preserve">People with TB usually experience a lot of social </w:t>
      </w:r>
      <w:proofErr w:type="gramStart"/>
      <w:r>
        <w:rPr>
          <w:color w:val="000000" w:themeColor="text1"/>
        </w:rPr>
        <w:t>stigma</w:t>
      </w:r>
      <w:proofErr w:type="gramEnd"/>
      <w:r>
        <w:rPr>
          <w:color w:val="000000" w:themeColor="text1"/>
        </w:rPr>
        <w:t>, and such a factor influences their emotional condition (</w:t>
      </w:r>
      <w:r>
        <w:rPr>
          <w:color w:val="000000" w:themeColor="text1"/>
          <w:shd w:val="clear" w:color="auto" w:fill="FFFFFF"/>
        </w:rPr>
        <w:t>Lu et al., 2017)</w:t>
      </w:r>
      <w:r>
        <w:rPr>
          <w:color w:val="000000" w:themeColor="text1"/>
        </w:rPr>
        <w:t xml:space="preserve">. Social services play a vital role in offering financial aid to those patients who cannot work, housing, and psychosocial counseling. The mental health of TB patients is an important issue to address because patients are prone to depression, anxiety, or being isolated. Social workers </w:t>
      </w:r>
      <w:proofErr w:type="gramStart"/>
      <w:r>
        <w:rPr>
          <w:color w:val="000000" w:themeColor="text1"/>
        </w:rPr>
        <w:t>are able to</w:t>
      </w:r>
      <w:proofErr w:type="gramEnd"/>
      <w:r>
        <w:rPr>
          <w:color w:val="000000" w:themeColor="text1"/>
        </w:rPr>
        <w:t xml:space="preserve"> assist patients in the healthcare system and access services that they require such as housing and education.</w:t>
      </w:r>
    </w:p>
    <w:p w14:paraId="082D6130" w14:textId="77777777" w:rsidR="00AE5C9B" w:rsidRDefault="00AE5C9B">
      <w:pPr>
        <w:spacing w:line="360" w:lineRule="auto"/>
        <w:rPr>
          <w:color w:val="000000" w:themeColor="text1"/>
        </w:rPr>
      </w:pPr>
    </w:p>
    <w:p w14:paraId="4FF635D8" w14:textId="77777777" w:rsidR="00AE5C9B" w:rsidRDefault="007F0D68">
      <w:pPr>
        <w:pStyle w:val="Heading3"/>
        <w:rPr>
          <w:sz w:val="24"/>
          <w:szCs w:val="24"/>
        </w:rPr>
      </w:pPr>
      <w:bookmarkStart w:id="18" w:name="_Toc30913"/>
      <w:r>
        <w:rPr>
          <w:sz w:val="24"/>
          <w:szCs w:val="24"/>
        </w:rPr>
        <w:lastRenderedPageBreak/>
        <w:t>Role of Non-Governmental Organizations and Public Health Organizations:</w:t>
      </w:r>
      <w:bookmarkEnd w:id="18"/>
    </w:p>
    <w:p w14:paraId="337C7D48" w14:textId="77777777" w:rsidR="00AE5C9B" w:rsidRDefault="007F0D68">
      <w:pPr>
        <w:spacing w:line="360" w:lineRule="auto"/>
        <w:rPr>
          <w:color w:val="000000" w:themeColor="text1"/>
        </w:rPr>
      </w:pPr>
      <w:r>
        <w:rPr>
          <w:color w:val="000000" w:themeColor="text1"/>
        </w:rPr>
        <w:t xml:space="preserve">The NGOs and international organizations like TB Alert and The Global Fund are critical in offering education, resources, and financial assistance to TB patients particularly in the low-income regions </w:t>
      </w:r>
      <w:r>
        <w:rPr>
          <w:color w:val="000000" w:themeColor="text1"/>
          <w:shd w:val="clear" w:color="auto" w:fill="FFFFFF"/>
        </w:rPr>
        <w:t>(Theglobalfund.org, 2023)</w:t>
      </w:r>
      <w:r>
        <w:rPr>
          <w:color w:val="000000" w:themeColor="text1"/>
        </w:rPr>
        <w:t xml:space="preserve">. These organizations work alongside local governments and healthcare providers </w:t>
      </w:r>
      <w:proofErr w:type="gramStart"/>
      <w:r>
        <w:rPr>
          <w:color w:val="000000" w:themeColor="text1"/>
        </w:rPr>
        <w:t>in order to</w:t>
      </w:r>
      <w:proofErr w:type="gramEnd"/>
      <w:r>
        <w:rPr>
          <w:color w:val="000000" w:themeColor="text1"/>
        </w:rPr>
        <w:t xml:space="preserve"> have proper access to treatment, patient education, and advocacy of TB-affected groups of populations. In UK, the organizations collaborate with Public Health England to undertake specific outreach to the marginalized populations to make sure they are offered the support they need to receive the diagnosis and care.</w:t>
      </w:r>
    </w:p>
    <w:tbl>
      <w:tblPr>
        <w:tblW w:w="9269" w:type="dxa"/>
        <w:jc w:val="center"/>
        <w:shd w:val="clear" w:color="auto" w:fill="FFFFFF"/>
        <w:tblCellMar>
          <w:top w:w="15" w:type="dxa"/>
          <w:left w:w="15" w:type="dxa"/>
          <w:bottom w:w="15" w:type="dxa"/>
          <w:right w:w="15" w:type="dxa"/>
        </w:tblCellMar>
        <w:tblLook w:val="04A0" w:firstRow="1" w:lastRow="0" w:firstColumn="1" w:lastColumn="0" w:noHBand="0" w:noVBand="1"/>
      </w:tblPr>
      <w:tblGrid>
        <w:gridCol w:w="2002"/>
        <w:gridCol w:w="2630"/>
        <w:gridCol w:w="4637"/>
      </w:tblGrid>
      <w:tr w:rsidR="00AE5C9B" w14:paraId="566EB7C0" w14:textId="77777777">
        <w:trPr>
          <w:tblHeader/>
          <w:jc w:val="center"/>
        </w:trPr>
        <w:tc>
          <w:tcPr>
            <w:tcW w:w="0" w:type="auto"/>
            <w:tcBorders>
              <w:top w:val="single" w:sz="4" w:space="0" w:color="000000"/>
              <w:left w:val="single" w:sz="4" w:space="0" w:color="000000"/>
              <w:bottom w:val="single" w:sz="4" w:space="0" w:color="000000"/>
              <w:right w:val="single" w:sz="4" w:space="0" w:color="000000"/>
              <w:tl2br w:val="nil"/>
            </w:tcBorders>
            <w:shd w:val="clear" w:color="auto" w:fill="FFFFFF"/>
            <w:tcMar>
              <w:top w:w="100" w:type="dxa"/>
              <w:left w:w="0" w:type="dxa"/>
              <w:bottom w:w="100" w:type="dxa"/>
              <w:right w:w="160" w:type="dxa"/>
            </w:tcMar>
            <w:vAlign w:val="center"/>
          </w:tcPr>
          <w:p w14:paraId="49DEF684" w14:textId="77777777" w:rsidR="00AE5C9B" w:rsidRDefault="007F0D68">
            <w:pPr>
              <w:spacing w:line="360" w:lineRule="auto"/>
              <w:jc w:val="center"/>
              <w:rPr>
                <w:b/>
                <w:bCs/>
                <w:color w:val="000000" w:themeColor="text1"/>
              </w:rPr>
            </w:pPr>
            <w:r>
              <w:rPr>
                <w:b/>
                <w:bCs/>
                <w:color w:val="000000" w:themeColor="text1"/>
                <w:lang w:eastAsia="zh-CN"/>
              </w:rPr>
              <w:t>Service Type</w:t>
            </w:r>
          </w:p>
        </w:tc>
        <w:tc>
          <w:tcPr>
            <w:tcW w:w="263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09A40B1C" w14:textId="77777777" w:rsidR="00AE5C9B" w:rsidRDefault="007F0D68">
            <w:pPr>
              <w:spacing w:line="360" w:lineRule="auto"/>
              <w:jc w:val="center"/>
              <w:rPr>
                <w:b/>
                <w:bCs/>
                <w:color w:val="000000" w:themeColor="text1"/>
              </w:rPr>
            </w:pPr>
            <w:r>
              <w:rPr>
                <w:b/>
                <w:bCs/>
                <w:color w:val="000000" w:themeColor="text1"/>
                <w:lang w:eastAsia="zh-CN"/>
              </w:rPr>
              <w:t>Key Providers</w:t>
            </w:r>
          </w:p>
        </w:tc>
        <w:tc>
          <w:tcPr>
            <w:tcW w:w="4637"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754AECE3" w14:textId="77777777" w:rsidR="00AE5C9B" w:rsidRDefault="007F0D68">
            <w:pPr>
              <w:spacing w:line="360" w:lineRule="auto"/>
              <w:jc w:val="center"/>
              <w:rPr>
                <w:b/>
                <w:bCs/>
                <w:color w:val="000000" w:themeColor="text1"/>
              </w:rPr>
            </w:pPr>
            <w:r>
              <w:rPr>
                <w:b/>
                <w:bCs/>
                <w:color w:val="000000" w:themeColor="text1"/>
                <w:lang w:eastAsia="zh-CN"/>
              </w:rPr>
              <w:t>Core Functions</w:t>
            </w:r>
          </w:p>
        </w:tc>
      </w:tr>
      <w:tr w:rsidR="00AE5C9B" w14:paraId="1E604A65" w14:textId="77777777">
        <w:trPr>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0" w:type="dxa"/>
              <w:bottom w:w="100" w:type="dxa"/>
              <w:right w:w="160" w:type="dxa"/>
            </w:tcMar>
            <w:vAlign w:val="center"/>
          </w:tcPr>
          <w:p w14:paraId="708C212E" w14:textId="77777777" w:rsidR="00AE5C9B" w:rsidRDefault="007F0D68">
            <w:pPr>
              <w:spacing w:line="360" w:lineRule="auto"/>
              <w:rPr>
                <w:color w:val="000000" w:themeColor="text1"/>
              </w:rPr>
            </w:pPr>
            <w:r>
              <w:rPr>
                <w:color w:val="000000" w:themeColor="text1"/>
                <w:lang w:eastAsia="zh-CN"/>
              </w:rPr>
              <w:t>Health Service</w:t>
            </w:r>
          </w:p>
        </w:tc>
        <w:tc>
          <w:tcPr>
            <w:tcW w:w="263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4AE1D925" w14:textId="77777777" w:rsidR="00AE5C9B" w:rsidRDefault="007F0D68">
            <w:pPr>
              <w:spacing w:line="360" w:lineRule="auto"/>
              <w:rPr>
                <w:color w:val="000000" w:themeColor="text1"/>
              </w:rPr>
            </w:pPr>
            <w:r>
              <w:rPr>
                <w:color w:val="000000" w:themeColor="text1"/>
                <w:lang w:eastAsia="zh-CN"/>
              </w:rPr>
              <w:t>TB Specialist Nurses, GPs, Respiratory Consultants.</w:t>
            </w:r>
          </w:p>
        </w:tc>
        <w:tc>
          <w:tcPr>
            <w:tcW w:w="4637"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0" w:type="dxa"/>
            </w:tcMar>
            <w:vAlign w:val="center"/>
          </w:tcPr>
          <w:p w14:paraId="55544ECF" w14:textId="77777777" w:rsidR="00AE5C9B" w:rsidRDefault="007F0D68">
            <w:pPr>
              <w:spacing w:line="360" w:lineRule="auto"/>
              <w:rPr>
                <w:color w:val="000000" w:themeColor="text1"/>
              </w:rPr>
            </w:pPr>
            <w:r>
              <w:rPr>
                <w:color w:val="000000" w:themeColor="text1"/>
                <w:lang w:eastAsia="zh-CN"/>
              </w:rPr>
              <w:t xml:space="preserve">Diagnosis, </w:t>
            </w:r>
            <w:r>
              <w:rPr>
                <w:color w:val="000000" w:themeColor="text1"/>
                <w:lang w:eastAsia="zh-CN"/>
              </w:rPr>
              <w:t>treatment, DOT, contact tracing, patient education.</w:t>
            </w:r>
          </w:p>
        </w:tc>
      </w:tr>
      <w:tr w:rsidR="00AE5C9B" w14:paraId="19866607" w14:textId="77777777">
        <w:trPr>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0" w:type="dxa"/>
              <w:bottom w:w="100" w:type="dxa"/>
              <w:right w:w="160" w:type="dxa"/>
            </w:tcMar>
            <w:vAlign w:val="center"/>
          </w:tcPr>
          <w:p w14:paraId="6F12CD72" w14:textId="77777777" w:rsidR="00AE5C9B" w:rsidRDefault="007F0D68">
            <w:pPr>
              <w:spacing w:line="360" w:lineRule="auto"/>
              <w:rPr>
                <w:color w:val="000000" w:themeColor="text1"/>
              </w:rPr>
            </w:pPr>
            <w:r>
              <w:rPr>
                <w:color w:val="000000" w:themeColor="text1"/>
                <w:lang w:eastAsia="zh-CN"/>
              </w:rPr>
              <w:t>Social Service</w:t>
            </w:r>
          </w:p>
        </w:tc>
        <w:tc>
          <w:tcPr>
            <w:tcW w:w="263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3F607691" w14:textId="77777777" w:rsidR="00AE5C9B" w:rsidRDefault="007F0D68">
            <w:pPr>
              <w:spacing w:line="360" w:lineRule="auto"/>
              <w:rPr>
                <w:color w:val="000000" w:themeColor="text1"/>
              </w:rPr>
            </w:pPr>
            <w:r>
              <w:rPr>
                <w:color w:val="000000" w:themeColor="text1"/>
                <w:lang w:eastAsia="zh-CN"/>
              </w:rPr>
              <w:t>Local Authority Social Workers, Housing Officers.</w:t>
            </w:r>
          </w:p>
        </w:tc>
        <w:tc>
          <w:tcPr>
            <w:tcW w:w="4637"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0" w:type="dxa"/>
            </w:tcMar>
            <w:vAlign w:val="center"/>
          </w:tcPr>
          <w:p w14:paraId="72B15E95" w14:textId="77777777" w:rsidR="00AE5C9B" w:rsidRDefault="007F0D68">
            <w:pPr>
              <w:spacing w:line="360" w:lineRule="auto"/>
              <w:rPr>
                <w:color w:val="000000" w:themeColor="text1"/>
              </w:rPr>
            </w:pPr>
            <w:r>
              <w:rPr>
                <w:color w:val="000000" w:themeColor="text1"/>
                <w:lang w:eastAsia="zh-CN"/>
              </w:rPr>
              <w:t>Financial support, housing assistance, safeguarding, psychosocial counselling.</w:t>
            </w:r>
          </w:p>
        </w:tc>
      </w:tr>
      <w:tr w:rsidR="00AE5C9B" w14:paraId="7B326417" w14:textId="77777777">
        <w:trPr>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0" w:type="dxa"/>
              <w:bottom w:w="100" w:type="dxa"/>
              <w:right w:w="160" w:type="dxa"/>
            </w:tcMar>
            <w:vAlign w:val="center"/>
          </w:tcPr>
          <w:p w14:paraId="5404E399" w14:textId="77777777" w:rsidR="00AE5C9B" w:rsidRDefault="007F0D68">
            <w:pPr>
              <w:spacing w:line="360" w:lineRule="auto"/>
              <w:rPr>
                <w:color w:val="000000" w:themeColor="text1"/>
              </w:rPr>
            </w:pPr>
            <w:r>
              <w:rPr>
                <w:color w:val="000000" w:themeColor="text1"/>
                <w:lang w:eastAsia="zh-CN"/>
              </w:rPr>
              <w:t>Voluntary/Charity Sector</w:t>
            </w:r>
          </w:p>
        </w:tc>
        <w:tc>
          <w:tcPr>
            <w:tcW w:w="263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160" w:type="dxa"/>
            </w:tcMar>
            <w:vAlign w:val="center"/>
          </w:tcPr>
          <w:p w14:paraId="5A9C423E" w14:textId="77777777" w:rsidR="00AE5C9B" w:rsidRDefault="007F0D68">
            <w:pPr>
              <w:spacing w:line="360" w:lineRule="auto"/>
              <w:rPr>
                <w:color w:val="000000" w:themeColor="text1"/>
              </w:rPr>
            </w:pPr>
            <w:r>
              <w:rPr>
                <w:color w:val="000000" w:themeColor="text1"/>
                <w:lang w:eastAsia="zh-CN"/>
              </w:rPr>
              <w:t xml:space="preserve">TB Alert, The Global Fund, </w:t>
            </w:r>
            <w:r>
              <w:rPr>
                <w:color w:val="000000" w:themeColor="text1"/>
                <w:lang w:eastAsia="zh-CN"/>
              </w:rPr>
              <w:t>Migrant Help.</w:t>
            </w:r>
          </w:p>
        </w:tc>
        <w:tc>
          <w:tcPr>
            <w:tcW w:w="4637"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60" w:type="dxa"/>
              <w:bottom w:w="100" w:type="dxa"/>
              <w:right w:w="0" w:type="dxa"/>
            </w:tcMar>
            <w:vAlign w:val="center"/>
          </w:tcPr>
          <w:p w14:paraId="37A62050" w14:textId="77777777" w:rsidR="00AE5C9B" w:rsidRDefault="007F0D68">
            <w:pPr>
              <w:spacing w:line="360" w:lineRule="auto"/>
              <w:rPr>
                <w:color w:val="000000" w:themeColor="text1"/>
              </w:rPr>
            </w:pPr>
            <w:r>
              <w:rPr>
                <w:color w:val="000000" w:themeColor="text1"/>
                <w:lang w:eastAsia="zh-CN"/>
              </w:rPr>
              <w:t>Community outreach, patient advocacy, awareness campaigns, supplementary financial aid.</w:t>
            </w:r>
          </w:p>
        </w:tc>
      </w:tr>
    </w:tbl>
    <w:p w14:paraId="5736CE0D" w14:textId="77777777" w:rsidR="00AE5C9B" w:rsidRDefault="00AE5C9B">
      <w:pPr>
        <w:spacing w:line="360" w:lineRule="auto"/>
        <w:jc w:val="center"/>
        <w:rPr>
          <w:color w:val="000000" w:themeColor="text1"/>
          <w:sz w:val="2"/>
          <w:szCs w:val="2"/>
        </w:rPr>
      </w:pPr>
    </w:p>
    <w:p w14:paraId="6C8BA0C3" w14:textId="77777777" w:rsidR="00AE5C9B" w:rsidRDefault="007F0D68">
      <w:pPr>
        <w:spacing w:line="360" w:lineRule="auto"/>
        <w:jc w:val="center"/>
        <w:rPr>
          <w:color w:val="000000" w:themeColor="text1"/>
        </w:rPr>
      </w:pPr>
      <w:r>
        <w:rPr>
          <w:color w:val="000000" w:themeColor="text1"/>
        </w:rPr>
        <w:t>Table 2: A Multi-Agency Framework for TB Support Services (Self-made, 2026)</w:t>
      </w:r>
    </w:p>
    <w:p w14:paraId="43A34317" w14:textId="77777777" w:rsidR="00AE5C9B" w:rsidRDefault="00AE5C9B">
      <w:pPr>
        <w:spacing w:line="360" w:lineRule="auto"/>
        <w:rPr>
          <w:color w:val="000000" w:themeColor="text1"/>
        </w:rPr>
      </w:pPr>
    </w:p>
    <w:p w14:paraId="6951928F" w14:textId="77777777" w:rsidR="00AE5C9B" w:rsidRDefault="00AE5C9B">
      <w:pPr>
        <w:spacing w:line="360" w:lineRule="auto"/>
        <w:rPr>
          <w:color w:val="000000" w:themeColor="text1"/>
        </w:rPr>
      </w:pPr>
    </w:p>
    <w:p w14:paraId="7970638B" w14:textId="77777777" w:rsidR="00AE5C9B" w:rsidRDefault="00AE5C9B">
      <w:pPr>
        <w:spacing w:line="360" w:lineRule="auto"/>
        <w:rPr>
          <w:color w:val="000000" w:themeColor="text1"/>
        </w:rPr>
      </w:pPr>
    </w:p>
    <w:p w14:paraId="67A7C567" w14:textId="77777777" w:rsidR="00AE5C9B" w:rsidRDefault="00AE5C9B">
      <w:pPr>
        <w:spacing w:line="360" w:lineRule="auto"/>
        <w:rPr>
          <w:color w:val="000000" w:themeColor="text1"/>
        </w:rPr>
      </w:pPr>
    </w:p>
    <w:p w14:paraId="7FB34E1E" w14:textId="77777777" w:rsidR="007F0D68" w:rsidRDefault="007F0D68">
      <w:pPr>
        <w:pStyle w:val="Heading1"/>
      </w:pPr>
      <w:bookmarkStart w:id="19" w:name="_Toc9121"/>
    </w:p>
    <w:p w14:paraId="2A4CEEA4" w14:textId="7FC9E717" w:rsidR="00AE5C9B" w:rsidRDefault="007F0D68">
      <w:pPr>
        <w:pStyle w:val="Heading1"/>
      </w:pPr>
      <w:r>
        <w:t>Conclusion</w:t>
      </w:r>
      <w:bookmarkEnd w:id="19"/>
    </w:p>
    <w:p w14:paraId="646BC478" w14:textId="77777777" w:rsidR="00AE5C9B" w:rsidRDefault="00AE5C9B"/>
    <w:p w14:paraId="155D26F5" w14:textId="77777777" w:rsidR="00AE5C9B" w:rsidRDefault="007F0D68">
      <w:pPr>
        <w:spacing w:line="360" w:lineRule="auto"/>
        <w:rPr>
          <w:color w:val="000000" w:themeColor="text1"/>
        </w:rPr>
      </w:pPr>
      <w:r>
        <w:rPr>
          <w:color w:val="000000" w:themeColor="text1"/>
        </w:rPr>
        <w:t xml:space="preserve">The Tuberculosis (TP) is a major health problem in the </w:t>
      </w:r>
      <w:r>
        <w:rPr>
          <w:color w:val="000000" w:themeColor="text1"/>
        </w:rPr>
        <w:t>world even though it has been diagnosed, treated and prevented. The disease should be controlled by means of early diagnosis via screening, proper treatment via antibiotics, and vaccination. However, the emergence of drug-resistant TB poses new challenges and make the management more complicated. The social and economic effects of TB are severe, influencing the health, employment, and life quality of people.</w:t>
      </w:r>
    </w:p>
    <w:p w14:paraId="31AC460B" w14:textId="77777777" w:rsidR="00AE5C9B" w:rsidRDefault="007F0D68">
      <w:pPr>
        <w:spacing w:line="360" w:lineRule="auto"/>
        <w:rPr>
          <w:color w:val="000000" w:themeColor="text1"/>
        </w:rPr>
      </w:pPr>
      <w:r>
        <w:rPr>
          <w:color w:val="000000" w:themeColor="text1"/>
        </w:rPr>
        <w:t xml:space="preserve">The treatment of TB is a multi-level process that involves both medical care and social assistance, especially the susceptible groups. End TB Strategy by WHO provides a roadmap on how TB can be eliminated by 2030, yet issues of drug-resistant TB, stigma, and access to care are present. </w:t>
      </w:r>
      <w:r>
        <w:rPr>
          <w:color w:val="000000" w:themeColor="text1"/>
        </w:rPr>
        <w:br w:type="page"/>
      </w:r>
    </w:p>
    <w:p w14:paraId="3907E0F3" w14:textId="77777777" w:rsidR="00AE5C9B" w:rsidRDefault="007F0D68">
      <w:pPr>
        <w:pStyle w:val="Heading1"/>
      </w:pPr>
      <w:bookmarkStart w:id="20" w:name="_Toc26057"/>
      <w:r>
        <w:lastRenderedPageBreak/>
        <w:t>Reference</w:t>
      </w:r>
      <w:bookmarkEnd w:id="20"/>
      <w:r>
        <w:t xml:space="preserve"> </w:t>
      </w:r>
    </w:p>
    <w:p w14:paraId="7E4D92A8" w14:textId="77777777" w:rsidR="00AE5C9B" w:rsidRDefault="00AE5C9B">
      <w:pPr>
        <w:spacing w:line="360" w:lineRule="auto"/>
      </w:pPr>
    </w:p>
    <w:p w14:paraId="010022B5" w14:textId="77777777" w:rsidR="00AE5C9B" w:rsidRDefault="007F0D68">
      <w:pPr>
        <w:spacing w:line="360" w:lineRule="auto"/>
        <w:rPr>
          <w:color w:val="000000" w:themeColor="text1"/>
        </w:rPr>
      </w:pPr>
      <w:r>
        <w:rPr>
          <w:color w:val="000000" w:themeColor="text1"/>
        </w:rPr>
        <w:t>GOV.UK (2025). </w:t>
      </w:r>
      <w:r>
        <w:rPr>
          <w:i/>
          <w:iCs/>
          <w:color w:val="000000" w:themeColor="text1"/>
        </w:rPr>
        <w:t>1. Tuberculosis incidence and epidemiology, England, 2024</w:t>
      </w:r>
      <w:r>
        <w:rPr>
          <w:color w:val="000000" w:themeColor="text1"/>
        </w:rPr>
        <w:t xml:space="preserve">. [online] GOV.UK. Available at: </w:t>
      </w:r>
      <w:r>
        <w:rPr>
          <w:color w:val="000000" w:themeColor="text1"/>
        </w:rPr>
        <w:t>https://www.gov.uk/government/publications/tuberculosis-in-england-2025-report/1-tuberculosis-incidence-and-epidemiology-england-2024 [Accessed 23 Mar. 2026].</w:t>
      </w:r>
    </w:p>
    <w:p w14:paraId="7D402DFA" w14:textId="77777777" w:rsidR="00AE5C9B" w:rsidRDefault="007F0D68">
      <w:pPr>
        <w:spacing w:line="360" w:lineRule="auto"/>
        <w:rPr>
          <w:color w:val="000000" w:themeColor="text1"/>
          <w:shd w:val="clear" w:color="auto" w:fill="FFFFFF"/>
        </w:rPr>
      </w:pPr>
      <w:proofErr w:type="spellStart"/>
      <w:r>
        <w:rPr>
          <w:color w:val="000000" w:themeColor="text1"/>
          <w:shd w:val="clear" w:color="auto" w:fill="FFFFFF"/>
        </w:rPr>
        <w:t>Grosset</w:t>
      </w:r>
      <w:proofErr w:type="spellEnd"/>
      <w:r>
        <w:rPr>
          <w:color w:val="000000" w:themeColor="text1"/>
          <w:shd w:val="clear" w:color="auto" w:fill="FFFFFF"/>
        </w:rPr>
        <w:t xml:space="preserve">, J.H. and </w:t>
      </w:r>
      <w:proofErr w:type="spellStart"/>
      <w:r>
        <w:rPr>
          <w:color w:val="000000" w:themeColor="text1"/>
          <w:shd w:val="clear" w:color="auto" w:fill="FFFFFF"/>
        </w:rPr>
        <w:t>Chaisson</w:t>
      </w:r>
      <w:proofErr w:type="spellEnd"/>
      <w:r>
        <w:rPr>
          <w:color w:val="000000" w:themeColor="text1"/>
          <w:shd w:val="clear" w:color="auto" w:fill="FFFFFF"/>
        </w:rPr>
        <w:t>, R.E., (2017). </w:t>
      </w:r>
      <w:r>
        <w:rPr>
          <w:i/>
          <w:iCs/>
          <w:color w:val="000000" w:themeColor="text1"/>
          <w:shd w:val="clear" w:color="auto" w:fill="FFFFFF"/>
        </w:rPr>
        <w:t>Handbook of tuberculosis</w:t>
      </w:r>
      <w:r>
        <w:rPr>
          <w:color w:val="000000" w:themeColor="text1"/>
          <w:shd w:val="clear" w:color="auto" w:fill="FFFFFF"/>
        </w:rPr>
        <w:t xml:space="preserve">. Springer International </w:t>
      </w:r>
      <w:proofErr w:type="gramStart"/>
      <w:r>
        <w:rPr>
          <w:color w:val="000000" w:themeColor="text1"/>
          <w:shd w:val="clear" w:color="auto" w:fill="FFFFFF"/>
        </w:rPr>
        <w:t>Publishing:.</w:t>
      </w:r>
      <w:proofErr w:type="gramEnd"/>
    </w:p>
    <w:p w14:paraId="2230C0D1" w14:textId="77777777" w:rsidR="00AE5C9B" w:rsidRDefault="007F0D68">
      <w:pPr>
        <w:spacing w:line="360" w:lineRule="auto"/>
        <w:rPr>
          <w:color w:val="000000" w:themeColor="text1"/>
          <w:shd w:val="clear" w:color="auto" w:fill="FFFFFF"/>
        </w:rPr>
      </w:pPr>
      <w:r>
        <w:rPr>
          <w:color w:val="000000" w:themeColor="text1"/>
          <w:shd w:val="clear" w:color="auto" w:fill="FFFFFF"/>
        </w:rPr>
        <w:t xml:space="preserve">Lu, Y., Wang, L., </w:t>
      </w:r>
      <w:proofErr w:type="spellStart"/>
      <w:r>
        <w:rPr>
          <w:color w:val="000000" w:themeColor="text1"/>
          <w:shd w:val="clear" w:color="auto" w:fill="FFFFFF"/>
        </w:rPr>
        <w:t>Duanmu</w:t>
      </w:r>
      <w:proofErr w:type="spellEnd"/>
      <w:r>
        <w:rPr>
          <w:color w:val="000000" w:themeColor="text1"/>
          <w:shd w:val="clear" w:color="auto" w:fill="FFFFFF"/>
        </w:rPr>
        <w:t xml:space="preserve">, H., </w:t>
      </w:r>
      <w:proofErr w:type="spellStart"/>
      <w:r>
        <w:rPr>
          <w:color w:val="000000" w:themeColor="text1"/>
          <w:shd w:val="clear" w:color="auto" w:fill="FFFFFF"/>
        </w:rPr>
        <w:t>Chanyasulkit</w:t>
      </w:r>
      <w:proofErr w:type="spellEnd"/>
      <w:r>
        <w:rPr>
          <w:color w:val="000000" w:themeColor="text1"/>
          <w:shd w:val="clear" w:color="auto" w:fill="FFFFFF"/>
        </w:rPr>
        <w:t>, C., Strong, A.J. and Zhang, H., (2017). </w:t>
      </w:r>
      <w:r>
        <w:rPr>
          <w:i/>
          <w:iCs/>
          <w:color w:val="000000" w:themeColor="text1"/>
          <w:shd w:val="clear" w:color="auto" w:fill="FFFFFF"/>
        </w:rPr>
        <w:t>Handbook of global tuberculosis control</w:t>
      </w:r>
      <w:r>
        <w:rPr>
          <w:color w:val="000000" w:themeColor="text1"/>
          <w:shd w:val="clear" w:color="auto" w:fill="FFFFFF"/>
        </w:rPr>
        <w:t>. Boston, MA: Springer US.</w:t>
      </w:r>
    </w:p>
    <w:p w14:paraId="4361CDA5" w14:textId="77777777" w:rsidR="00AE5C9B" w:rsidRDefault="007F0D68">
      <w:pPr>
        <w:spacing w:line="360" w:lineRule="auto"/>
        <w:rPr>
          <w:color w:val="000000" w:themeColor="text1"/>
          <w:shd w:val="clear" w:color="auto" w:fill="FFFFFF"/>
        </w:rPr>
      </w:pPr>
      <w:r>
        <w:rPr>
          <w:color w:val="000000" w:themeColor="text1"/>
          <w:shd w:val="clear" w:color="auto" w:fill="FFFFFF"/>
        </w:rPr>
        <w:t>Raviglione, M.C. ed., (2016). </w:t>
      </w:r>
      <w:r>
        <w:rPr>
          <w:i/>
          <w:iCs/>
          <w:color w:val="000000" w:themeColor="text1"/>
          <w:shd w:val="clear" w:color="auto" w:fill="FFFFFF"/>
        </w:rPr>
        <w:t>Tuberculosis: the essentials</w:t>
      </w:r>
      <w:r>
        <w:rPr>
          <w:color w:val="000000" w:themeColor="text1"/>
          <w:shd w:val="clear" w:color="auto" w:fill="FFFFFF"/>
        </w:rPr>
        <w:t>. CRC Press.</w:t>
      </w:r>
    </w:p>
    <w:p w14:paraId="1A1B03DE" w14:textId="77777777" w:rsidR="00AE5C9B" w:rsidRDefault="007F0D68">
      <w:pPr>
        <w:spacing w:line="360" w:lineRule="auto"/>
        <w:rPr>
          <w:color w:val="000000" w:themeColor="text1"/>
        </w:rPr>
      </w:pPr>
      <w:r>
        <w:rPr>
          <w:color w:val="000000" w:themeColor="text1"/>
        </w:rPr>
        <w:t>Scotland, P.H. (2025). </w:t>
      </w:r>
      <w:r>
        <w:rPr>
          <w:i/>
          <w:iCs/>
          <w:color w:val="000000" w:themeColor="text1"/>
        </w:rPr>
        <w:t>National Tuberculosis Surveillance System (NTBS) - Search the datasets - National Datasets - National Data Catalogue - Health intelligence and data management - Resources and tools - Public Health Scotland</w:t>
      </w:r>
      <w:r>
        <w:rPr>
          <w:color w:val="000000" w:themeColor="text1"/>
        </w:rPr>
        <w:t xml:space="preserve">. [online] </w:t>
      </w:r>
      <w:proofErr w:type="spellStart"/>
      <w:r>
        <w:rPr>
          <w:color w:val="000000" w:themeColor="text1"/>
        </w:rPr>
        <w:t>Publichealthscotland.scot</w:t>
      </w:r>
      <w:proofErr w:type="spellEnd"/>
      <w:r>
        <w:rPr>
          <w:color w:val="000000" w:themeColor="text1"/>
        </w:rPr>
        <w:t>. Available at: https://publichealthscotland.scot/resources-and-tools/health-intelligence-and-data-management/national-data-catalogue/national-datasets/search-the-datasets/national-tuberculosis-surveillance-system-ntbs/</w:t>
      </w:r>
      <w:r>
        <w:rPr>
          <w:color w:val="000000" w:themeColor="text1"/>
        </w:rPr>
        <w:t>.</w:t>
      </w:r>
    </w:p>
    <w:p w14:paraId="197015B8" w14:textId="77777777" w:rsidR="00AE5C9B" w:rsidRDefault="007F0D68">
      <w:pPr>
        <w:spacing w:line="360" w:lineRule="auto"/>
        <w:rPr>
          <w:color w:val="000000" w:themeColor="text1"/>
        </w:rPr>
      </w:pPr>
      <w:r>
        <w:rPr>
          <w:color w:val="000000" w:themeColor="text1"/>
        </w:rPr>
        <w:t>Theglobalfund.org. (2023). </w:t>
      </w:r>
      <w:r>
        <w:rPr>
          <w:i/>
          <w:iCs/>
          <w:color w:val="000000" w:themeColor="text1"/>
        </w:rPr>
        <w:t>Tuberculosis</w:t>
      </w:r>
      <w:r>
        <w:rPr>
          <w:color w:val="000000" w:themeColor="text1"/>
        </w:rPr>
        <w:t xml:space="preserve">. </w:t>
      </w:r>
      <w:r>
        <w:rPr>
          <w:color w:val="000000" w:themeColor="text1"/>
        </w:rPr>
        <w:t>[online] Available at: https://www.theglobalfund.org/en/tuberculosis/.</w:t>
      </w:r>
    </w:p>
    <w:p w14:paraId="7BFE04EA" w14:textId="77777777" w:rsidR="00AE5C9B" w:rsidRDefault="007F0D68">
      <w:pPr>
        <w:spacing w:line="360" w:lineRule="auto"/>
        <w:rPr>
          <w:color w:val="000000" w:themeColor="text1"/>
        </w:rPr>
      </w:pPr>
      <w:r>
        <w:rPr>
          <w:color w:val="000000" w:themeColor="text1"/>
        </w:rPr>
        <w:t>Who.int. (2022). </w:t>
      </w:r>
      <w:r>
        <w:rPr>
          <w:i/>
          <w:iCs/>
          <w:color w:val="000000" w:themeColor="text1"/>
        </w:rPr>
        <w:t>The End TB Strategy</w:t>
      </w:r>
      <w:r>
        <w:rPr>
          <w:color w:val="000000" w:themeColor="text1"/>
        </w:rPr>
        <w:t>. [online] Available at: https://www.who.int/teams/global-programme-on-tuberculosis-and-lung-health/the-end-tb-strategy.</w:t>
      </w:r>
    </w:p>
    <w:p w14:paraId="5B0F7360" w14:textId="77777777" w:rsidR="00AE5C9B" w:rsidRDefault="007F0D68">
      <w:pPr>
        <w:spacing w:line="360" w:lineRule="auto"/>
        <w:rPr>
          <w:color w:val="000000" w:themeColor="text1"/>
        </w:rPr>
      </w:pPr>
      <w:r>
        <w:rPr>
          <w:color w:val="000000" w:themeColor="text1"/>
        </w:rPr>
        <w:t>‌</w:t>
      </w:r>
    </w:p>
    <w:p w14:paraId="7ACA1924" w14:textId="77777777" w:rsidR="00AE5C9B" w:rsidRDefault="00AE5C9B">
      <w:pPr>
        <w:spacing w:line="360" w:lineRule="auto"/>
        <w:rPr>
          <w:color w:val="000000" w:themeColor="text1"/>
        </w:rPr>
      </w:pPr>
    </w:p>
    <w:p w14:paraId="3633702B" w14:textId="77777777" w:rsidR="00AE5C9B" w:rsidRDefault="007F0D68">
      <w:pPr>
        <w:spacing w:line="360" w:lineRule="auto"/>
        <w:rPr>
          <w:color w:val="000000" w:themeColor="text1"/>
        </w:rPr>
      </w:pPr>
      <w:r>
        <w:rPr>
          <w:color w:val="000000" w:themeColor="text1"/>
        </w:rPr>
        <w:t>‌</w:t>
      </w:r>
    </w:p>
    <w:p w14:paraId="6E62DF49" w14:textId="77777777" w:rsidR="00AE5C9B" w:rsidRDefault="00AE5C9B">
      <w:pPr>
        <w:spacing w:line="360" w:lineRule="auto"/>
        <w:rPr>
          <w:color w:val="000000" w:themeColor="text1"/>
        </w:rPr>
      </w:pPr>
    </w:p>
    <w:p w14:paraId="621CE02A" w14:textId="77777777" w:rsidR="00AE5C9B" w:rsidRDefault="007F0D68">
      <w:pPr>
        <w:spacing w:line="360" w:lineRule="auto"/>
        <w:rPr>
          <w:color w:val="000000" w:themeColor="text1"/>
        </w:rPr>
      </w:pPr>
      <w:r>
        <w:rPr>
          <w:color w:val="000000" w:themeColor="text1"/>
        </w:rPr>
        <w:t>‌</w:t>
      </w:r>
    </w:p>
    <w:p w14:paraId="08D093A3" w14:textId="77777777" w:rsidR="00AE5C9B" w:rsidRDefault="00AE5C9B">
      <w:pPr>
        <w:spacing w:line="360" w:lineRule="auto"/>
        <w:rPr>
          <w:color w:val="000000" w:themeColor="text1"/>
        </w:rPr>
      </w:pPr>
    </w:p>
    <w:sectPr w:rsidR="00AE5C9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421049" w14:textId="77777777" w:rsidR="00AE5C9B" w:rsidRDefault="007F0D68">
      <w:pPr>
        <w:spacing w:line="240" w:lineRule="auto"/>
      </w:pPr>
      <w:r>
        <w:separator/>
      </w:r>
    </w:p>
  </w:endnote>
  <w:endnote w:type="continuationSeparator" w:id="0">
    <w:p w14:paraId="3AA3E40F" w14:textId="77777777" w:rsidR="00AE5C9B" w:rsidRDefault="007F0D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9144681"/>
    </w:sdtPr>
    <w:sdtEndPr/>
    <w:sdtContent>
      <w:p w14:paraId="54B07184" w14:textId="77777777" w:rsidR="00AE5C9B" w:rsidRDefault="007F0D68">
        <w:pPr>
          <w:pStyle w:val="Footer"/>
          <w:jc w:val="right"/>
        </w:pPr>
        <w:r>
          <w:fldChar w:fldCharType="begin"/>
        </w:r>
        <w:r>
          <w:instrText xml:space="preserve"> PAGE   \* MERGEFORMAT </w:instrText>
        </w:r>
        <w:r>
          <w:fldChar w:fldCharType="separate"/>
        </w:r>
        <w:r>
          <w:t>2</w:t>
        </w:r>
        <w:r>
          <w:fldChar w:fldCharType="end"/>
        </w:r>
      </w:p>
    </w:sdtContent>
  </w:sdt>
  <w:p w14:paraId="0FFFC86C" w14:textId="77777777" w:rsidR="00AE5C9B" w:rsidRDefault="00AE5C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0AF5A7" w14:textId="77777777" w:rsidR="00AE5C9B" w:rsidRDefault="007F0D68">
      <w:pPr>
        <w:spacing w:after="0"/>
      </w:pPr>
      <w:r>
        <w:separator/>
      </w:r>
    </w:p>
  </w:footnote>
  <w:footnote w:type="continuationSeparator" w:id="0">
    <w:p w14:paraId="2C92B5ED" w14:textId="77777777" w:rsidR="00AE5C9B" w:rsidRDefault="007F0D68">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removePersonalInformation/>
  <w:proofState w:spelling="clean" w:grammar="clean"/>
  <w:defaultTabStop w:val="720"/>
  <w:drawingGridHorizontalSpacing w:val="11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5E38"/>
    <w:rsid w:val="00096321"/>
    <w:rsid w:val="00675E38"/>
    <w:rsid w:val="00744E98"/>
    <w:rsid w:val="007F0D68"/>
    <w:rsid w:val="00806391"/>
    <w:rsid w:val="008664C1"/>
    <w:rsid w:val="0097413F"/>
    <w:rsid w:val="00A55CDA"/>
    <w:rsid w:val="00AE5C9B"/>
    <w:rsid w:val="00AF523A"/>
    <w:rsid w:val="00CC7635"/>
    <w:rsid w:val="00CD3E30"/>
    <w:rsid w:val="00D43222"/>
    <w:rsid w:val="2CBF16DD"/>
    <w:rsid w:val="3F0E258C"/>
    <w:rsid w:val="713F30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31256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jc w:val="both"/>
    </w:pPr>
    <w:rPr>
      <w:rFonts w:ascii="Arial" w:eastAsiaTheme="minorHAnsi" w:hAnsi="Arial" w:cstheme="minorBidi"/>
      <w:sz w:val="22"/>
      <w:szCs w:val="22"/>
      <w:lang w:val="en-US" w:eastAsia="en-US"/>
    </w:rPr>
  </w:style>
  <w:style w:type="paragraph" w:styleId="Heading1">
    <w:name w:val="heading 1"/>
    <w:basedOn w:val="Normal"/>
    <w:next w:val="Normal"/>
    <w:link w:val="Heading1Char"/>
    <w:uiPriority w:val="9"/>
    <w:qFormat/>
    <w:pPr>
      <w:keepNext/>
      <w:keepLines/>
      <w:spacing w:before="240" w:after="0" w:line="360" w:lineRule="auto"/>
      <w:outlineLvl w:val="0"/>
    </w:pPr>
    <w:rPr>
      <w:rFonts w:eastAsiaTheme="majorEastAsia" w:cstheme="majorBidi"/>
      <w:color w:val="365F91" w:themeColor="accent1" w:themeShade="BF"/>
      <w:sz w:val="28"/>
      <w:szCs w:val="32"/>
    </w:rPr>
  </w:style>
  <w:style w:type="paragraph" w:styleId="Heading2">
    <w:name w:val="heading 2"/>
    <w:basedOn w:val="Normal"/>
    <w:next w:val="Normal"/>
    <w:link w:val="Heading2Char"/>
    <w:uiPriority w:val="9"/>
    <w:unhideWhenUsed/>
    <w:qFormat/>
    <w:pPr>
      <w:keepNext/>
      <w:keepLines/>
      <w:spacing w:before="40" w:after="0" w:line="360" w:lineRule="auto"/>
      <w:outlineLvl w:val="1"/>
    </w:pPr>
    <w:rPr>
      <w:rFonts w:eastAsiaTheme="majorEastAsia" w:cstheme="majorBidi"/>
      <w:color w:val="365F91" w:themeColor="accent1" w:themeShade="BF"/>
      <w:sz w:val="26"/>
      <w:szCs w:val="26"/>
    </w:rPr>
  </w:style>
  <w:style w:type="paragraph" w:styleId="Heading3">
    <w:name w:val="heading 3"/>
    <w:basedOn w:val="Normal"/>
    <w:next w:val="Normal"/>
    <w:uiPriority w:val="9"/>
    <w:unhideWhenUsed/>
    <w:qFormat/>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paragraph" w:styleId="TOC3">
    <w:name w:val="toc 3"/>
    <w:basedOn w:val="Normal"/>
    <w:next w:val="Normal"/>
    <w:uiPriority w:val="39"/>
    <w:semiHidden/>
    <w:unhideWhenUsed/>
    <w:qFormat/>
    <w:pPr>
      <w:ind w:leftChars="400" w:left="840"/>
    </w:p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Heading1Char">
    <w:name w:val="Heading 1 Char"/>
    <w:basedOn w:val="DefaultParagraphFont"/>
    <w:link w:val="Heading1"/>
    <w:uiPriority w:val="9"/>
    <w:qFormat/>
    <w:rPr>
      <w:rFonts w:ascii="Arial" w:eastAsiaTheme="majorEastAsia" w:hAnsi="Arial" w:cstheme="majorBidi"/>
      <w:color w:val="365F91" w:themeColor="accent1" w:themeShade="BF"/>
      <w:sz w:val="28"/>
      <w:szCs w:val="32"/>
    </w:rPr>
  </w:style>
  <w:style w:type="character" w:customStyle="1" w:styleId="Heading2Char">
    <w:name w:val="Heading 2 Char"/>
    <w:basedOn w:val="DefaultParagraphFont"/>
    <w:link w:val="Heading2"/>
    <w:uiPriority w:val="9"/>
    <w:qFormat/>
    <w:rPr>
      <w:rFonts w:ascii="Arial" w:eastAsiaTheme="majorEastAsia" w:hAnsi="Arial" w:cstheme="majorBidi"/>
      <w:color w:val="365F91" w:themeColor="accent1" w:themeShade="BF"/>
      <w:sz w:val="26"/>
      <w:szCs w:val="26"/>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9C03F2-FD2D-409F-940A-D4A4853DC12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2227</Words>
  <Characters>12697</Characters>
  <Application>Microsoft Office Word</Application>
  <DocSecurity>0</DocSecurity>
  <Lines>105</Lines>
  <Paragraphs>29</Paragraphs>
  <ScaleCrop>false</ScaleCrop>
  <LinksUpToDate>false</LinksUpToDate>
  <CharactersWithSpaces>14895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2026-03-24T09:30:00Z</dcterms:created>
  <dcterms:modified xsi:type="dcterms:W3CDTF">2026-03-24T09:30:00Z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eyJoZGlkIjoiY2ZjNzliNmZmOWQ2YjY4M2Q1ZDYyNzI5YjNiMTRjYmEiLCJ1c2VySWQiOiIzMTc4OTEyMDk3MTY3In0=</vt:lpwstr>
  </property>
  <property fmtid="{D5CDD505-2E9C-101B-9397-08002B2CF9AE}" pid="3" name="KSOProductBuildVer">
    <vt:lpwstr>1033-12.1.0.25242</vt:lpwstr>
  </property>
  <property fmtid="{D5CDD505-2E9C-101B-9397-08002B2CF9AE}" pid="4" name="ICV">
    <vt:lpwstr>5D69F9C3B0B44036B084746AF70762A3_12</vt:lpwstr>
  </property>
</Properties>
</file>