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13DC57" w14:textId="77777777" w:rsidR="00FE3B37" w:rsidRDefault="004F2C25">
      <w:pPr>
        <w:spacing w:after="0" w:line="361" w:lineRule="auto"/>
        <w:ind w:left="4512" w:right="4452" w:firstLine="0"/>
        <w:jc w:val="center"/>
      </w:pPr>
      <w:r>
        <w:t xml:space="preserve">  </w:t>
      </w:r>
    </w:p>
    <w:p w14:paraId="78F8BAD6" w14:textId="77777777" w:rsidR="00FE3B37" w:rsidRDefault="004F2C25">
      <w:pPr>
        <w:spacing w:after="107" w:line="259" w:lineRule="auto"/>
        <w:ind w:left="60" w:right="0" w:firstLine="0"/>
        <w:jc w:val="center"/>
      </w:pPr>
      <w:r>
        <w:t xml:space="preserve"> </w:t>
      </w:r>
    </w:p>
    <w:p w14:paraId="79249DA6" w14:textId="77777777" w:rsidR="00FE3B37" w:rsidRDefault="004F2C25">
      <w:pPr>
        <w:spacing w:after="107" w:line="259" w:lineRule="auto"/>
        <w:ind w:right="459" w:firstLine="0"/>
        <w:jc w:val="right"/>
      </w:pPr>
      <w:r>
        <w:rPr>
          <w:b/>
        </w:rPr>
        <w:t xml:space="preserve">Self-Management Interventions for Adult with Diabetes in the United Kingdom </w:t>
      </w:r>
    </w:p>
    <w:p w14:paraId="0CC0D787" w14:textId="77777777" w:rsidR="00FE3B37" w:rsidRDefault="004F2C25">
      <w:pPr>
        <w:spacing w:after="102" w:line="259" w:lineRule="auto"/>
        <w:ind w:left="60" w:right="0" w:firstLine="0"/>
        <w:jc w:val="center"/>
      </w:pPr>
      <w:r>
        <w:t xml:space="preserve"> </w:t>
      </w:r>
    </w:p>
    <w:p w14:paraId="5D191103" w14:textId="577FA291" w:rsidR="00FE3B37" w:rsidRDefault="004F2C25">
      <w:pPr>
        <w:spacing w:after="107" w:line="259" w:lineRule="auto"/>
        <w:ind w:left="1580" w:right="1571" w:hanging="10"/>
        <w:jc w:val="center"/>
      </w:pPr>
      <w:r>
        <w:t>Student Name</w:t>
      </w:r>
      <w:r>
        <w:t xml:space="preserve"> </w:t>
      </w:r>
      <w:r w:rsidR="00543A9B">
        <w:t>Fariza Iqbal</w:t>
      </w:r>
    </w:p>
    <w:p w14:paraId="368DB82E" w14:textId="165C23A7" w:rsidR="00FE3B37" w:rsidRDefault="00543A9B">
      <w:pPr>
        <w:spacing w:after="0" w:line="259" w:lineRule="auto"/>
        <w:ind w:right="0" w:firstLine="0"/>
      </w:pPr>
      <w:r>
        <w:t>2328503</w:t>
      </w:r>
      <w:r w:rsidR="004F2C25">
        <w:t xml:space="preserve"> </w:t>
      </w:r>
      <w:r w:rsidR="004F2C25">
        <w:br w:type="page"/>
      </w:r>
    </w:p>
    <w:sdt>
      <w:sdtPr>
        <w:id w:val="868032600"/>
        <w:docPartObj>
          <w:docPartGallery w:val="Table of Contents"/>
        </w:docPartObj>
      </w:sdtPr>
      <w:sdtEndPr/>
      <w:sdtContent>
        <w:p w14:paraId="75DF93C6" w14:textId="77777777" w:rsidR="00FE3B37" w:rsidRDefault="004F2C25">
          <w:pPr>
            <w:spacing w:after="107" w:line="259" w:lineRule="auto"/>
            <w:ind w:right="0" w:firstLine="0"/>
          </w:pPr>
          <w:r>
            <w:rPr>
              <w:color w:val="2F5496"/>
            </w:rPr>
            <w:t xml:space="preserve">Contents </w:t>
          </w:r>
        </w:p>
        <w:p w14:paraId="1D3515AF" w14:textId="77777777" w:rsidR="00FE3B37" w:rsidRDefault="004F2C25">
          <w:pPr>
            <w:pStyle w:val="TOC1"/>
            <w:tabs>
              <w:tab w:val="right" w:leader="dot" w:pos="9025"/>
            </w:tabs>
          </w:pPr>
          <w:r>
            <w:fldChar w:fldCharType="begin"/>
          </w:r>
          <w:r>
            <w:instrText xml:space="preserve"> TOC \o "1-2" \h \z \u </w:instrText>
          </w:r>
          <w:r>
            <w:fldChar w:fldCharType="separate"/>
          </w:r>
          <w:hyperlink w:anchor="_Toc18940">
            <w:r>
              <w:t>Introduction</w:t>
            </w:r>
            <w:r>
              <w:tab/>
            </w:r>
            <w:r>
              <w:fldChar w:fldCharType="begin"/>
            </w:r>
            <w:r>
              <w:instrText>PAGEREF _Toc18940 \h</w:instrText>
            </w:r>
            <w:r>
              <w:fldChar w:fldCharType="separate"/>
            </w:r>
            <w:r>
              <w:t xml:space="preserve">3 </w:t>
            </w:r>
            <w:r>
              <w:fldChar w:fldCharType="end"/>
            </w:r>
          </w:hyperlink>
        </w:p>
        <w:p w14:paraId="188D8CB4" w14:textId="77777777" w:rsidR="00FE3B37" w:rsidRDefault="004F2C25">
          <w:pPr>
            <w:pStyle w:val="TOC2"/>
            <w:tabs>
              <w:tab w:val="right" w:leader="dot" w:pos="9025"/>
            </w:tabs>
          </w:pPr>
          <w:hyperlink w:anchor="_Toc18941">
            <w:r>
              <w:t>Review Question</w:t>
            </w:r>
            <w:r>
              <w:tab/>
            </w:r>
            <w:r>
              <w:fldChar w:fldCharType="begin"/>
            </w:r>
            <w:r>
              <w:instrText>PAGEREF _Toc18941 \h</w:instrText>
            </w:r>
            <w:r>
              <w:fldChar w:fldCharType="separate"/>
            </w:r>
            <w:r>
              <w:t xml:space="preserve">4 </w:t>
            </w:r>
            <w:r>
              <w:fldChar w:fldCharType="end"/>
            </w:r>
          </w:hyperlink>
        </w:p>
        <w:p w14:paraId="095B9CBA" w14:textId="77777777" w:rsidR="00FE3B37" w:rsidRDefault="004F2C25">
          <w:pPr>
            <w:pStyle w:val="TOC2"/>
            <w:tabs>
              <w:tab w:val="right" w:leader="dot" w:pos="9025"/>
            </w:tabs>
          </w:pPr>
          <w:hyperlink w:anchor="_Toc18942">
            <w:r>
              <w:t>Objectives</w:t>
            </w:r>
            <w:r>
              <w:tab/>
            </w:r>
            <w:r>
              <w:fldChar w:fldCharType="begin"/>
            </w:r>
            <w:r>
              <w:instrText>PAGEREF _Toc18942 \h</w:instrText>
            </w:r>
            <w:r>
              <w:fldChar w:fldCharType="separate"/>
            </w:r>
            <w:r>
              <w:t xml:space="preserve">4 </w:t>
            </w:r>
            <w:r>
              <w:fldChar w:fldCharType="end"/>
            </w:r>
          </w:hyperlink>
        </w:p>
        <w:p w14:paraId="1A983C0D" w14:textId="77777777" w:rsidR="00FE3B37" w:rsidRDefault="004F2C25">
          <w:pPr>
            <w:pStyle w:val="TOC1"/>
            <w:tabs>
              <w:tab w:val="right" w:leader="dot" w:pos="9025"/>
            </w:tabs>
          </w:pPr>
          <w:hyperlink w:anchor="_Toc18943">
            <w:r>
              <w:t>Background</w:t>
            </w:r>
            <w:r>
              <w:tab/>
            </w:r>
            <w:r>
              <w:fldChar w:fldCharType="begin"/>
            </w:r>
            <w:r>
              <w:instrText>PAGEREF _Toc18943 \h</w:instrText>
            </w:r>
            <w:r>
              <w:fldChar w:fldCharType="separate"/>
            </w:r>
            <w:r>
              <w:t xml:space="preserve">5 </w:t>
            </w:r>
            <w:r>
              <w:fldChar w:fldCharType="end"/>
            </w:r>
          </w:hyperlink>
        </w:p>
        <w:p w14:paraId="5D448634" w14:textId="77777777" w:rsidR="00FE3B37" w:rsidRDefault="004F2C25">
          <w:pPr>
            <w:pStyle w:val="TOC1"/>
            <w:tabs>
              <w:tab w:val="right" w:leader="dot" w:pos="9025"/>
            </w:tabs>
          </w:pPr>
          <w:hyperlink w:anchor="_Toc18944">
            <w:r>
              <w:t>Methods</w:t>
            </w:r>
            <w:r>
              <w:tab/>
            </w:r>
            <w:r>
              <w:fldChar w:fldCharType="begin"/>
            </w:r>
            <w:r>
              <w:instrText>PAGEREF _Toc18944 \h</w:instrText>
            </w:r>
            <w:r>
              <w:fldChar w:fldCharType="separate"/>
            </w:r>
            <w:r>
              <w:t xml:space="preserve">7 </w:t>
            </w:r>
            <w:r>
              <w:fldChar w:fldCharType="end"/>
            </w:r>
          </w:hyperlink>
        </w:p>
        <w:p w14:paraId="28DD5DAC" w14:textId="77777777" w:rsidR="00FE3B37" w:rsidRDefault="004F2C25">
          <w:pPr>
            <w:pStyle w:val="TOC2"/>
            <w:tabs>
              <w:tab w:val="right" w:leader="dot" w:pos="9025"/>
            </w:tabs>
          </w:pPr>
          <w:hyperlink w:anchor="_Toc18945">
            <w:r>
              <w:t>Stage 1: Research Question Formulation</w:t>
            </w:r>
            <w:r>
              <w:tab/>
            </w:r>
            <w:r>
              <w:fldChar w:fldCharType="begin"/>
            </w:r>
            <w:r>
              <w:instrText>PAGEREF _Toc18945 \h</w:instrText>
            </w:r>
            <w:r>
              <w:fldChar w:fldCharType="separate"/>
            </w:r>
            <w:r>
              <w:t xml:space="preserve">7 </w:t>
            </w:r>
            <w:r>
              <w:fldChar w:fldCharType="end"/>
            </w:r>
          </w:hyperlink>
        </w:p>
        <w:p w14:paraId="4F5F4EB9" w14:textId="77777777" w:rsidR="00FE3B37" w:rsidRDefault="004F2C25">
          <w:pPr>
            <w:pStyle w:val="TOC2"/>
            <w:tabs>
              <w:tab w:val="right" w:leader="dot" w:pos="9025"/>
            </w:tabs>
          </w:pPr>
          <w:hyperlink w:anchor="_Toc18946">
            <w:r>
              <w:t>Stage 2: Process of Relevant Studies</w:t>
            </w:r>
            <w:r>
              <w:tab/>
            </w:r>
            <w:r>
              <w:fldChar w:fldCharType="begin"/>
            </w:r>
            <w:r>
              <w:instrText>PAGEREF _Toc18946 \h</w:instrText>
            </w:r>
            <w:r>
              <w:fldChar w:fldCharType="separate"/>
            </w:r>
            <w:r>
              <w:t xml:space="preserve">7 </w:t>
            </w:r>
            <w:r>
              <w:fldChar w:fldCharType="end"/>
            </w:r>
          </w:hyperlink>
        </w:p>
        <w:p w14:paraId="165BF4BD" w14:textId="77777777" w:rsidR="00FE3B37" w:rsidRDefault="004F2C25">
          <w:pPr>
            <w:pStyle w:val="TOC2"/>
            <w:tabs>
              <w:tab w:val="right" w:leader="dot" w:pos="9025"/>
            </w:tabs>
          </w:pPr>
          <w:hyperlink w:anchor="_Toc18947">
            <w:r>
              <w:t>Stage 3: Study Selection</w:t>
            </w:r>
            <w:r>
              <w:tab/>
            </w:r>
            <w:r>
              <w:fldChar w:fldCharType="begin"/>
            </w:r>
            <w:r>
              <w:instrText>PAGEREF _Toc18947 \h</w:instrText>
            </w:r>
            <w:r>
              <w:fldChar w:fldCharType="separate"/>
            </w:r>
            <w:r>
              <w:t xml:space="preserve">7 </w:t>
            </w:r>
            <w:r>
              <w:fldChar w:fldCharType="end"/>
            </w:r>
          </w:hyperlink>
        </w:p>
        <w:p w14:paraId="60C8AEDB" w14:textId="77777777" w:rsidR="00FE3B37" w:rsidRDefault="004F2C25">
          <w:pPr>
            <w:pStyle w:val="TOC2"/>
            <w:tabs>
              <w:tab w:val="right" w:leader="dot" w:pos="9025"/>
            </w:tabs>
          </w:pPr>
          <w:hyperlink w:anchor="_Toc18948">
            <w:r>
              <w:t>Stage 4: Charting the Data</w:t>
            </w:r>
            <w:r>
              <w:tab/>
            </w:r>
            <w:r>
              <w:fldChar w:fldCharType="begin"/>
            </w:r>
            <w:r>
              <w:instrText>PAGEREF _Toc18948 \h</w:instrText>
            </w:r>
            <w:r>
              <w:fldChar w:fldCharType="separate"/>
            </w:r>
            <w:r>
              <w:t xml:space="preserve">8 </w:t>
            </w:r>
            <w:r>
              <w:fldChar w:fldCharType="end"/>
            </w:r>
          </w:hyperlink>
        </w:p>
        <w:p w14:paraId="0DE8EA3E" w14:textId="77777777" w:rsidR="00FE3B37" w:rsidRDefault="004F2C25">
          <w:pPr>
            <w:pStyle w:val="TOC2"/>
            <w:tabs>
              <w:tab w:val="right" w:leader="dot" w:pos="9025"/>
            </w:tabs>
          </w:pPr>
          <w:hyperlink w:anchor="_Toc18949">
            <w:r>
              <w:t>Stage 5: Reporting Results, Summarising and Collating Results</w:t>
            </w:r>
            <w:r>
              <w:tab/>
            </w:r>
            <w:r>
              <w:fldChar w:fldCharType="begin"/>
            </w:r>
            <w:r>
              <w:instrText>PAGEREF _Toc18949 \h</w:instrText>
            </w:r>
            <w:r>
              <w:fldChar w:fldCharType="separate"/>
            </w:r>
            <w:r>
              <w:t xml:space="preserve">8 </w:t>
            </w:r>
            <w:r>
              <w:fldChar w:fldCharType="end"/>
            </w:r>
          </w:hyperlink>
        </w:p>
        <w:p w14:paraId="3B6F0877" w14:textId="77777777" w:rsidR="00FE3B37" w:rsidRDefault="004F2C25">
          <w:pPr>
            <w:pStyle w:val="TOC2"/>
            <w:tabs>
              <w:tab w:val="right" w:leader="dot" w:pos="9025"/>
            </w:tabs>
          </w:pPr>
          <w:hyperlink w:anchor="_Toc18950">
            <w:r>
              <w:t>Ethical Considerations</w:t>
            </w:r>
            <w:r>
              <w:tab/>
            </w:r>
            <w:r>
              <w:fldChar w:fldCharType="begin"/>
            </w:r>
            <w:r>
              <w:instrText>PAGEREF _Toc18950 \h</w:instrText>
            </w:r>
            <w:r>
              <w:fldChar w:fldCharType="separate"/>
            </w:r>
            <w:r>
              <w:t xml:space="preserve">8 </w:t>
            </w:r>
            <w:r>
              <w:fldChar w:fldCharType="end"/>
            </w:r>
          </w:hyperlink>
        </w:p>
        <w:p w14:paraId="2DA4A30F" w14:textId="77777777" w:rsidR="00FE3B37" w:rsidRDefault="004F2C25">
          <w:pPr>
            <w:pStyle w:val="TOC1"/>
            <w:tabs>
              <w:tab w:val="right" w:leader="dot" w:pos="9025"/>
            </w:tabs>
          </w:pPr>
          <w:hyperlink w:anchor="_Toc18951">
            <w:r>
              <w:t>Results</w:t>
            </w:r>
            <w:r>
              <w:tab/>
            </w:r>
            <w:r>
              <w:fldChar w:fldCharType="begin"/>
            </w:r>
            <w:r>
              <w:instrText>PAGEREF _Toc18951 \h</w:instrText>
            </w:r>
            <w:r>
              <w:fldChar w:fldCharType="separate"/>
            </w:r>
            <w:r>
              <w:t xml:space="preserve">9 </w:t>
            </w:r>
            <w:r>
              <w:fldChar w:fldCharType="end"/>
            </w:r>
          </w:hyperlink>
        </w:p>
        <w:p w14:paraId="20104A85" w14:textId="77777777" w:rsidR="00FE3B37" w:rsidRDefault="004F2C25">
          <w:pPr>
            <w:pStyle w:val="TOC2"/>
            <w:tabs>
              <w:tab w:val="right" w:leader="dot" w:pos="9025"/>
            </w:tabs>
          </w:pPr>
          <w:hyperlink w:anchor="_Toc18952">
            <w:r>
              <w:t>Included Studies Characteristics</w:t>
            </w:r>
            <w:r>
              <w:tab/>
            </w:r>
            <w:r>
              <w:fldChar w:fldCharType="begin"/>
            </w:r>
            <w:r>
              <w:instrText>PAGEREF _Toc18952 \h</w:instrText>
            </w:r>
            <w:r>
              <w:fldChar w:fldCharType="separate"/>
            </w:r>
            <w:r>
              <w:t xml:space="preserve">9 </w:t>
            </w:r>
            <w:r>
              <w:fldChar w:fldCharType="end"/>
            </w:r>
          </w:hyperlink>
        </w:p>
        <w:p w14:paraId="2C07A284" w14:textId="77777777" w:rsidR="00FE3B37" w:rsidRDefault="004F2C25">
          <w:pPr>
            <w:pStyle w:val="TOC2"/>
            <w:tabs>
              <w:tab w:val="right" w:leader="dot" w:pos="9025"/>
            </w:tabs>
          </w:pPr>
          <w:hyperlink w:anchor="_Toc18953">
            <w:r>
              <w:t>Thematic Analysis</w:t>
            </w:r>
            <w:r>
              <w:tab/>
            </w:r>
            <w:r>
              <w:fldChar w:fldCharType="begin"/>
            </w:r>
            <w:r>
              <w:instrText>PAGEREF _Toc18953 \h</w:instrText>
            </w:r>
            <w:r>
              <w:fldChar w:fldCharType="separate"/>
            </w:r>
            <w:r>
              <w:t xml:space="preserve">10 </w:t>
            </w:r>
            <w:r>
              <w:fldChar w:fldCharType="end"/>
            </w:r>
          </w:hyperlink>
        </w:p>
        <w:p w14:paraId="3BF25F65" w14:textId="77777777" w:rsidR="00FE3B37" w:rsidRDefault="004F2C25">
          <w:pPr>
            <w:pStyle w:val="TOC2"/>
            <w:tabs>
              <w:tab w:val="right" w:leader="dot" w:pos="9025"/>
            </w:tabs>
          </w:pPr>
          <w:hyperlink w:anchor="_Toc18954">
            <w:r>
              <w:t>Summary of Results</w:t>
            </w:r>
            <w:r>
              <w:tab/>
            </w:r>
            <w:r>
              <w:fldChar w:fldCharType="begin"/>
            </w:r>
            <w:r>
              <w:instrText>PAGEREF _Toc18954 \h</w:instrText>
            </w:r>
            <w:r>
              <w:fldChar w:fldCharType="separate"/>
            </w:r>
            <w:r>
              <w:t xml:space="preserve">10 </w:t>
            </w:r>
            <w:r>
              <w:fldChar w:fldCharType="end"/>
            </w:r>
          </w:hyperlink>
        </w:p>
        <w:p w14:paraId="5C427D6E" w14:textId="77777777" w:rsidR="00FE3B37" w:rsidRDefault="004F2C25">
          <w:pPr>
            <w:pStyle w:val="TOC1"/>
            <w:tabs>
              <w:tab w:val="right" w:leader="dot" w:pos="9025"/>
            </w:tabs>
          </w:pPr>
          <w:hyperlink w:anchor="_Toc18955">
            <w:r>
              <w:t>Discussion</w:t>
            </w:r>
            <w:r>
              <w:tab/>
            </w:r>
            <w:r>
              <w:fldChar w:fldCharType="begin"/>
            </w:r>
            <w:r>
              <w:instrText>PAGEREF _Toc18955 \h</w:instrText>
            </w:r>
            <w:r>
              <w:fldChar w:fldCharType="separate"/>
            </w:r>
            <w:r>
              <w:t xml:space="preserve">12 </w:t>
            </w:r>
            <w:r>
              <w:fldChar w:fldCharType="end"/>
            </w:r>
          </w:hyperlink>
        </w:p>
        <w:p w14:paraId="7DD2D9B2" w14:textId="77777777" w:rsidR="00FE3B37" w:rsidRDefault="004F2C25">
          <w:pPr>
            <w:pStyle w:val="TOC2"/>
            <w:tabs>
              <w:tab w:val="right" w:leader="dot" w:pos="9025"/>
            </w:tabs>
          </w:pPr>
          <w:hyperlink w:anchor="_Toc18956">
            <w:r>
              <w:t>Comparative Effectiveness of Intervention Models</w:t>
            </w:r>
            <w:r>
              <w:tab/>
            </w:r>
            <w:r>
              <w:fldChar w:fldCharType="begin"/>
            </w:r>
            <w:r>
              <w:instrText>PAGEREF _Toc18956 \h</w:instrText>
            </w:r>
            <w:r>
              <w:fldChar w:fldCharType="separate"/>
            </w:r>
            <w:r>
              <w:t xml:space="preserve">12 </w:t>
            </w:r>
            <w:r>
              <w:fldChar w:fldCharType="end"/>
            </w:r>
          </w:hyperlink>
        </w:p>
        <w:p w14:paraId="1CF681B8" w14:textId="77777777" w:rsidR="00FE3B37" w:rsidRDefault="004F2C25">
          <w:pPr>
            <w:pStyle w:val="TOC2"/>
            <w:tabs>
              <w:tab w:val="right" w:leader="dot" w:pos="9025"/>
            </w:tabs>
          </w:pPr>
          <w:hyperlink w:anchor="_Toc18957">
            <w:r>
              <w:t>Methodological Quality and Strength of Evidence</w:t>
            </w:r>
            <w:r>
              <w:tab/>
            </w:r>
            <w:r>
              <w:fldChar w:fldCharType="begin"/>
            </w:r>
            <w:r>
              <w:instrText>PAGEREF _Toc18957 \h</w:instrText>
            </w:r>
            <w:r>
              <w:fldChar w:fldCharType="separate"/>
            </w:r>
            <w:r>
              <w:t xml:space="preserve">12 </w:t>
            </w:r>
            <w:r>
              <w:fldChar w:fldCharType="end"/>
            </w:r>
          </w:hyperlink>
        </w:p>
        <w:p w14:paraId="37DB33A8" w14:textId="77777777" w:rsidR="00FE3B37" w:rsidRDefault="004F2C25">
          <w:pPr>
            <w:pStyle w:val="TOC2"/>
            <w:tabs>
              <w:tab w:val="right" w:leader="dot" w:pos="9025"/>
            </w:tabs>
          </w:pPr>
          <w:hyperlink w:anchor="_Toc18958">
            <w:r>
              <w:t>Health Inequalities and Equity Considerations</w:t>
            </w:r>
            <w:r>
              <w:tab/>
            </w:r>
            <w:r>
              <w:fldChar w:fldCharType="begin"/>
            </w:r>
            <w:r>
              <w:instrText>PAGEREF _Toc18958 \h</w:instrText>
            </w:r>
            <w:r>
              <w:fldChar w:fldCharType="separate"/>
            </w:r>
            <w:r>
              <w:t xml:space="preserve">13 </w:t>
            </w:r>
            <w:r>
              <w:fldChar w:fldCharType="end"/>
            </w:r>
          </w:hyperlink>
        </w:p>
        <w:p w14:paraId="6F597644" w14:textId="77777777" w:rsidR="00FE3B37" w:rsidRDefault="004F2C25">
          <w:pPr>
            <w:pStyle w:val="TOC2"/>
            <w:tabs>
              <w:tab w:val="right" w:leader="dot" w:pos="9025"/>
            </w:tabs>
          </w:pPr>
          <w:hyperlink w:anchor="_Toc18959">
            <w:r>
              <w:t>Implications for UK Clinical Practice</w:t>
            </w:r>
            <w:r>
              <w:tab/>
            </w:r>
            <w:r>
              <w:fldChar w:fldCharType="begin"/>
            </w:r>
            <w:r>
              <w:instrText>PAGEREF _Toc18959 \h</w:instrText>
            </w:r>
            <w:r>
              <w:fldChar w:fldCharType="separate"/>
            </w:r>
            <w:r>
              <w:t xml:space="preserve">13 </w:t>
            </w:r>
            <w:r>
              <w:fldChar w:fldCharType="end"/>
            </w:r>
          </w:hyperlink>
        </w:p>
        <w:p w14:paraId="561AFE6C" w14:textId="77777777" w:rsidR="00FE3B37" w:rsidRDefault="004F2C25">
          <w:pPr>
            <w:pStyle w:val="TOC2"/>
            <w:tabs>
              <w:tab w:val="right" w:leader="dot" w:pos="9025"/>
            </w:tabs>
          </w:pPr>
          <w:hyperlink w:anchor="_Toc18960">
            <w:r>
              <w:t>Considerations and Gaps in Economic Research</w:t>
            </w:r>
            <w:r>
              <w:tab/>
            </w:r>
            <w:r>
              <w:fldChar w:fldCharType="begin"/>
            </w:r>
            <w:r>
              <w:instrText>PAGEREF _Toc18960 \h</w:instrText>
            </w:r>
            <w:r>
              <w:fldChar w:fldCharType="separate"/>
            </w:r>
            <w:r>
              <w:t xml:space="preserve">13 </w:t>
            </w:r>
            <w:r>
              <w:fldChar w:fldCharType="end"/>
            </w:r>
          </w:hyperlink>
        </w:p>
        <w:p w14:paraId="649F487A" w14:textId="77777777" w:rsidR="00FE3B37" w:rsidRDefault="004F2C25">
          <w:pPr>
            <w:pStyle w:val="TOC1"/>
            <w:tabs>
              <w:tab w:val="right" w:leader="dot" w:pos="9025"/>
            </w:tabs>
          </w:pPr>
          <w:hyperlink w:anchor="_Toc18961">
            <w:r>
              <w:t>Conclusion and Recommendations</w:t>
            </w:r>
            <w:r>
              <w:tab/>
            </w:r>
            <w:r>
              <w:fldChar w:fldCharType="begin"/>
            </w:r>
            <w:r>
              <w:instrText>PAGEREF _Toc18961 \h</w:instrText>
            </w:r>
            <w:r>
              <w:fldChar w:fldCharType="separate"/>
            </w:r>
            <w:r>
              <w:t xml:space="preserve">15 </w:t>
            </w:r>
            <w:r>
              <w:fldChar w:fldCharType="end"/>
            </w:r>
          </w:hyperlink>
        </w:p>
        <w:p w14:paraId="4DAC68F4" w14:textId="77777777" w:rsidR="00FE3B37" w:rsidRDefault="004F2C25">
          <w:r>
            <w:fldChar w:fldCharType="end"/>
          </w:r>
        </w:p>
      </w:sdtContent>
    </w:sdt>
    <w:p w14:paraId="6A434369" w14:textId="77777777" w:rsidR="00FE3B37" w:rsidRDefault="004F2C25">
      <w:pPr>
        <w:pStyle w:val="Heading1"/>
        <w:spacing w:after="205"/>
        <w:ind w:right="-11"/>
      </w:pPr>
      <w:bookmarkStart w:id="0" w:name="_Toc18940"/>
      <w:r>
        <w:t>Introduction</w:t>
      </w:r>
      <w:r>
        <w:t xml:space="preserve"> </w:t>
      </w:r>
      <w:bookmarkEnd w:id="0"/>
    </w:p>
    <w:p w14:paraId="317E0D21" w14:textId="77777777" w:rsidR="00FE3B37" w:rsidRDefault="004F2C25">
      <w:pPr>
        <w:ind w:left="-15" w:right="7"/>
      </w:pPr>
      <w:r>
        <w:t xml:space="preserve">Diabetes is ranks as one of the most fatal lifestyle diseases that is currently affecting the world’s physical, economic, and social structure. The World Health Organisation (WHO) alongside other entities like the Centre for Disease Prevention and Control (CDC) have highlighted the prevalence of the diabetic pandemic that is lives and social fabric. According </w:t>
      </w:r>
      <w:r>
        <w:lastRenderedPageBreak/>
        <w:t xml:space="preserve">to medical experts, diabetes is a chronic, progressive metabolic condition characterised by sustained hyperglycaemia resulting from defects in insulin secretion, insulin inaction, or both </w:t>
      </w:r>
    </w:p>
    <w:p w14:paraId="4BCA79BD" w14:textId="77777777" w:rsidR="00FE3B37" w:rsidRDefault="004F2C25">
      <w:pPr>
        <w:ind w:left="-15" w:right="7" w:firstLine="0"/>
      </w:pPr>
      <w:r>
        <w:t xml:space="preserve">(Popoviciu et al., 2023). As such, diabetes is broadly catergorised as either Type 1 or Type 2. For starters, Type 1 diabetes happens when a person’s immune system attacks the insulin producing cells in the pancreases, causing the body to not produce any insulin. Due to their inability to produce any insulin, people with Type 1 diabetes are required to take insulin on a daily basis to prevent hyperglycaemia (Sperling &amp; Laffel, 2022). On the other hand, Type 2 diabetes occurs when the body produces insulin, </w:t>
      </w:r>
      <w:r>
        <w:t xml:space="preserve">but the cells are resistant to it. Lewis et al. (2023) note that even though insulin might be produced, the resistant cells don’t allow absorption of glucose from the bloodstream, thereby leading to build up. In the United Kingdom and most other parts of the world, Type 2 Diabetes is more prevalent especially among middle aged people and adults. </w:t>
      </w:r>
      <w:r>
        <w:t xml:space="preserve"> </w:t>
      </w:r>
    </w:p>
    <w:p w14:paraId="31AD1DD4" w14:textId="77777777" w:rsidR="00FE3B37" w:rsidRDefault="004F2C25">
      <w:pPr>
        <w:ind w:left="-15" w:right="7"/>
      </w:pPr>
      <w:r>
        <w:t xml:space="preserve">Beyond these, Nikpour et al. (2022) highlights that Type 2 diabetes has been identified as the most challenging chronic illness to manage, especially from a financial and social point of view. As a lifestyle disease, the management of Type 2 diabetes rests on how well the patient will control the risk factors alongside a well-structured pharmacological treatment. Therefore, Ahmad &amp; Joshi (2023) noted that through processes such as monitoring the blood sugar levels, looking out for symptoms, sticking to the </w:t>
      </w:r>
      <w:r>
        <w:t xml:space="preserve">treatment regimens, watching the diets and working out continuously, diabetes patients can selfmanage the condition. In the UK, the government and stakeholders within the healthcare sector have developed and implemented strategies aimed at supporting adults in managing diabetes including education programs such as the DESMOND and DAFNE. While the process of self-care management has been attributed to better care and improved wellbeing, it is prudent to acknowledge that its implementation is complicated and </w:t>
      </w:r>
      <w:r>
        <w:t>therefore susceptible to many challenges. For instance, most research on diabetes has found that a significant proportion of patients fail to engage in adequate self-management</w:t>
      </w:r>
      <w:r>
        <w:t xml:space="preserve"> </w:t>
      </w:r>
      <w:r>
        <w:t xml:space="preserve">(Peng et al., 2022). This failure could be attributed to unstable socioeconomic situations, health literacy levels, and access to support services. </w:t>
      </w:r>
      <w:r>
        <w:t xml:space="preserve"> </w:t>
      </w:r>
    </w:p>
    <w:p w14:paraId="595E2382" w14:textId="77777777" w:rsidR="00FE3B37" w:rsidRDefault="004F2C25">
      <w:pPr>
        <w:spacing w:after="161"/>
        <w:ind w:left="-15" w:right="7"/>
      </w:pPr>
      <w:r>
        <w:t>Also, despite there being significant literature on self-monitoring approaches, the evidence is dispersed across different clinical settings, intervention formats, and outcome measures. Consequently, the data fragmentation may limit practitioners, commissioners, and policymakers’ ability to make better informed decisions on the self-management support strategies. In bid to address this issue, the current study aims to provide a structured overview of peer-reviewed UK research examining interventions that su</w:t>
      </w:r>
      <w:r>
        <w:t xml:space="preserve">pport selfmanagement in adults with diabetes. </w:t>
      </w:r>
      <w:r>
        <w:t xml:space="preserve"> </w:t>
      </w:r>
    </w:p>
    <w:p w14:paraId="0B8515BC" w14:textId="77777777" w:rsidR="00FE3B37" w:rsidRDefault="004F2C25">
      <w:pPr>
        <w:pStyle w:val="Heading2"/>
        <w:ind w:left="-5" w:right="0"/>
      </w:pPr>
      <w:bookmarkStart w:id="1" w:name="_Toc18941"/>
      <w:r>
        <w:lastRenderedPageBreak/>
        <w:t>Review Question</w:t>
      </w:r>
      <w:r>
        <w:t xml:space="preserve"> </w:t>
      </w:r>
      <w:bookmarkEnd w:id="1"/>
    </w:p>
    <w:p w14:paraId="0B9F892B" w14:textId="77777777" w:rsidR="00FE3B37" w:rsidRDefault="004F2C25">
      <w:pPr>
        <w:spacing w:after="162"/>
        <w:ind w:left="-15" w:right="7" w:firstLine="0"/>
      </w:pPr>
      <w:r>
        <w:t>What types of interventions have been implemented in the UK to support self-management in adults with diabetes, and what outcomes have been reported?</w:t>
      </w:r>
      <w:r>
        <w:rPr>
          <w:b/>
        </w:rPr>
        <w:t xml:space="preserve"> </w:t>
      </w:r>
    </w:p>
    <w:p w14:paraId="025DEF1F" w14:textId="77777777" w:rsidR="00FE3B37" w:rsidRDefault="004F2C25">
      <w:pPr>
        <w:pStyle w:val="Heading2"/>
        <w:ind w:left="-5" w:right="0"/>
      </w:pPr>
      <w:bookmarkStart w:id="2" w:name="_Toc18942"/>
      <w:r>
        <w:t>Objectives</w:t>
      </w:r>
      <w:r>
        <w:t xml:space="preserve"> </w:t>
      </w:r>
      <w:bookmarkEnd w:id="2"/>
    </w:p>
    <w:p w14:paraId="68AB2A16" w14:textId="77777777" w:rsidR="00FE3B37" w:rsidRDefault="004F2C25">
      <w:pPr>
        <w:numPr>
          <w:ilvl w:val="0"/>
          <w:numId w:val="1"/>
        </w:numPr>
        <w:ind w:right="7" w:hanging="360"/>
      </w:pPr>
      <w:r>
        <w:t>To identify peer-</w:t>
      </w:r>
      <w:r>
        <w:t>reviewed UK studies examining interventions designed to support self-management in adults with diabetes.</w:t>
      </w:r>
      <w:r>
        <w:t xml:space="preserve"> </w:t>
      </w:r>
    </w:p>
    <w:p w14:paraId="097A862F" w14:textId="77777777" w:rsidR="00FE3B37" w:rsidRDefault="004F2C25">
      <w:pPr>
        <w:numPr>
          <w:ilvl w:val="0"/>
          <w:numId w:val="1"/>
        </w:numPr>
        <w:ind w:right="7" w:hanging="360"/>
      </w:pPr>
      <w:r>
        <w:t>To categorise the types of self-management interventions implemented across UK health and social care settings.</w:t>
      </w:r>
      <w:r>
        <w:t xml:space="preserve"> </w:t>
      </w:r>
    </w:p>
    <w:p w14:paraId="3C7A6AAD" w14:textId="77777777" w:rsidR="00FE3B37" w:rsidRDefault="004F2C25">
      <w:pPr>
        <w:numPr>
          <w:ilvl w:val="0"/>
          <w:numId w:val="1"/>
        </w:numPr>
        <w:ind w:right="7" w:hanging="360"/>
      </w:pPr>
      <w:r>
        <w:t>To examine reported clinical, behavioural, and psychosocial outcomes associated with these interventions.</w:t>
      </w:r>
      <w:r>
        <w:t xml:space="preserve"> </w:t>
      </w:r>
    </w:p>
    <w:p w14:paraId="3F5B5221" w14:textId="77777777" w:rsidR="00FE3B37" w:rsidRDefault="004F2C25">
      <w:pPr>
        <w:numPr>
          <w:ilvl w:val="0"/>
          <w:numId w:val="1"/>
        </w:numPr>
        <w:ind w:right="7" w:hanging="360"/>
      </w:pPr>
      <w:r>
        <w:t>To identify gaps within the existing UK evidence base and consider implications for future research, policy, and professional practice.</w:t>
      </w:r>
      <w:r>
        <w:t xml:space="preserve"> </w:t>
      </w:r>
    </w:p>
    <w:p w14:paraId="2D6A8951" w14:textId="77777777" w:rsidR="00FE3B37" w:rsidRDefault="004F2C25">
      <w:pPr>
        <w:ind w:left="-15" w:right="7" w:firstLine="0"/>
      </w:pPr>
      <w:r>
        <w:t>By mapping the landscape of UK-based evidence, this review seeks to contribute to a clearer understanding of how self-management support is conceptualised, delivered, and evaluated within adult diabetes care, and to inform ongoing efforts to strengthen service provision within the NHS and associated health and social care systems.</w:t>
      </w:r>
      <w:r>
        <w:t xml:space="preserve"> </w:t>
      </w:r>
    </w:p>
    <w:p w14:paraId="6B22AD48" w14:textId="77777777" w:rsidR="00FE3B37" w:rsidRDefault="004F2C25">
      <w:pPr>
        <w:spacing w:after="126" w:line="259" w:lineRule="auto"/>
        <w:ind w:right="0" w:firstLine="0"/>
      </w:pPr>
      <w:r>
        <w:t xml:space="preserve"> </w:t>
      </w:r>
    </w:p>
    <w:p w14:paraId="2C5EA096" w14:textId="77777777" w:rsidR="00FE3B37" w:rsidRDefault="004F2C25">
      <w:pPr>
        <w:spacing w:after="0" w:line="259" w:lineRule="auto"/>
        <w:ind w:right="0" w:firstLine="0"/>
      </w:pPr>
      <w:r>
        <w:rPr>
          <w:b/>
        </w:rPr>
        <w:t xml:space="preserve"> </w:t>
      </w:r>
      <w:r>
        <w:rPr>
          <w:b/>
        </w:rPr>
        <w:tab/>
        <w:t xml:space="preserve"> </w:t>
      </w:r>
    </w:p>
    <w:p w14:paraId="45437707" w14:textId="77777777" w:rsidR="00FE3B37" w:rsidRDefault="004F2C25">
      <w:pPr>
        <w:pStyle w:val="Heading1"/>
        <w:spacing w:after="187"/>
        <w:ind w:left="15" w:right="8"/>
        <w:jc w:val="center"/>
      </w:pPr>
      <w:bookmarkStart w:id="3" w:name="_Toc18943"/>
      <w:r>
        <w:t>Background</w:t>
      </w:r>
      <w:r>
        <w:t xml:space="preserve"> </w:t>
      </w:r>
      <w:bookmarkEnd w:id="3"/>
    </w:p>
    <w:p w14:paraId="483A2DE5" w14:textId="77777777" w:rsidR="00FE3B37" w:rsidRDefault="004F2C25">
      <w:pPr>
        <w:ind w:left="-15" w:right="7"/>
      </w:pPr>
      <w:r>
        <w:t>In 2021, the global prevalence of Type 2 Diabetes was about 536.6 million people, with the number expected to surge to 783.2 million in 2045 (Song et al., 2023). In the United Kingdom, it was estimated that, in 2021, there were a total of 3.6 million people aged 16 and over in England with type 2 diabetes, with a prevalence of 7.8% (Office for Health Improvement and Disparities, 2025).</w:t>
      </w:r>
      <w:r>
        <w:t xml:space="preserve"> </w:t>
      </w:r>
      <w:r>
        <w:t xml:space="preserve">Currently, the National Health Service highlights that roughly 4.6 million people are diagnosed with diabetes in the UK. Furthermore, there is an estimated 850,000 additional people have T2D but are not yet diagnosed, with the numbers constantly increasing. Similarly, these skyrocketing numbers contribute to avoidable hospital admissions and long-term complications such as cardiovascular disease, renal impairment, neuropathy, and sight loss. </w:t>
      </w:r>
      <w:r>
        <w:t xml:space="preserve"> </w:t>
      </w:r>
    </w:p>
    <w:p w14:paraId="7AFF88AC" w14:textId="77777777" w:rsidR="00FE3B37" w:rsidRDefault="004F2C25">
      <w:pPr>
        <w:ind w:left="-15" w:right="7"/>
      </w:pPr>
      <w:r>
        <w:t>The increasing pressure has caused the UK health policy to focus on prevention, early intervention, and patient-centred care. National Institute of Health and Care Excellence (NICE) provides specific guidance on how Type 1 and Type 2 diabetes should be managed, highlighting structured education and ongoing support for self-management as the main pillars of effective care (National Institute for Health and Care Excellence, 2023). These guidelines are consistent with the larger NHS policies of encouraging ind</w:t>
      </w:r>
      <w:r>
        <w:t xml:space="preserve">ividualised care, joint decision making, and management of long-term conditions beyond the acute hospital </w:t>
      </w:r>
      <w:r>
        <w:lastRenderedPageBreak/>
        <w:t>settings. Self-management support is thus positioned as a clinical strategy, as well as a system level strategy, aimed at minimizing unnecessary complications and place strain on secondary care services.</w:t>
      </w:r>
      <w:r>
        <w:t xml:space="preserve"> </w:t>
      </w:r>
    </w:p>
    <w:p w14:paraId="382B3090" w14:textId="77777777" w:rsidR="00FE3B37" w:rsidRDefault="004F2C25">
      <w:pPr>
        <w:ind w:left="-15" w:right="7"/>
      </w:pPr>
      <w:r>
        <w:t>Structured education programmes have become a key feature of diabetes services in the UK. In T2D, programmes such as DESMOND (Diabetes Education and Self-</w:t>
      </w:r>
    </w:p>
    <w:p w14:paraId="6BF2C460" w14:textId="77777777" w:rsidR="00FE3B37" w:rsidRDefault="004F2C25">
      <w:pPr>
        <w:ind w:left="-15" w:right="7" w:firstLine="0"/>
      </w:pPr>
      <w:r>
        <w:t>Management for Ongoing and Newly Diagnosed) enhance patients’ knowledge, confidence in self-care behaviours, and glycaemic control (Scannell et al., 2025). For Type 1 diabetes, programmes such as DAFNE (Dose Adjustment for Normal Eating) serve a similar purpose (Riordan et al., 2024). These interventions typically involve group learning, behaviourchange strategies, and professional facilitation, reflecting the assumption that improvements in knowledge and self-efficacy will translate into sustained behaviou</w:t>
      </w:r>
      <w:r>
        <w:t>ral change and better clinical outcomes.</w:t>
      </w:r>
      <w:r>
        <w:t xml:space="preserve"> </w:t>
      </w:r>
    </w:p>
    <w:p w14:paraId="5B647C54" w14:textId="77777777" w:rsidR="00FE3B37" w:rsidRDefault="004F2C25">
      <w:pPr>
        <w:ind w:left="-15" w:right="7"/>
      </w:pPr>
      <w:r>
        <w:t>Digital health technologies have also become increasingly important in diabetes management. Remote glucose monitoring systems, smartphone applications, online learning platforms, and telehealth consultations can improve accessibility and continuity of care (Maida et al., 2025). The COVID-19 pandemic accelerated the adoption of digital solutions in the NHS. While such interventions may enhance convenience and patient engagement, concerns remain regarding digital literacy, data interpretation, and equitable a</w:t>
      </w:r>
      <w:r>
        <w:t>ccess. Patients from socioeconomically deprived backgrounds or older age groups may face barriers to using technology-based interventions, potentially exacerbating existing health disparities.</w:t>
      </w:r>
      <w:r>
        <w:t xml:space="preserve"> </w:t>
      </w:r>
    </w:p>
    <w:p w14:paraId="39027A42" w14:textId="77777777" w:rsidR="00FE3B37" w:rsidRDefault="004F2C25">
      <w:pPr>
        <w:ind w:left="-15" w:right="7"/>
      </w:pPr>
      <w:r>
        <w:t>Health inequalities remain an important consideration in the UK diabetes context. Prevalence rates are higher in socially deprived areas and among certain ethnic minority groups (Au-Yeung et al., 2024). The development and management of diabetes are influenced by social determinants of health, such as income, housing stability, employment status, and access to healthy food. Interventions that focus primarily on individual behaviour change, without addressing these broader determinants, may have limited impa</w:t>
      </w:r>
      <w:r>
        <w:t xml:space="preserve">ct. </w:t>
      </w:r>
    </w:p>
    <w:p w14:paraId="2F19045A" w14:textId="77777777" w:rsidR="00FE3B37" w:rsidRDefault="004F2C25">
      <w:pPr>
        <w:ind w:left="-15" w:right="7" w:firstLine="0"/>
      </w:pPr>
      <w:r>
        <w:t>Therefore, contextual factors must be carefully considered when evaluating the effectiveness of self-management support.</w:t>
      </w:r>
      <w:r>
        <w:t xml:space="preserve"> </w:t>
      </w:r>
    </w:p>
    <w:p w14:paraId="6DC8CA62" w14:textId="77777777" w:rsidR="00FE3B37" w:rsidRDefault="004F2C25">
      <w:pPr>
        <w:ind w:left="-15" w:right="7"/>
      </w:pPr>
      <w:r>
        <w:t xml:space="preserve">Although numerous self-management initiatives have been implemented across the UK, the evidence base is heterogeneous. Studies differ in design, timing, target population, outcome measures, and theoretical frameworks. Some emphasise biomedical indicators, such as HbA1c levels, while others focus on psychosocial outcomes, including self-efficacy, quality of life, and patient activation. This methodological diversity complicates the development of a consistent understanding of self-management support and its </w:t>
      </w:r>
      <w:r>
        <w:t>evaluation among the adult population in the UK.</w:t>
      </w:r>
      <w:r>
        <w:t xml:space="preserve"> </w:t>
      </w:r>
    </w:p>
    <w:p w14:paraId="4B08FBB3" w14:textId="77777777" w:rsidR="00FE3B37" w:rsidRDefault="004F2C25">
      <w:pPr>
        <w:ind w:left="-15" w:right="7"/>
      </w:pPr>
      <w:r>
        <w:lastRenderedPageBreak/>
        <w:t>A scoping review is therefore appropriate to systematically map the available peerreviewed research in this area. By identifying the types of interventions conducted and the outcomes reported, it is possible to clarify existing practices, highlight consistencies and inconsistencies, and identify areas for future research. In the context of increasing diabetes prevalence and ongoing pressures on NHS resources, synthesising the evidence is crucial to inform service development, commissioning, and research pri</w:t>
      </w:r>
      <w:r>
        <w:t>orities.</w:t>
      </w:r>
      <w:r>
        <w:t xml:space="preserve"> </w:t>
      </w:r>
    </w:p>
    <w:p w14:paraId="32ACE3A9" w14:textId="77777777" w:rsidR="00FE3B37" w:rsidRDefault="004F2C25">
      <w:pPr>
        <w:spacing w:after="121" w:line="259" w:lineRule="auto"/>
        <w:ind w:right="0" w:firstLine="0"/>
      </w:pPr>
      <w:r>
        <w:t xml:space="preserve"> </w:t>
      </w:r>
    </w:p>
    <w:p w14:paraId="2DA697DF" w14:textId="77777777" w:rsidR="00FE3B37" w:rsidRDefault="004F2C25">
      <w:pPr>
        <w:spacing w:after="0" w:line="259" w:lineRule="auto"/>
        <w:ind w:right="0" w:firstLine="0"/>
      </w:pPr>
      <w:r>
        <w:t xml:space="preserve"> </w:t>
      </w:r>
      <w:r>
        <w:tab/>
        <w:t xml:space="preserve"> </w:t>
      </w:r>
    </w:p>
    <w:p w14:paraId="6B1D18CE" w14:textId="77777777" w:rsidR="00FE3B37" w:rsidRDefault="004F2C25">
      <w:pPr>
        <w:spacing w:after="467" w:line="259" w:lineRule="auto"/>
        <w:ind w:right="0" w:firstLine="0"/>
      </w:pPr>
      <w:r>
        <w:t xml:space="preserve"> </w:t>
      </w:r>
    </w:p>
    <w:p w14:paraId="564D8C06" w14:textId="77777777" w:rsidR="00FE3B37" w:rsidRDefault="004F2C25">
      <w:pPr>
        <w:pStyle w:val="Heading1"/>
        <w:spacing w:after="187"/>
        <w:ind w:left="15" w:right="0"/>
        <w:jc w:val="center"/>
      </w:pPr>
      <w:bookmarkStart w:id="4" w:name="_Toc18944"/>
      <w:r>
        <w:t>Methods</w:t>
      </w:r>
      <w:r>
        <w:t xml:space="preserve"> </w:t>
      </w:r>
      <w:bookmarkEnd w:id="4"/>
    </w:p>
    <w:p w14:paraId="78019F50" w14:textId="77777777" w:rsidR="00FE3B37" w:rsidRDefault="004F2C25">
      <w:pPr>
        <w:spacing w:after="161"/>
        <w:ind w:left="-15" w:right="7"/>
      </w:pPr>
      <w:r>
        <w:t xml:space="preserve">The rationale for conducting this scoping review was to provide a systematic mapping of the breadth and nature of peer-reviewed research in the UK exploring interventions to support adults with diabetes in self-management. The review was conducted in the methodological approach suggested by Arksey and O'Malley (2005) and reported on the PRISMA extension of scoping reviews proposed by Tricco et al. (2018) in the following stages.  </w:t>
      </w:r>
      <w:r>
        <w:t xml:space="preserve"> </w:t>
      </w:r>
    </w:p>
    <w:p w14:paraId="7149B7CC" w14:textId="77777777" w:rsidR="00FE3B37" w:rsidRDefault="004F2C25">
      <w:pPr>
        <w:pStyle w:val="Heading2"/>
        <w:ind w:left="-5" w:right="0"/>
      </w:pPr>
      <w:bookmarkStart w:id="5" w:name="_Toc18945"/>
      <w:r>
        <w:t>Stage 1: Research Question Formulation.</w:t>
      </w:r>
      <w:r>
        <w:t xml:space="preserve"> </w:t>
      </w:r>
      <w:bookmarkEnd w:id="5"/>
    </w:p>
    <w:p w14:paraId="341CF124" w14:textId="77777777" w:rsidR="00FE3B37" w:rsidRDefault="004F2C25">
      <w:pPr>
        <w:spacing w:after="162"/>
        <w:ind w:left="-15" w:right="7"/>
      </w:pPr>
      <w:r>
        <w:t>The review question was developed to examine the nature of interventions implemented in UK settings to support self-management in adults with diabetes and the outcomes reported in peer-reviewed literature. The question was deliberately broad to include both Type 1 and Type 2 diabetes, encompassing structured education, digital tools, nurse-led models, and community-based approaches.</w:t>
      </w:r>
      <w:r>
        <w:t xml:space="preserve"> </w:t>
      </w:r>
    </w:p>
    <w:p w14:paraId="555BB86F" w14:textId="77777777" w:rsidR="00FE3B37" w:rsidRDefault="004F2C25">
      <w:pPr>
        <w:pStyle w:val="Heading2"/>
        <w:ind w:left="-5" w:right="0"/>
      </w:pPr>
      <w:bookmarkStart w:id="6" w:name="_Toc18946"/>
      <w:r>
        <w:t>Stage 2: Process of Relevant Studies.</w:t>
      </w:r>
      <w:r>
        <w:t xml:space="preserve"> </w:t>
      </w:r>
      <w:bookmarkEnd w:id="6"/>
    </w:p>
    <w:p w14:paraId="3ABF69AB" w14:textId="77777777" w:rsidR="00FE3B37" w:rsidRDefault="004F2C25">
      <w:pPr>
        <w:ind w:left="-15" w:right="7"/>
      </w:pPr>
      <w:r>
        <w:t xml:space="preserve">To identify peer-reviewed literature, a search strategy was designed using the structured search strategy on PubMed electronic database. This database was chosen comprehensive coverage of health, nursing, medical, and allied health research. </w:t>
      </w:r>
      <w:r>
        <w:t xml:space="preserve"> </w:t>
      </w:r>
    </w:p>
    <w:p w14:paraId="5C459BD0" w14:textId="77777777" w:rsidR="00FE3B37" w:rsidRDefault="004F2C25">
      <w:pPr>
        <w:spacing w:after="141" w:line="259" w:lineRule="auto"/>
        <w:ind w:left="-15" w:right="7" w:firstLine="0"/>
      </w:pPr>
      <w:r>
        <w:t>Key search concepts were derived from the review question and included:</w:t>
      </w:r>
      <w:r>
        <w:t xml:space="preserve"> </w:t>
      </w:r>
    </w:p>
    <w:p w14:paraId="75775A78" w14:textId="77777777" w:rsidR="00FE3B37" w:rsidRDefault="004F2C25">
      <w:pPr>
        <w:numPr>
          <w:ilvl w:val="0"/>
          <w:numId w:val="2"/>
        </w:numPr>
        <w:spacing w:after="105" w:line="259" w:lineRule="auto"/>
        <w:ind w:right="7" w:hanging="360"/>
      </w:pPr>
      <w:r>
        <w:t>"diabetes" OR Type 1 diabetes" OR Type 2 diabetes</w:t>
      </w:r>
      <w:r>
        <w:t xml:space="preserve"> </w:t>
      </w:r>
    </w:p>
    <w:p w14:paraId="7ED69A9C" w14:textId="77777777" w:rsidR="00FE3B37" w:rsidRDefault="004F2C25">
      <w:pPr>
        <w:numPr>
          <w:ilvl w:val="0"/>
          <w:numId w:val="2"/>
        </w:numPr>
        <w:spacing w:after="105" w:line="259" w:lineRule="auto"/>
        <w:ind w:right="7" w:hanging="360"/>
      </w:pPr>
      <w:r>
        <w:t>"self-management" OR "self-care"</w:t>
      </w:r>
      <w:r>
        <w:t xml:space="preserve"> </w:t>
      </w:r>
    </w:p>
    <w:p w14:paraId="09F65DF8" w14:textId="77777777" w:rsidR="00FE3B37" w:rsidRDefault="004F2C25">
      <w:pPr>
        <w:numPr>
          <w:ilvl w:val="0"/>
          <w:numId w:val="2"/>
        </w:numPr>
        <w:spacing w:after="105" w:line="259" w:lineRule="auto"/>
        <w:ind w:right="7" w:hanging="360"/>
      </w:pPr>
      <w:r>
        <w:t>intervention or programme or education or digital health or telehealth</w:t>
      </w:r>
      <w:r>
        <w:t xml:space="preserve"> </w:t>
      </w:r>
    </w:p>
    <w:p w14:paraId="4B7F99FB" w14:textId="77777777" w:rsidR="00FE3B37" w:rsidRDefault="004F2C25">
      <w:pPr>
        <w:numPr>
          <w:ilvl w:val="0"/>
          <w:numId w:val="2"/>
        </w:numPr>
        <w:spacing w:after="226" w:line="259" w:lineRule="auto"/>
        <w:ind w:right="7" w:hanging="360"/>
      </w:pPr>
      <w:r>
        <w:t>"United Kingdom" OR "UK".</w:t>
      </w:r>
      <w:r>
        <w:t xml:space="preserve"> </w:t>
      </w:r>
    </w:p>
    <w:p w14:paraId="7943166F" w14:textId="77777777" w:rsidR="00FE3B37" w:rsidRDefault="004F2C25">
      <w:pPr>
        <w:pStyle w:val="Heading2"/>
        <w:ind w:left="-5" w:right="0"/>
      </w:pPr>
      <w:bookmarkStart w:id="7" w:name="_Toc18947"/>
      <w:r>
        <w:t>Stage 3: Study Selection</w:t>
      </w:r>
      <w:r>
        <w:t xml:space="preserve"> </w:t>
      </w:r>
      <w:bookmarkEnd w:id="7"/>
    </w:p>
    <w:p w14:paraId="1DC0A1E1" w14:textId="77777777" w:rsidR="00FE3B37" w:rsidRDefault="004F2C25">
      <w:pPr>
        <w:spacing w:after="36"/>
        <w:ind w:left="-15" w:right="7" w:firstLine="0"/>
      </w:pPr>
      <w:r>
        <w:t>To help bring transparency and consistency, inclusion and exclusion criteria were set before screening. To be included, the articles were required to be:</w:t>
      </w:r>
      <w:r>
        <w:t xml:space="preserve"> </w:t>
      </w:r>
    </w:p>
    <w:p w14:paraId="020EEA77" w14:textId="77777777" w:rsidR="00FE3B37" w:rsidRDefault="004F2C25">
      <w:pPr>
        <w:numPr>
          <w:ilvl w:val="0"/>
          <w:numId w:val="3"/>
        </w:numPr>
        <w:spacing w:after="75" w:line="259" w:lineRule="auto"/>
        <w:ind w:right="7" w:hanging="360"/>
      </w:pPr>
      <w:r>
        <w:lastRenderedPageBreak/>
        <w:t>Peer-reviewed journal articles.</w:t>
      </w:r>
      <w:r>
        <w:t xml:space="preserve"> </w:t>
      </w:r>
    </w:p>
    <w:p w14:paraId="114593C7" w14:textId="77777777" w:rsidR="00FE3B37" w:rsidRDefault="004F2C25">
      <w:pPr>
        <w:numPr>
          <w:ilvl w:val="0"/>
          <w:numId w:val="3"/>
        </w:numPr>
        <w:spacing w:after="98" w:line="259" w:lineRule="auto"/>
        <w:ind w:right="7" w:hanging="360"/>
      </w:pPr>
      <w:r>
        <w:t>Research conducted in the United Kingdom</w:t>
      </w:r>
      <w:r>
        <w:t xml:space="preserve"> </w:t>
      </w:r>
    </w:p>
    <w:p w14:paraId="3542E3C8" w14:textId="77777777" w:rsidR="00FE3B37" w:rsidRDefault="004F2C25">
      <w:pPr>
        <w:numPr>
          <w:ilvl w:val="0"/>
          <w:numId w:val="3"/>
        </w:numPr>
        <w:spacing w:after="98" w:line="259" w:lineRule="auto"/>
        <w:ind w:right="7" w:hanging="360"/>
      </w:pPr>
      <w:r>
        <w:t>Adult population (18 years and over) with Type 1 or Type 2 diabetes</w:t>
      </w:r>
      <w:r>
        <w:t xml:space="preserve"> </w:t>
      </w:r>
    </w:p>
    <w:p w14:paraId="622939C2" w14:textId="77777777" w:rsidR="00FE3B37" w:rsidRDefault="004F2C25">
      <w:pPr>
        <w:numPr>
          <w:ilvl w:val="0"/>
          <w:numId w:val="3"/>
        </w:numPr>
        <w:ind w:right="7" w:hanging="360"/>
      </w:pPr>
      <w:r>
        <w:t>Research evaluating or analysing an intervention aimed at supporting selfmanagement</w:t>
      </w:r>
      <w:r>
        <w:t xml:space="preserve"> </w:t>
      </w:r>
    </w:p>
    <w:p w14:paraId="6299B9F7" w14:textId="77777777" w:rsidR="00FE3B37" w:rsidRDefault="004F2C25">
      <w:pPr>
        <w:numPr>
          <w:ilvl w:val="0"/>
          <w:numId w:val="3"/>
        </w:numPr>
        <w:ind w:right="7" w:hanging="360"/>
      </w:pPr>
      <w:r>
        <w:t>Quantitative, qualitative, and mixed-methods study designs</w:t>
      </w:r>
      <w:r>
        <w:t xml:space="preserve"> </w:t>
      </w:r>
      <w:r>
        <w:t>Exclusion criteria:</w:t>
      </w:r>
      <w:r>
        <w:t xml:space="preserve"> </w:t>
      </w:r>
    </w:p>
    <w:p w14:paraId="3E80278D" w14:textId="77777777" w:rsidR="00FE3B37" w:rsidRDefault="004F2C25">
      <w:pPr>
        <w:numPr>
          <w:ilvl w:val="0"/>
          <w:numId w:val="3"/>
        </w:numPr>
        <w:spacing w:after="99" w:line="259" w:lineRule="auto"/>
        <w:ind w:right="7" w:hanging="360"/>
      </w:pPr>
      <w:r>
        <w:t>Studies conducted outside the UK</w:t>
      </w:r>
      <w:r>
        <w:t xml:space="preserve"> </w:t>
      </w:r>
    </w:p>
    <w:p w14:paraId="557A1880" w14:textId="77777777" w:rsidR="00FE3B37" w:rsidRDefault="004F2C25">
      <w:pPr>
        <w:numPr>
          <w:ilvl w:val="0"/>
          <w:numId w:val="3"/>
        </w:numPr>
        <w:spacing w:after="98" w:line="259" w:lineRule="auto"/>
        <w:ind w:right="7" w:hanging="360"/>
      </w:pPr>
      <w:r>
        <w:t>Paediatric or adolescent populations</w:t>
      </w:r>
      <w:r>
        <w:t xml:space="preserve"> </w:t>
      </w:r>
    </w:p>
    <w:p w14:paraId="480ABCE4" w14:textId="77777777" w:rsidR="00FE3B37" w:rsidRDefault="004F2C25">
      <w:pPr>
        <w:numPr>
          <w:ilvl w:val="0"/>
          <w:numId w:val="3"/>
        </w:numPr>
        <w:spacing w:after="96" w:line="259" w:lineRule="auto"/>
        <w:ind w:right="7" w:hanging="360"/>
      </w:pPr>
      <w:r>
        <w:t>Commentary papers, conference abstracts, editorials, or grey literature</w:t>
      </w:r>
      <w:r>
        <w:t xml:space="preserve"> </w:t>
      </w:r>
    </w:p>
    <w:p w14:paraId="5EFD613A" w14:textId="77777777" w:rsidR="00FE3B37" w:rsidRDefault="004F2C25">
      <w:pPr>
        <w:numPr>
          <w:ilvl w:val="0"/>
          <w:numId w:val="3"/>
        </w:numPr>
        <w:spacing w:after="156"/>
        <w:ind w:right="7" w:hanging="360"/>
      </w:pPr>
      <w:r>
        <w:t>Research focusing solely on pharmacological effectiveness without a selfmanagement component</w:t>
      </w:r>
      <w:r>
        <w:t xml:space="preserve"> </w:t>
      </w:r>
    </w:p>
    <w:p w14:paraId="3987C536" w14:textId="77777777" w:rsidR="00FE3B37" w:rsidRDefault="004F2C25">
      <w:pPr>
        <w:pStyle w:val="Heading2"/>
        <w:ind w:left="-5" w:right="0"/>
      </w:pPr>
      <w:bookmarkStart w:id="8" w:name="_Toc18948"/>
      <w:r>
        <w:t>Stage 4: Charting the Data</w:t>
      </w:r>
      <w:r>
        <w:t xml:space="preserve"> </w:t>
      </w:r>
      <w:bookmarkEnd w:id="8"/>
    </w:p>
    <w:p w14:paraId="28A58BF9" w14:textId="77777777" w:rsidR="00FE3B37" w:rsidRDefault="004F2C25">
      <w:pPr>
        <w:spacing w:after="161" w:line="360" w:lineRule="auto"/>
        <w:ind w:left="-15" w:right="281"/>
        <w:jc w:val="both"/>
      </w:pPr>
      <w:r>
        <w:t>The process of data extraction was performed on the basis of a structured charting table created to conduct the review. The table allowed recording of Author(s), Year, Population Intervention, Study Design, Key Findings / Outcomes, and Themes.</w:t>
      </w:r>
      <w:r>
        <w:t xml:space="preserve"> </w:t>
      </w:r>
    </w:p>
    <w:p w14:paraId="71F7A3C0" w14:textId="77777777" w:rsidR="00FE3B37" w:rsidRDefault="004F2C25">
      <w:pPr>
        <w:pStyle w:val="Heading2"/>
        <w:ind w:left="-5" w:right="0"/>
      </w:pPr>
      <w:bookmarkStart w:id="9" w:name="_Toc18949"/>
      <w:r>
        <w:t>Stage 5: Reporting Results, Summarising and Collating Results.</w:t>
      </w:r>
      <w:r>
        <w:t xml:space="preserve"> </w:t>
      </w:r>
      <w:bookmarkEnd w:id="9"/>
    </w:p>
    <w:p w14:paraId="4451E3DA" w14:textId="77777777" w:rsidR="00FE3B37" w:rsidRDefault="004F2C25">
      <w:pPr>
        <w:spacing w:after="161"/>
        <w:ind w:left="-15" w:right="7"/>
      </w:pPr>
      <w:r>
        <w:t>A descriptive analytical approach was adopted. Rather than synthesising effect sizes, findings were presented narratively and organised thematically. Inductive thematic analysis was applied to identify patterns across studies. Extracted data were coded to determine recurrent intervention types and outcome domains. Codes were then grouped into broader themes reflecting typical features and effects of the interventions. Themes were refined to accurately represent the included studies and address the review qu</w:t>
      </w:r>
      <w:r>
        <w:t>estion, focusing on similarities and differences in intervention design, implementation context, and reported outcomes.</w:t>
      </w:r>
      <w:r>
        <w:t xml:space="preserve"> </w:t>
      </w:r>
    </w:p>
    <w:p w14:paraId="149EF9A4" w14:textId="77777777" w:rsidR="00FE3B37" w:rsidRDefault="004F2C25">
      <w:pPr>
        <w:pStyle w:val="Heading2"/>
        <w:ind w:left="-5" w:right="0"/>
      </w:pPr>
      <w:bookmarkStart w:id="10" w:name="_Toc18950"/>
      <w:r>
        <w:t>Ethical Considerations</w:t>
      </w:r>
      <w:r>
        <w:t xml:space="preserve"> </w:t>
      </w:r>
      <w:bookmarkEnd w:id="10"/>
    </w:p>
    <w:p w14:paraId="31DBBB15" w14:textId="77777777" w:rsidR="00FE3B37" w:rsidRDefault="004F2C25">
      <w:pPr>
        <w:ind w:left="-15" w:right="7"/>
      </w:pPr>
      <w:r>
        <w:t>Since the present review employed publicly available research that had been published earlier, the formal approval of the ethical conduct was not needed. Nonetheless, the review was carried out following the principles of academic integrity such as reporting of methods transparently, proper referencing of sources, and objective presentation of the findings.</w:t>
      </w:r>
      <w:r>
        <w:t xml:space="preserve"> </w:t>
      </w:r>
    </w:p>
    <w:p w14:paraId="55A4D870" w14:textId="77777777" w:rsidR="00FE3B37" w:rsidRDefault="004F2C25">
      <w:pPr>
        <w:spacing w:line="360" w:lineRule="auto"/>
        <w:ind w:left="-15" w:right="543"/>
        <w:jc w:val="both"/>
      </w:pPr>
      <w:r>
        <w:t>Through a clear and systematic methodology, this scoping review provides a coherent summary of peer-reviewed UK studies investigating self-</w:t>
      </w:r>
      <w:r>
        <w:t>management support interventions for adults with diabetes.</w:t>
      </w:r>
      <w:r>
        <w:t xml:space="preserve">  </w:t>
      </w:r>
    </w:p>
    <w:p w14:paraId="3010294A" w14:textId="77777777" w:rsidR="00FE3B37" w:rsidRDefault="004F2C25">
      <w:pPr>
        <w:pStyle w:val="Heading1"/>
        <w:spacing w:after="187"/>
        <w:ind w:left="15" w:right="4"/>
        <w:jc w:val="center"/>
      </w:pPr>
      <w:bookmarkStart w:id="11" w:name="_Toc18951"/>
      <w:r>
        <w:lastRenderedPageBreak/>
        <w:t>Results</w:t>
      </w:r>
      <w:r>
        <w:t xml:space="preserve"> </w:t>
      </w:r>
      <w:bookmarkEnd w:id="11"/>
    </w:p>
    <w:p w14:paraId="770CC53C" w14:textId="77777777" w:rsidR="00FE3B37" w:rsidRDefault="004F2C25">
      <w:pPr>
        <w:pStyle w:val="Heading3"/>
        <w:spacing w:after="107"/>
        <w:ind w:left="-5" w:right="0"/>
      </w:pPr>
      <w:r>
        <w:t>Study Selection</w:t>
      </w:r>
      <w:r>
        <w:t xml:space="preserve"> </w:t>
      </w:r>
    </w:p>
    <w:p w14:paraId="3FF78855" w14:textId="77777777" w:rsidR="00FE3B37" w:rsidRDefault="004F2C25">
      <w:pPr>
        <w:spacing w:after="161"/>
        <w:ind w:left="-15" w:right="7"/>
      </w:pPr>
      <w:r>
        <w:t>The scoping review identified interventions aimed at enhancing self-management in adults with Type 1 and Type 2 diabetes. The initial search yielded 96 records. After removing duplicates and screening titles and abstracts against inclusion criteria, 18 studies were identified as potentially relevant. Full-text assessment resulted in six articles being selected for detailed analysis based on relevance to the review question, methodological quality, and diversity of intervention types.</w:t>
      </w:r>
      <w:r>
        <w:t xml:space="preserve"> </w:t>
      </w:r>
    </w:p>
    <w:p w14:paraId="1635F056" w14:textId="77777777" w:rsidR="00FE3B37" w:rsidRDefault="004F2C25">
      <w:pPr>
        <w:pStyle w:val="Heading2"/>
        <w:spacing w:after="0"/>
        <w:ind w:left="-5" w:right="0"/>
      </w:pPr>
      <w:bookmarkStart w:id="12" w:name="_Toc18952"/>
      <w:r>
        <w:t>Included Studies Characteristics.</w:t>
      </w:r>
      <w:r>
        <w:t xml:space="preserve"> </w:t>
      </w:r>
      <w:bookmarkEnd w:id="12"/>
    </w:p>
    <w:tbl>
      <w:tblPr>
        <w:tblStyle w:val="TableGrid"/>
        <w:tblW w:w="9044" w:type="dxa"/>
        <w:tblInd w:w="-15" w:type="dxa"/>
        <w:tblCellMar>
          <w:top w:w="50" w:type="dxa"/>
          <w:left w:w="0" w:type="dxa"/>
          <w:bottom w:w="0" w:type="dxa"/>
          <w:right w:w="139" w:type="dxa"/>
        </w:tblCellMar>
        <w:tblLook w:val="04A0" w:firstRow="1" w:lastRow="0" w:firstColumn="1" w:lastColumn="0" w:noHBand="0" w:noVBand="1"/>
      </w:tblPr>
      <w:tblGrid>
        <w:gridCol w:w="558"/>
        <w:gridCol w:w="1056"/>
        <w:gridCol w:w="1485"/>
        <w:gridCol w:w="1521"/>
        <w:gridCol w:w="1314"/>
        <w:gridCol w:w="1587"/>
        <w:gridCol w:w="1717"/>
      </w:tblGrid>
      <w:tr w:rsidR="00FE3B37" w14:paraId="2DD454D8" w14:textId="77777777">
        <w:trPr>
          <w:trHeight w:val="515"/>
        </w:trPr>
        <w:tc>
          <w:tcPr>
            <w:tcW w:w="671" w:type="dxa"/>
            <w:tcBorders>
              <w:top w:val="single" w:sz="4" w:space="0" w:color="7F7F7F"/>
              <w:left w:val="nil"/>
              <w:bottom w:val="single" w:sz="4" w:space="0" w:color="7F7F7F"/>
              <w:right w:val="nil"/>
            </w:tcBorders>
          </w:tcPr>
          <w:p w14:paraId="2E51C359" w14:textId="77777777" w:rsidR="00FE3B37" w:rsidRDefault="004F2C25">
            <w:pPr>
              <w:spacing w:after="0" w:line="259" w:lineRule="auto"/>
              <w:ind w:left="125" w:right="0" w:firstLine="0"/>
            </w:pPr>
            <w:r>
              <w:rPr>
                <w:b/>
              </w:rPr>
              <w:t>No</w:t>
            </w:r>
          </w:p>
          <w:p w14:paraId="11BFF857" w14:textId="77777777" w:rsidR="00FE3B37" w:rsidRDefault="004F2C25">
            <w:pPr>
              <w:spacing w:after="0" w:line="259" w:lineRule="auto"/>
              <w:ind w:left="125" w:right="0" w:firstLine="0"/>
            </w:pPr>
            <w:r>
              <w:rPr>
                <w:b/>
              </w:rPr>
              <w:t xml:space="preserve">. </w:t>
            </w:r>
          </w:p>
        </w:tc>
        <w:tc>
          <w:tcPr>
            <w:tcW w:w="1196" w:type="dxa"/>
            <w:tcBorders>
              <w:top w:val="single" w:sz="4" w:space="0" w:color="7F7F7F"/>
              <w:left w:val="nil"/>
              <w:bottom w:val="single" w:sz="4" w:space="0" w:color="7F7F7F"/>
              <w:right w:val="nil"/>
            </w:tcBorders>
          </w:tcPr>
          <w:p w14:paraId="0CA6CE44" w14:textId="77777777" w:rsidR="00FE3B37" w:rsidRDefault="004F2C25">
            <w:pPr>
              <w:spacing w:after="0" w:line="259" w:lineRule="auto"/>
              <w:ind w:right="0" w:firstLine="0"/>
            </w:pPr>
            <w:r>
              <w:rPr>
                <w:b/>
              </w:rPr>
              <w:t>Author(s</w:t>
            </w:r>
          </w:p>
          <w:p w14:paraId="7643C411" w14:textId="77777777" w:rsidR="00FE3B37" w:rsidRDefault="004F2C25">
            <w:pPr>
              <w:spacing w:after="0" w:line="259" w:lineRule="auto"/>
              <w:ind w:right="0" w:firstLine="0"/>
            </w:pPr>
            <w:r>
              <w:rPr>
                <w:b/>
              </w:rPr>
              <w:t xml:space="preserve">), Year </w:t>
            </w:r>
          </w:p>
        </w:tc>
        <w:tc>
          <w:tcPr>
            <w:tcW w:w="1580" w:type="dxa"/>
            <w:tcBorders>
              <w:top w:val="single" w:sz="4" w:space="0" w:color="7F7F7F"/>
              <w:left w:val="nil"/>
              <w:bottom w:val="single" w:sz="4" w:space="0" w:color="7F7F7F"/>
              <w:right w:val="nil"/>
            </w:tcBorders>
          </w:tcPr>
          <w:p w14:paraId="20C5B750" w14:textId="77777777" w:rsidR="00FE3B37" w:rsidRDefault="004F2C25">
            <w:pPr>
              <w:spacing w:after="0" w:line="259" w:lineRule="auto"/>
              <w:ind w:right="0" w:firstLine="0"/>
            </w:pPr>
            <w:r>
              <w:rPr>
                <w:b/>
              </w:rPr>
              <w:t xml:space="preserve">Population </w:t>
            </w:r>
          </w:p>
        </w:tc>
        <w:tc>
          <w:tcPr>
            <w:tcW w:w="1621" w:type="dxa"/>
            <w:tcBorders>
              <w:top w:val="single" w:sz="4" w:space="0" w:color="7F7F7F"/>
              <w:left w:val="nil"/>
              <w:bottom w:val="single" w:sz="4" w:space="0" w:color="7F7F7F"/>
              <w:right w:val="nil"/>
            </w:tcBorders>
          </w:tcPr>
          <w:p w14:paraId="5C164AB5" w14:textId="77777777" w:rsidR="00FE3B37" w:rsidRDefault="004F2C25">
            <w:pPr>
              <w:spacing w:after="0" w:line="259" w:lineRule="auto"/>
              <w:ind w:right="0" w:firstLine="0"/>
            </w:pPr>
            <w:r>
              <w:rPr>
                <w:b/>
              </w:rPr>
              <w:t xml:space="preserve">Intervention </w:t>
            </w:r>
          </w:p>
        </w:tc>
        <w:tc>
          <w:tcPr>
            <w:tcW w:w="1126" w:type="dxa"/>
            <w:tcBorders>
              <w:top w:val="single" w:sz="4" w:space="0" w:color="7F7F7F"/>
              <w:left w:val="nil"/>
              <w:bottom w:val="single" w:sz="4" w:space="0" w:color="7F7F7F"/>
              <w:right w:val="nil"/>
            </w:tcBorders>
          </w:tcPr>
          <w:p w14:paraId="5E3CE901" w14:textId="77777777" w:rsidR="00FE3B37" w:rsidRDefault="004F2C25">
            <w:pPr>
              <w:spacing w:after="0" w:line="259" w:lineRule="auto"/>
              <w:ind w:right="0" w:firstLine="0"/>
            </w:pPr>
            <w:r>
              <w:rPr>
                <w:b/>
              </w:rPr>
              <w:t xml:space="preserve">Study Design </w:t>
            </w:r>
          </w:p>
        </w:tc>
        <w:tc>
          <w:tcPr>
            <w:tcW w:w="1580" w:type="dxa"/>
            <w:tcBorders>
              <w:top w:val="single" w:sz="4" w:space="0" w:color="7F7F7F"/>
              <w:left w:val="nil"/>
              <w:bottom w:val="single" w:sz="4" w:space="0" w:color="7F7F7F"/>
              <w:right w:val="nil"/>
            </w:tcBorders>
          </w:tcPr>
          <w:p w14:paraId="61C3B0BD" w14:textId="77777777" w:rsidR="00FE3B37" w:rsidRDefault="004F2C25">
            <w:pPr>
              <w:spacing w:after="0" w:line="259" w:lineRule="auto"/>
              <w:ind w:right="0" w:firstLine="0"/>
            </w:pPr>
            <w:r>
              <w:rPr>
                <w:b/>
              </w:rPr>
              <w:t xml:space="preserve">Key </w:t>
            </w:r>
          </w:p>
          <w:p w14:paraId="2B6039A6" w14:textId="77777777" w:rsidR="00FE3B37" w:rsidRDefault="004F2C25">
            <w:pPr>
              <w:spacing w:after="0" w:line="259" w:lineRule="auto"/>
              <w:ind w:right="0" w:firstLine="0"/>
            </w:pPr>
            <w:r>
              <w:rPr>
                <w:b/>
              </w:rPr>
              <w:t xml:space="preserve">Findings  </w:t>
            </w:r>
          </w:p>
        </w:tc>
        <w:tc>
          <w:tcPr>
            <w:tcW w:w="1271" w:type="dxa"/>
            <w:tcBorders>
              <w:top w:val="single" w:sz="4" w:space="0" w:color="7F7F7F"/>
              <w:left w:val="nil"/>
              <w:bottom w:val="single" w:sz="4" w:space="0" w:color="7F7F7F"/>
              <w:right w:val="nil"/>
            </w:tcBorders>
          </w:tcPr>
          <w:p w14:paraId="259059DE" w14:textId="77777777" w:rsidR="00FE3B37" w:rsidRDefault="004F2C25">
            <w:pPr>
              <w:spacing w:after="0" w:line="259" w:lineRule="auto"/>
              <w:ind w:right="0" w:firstLine="0"/>
            </w:pPr>
            <w:r>
              <w:rPr>
                <w:b/>
              </w:rPr>
              <w:t xml:space="preserve">Theme </w:t>
            </w:r>
          </w:p>
        </w:tc>
      </w:tr>
      <w:tr w:rsidR="00FE3B37" w14:paraId="03169795" w14:textId="77777777">
        <w:trPr>
          <w:trHeight w:val="2291"/>
        </w:trPr>
        <w:tc>
          <w:tcPr>
            <w:tcW w:w="671" w:type="dxa"/>
            <w:tcBorders>
              <w:top w:val="single" w:sz="4" w:space="0" w:color="7F7F7F"/>
              <w:left w:val="nil"/>
              <w:bottom w:val="single" w:sz="4" w:space="0" w:color="7F7F7F"/>
              <w:right w:val="nil"/>
            </w:tcBorders>
          </w:tcPr>
          <w:p w14:paraId="45C7A8FA" w14:textId="77777777" w:rsidR="00FE3B37" w:rsidRDefault="004F2C25">
            <w:pPr>
              <w:spacing w:after="0" w:line="259" w:lineRule="auto"/>
              <w:ind w:left="125" w:right="0" w:firstLine="0"/>
            </w:pPr>
            <w:r>
              <w:rPr>
                <w:b/>
              </w:rPr>
              <w:t xml:space="preserve">1 </w:t>
            </w:r>
          </w:p>
        </w:tc>
        <w:tc>
          <w:tcPr>
            <w:tcW w:w="1196" w:type="dxa"/>
            <w:tcBorders>
              <w:top w:val="single" w:sz="4" w:space="0" w:color="7F7F7F"/>
              <w:left w:val="nil"/>
              <w:bottom w:val="single" w:sz="4" w:space="0" w:color="7F7F7F"/>
              <w:right w:val="nil"/>
            </w:tcBorders>
          </w:tcPr>
          <w:p w14:paraId="17AA55BD" w14:textId="77777777" w:rsidR="00FE3B37" w:rsidRDefault="004F2C25">
            <w:pPr>
              <w:spacing w:after="0" w:line="259" w:lineRule="auto"/>
              <w:ind w:right="0" w:firstLine="0"/>
            </w:pPr>
            <w:r>
              <w:t xml:space="preserve">Benton </w:t>
            </w:r>
          </w:p>
          <w:p w14:paraId="7CA8021B" w14:textId="77777777" w:rsidR="00FE3B37" w:rsidRDefault="004F2C25">
            <w:pPr>
              <w:spacing w:after="0" w:line="259" w:lineRule="auto"/>
              <w:ind w:right="0" w:firstLine="0"/>
            </w:pPr>
            <w:r>
              <w:t xml:space="preserve">JS et al., </w:t>
            </w:r>
          </w:p>
          <w:p w14:paraId="5465CCD4" w14:textId="77777777" w:rsidR="00FE3B37" w:rsidRDefault="004F2C25">
            <w:pPr>
              <w:spacing w:after="0" w:line="259" w:lineRule="auto"/>
              <w:ind w:right="0" w:firstLine="0"/>
            </w:pPr>
            <w:r>
              <w:t>2022</w:t>
            </w:r>
            <w:r>
              <w:t xml:space="preserve"> </w:t>
            </w:r>
          </w:p>
        </w:tc>
        <w:tc>
          <w:tcPr>
            <w:tcW w:w="1580" w:type="dxa"/>
            <w:tcBorders>
              <w:top w:val="single" w:sz="4" w:space="0" w:color="7F7F7F"/>
              <w:left w:val="nil"/>
              <w:bottom w:val="single" w:sz="4" w:space="0" w:color="7F7F7F"/>
              <w:right w:val="nil"/>
            </w:tcBorders>
          </w:tcPr>
          <w:p w14:paraId="606FC724" w14:textId="77777777" w:rsidR="00FE3B37" w:rsidRDefault="004F2C25">
            <w:pPr>
              <w:spacing w:after="0" w:line="259" w:lineRule="auto"/>
              <w:ind w:right="0" w:firstLine="0"/>
            </w:pPr>
            <w:r>
              <w:t xml:space="preserve">Adults with </w:t>
            </w:r>
          </w:p>
          <w:p w14:paraId="3B37A006" w14:textId="77777777" w:rsidR="00FE3B37" w:rsidRDefault="004F2C25">
            <w:pPr>
              <w:spacing w:after="0" w:line="259" w:lineRule="auto"/>
              <w:ind w:right="0" w:firstLine="0"/>
            </w:pPr>
            <w:r>
              <w:t>T2DM</w:t>
            </w:r>
            <w:r>
              <w:t xml:space="preserve"> </w:t>
            </w:r>
          </w:p>
        </w:tc>
        <w:tc>
          <w:tcPr>
            <w:tcW w:w="1621" w:type="dxa"/>
            <w:tcBorders>
              <w:top w:val="single" w:sz="4" w:space="0" w:color="7F7F7F"/>
              <w:left w:val="nil"/>
              <w:bottom w:val="single" w:sz="4" w:space="0" w:color="7F7F7F"/>
              <w:right w:val="nil"/>
            </w:tcBorders>
          </w:tcPr>
          <w:p w14:paraId="6002C7E4" w14:textId="77777777" w:rsidR="00FE3B37" w:rsidRDefault="004F2C25">
            <w:pPr>
              <w:spacing w:after="0" w:line="259" w:lineRule="auto"/>
              <w:ind w:right="0" w:firstLine="0"/>
            </w:pPr>
            <w:r>
              <w:t>Digital self-</w:t>
            </w:r>
          </w:p>
          <w:p w14:paraId="65BB5B21" w14:textId="77777777" w:rsidR="00FE3B37" w:rsidRDefault="004F2C25">
            <w:pPr>
              <w:spacing w:after="0" w:line="259" w:lineRule="auto"/>
              <w:ind w:right="0" w:firstLine="0"/>
            </w:pPr>
            <w:r>
              <w:t>management programme</w:t>
            </w:r>
            <w:r>
              <w:t xml:space="preserve"> </w:t>
            </w:r>
          </w:p>
        </w:tc>
        <w:tc>
          <w:tcPr>
            <w:tcW w:w="1126" w:type="dxa"/>
            <w:tcBorders>
              <w:top w:val="single" w:sz="4" w:space="0" w:color="7F7F7F"/>
              <w:left w:val="nil"/>
              <w:bottom w:val="single" w:sz="4" w:space="0" w:color="7F7F7F"/>
              <w:right w:val="nil"/>
            </w:tcBorders>
          </w:tcPr>
          <w:p w14:paraId="5FA3F101" w14:textId="77777777" w:rsidR="00FE3B37" w:rsidRDefault="004F2C25">
            <w:pPr>
              <w:spacing w:after="0" w:line="259" w:lineRule="auto"/>
              <w:ind w:right="0" w:firstLine="0"/>
            </w:pPr>
            <w:r>
              <w:t>Mixed methods</w:t>
            </w:r>
            <w:r>
              <w:t xml:space="preserve"> </w:t>
            </w:r>
          </w:p>
        </w:tc>
        <w:tc>
          <w:tcPr>
            <w:tcW w:w="1580" w:type="dxa"/>
            <w:tcBorders>
              <w:top w:val="single" w:sz="4" w:space="0" w:color="7F7F7F"/>
              <w:left w:val="nil"/>
              <w:bottom w:val="single" w:sz="4" w:space="0" w:color="7F7F7F"/>
              <w:right w:val="nil"/>
            </w:tcBorders>
          </w:tcPr>
          <w:p w14:paraId="2F61A269" w14:textId="77777777" w:rsidR="00FE3B37" w:rsidRDefault="004F2C25">
            <w:pPr>
              <w:spacing w:after="0" w:line="240" w:lineRule="auto"/>
              <w:ind w:right="4" w:firstLine="0"/>
            </w:pPr>
            <w:r>
              <w:t xml:space="preserve">National rollout affected fidelity; </w:t>
            </w:r>
          </w:p>
          <w:p w14:paraId="4FA050F6" w14:textId="77777777" w:rsidR="00FE3B37" w:rsidRDefault="004F2C25">
            <w:pPr>
              <w:spacing w:after="0" w:line="242" w:lineRule="auto"/>
              <w:ind w:right="0" w:firstLine="0"/>
            </w:pPr>
            <w:r>
              <w:t>engagement and self-</w:t>
            </w:r>
          </w:p>
          <w:p w14:paraId="544EDDC2" w14:textId="77777777" w:rsidR="00FE3B37" w:rsidRDefault="004F2C25">
            <w:pPr>
              <w:spacing w:after="0" w:line="259" w:lineRule="auto"/>
              <w:ind w:right="0" w:firstLine="0"/>
            </w:pPr>
            <w:r>
              <w:t>management behaviours varied</w:t>
            </w:r>
            <w:r>
              <w:t xml:space="preserve"> </w:t>
            </w:r>
          </w:p>
        </w:tc>
        <w:tc>
          <w:tcPr>
            <w:tcW w:w="1271" w:type="dxa"/>
            <w:tcBorders>
              <w:top w:val="single" w:sz="4" w:space="0" w:color="7F7F7F"/>
              <w:left w:val="nil"/>
              <w:bottom w:val="single" w:sz="4" w:space="0" w:color="7F7F7F"/>
              <w:right w:val="nil"/>
            </w:tcBorders>
          </w:tcPr>
          <w:p w14:paraId="709E46FF" w14:textId="77777777" w:rsidR="00FE3B37" w:rsidRDefault="004F2C25">
            <w:pPr>
              <w:spacing w:after="0" w:line="259" w:lineRule="auto"/>
              <w:ind w:right="0" w:firstLine="0"/>
            </w:pPr>
            <w:r>
              <w:t>Digital intervention s</w:t>
            </w:r>
            <w:r>
              <w:t xml:space="preserve"> </w:t>
            </w:r>
          </w:p>
        </w:tc>
      </w:tr>
      <w:tr w:rsidR="00FE3B37" w14:paraId="773F0898" w14:textId="77777777">
        <w:trPr>
          <w:trHeight w:val="1526"/>
        </w:trPr>
        <w:tc>
          <w:tcPr>
            <w:tcW w:w="671" w:type="dxa"/>
            <w:tcBorders>
              <w:top w:val="single" w:sz="4" w:space="0" w:color="7F7F7F"/>
              <w:left w:val="nil"/>
              <w:bottom w:val="single" w:sz="4" w:space="0" w:color="7F7F7F"/>
              <w:right w:val="nil"/>
            </w:tcBorders>
          </w:tcPr>
          <w:p w14:paraId="14C1D4D2" w14:textId="77777777" w:rsidR="00FE3B37" w:rsidRDefault="004F2C25">
            <w:pPr>
              <w:spacing w:after="0" w:line="259" w:lineRule="auto"/>
              <w:ind w:left="125" w:right="0" w:firstLine="0"/>
            </w:pPr>
            <w:r>
              <w:rPr>
                <w:b/>
              </w:rPr>
              <w:t xml:space="preserve">2 </w:t>
            </w:r>
          </w:p>
        </w:tc>
        <w:tc>
          <w:tcPr>
            <w:tcW w:w="1196" w:type="dxa"/>
            <w:tcBorders>
              <w:top w:val="single" w:sz="4" w:space="0" w:color="7F7F7F"/>
              <w:left w:val="nil"/>
              <w:bottom w:val="single" w:sz="4" w:space="0" w:color="7F7F7F"/>
              <w:right w:val="nil"/>
            </w:tcBorders>
          </w:tcPr>
          <w:p w14:paraId="6B0E3DC7" w14:textId="77777777" w:rsidR="00FE3B37" w:rsidRDefault="004F2C25">
            <w:pPr>
              <w:spacing w:after="0" w:line="259" w:lineRule="auto"/>
              <w:ind w:right="0" w:firstLine="0"/>
            </w:pPr>
            <w:r>
              <w:t xml:space="preserve">Mueller J </w:t>
            </w:r>
          </w:p>
          <w:p w14:paraId="1C64E2B2" w14:textId="77777777" w:rsidR="00FE3B37" w:rsidRDefault="004F2C25">
            <w:pPr>
              <w:spacing w:after="0" w:line="259" w:lineRule="auto"/>
              <w:ind w:right="0" w:firstLine="0"/>
            </w:pPr>
            <w:r>
              <w:t xml:space="preserve">et al., </w:t>
            </w:r>
          </w:p>
          <w:p w14:paraId="6559939D" w14:textId="77777777" w:rsidR="00FE3B37" w:rsidRDefault="004F2C25">
            <w:pPr>
              <w:spacing w:after="0" w:line="259" w:lineRule="auto"/>
              <w:ind w:right="0" w:firstLine="0"/>
            </w:pPr>
            <w:r>
              <w:t>2025</w:t>
            </w:r>
            <w:r>
              <w:t xml:space="preserve"> </w:t>
            </w:r>
          </w:p>
        </w:tc>
        <w:tc>
          <w:tcPr>
            <w:tcW w:w="1580" w:type="dxa"/>
            <w:tcBorders>
              <w:top w:val="single" w:sz="4" w:space="0" w:color="7F7F7F"/>
              <w:left w:val="nil"/>
              <w:bottom w:val="single" w:sz="4" w:space="0" w:color="7F7F7F"/>
              <w:right w:val="nil"/>
            </w:tcBorders>
          </w:tcPr>
          <w:p w14:paraId="3880DCC8" w14:textId="77777777" w:rsidR="00FE3B37" w:rsidRDefault="004F2C25">
            <w:pPr>
              <w:spacing w:after="0" w:line="259" w:lineRule="auto"/>
              <w:ind w:right="0" w:firstLine="0"/>
            </w:pPr>
            <w:r>
              <w:t>Adults with recent T2DM diagnosis</w:t>
            </w:r>
            <w:r>
              <w:t xml:space="preserve"> </w:t>
            </w:r>
          </w:p>
        </w:tc>
        <w:tc>
          <w:tcPr>
            <w:tcW w:w="1621" w:type="dxa"/>
            <w:tcBorders>
              <w:top w:val="single" w:sz="4" w:space="0" w:color="7F7F7F"/>
              <w:left w:val="nil"/>
              <w:bottom w:val="single" w:sz="4" w:space="0" w:color="7F7F7F"/>
              <w:right w:val="nil"/>
            </w:tcBorders>
          </w:tcPr>
          <w:p w14:paraId="42A2A9F7" w14:textId="77777777" w:rsidR="00FE3B37" w:rsidRDefault="004F2C25">
            <w:pPr>
              <w:spacing w:after="0" w:line="241" w:lineRule="auto"/>
              <w:ind w:right="0" w:firstLine="0"/>
            </w:pPr>
            <w:r>
              <w:t xml:space="preserve">Diabetes education + behavioural weight management </w:t>
            </w:r>
          </w:p>
          <w:p w14:paraId="755F433E" w14:textId="77777777" w:rsidR="00FE3B37" w:rsidRDefault="004F2C25">
            <w:pPr>
              <w:spacing w:after="0" w:line="259" w:lineRule="auto"/>
              <w:ind w:right="0" w:firstLine="0"/>
            </w:pPr>
            <w:r>
              <w:t>(GLoW)</w:t>
            </w:r>
            <w:r>
              <w:t xml:space="preserve"> </w:t>
            </w:r>
          </w:p>
        </w:tc>
        <w:tc>
          <w:tcPr>
            <w:tcW w:w="1126" w:type="dxa"/>
            <w:tcBorders>
              <w:top w:val="single" w:sz="4" w:space="0" w:color="7F7F7F"/>
              <w:left w:val="nil"/>
              <w:bottom w:val="single" w:sz="4" w:space="0" w:color="7F7F7F"/>
              <w:right w:val="nil"/>
            </w:tcBorders>
          </w:tcPr>
          <w:p w14:paraId="62A38B8C" w14:textId="77777777" w:rsidR="00FE3B37" w:rsidRDefault="004F2C25">
            <w:pPr>
              <w:spacing w:after="0" w:line="259" w:lineRule="auto"/>
              <w:ind w:right="0" w:firstLine="0"/>
            </w:pPr>
            <w:r>
              <w:t>RCT</w:t>
            </w:r>
            <w:r>
              <w:t xml:space="preserve"> </w:t>
            </w:r>
          </w:p>
        </w:tc>
        <w:tc>
          <w:tcPr>
            <w:tcW w:w="1580" w:type="dxa"/>
            <w:tcBorders>
              <w:top w:val="single" w:sz="4" w:space="0" w:color="7F7F7F"/>
              <w:left w:val="nil"/>
              <w:bottom w:val="single" w:sz="4" w:space="0" w:color="7F7F7F"/>
              <w:right w:val="nil"/>
            </w:tcBorders>
          </w:tcPr>
          <w:p w14:paraId="372D5499" w14:textId="77777777" w:rsidR="00FE3B37" w:rsidRDefault="004F2C25">
            <w:pPr>
              <w:spacing w:after="0" w:line="259" w:lineRule="auto"/>
              <w:ind w:right="0" w:firstLine="0"/>
            </w:pPr>
            <w:r>
              <w:t xml:space="preserve">Significant </w:t>
            </w:r>
          </w:p>
          <w:p w14:paraId="61134A25" w14:textId="77777777" w:rsidR="00FE3B37" w:rsidRDefault="004F2C25">
            <w:pPr>
              <w:spacing w:after="0" w:line="259" w:lineRule="auto"/>
              <w:ind w:right="176" w:firstLine="0"/>
              <w:jc w:val="both"/>
            </w:pPr>
            <w:r>
              <w:t>improvement s in glucose control and weight; costeffective</w:t>
            </w:r>
            <w:r>
              <w:t xml:space="preserve"> </w:t>
            </w:r>
          </w:p>
        </w:tc>
        <w:tc>
          <w:tcPr>
            <w:tcW w:w="1271" w:type="dxa"/>
            <w:tcBorders>
              <w:top w:val="single" w:sz="4" w:space="0" w:color="7F7F7F"/>
              <w:left w:val="nil"/>
              <w:bottom w:val="single" w:sz="4" w:space="0" w:color="7F7F7F"/>
              <w:right w:val="nil"/>
            </w:tcBorders>
          </w:tcPr>
          <w:p w14:paraId="3C10621B" w14:textId="77777777" w:rsidR="00FE3B37" w:rsidRDefault="004F2C25">
            <w:pPr>
              <w:spacing w:after="0" w:line="242" w:lineRule="auto"/>
              <w:ind w:right="0" w:firstLine="0"/>
            </w:pPr>
            <w:r>
              <w:t xml:space="preserve">Educationbased </w:t>
            </w:r>
          </w:p>
          <w:p w14:paraId="5B907887" w14:textId="77777777" w:rsidR="00FE3B37" w:rsidRDefault="004F2C25">
            <w:pPr>
              <w:spacing w:after="0" w:line="259" w:lineRule="auto"/>
              <w:ind w:right="0" w:firstLine="0"/>
            </w:pPr>
            <w:r>
              <w:t>programme</w:t>
            </w:r>
          </w:p>
          <w:p w14:paraId="506CC143" w14:textId="77777777" w:rsidR="00FE3B37" w:rsidRDefault="004F2C25">
            <w:pPr>
              <w:spacing w:after="0" w:line="259" w:lineRule="auto"/>
              <w:ind w:right="0" w:firstLine="0"/>
            </w:pPr>
            <w:r>
              <w:t>s</w:t>
            </w:r>
            <w:r>
              <w:t xml:space="preserve"> </w:t>
            </w:r>
          </w:p>
        </w:tc>
      </w:tr>
      <w:tr w:rsidR="00FE3B37" w14:paraId="0697AC53" w14:textId="77777777">
        <w:trPr>
          <w:trHeight w:val="1780"/>
        </w:trPr>
        <w:tc>
          <w:tcPr>
            <w:tcW w:w="671" w:type="dxa"/>
            <w:tcBorders>
              <w:top w:val="single" w:sz="4" w:space="0" w:color="7F7F7F"/>
              <w:left w:val="nil"/>
              <w:bottom w:val="single" w:sz="4" w:space="0" w:color="7F7F7F"/>
              <w:right w:val="nil"/>
            </w:tcBorders>
          </w:tcPr>
          <w:p w14:paraId="4839A694" w14:textId="77777777" w:rsidR="00FE3B37" w:rsidRDefault="004F2C25">
            <w:pPr>
              <w:spacing w:after="0" w:line="259" w:lineRule="auto"/>
              <w:ind w:left="125" w:right="0" w:firstLine="0"/>
            </w:pPr>
            <w:r>
              <w:rPr>
                <w:b/>
              </w:rPr>
              <w:t xml:space="preserve">3 </w:t>
            </w:r>
          </w:p>
        </w:tc>
        <w:tc>
          <w:tcPr>
            <w:tcW w:w="1196" w:type="dxa"/>
            <w:tcBorders>
              <w:top w:val="single" w:sz="4" w:space="0" w:color="7F7F7F"/>
              <w:left w:val="nil"/>
              <w:bottom w:val="single" w:sz="4" w:space="0" w:color="7F7F7F"/>
              <w:right w:val="nil"/>
            </w:tcBorders>
          </w:tcPr>
          <w:p w14:paraId="66B8633D" w14:textId="77777777" w:rsidR="00FE3B37" w:rsidRDefault="004F2C25">
            <w:pPr>
              <w:spacing w:after="0" w:line="259" w:lineRule="auto"/>
              <w:ind w:right="0" w:firstLine="0"/>
            </w:pPr>
            <w:r>
              <w:t xml:space="preserve">Goff LM </w:t>
            </w:r>
          </w:p>
          <w:p w14:paraId="4AC41571" w14:textId="77777777" w:rsidR="00FE3B37" w:rsidRDefault="004F2C25">
            <w:pPr>
              <w:spacing w:after="0" w:line="259" w:lineRule="auto"/>
              <w:ind w:right="0" w:firstLine="0"/>
            </w:pPr>
            <w:r>
              <w:t xml:space="preserve">et al., </w:t>
            </w:r>
          </w:p>
          <w:p w14:paraId="5F777AAC" w14:textId="77777777" w:rsidR="00FE3B37" w:rsidRDefault="004F2C25">
            <w:pPr>
              <w:spacing w:after="0" w:line="259" w:lineRule="auto"/>
              <w:ind w:right="0" w:firstLine="0"/>
            </w:pPr>
            <w:r>
              <w:t>2021</w:t>
            </w:r>
            <w:r>
              <w:t xml:space="preserve"> </w:t>
            </w:r>
          </w:p>
        </w:tc>
        <w:tc>
          <w:tcPr>
            <w:tcW w:w="1580" w:type="dxa"/>
            <w:tcBorders>
              <w:top w:val="single" w:sz="4" w:space="0" w:color="7F7F7F"/>
              <w:left w:val="nil"/>
              <w:bottom w:val="single" w:sz="4" w:space="0" w:color="7F7F7F"/>
              <w:right w:val="nil"/>
            </w:tcBorders>
          </w:tcPr>
          <w:p w14:paraId="05AA0489" w14:textId="77777777" w:rsidR="00FE3B37" w:rsidRDefault="004F2C25">
            <w:pPr>
              <w:spacing w:after="0" w:line="259" w:lineRule="auto"/>
              <w:ind w:right="0" w:firstLine="0"/>
            </w:pPr>
            <w:r>
              <w:t xml:space="preserve">Black-British </w:t>
            </w:r>
          </w:p>
          <w:p w14:paraId="667CAC65" w14:textId="77777777" w:rsidR="00FE3B37" w:rsidRDefault="004F2C25">
            <w:pPr>
              <w:spacing w:after="0" w:line="259" w:lineRule="auto"/>
              <w:ind w:right="0" w:firstLine="0"/>
            </w:pPr>
            <w:r>
              <w:t xml:space="preserve">adults with </w:t>
            </w:r>
          </w:p>
          <w:p w14:paraId="57EE9A79" w14:textId="77777777" w:rsidR="00FE3B37" w:rsidRDefault="004F2C25">
            <w:pPr>
              <w:spacing w:after="0" w:line="259" w:lineRule="auto"/>
              <w:ind w:right="0" w:firstLine="0"/>
            </w:pPr>
            <w:r>
              <w:t>T2DM</w:t>
            </w:r>
            <w:r>
              <w:t xml:space="preserve"> </w:t>
            </w:r>
          </w:p>
        </w:tc>
        <w:tc>
          <w:tcPr>
            <w:tcW w:w="1621" w:type="dxa"/>
            <w:tcBorders>
              <w:top w:val="single" w:sz="4" w:space="0" w:color="7F7F7F"/>
              <w:left w:val="nil"/>
              <w:bottom w:val="single" w:sz="4" w:space="0" w:color="7F7F7F"/>
              <w:right w:val="nil"/>
            </w:tcBorders>
          </w:tcPr>
          <w:p w14:paraId="77A8F07E" w14:textId="77777777" w:rsidR="00FE3B37" w:rsidRDefault="004F2C25">
            <w:pPr>
              <w:spacing w:after="0" w:line="259" w:lineRule="auto"/>
              <w:ind w:right="0" w:firstLine="0"/>
            </w:pPr>
            <w:r>
              <w:t xml:space="preserve">HEAL-D </w:t>
            </w:r>
          </w:p>
          <w:p w14:paraId="271EF821" w14:textId="77777777" w:rsidR="00FE3B37" w:rsidRDefault="004F2C25">
            <w:pPr>
              <w:spacing w:after="0" w:line="259" w:lineRule="auto"/>
              <w:ind w:right="0" w:firstLine="0"/>
            </w:pPr>
            <w:r>
              <w:t xml:space="preserve">culturally </w:t>
            </w:r>
          </w:p>
          <w:p w14:paraId="6A21C242" w14:textId="77777777" w:rsidR="00FE3B37" w:rsidRDefault="004F2C25">
            <w:pPr>
              <w:spacing w:after="0" w:line="259" w:lineRule="auto"/>
              <w:ind w:right="0" w:firstLine="0"/>
            </w:pPr>
            <w:r>
              <w:t>tailored self-</w:t>
            </w:r>
          </w:p>
          <w:p w14:paraId="2C2647A1" w14:textId="77777777" w:rsidR="00FE3B37" w:rsidRDefault="004F2C25">
            <w:pPr>
              <w:spacing w:after="0" w:line="259" w:lineRule="auto"/>
              <w:ind w:right="0" w:firstLine="0"/>
            </w:pPr>
            <w:r>
              <w:t>management</w:t>
            </w:r>
            <w:r>
              <w:t xml:space="preserve"> </w:t>
            </w:r>
          </w:p>
        </w:tc>
        <w:tc>
          <w:tcPr>
            <w:tcW w:w="1126" w:type="dxa"/>
            <w:tcBorders>
              <w:top w:val="single" w:sz="4" w:space="0" w:color="7F7F7F"/>
              <w:left w:val="nil"/>
              <w:bottom w:val="single" w:sz="4" w:space="0" w:color="7F7F7F"/>
              <w:right w:val="nil"/>
            </w:tcBorders>
          </w:tcPr>
          <w:p w14:paraId="5396A34F" w14:textId="77777777" w:rsidR="00FE3B37" w:rsidRDefault="004F2C25">
            <w:pPr>
              <w:spacing w:after="0" w:line="259" w:lineRule="auto"/>
              <w:ind w:right="11" w:firstLine="0"/>
            </w:pPr>
            <w:r>
              <w:t>Feasibilit y RCT</w:t>
            </w:r>
            <w:r>
              <w:t xml:space="preserve"> </w:t>
            </w:r>
          </w:p>
        </w:tc>
        <w:tc>
          <w:tcPr>
            <w:tcW w:w="1580" w:type="dxa"/>
            <w:tcBorders>
              <w:top w:val="single" w:sz="4" w:space="0" w:color="7F7F7F"/>
              <w:left w:val="nil"/>
              <w:bottom w:val="single" w:sz="4" w:space="0" w:color="7F7F7F"/>
              <w:right w:val="nil"/>
            </w:tcBorders>
          </w:tcPr>
          <w:p w14:paraId="5503F3E7" w14:textId="77777777" w:rsidR="00FE3B37" w:rsidRDefault="004F2C25">
            <w:pPr>
              <w:spacing w:line="240" w:lineRule="auto"/>
              <w:ind w:right="0" w:firstLine="0"/>
            </w:pPr>
            <w:r>
              <w:t xml:space="preserve">Improved diabetes knowledge, </w:t>
            </w:r>
          </w:p>
          <w:p w14:paraId="13B0B578" w14:textId="77777777" w:rsidR="00FE3B37" w:rsidRDefault="004F2C25">
            <w:pPr>
              <w:spacing w:after="5" w:line="237" w:lineRule="auto"/>
              <w:ind w:right="0" w:firstLine="0"/>
            </w:pPr>
            <w:r>
              <w:t>engagement, and self-</w:t>
            </w:r>
          </w:p>
          <w:p w14:paraId="7D2E7A2E" w14:textId="77777777" w:rsidR="00FE3B37" w:rsidRDefault="004F2C25">
            <w:pPr>
              <w:spacing w:after="0" w:line="259" w:lineRule="auto"/>
              <w:ind w:right="0" w:firstLine="0"/>
            </w:pPr>
            <w:r>
              <w:t>management behaviours</w:t>
            </w:r>
            <w:r>
              <w:t xml:space="preserve"> </w:t>
            </w:r>
          </w:p>
        </w:tc>
        <w:tc>
          <w:tcPr>
            <w:tcW w:w="1271" w:type="dxa"/>
            <w:tcBorders>
              <w:top w:val="single" w:sz="4" w:space="0" w:color="7F7F7F"/>
              <w:left w:val="nil"/>
              <w:bottom w:val="single" w:sz="4" w:space="0" w:color="7F7F7F"/>
              <w:right w:val="nil"/>
            </w:tcBorders>
          </w:tcPr>
          <w:p w14:paraId="7B1242C0" w14:textId="77777777" w:rsidR="00FE3B37" w:rsidRDefault="004F2C25">
            <w:pPr>
              <w:spacing w:after="0" w:line="259" w:lineRule="auto"/>
              <w:ind w:right="0" w:firstLine="0"/>
            </w:pPr>
            <w:r>
              <w:t>Tailored intervention s</w:t>
            </w:r>
            <w:r>
              <w:t xml:space="preserve"> </w:t>
            </w:r>
          </w:p>
        </w:tc>
      </w:tr>
      <w:tr w:rsidR="00FE3B37" w14:paraId="35006430" w14:textId="77777777">
        <w:trPr>
          <w:trHeight w:val="1275"/>
        </w:trPr>
        <w:tc>
          <w:tcPr>
            <w:tcW w:w="671" w:type="dxa"/>
            <w:tcBorders>
              <w:top w:val="single" w:sz="4" w:space="0" w:color="7F7F7F"/>
              <w:left w:val="nil"/>
              <w:bottom w:val="single" w:sz="4" w:space="0" w:color="7F7F7F"/>
              <w:right w:val="nil"/>
            </w:tcBorders>
          </w:tcPr>
          <w:p w14:paraId="03BAA746" w14:textId="77777777" w:rsidR="00FE3B37" w:rsidRDefault="004F2C25">
            <w:pPr>
              <w:spacing w:after="0" w:line="259" w:lineRule="auto"/>
              <w:ind w:left="125" w:right="0" w:firstLine="0"/>
            </w:pPr>
            <w:r>
              <w:rPr>
                <w:b/>
              </w:rPr>
              <w:t xml:space="preserve">4 </w:t>
            </w:r>
          </w:p>
        </w:tc>
        <w:tc>
          <w:tcPr>
            <w:tcW w:w="1196" w:type="dxa"/>
            <w:tcBorders>
              <w:top w:val="single" w:sz="4" w:space="0" w:color="7F7F7F"/>
              <w:left w:val="nil"/>
              <w:bottom w:val="single" w:sz="4" w:space="0" w:color="7F7F7F"/>
              <w:right w:val="nil"/>
            </w:tcBorders>
          </w:tcPr>
          <w:p w14:paraId="2AAFE7F8" w14:textId="77777777" w:rsidR="00FE3B37" w:rsidRDefault="004F2C25">
            <w:pPr>
              <w:spacing w:after="0" w:line="259" w:lineRule="auto"/>
              <w:ind w:right="0" w:firstLine="0"/>
            </w:pPr>
            <w:r>
              <w:t xml:space="preserve">Amiel SA </w:t>
            </w:r>
          </w:p>
          <w:p w14:paraId="3962F022" w14:textId="77777777" w:rsidR="00FE3B37" w:rsidRDefault="004F2C25">
            <w:pPr>
              <w:spacing w:after="0" w:line="259" w:lineRule="auto"/>
              <w:ind w:right="0" w:firstLine="0"/>
            </w:pPr>
            <w:r>
              <w:t xml:space="preserve">et al., </w:t>
            </w:r>
          </w:p>
          <w:p w14:paraId="23A3166E" w14:textId="77777777" w:rsidR="00FE3B37" w:rsidRDefault="004F2C25">
            <w:pPr>
              <w:spacing w:after="0" w:line="259" w:lineRule="auto"/>
              <w:ind w:right="0" w:firstLine="0"/>
            </w:pPr>
            <w:r>
              <w:t>2022</w:t>
            </w:r>
            <w:r>
              <w:t xml:space="preserve"> </w:t>
            </w:r>
          </w:p>
        </w:tc>
        <w:tc>
          <w:tcPr>
            <w:tcW w:w="1580" w:type="dxa"/>
            <w:tcBorders>
              <w:top w:val="single" w:sz="4" w:space="0" w:color="7F7F7F"/>
              <w:left w:val="nil"/>
              <w:bottom w:val="single" w:sz="4" w:space="0" w:color="7F7F7F"/>
              <w:right w:val="nil"/>
            </w:tcBorders>
          </w:tcPr>
          <w:p w14:paraId="42A037C7" w14:textId="77777777" w:rsidR="00FE3B37" w:rsidRDefault="004F2C25">
            <w:pPr>
              <w:spacing w:after="0" w:line="259" w:lineRule="auto"/>
              <w:ind w:right="0" w:firstLine="0"/>
            </w:pPr>
            <w:r>
              <w:t xml:space="preserve">Adults with </w:t>
            </w:r>
          </w:p>
          <w:p w14:paraId="1788A184" w14:textId="77777777" w:rsidR="00FE3B37" w:rsidRDefault="004F2C25">
            <w:pPr>
              <w:spacing w:after="0" w:line="259" w:lineRule="auto"/>
              <w:ind w:right="0" w:firstLine="0"/>
            </w:pPr>
            <w:r>
              <w:t xml:space="preserve">T1DM + </w:t>
            </w:r>
          </w:p>
          <w:p w14:paraId="6FA8FEB8" w14:textId="77777777" w:rsidR="00FE3B37" w:rsidRDefault="004F2C25">
            <w:pPr>
              <w:spacing w:after="0" w:line="259" w:lineRule="auto"/>
              <w:ind w:right="0" w:firstLine="0"/>
            </w:pPr>
            <w:r>
              <w:t xml:space="preserve">problematic </w:t>
            </w:r>
          </w:p>
          <w:p w14:paraId="4140DAC5" w14:textId="77777777" w:rsidR="00FE3B37" w:rsidRDefault="004F2C25">
            <w:pPr>
              <w:spacing w:after="0" w:line="259" w:lineRule="auto"/>
              <w:ind w:right="0" w:firstLine="0"/>
            </w:pPr>
            <w:r>
              <w:t>hypoglycaemi a</w:t>
            </w:r>
            <w:r>
              <w:t xml:space="preserve"> </w:t>
            </w:r>
          </w:p>
        </w:tc>
        <w:tc>
          <w:tcPr>
            <w:tcW w:w="1621" w:type="dxa"/>
            <w:tcBorders>
              <w:top w:val="single" w:sz="4" w:space="0" w:color="7F7F7F"/>
              <w:left w:val="nil"/>
              <w:bottom w:val="single" w:sz="4" w:space="0" w:color="7F7F7F"/>
              <w:right w:val="nil"/>
            </w:tcBorders>
          </w:tcPr>
          <w:p w14:paraId="70159034" w14:textId="77777777" w:rsidR="00FE3B37" w:rsidRDefault="004F2C25">
            <w:pPr>
              <w:spacing w:after="0" w:line="240" w:lineRule="auto"/>
              <w:ind w:right="0" w:firstLine="0"/>
            </w:pPr>
            <w:r>
              <w:t xml:space="preserve">HARPdoc: Hypoglycaemi a Awareness Restoration </w:t>
            </w:r>
          </w:p>
          <w:p w14:paraId="064A1687" w14:textId="77777777" w:rsidR="00FE3B37" w:rsidRDefault="004F2C25">
            <w:pPr>
              <w:spacing w:after="0" w:line="259" w:lineRule="auto"/>
              <w:ind w:right="0" w:firstLine="0"/>
            </w:pPr>
            <w:r>
              <w:t>Programme</w:t>
            </w:r>
            <w:r>
              <w:t xml:space="preserve"> </w:t>
            </w:r>
          </w:p>
        </w:tc>
        <w:tc>
          <w:tcPr>
            <w:tcW w:w="1126" w:type="dxa"/>
            <w:tcBorders>
              <w:top w:val="single" w:sz="4" w:space="0" w:color="7F7F7F"/>
              <w:left w:val="nil"/>
              <w:bottom w:val="single" w:sz="4" w:space="0" w:color="7F7F7F"/>
              <w:right w:val="nil"/>
            </w:tcBorders>
          </w:tcPr>
          <w:p w14:paraId="634EE16D" w14:textId="77777777" w:rsidR="00FE3B37" w:rsidRDefault="004F2C25">
            <w:pPr>
              <w:spacing w:after="0" w:line="259" w:lineRule="auto"/>
              <w:ind w:right="0" w:firstLine="0"/>
            </w:pPr>
            <w:r>
              <w:t>RCT</w:t>
            </w:r>
            <w:r>
              <w:t xml:space="preserve"> </w:t>
            </w:r>
          </w:p>
        </w:tc>
        <w:tc>
          <w:tcPr>
            <w:tcW w:w="1580" w:type="dxa"/>
            <w:tcBorders>
              <w:top w:val="single" w:sz="4" w:space="0" w:color="7F7F7F"/>
              <w:left w:val="nil"/>
              <w:bottom w:val="single" w:sz="4" w:space="0" w:color="7F7F7F"/>
              <w:right w:val="nil"/>
            </w:tcBorders>
          </w:tcPr>
          <w:p w14:paraId="642B0F20" w14:textId="77777777" w:rsidR="00FE3B37" w:rsidRDefault="004F2C25">
            <w:pPr>
              <w:spacing w:after="0" w:line="259" w:lineRule="auto"/>
              <w:ind w:right="98" w:firstLine="0"/>
              <w:jc w:val="both"/>
            </w:pPr>
            <w:r>
              <w:t>Improved hypoglycaemi a awareness; safe and acceptable</w:t>
            </w:r>
            <w:r>
              <w:t xml:space="preserve"> </w:t>
            </w:r>
          </w:p>
        </w:tc>
        <w:tc>
          <w:tcPr>
            <w:tcW w:w="1271" w:type="dxa"/>
            <w:tcBorders>
              <w:top w:val="single" w:sz="4" w:space="0" w:color="7F7F7F"/>
              <w:left w:val="nil"/>
              <w:bottom w:val="single" w:sz="4" w:space="0" w:color="7F7F7F"/>
              <w:right w:val="nil"/>
            </w:tcBorders>
          </w:tcPr>
          <w:p w14:paraId="62F03A7B" w14:textId="77777777" w:rsidR="00FE3B37" w:rsidRDefault="004F2C25">
            <w:pPr>
              <w:spacing w:after="0" w:line="259" w:lineRule="auto"/>
              <w:ind w:right="0" w:firstLine="0"/>
            </w:pPr>
            <w:r>
              <w:t>Tailored intervention s</w:t>
            </w:r>
            <w:r>
              <w:t xml:space="preserve"> </w:t>
            </w:r>
          </w:p>
        </w:tc>
      </w:tr>
      <w:tr w:rsidR="00FE3B37" w14:paraId="63427F1C" w14:textId="77777777">
        <w:trPr>
          <w:trHeight w:val="1781"/>
        </w:trPr>
        <w:tc>
          <w:tcPr>
            <w:tcW w:w="671" w:type="dxa"/>
            <w:tcBorders>
              <w:top w:val="single" w:sz="4" w:space="0" w:color="7F7F7F"/>
              <w:left w:val="nil"/>
              <w:bottom w:val="single" w:sz="4" w:space="0" w:color="7F7F7F"/>
              <w:right w:val="nil"/>
            </w:tcBorders>
          </w:tcPr>
          <w:p w14:paraId="6B1067AB" w14:textId="77777777" w:rsidR="00FE3B37" w:rsidRDefault="004F2C25">
            <w:pPr>
              <w:spacing w:after="0" w:line="259" w:lineRule="auto"/>
              <w:ind w:left="125" w:right="0" w:firstLine="0"/>
            </w:pPr>
            <w:r>
              <w:rPr>
                <w:b/>
              </w:rPr>
              <w:t xml:space="preserve">5 </w:t>
            </w:r>
          </w:p>
        </w:tc>
        <w:tc>
          <w:tcPr>
            <w:tcW w:w="1196" w:type="dxa"/>
            <w:tcBorders>
              <w:top w:val="single" w:sz="4" w:space="0" w:color="7F7F7F"/>
              <w:left w:val="nil"/>
              <w:bottom w:val="single" w:sz="4" w:space="0" w:color="7F7F7F"/>
              <w:right w:val="nil"/>
            </w:tcBorders>
          </w:tcPr>
          <w:p w14:paraId="6F65E9FA" w14:textId="77777777" w:rsidR="00FE3B37" w:rsidRDefault="004F2C25">
            <w:pPr>
              <w:spacing w:after="0" w:line="259" w:lineRule="auto"/>
              <w:ind w:right="59" w:firstLine="0"/>
            </w:pPr>
            <w:r>
              <w:t>Brown JVE et al., 2025</w:t>
            </w:r>
            <w:r>
              <w:t xml:space="preserve"> </w:t>
            </w:r>
          </w:p>
        </w:tc>
        <w:tc>
          <w:tcPr>
            <w:tcW w:w="1580" w:type="dxa"/>
            <w:tcBorders>
              <w:top w:val="single" w:sz="4" w:space="0" w:color="7F7F7F"/>
              <w:left w:val="nil"/>
              <w:bottom w:val="single" w:sz="4" w:space="0" w:color="7F7F7F"/>
              <w:right w:val="nil"/>
            </w:tcBorders>
          </w:tcPr>
          <w:p w14:paraId="33CE1A86" w14:textId="77777777" w:rsidR="00FE3B37" w:rsidRDefault="004F2C25">
            <w:pPr>
              <w:spacing w:after="0" w:line="259" w:lineRule="auto"/>
              <w:ind w:right="0" w:firstLine="0"/>
            </w:pPr>
            <w:r>
              <w:t xml:space="preserve">Adults with </w:t>
            </w:r>
          </w:p>
          <w:p w14:paraId="04DC6684" w14:textId="77777777" w:rsidR="00FE3B37" w:rsidRDefault="004F2C25">
            <w:pPr>
              <w:spacing w:after="0" w:line="259" w:lineRule="auto"/>
              <w:ind w:right="72" w:firstLine="0"/>
            </w:pPr>
            <w:r>
              <w:t>T2DM + severe mental illness</w:t>
            </w:r>
            <w:r>
              <w:t xml:space="preserve"> </w:t>
            </w:r>
          </w:p>
        </w:tc>
        <w:tc>
          <w:tcPr>
            <w:tcW w:w="1621" w:type="dxa"/>
            <w:tcBorders>
              <w:top w:val="single" w:sz="4" w:space="0" w:color="7F7F7F"/>
              <w:left w:val="nil"/>
              <w:bottom w:val="single" w:sz="4" w:space="0" w:color="7F7F7F"/>
              <w:right w:val="nil"/>
            </w:tcBorders>
          </w:tcPr>
          <w:p w14:paraId="165595A5" w14:textId="77777777" w:rsidR="00FE3B37" w:rsidRDefault="004F2C25">
            <w:pPr>
              <w:spacing w:after="0" w:line="259" w:lineRule="auto"/>
              <w:ind w:right="0" w:firstLine="0"/>
            </w:pPr>
            <w:r>
              <w:t xml:space="preserve">DIAMONDS </w:t>
            </w:r>
          </w:p>
          <w:p w14:paraId="6C5A9D8D" w14:textId="77777777" w:rsidR="00FE3B37" w:rsidRDefault="004F2C25">
            <w:pPr>
              <w:spacing w:after="0" w:line="259" w:lineRule="auto"/>
              <w:ind w:right="0" w:firstLine="0"/>
            </w:pPr>
            <w:r>
              <w:t>intervention</w:t>
            </w:r>
            <w:r>
              <w:t xml:space="preserve"> </w:t>
            </w:r>
          </w:p>
        </w:tc>
        <w:tc>
          <w:tcPr>
            <w:tcW w:w="1126" w:type="dxa"/>
            <w:tcBorders>
              <w:top w:val="single" w:sz="4" w:space="0" w:color="7F7F7F"/>
              <w:left w:val="nil"/>
              <w:bottom w:val="single" w:sz="4" w:space="0" w:color="7F7F7F"/>
              <w:right w:val="nil"/>
            </w:tcBorders>
          </w:tcPr>
          <w:p w14:paraId="6B5B166B" w14:textId="77777777" w:rsidR="00FE3B37" w:rsidRDefault="004F2C25">
            <w:pPr>
              <w:spacing w:after="0" w:line="242" w:lineRule="auto"/>
              <w:ind w:right="0" w:firstLine="0"/>
            </w:pPr>
            <w:r>
              <w:t xml:space="preserve">Singlegroup </w:t>
            </w:r>
          </w:p>
          <w:p w14:paraId="2077EBCD" w14:textId="77777777" w:rsidR="00FE3B37" w:rsidRDefault="004F2C25">
            <w:pPr>
              <w:spacing w:after="0" w:line="259" w:lineRule="auto"/>
              <w:ind w:right="0" w:firstLine="0"/>
            </w:pPr>
            <w:r>
              <w:t>feasibility</w:t>
            </w:r>
            <w:r>
              <w:t xml:space="preserve"> </w:t>
            </w:r>
          </w:p>
        </w:tc>
        <w:tc>
          <w:tcPr>
            <w:tcW w:w="1580" w:type="dxa"/>
            <w:tcBorders>
              <w:top w:val="single" w:sz="4" w:space="0" w:color="7F7F7F"/>
              <w:left w:val="nil"/>
              <w:bottom w:val="single" w:sz="4" w:space="0" w:color="7F7F7F"/>
              <w:right w:val="nil"/>
            </w:tcBorders>
          </w:tcPr>
          <w:p w14:paraId="339DE4BA" w14:textId="77777777" w:rsidR="00FE3B37" w:rsidRDefault="004F2C25">
            <w:pPr>
              <w:spacing w:after="0" w:line="242" w:lineRule="auto"/>
              <w:ind w:right="0" w:firstLine="0"/>
            </w:pPr>
            <w:r>
              <w:t xml:space="preserve">Acceptable; improved </w:t>
            </w:r>
          </w:p>
          <w:p w14:paraId="4B5C7176" w14:textId="77777777" w:rsidR="00FE3B37" w:rsidRDefault="004F2C25">
            <w:pPr>
              <w:spacing w:after="0" w:line="259" w:lineRule="auto"/>
              <w:ind w:right="0" w:firstLine="0"/>
            </w:pPr>
            <w:r>
              <w:t xml:space="preserve">engagement; </w:t>
            </w:r>
          </w:p>
          <w:p w14:paraId="3479970E" w14:textId="77777777" w:rsidR="00FE3B37" w:rsidRDefault="004F2C25">
            <w:pPr>
              <w:spacing w:after="5" w:line="237" w:lineRule="auto"/>
              <w:ind w:right="0" w:firstLine="0"/>
            </w:pPr>
            <w:r>
              <w:t xml:space="preserve">identified barriers to </w:t>
            </w:r>
          </w:p>
          <w:p w14:paraId="37A4D019" w14:textId="77777777" w:rsidR="00FE3B37" w:rsidRDefault="004F2C25">
            <w:pPr>
              <w:spacing w:after="0" w:line="259" w:lineRule="auto"/>
              <w:ind w:right="0" w:firstLine="0"/>
            </w:pPr>
            <w:r>
              <w:t>self-</w:t>
            </w:r>
          </w:p>
          <w:p w14:paraId="48D02B05" w14:textId="77777777" w:rsidR="00FE3B37" w:rsidRDefault="004F2C25">
            <w:pPr>
              <w:spacing w:after="0" w:line="259" w:lineRule="auto"/>
              <w:ind w:right="0" w:firstLine="0"/>
            </w:pPr>
            <w:r>
              <w:t>management</w:t>
            </w:r>
            <w:r>
              <w:t xml:space="preserve"> </w:t>
            </w:r>
          </w:p>
        </w:tc>
        <w:tc>
          <w:tcPr>
            <w:tcW w:w="1271" w:type="dxa"/>
            <w:tcBorders>
              <w:top w:val="single" w:sz="4" w:space="0" w:color="7F7F7F"/>
              <w:left w:val="nil"/>
              <w:bottom w:val="single" w:sz="4" w:space="0" w:color="7F7F7F"/>
              <w:right w:val="nil"/>
            </w:tcBorders>
          </w:tcPr>
          <w:p w14:paraId="750F33C8" w14:textId="77777777" w:rsidR="00FE3B37" w:rsidRDefault="004F2C25">
            <w:pPr>
              <w:spacing w:after="0" w:line="259" w:lineRule="auto"/>
              <w:ind w:right="0" w:firstLine="0"/>
            </w:pPr>
            <w:r>
              <w:t>Tailored intervention s</w:t>
            </w:r>
            <w:r>
              <w:t xml:space="preserve"> </w:t>
            </w:r>
          </w:p>
        </w:tc>
      </w:tr>
      <w:tr w:rsidR="00FE3B37" w14:paraId="43F6EA64" w14:textId="77777777">
        <w:trPr>
          <w:trHeight w:val="1025"/>
        </w:trPr>
        <w:tc>
          <w:tcPr>
            <w:tcW w:w="671" w:type="dxa"/>
            <w:tcBorders>
              <w:top w:val="single" w:sz="4" w:space="0" w:color="7F7F7F"/>
              <w:left w:val="nil"/>
              <w:bottom w:val="single" w:sz="4" w:space="0" w:color="7F7F7F"/>
              <w:right w:val="nil"/>
            </w:tcBorders>
          </w:tcPr>
          <w:p w14:paraId="09132DF7" w14:textId="77777777" w:rsidR="00FE3B37" w:rsidRDefault="004F2C25">
            <w:pPr>
              <w:spacing w:after="0" w:line="259" w:lineRule="auto"/>
              <w:ind w:left="125" w:right="0" w:firstLine="0"/>
            </w:pPr>
            <w:r>
              <w:rPr>
                <w:b/>
              </w:rPr>
              <w:lastRenderedPageBreak/>
              <w:t xml:space="preserve">6 </w:t>
            </w:r>
          </w:p>
        </w:tc>
        <w:tc>
          <w:tcPr>
            <w:tcW w:w="1196" w:type="dxa"/>
            <w:tcBorders>
              <w:top w:val="single" w:sz="4" w:space="0" w:color="7F7F7F"/>
              <w:left w:val="nil"/>
              <w:bottom w:val="single" w:sz="4" w:space="0" w:color="7F7F7F"/>
              <w:right w:val="nil"/>
            </w:tcBorders>
          </w:tcPr>
          <w:p w14:paraId="3FD71993" w14:textId="77777777" w:rsidR="00FE3B37" w:rsidRDefault="004F2C25">
            <w:pPr>
              <w:spacing w:after="0" w:line="259" w:lineRule="auto"/>
              <w:ind w:right="0" w:firstLine="0"/>
            </w:pPr>
            <w:r>
              <w:t xml:space="preserve">Murray E </w:t>
            </w:r>
          </w:p>
          <w:p w14:paraId="39FCE2C3" w14:textId="77777777" w:rsidR="00FE3B37" w:rsidRDefault="004F2C25">
            <w:pPr>
              <w:spacing w:after="0" w:line="259" w:lineRule="auto"/>
              <w:ind w:right="0" w:firstLine="0"/>
            </w:pPr>
            <w:r>
              <w:t xml:space="preserve">et al., </w:t>
            </w:r>
          </w:p>
          <w:p w14:paraId="35941BD2" w14:textId="77777777" w:rsidR="00FE3B37" w:rsidRDefault="004F2C25">
            <w:pPr>
              <w:spacing w:after="0" w:line="259" w:lineRule="auto"/>
              <w:ind w:right="0" w:firstLine="0"/>
            </w:pPr>
            <w:r>
              <w:t>2017</w:t>
            </w:r>
            <w:r>
              <w:t xml:space="preserve"> </w:t>
            </w:r>
          </w:p>
        </w:tc>
        <w:tc>
          <w:tcPr>
            <w:tcW w:w="1580" w:type="dxa"/>
            <w:tcBorders>
              <w:top w:val="single" w:sz="4" w:space="0" w:color="7F7F7F"/>
              <w:left w:val="nil"/>
              <w:bottom w:val="single" w:sz="4" w:space="0" w:color="7F7F7F"/>
              <w:right w:val="nil"/>
            </w:tcBorders>
          </w:tcPr>
          <w:p w14:paraId="0DFC1DFC" w14:textId="77777777" w:rsidR="00FE3B37" w:rsidRDefault="004F2C25">
            <w:pPr>
              <w:spacing w:after="0" w:line="259" w:lineRule="auto"/>
              <w:ind w:right="0" w:firstLine="0"/>
            </w:pPr>
            <w:r>
              <w:t xml:space="preserve">Adults with </w:t>
            </w:r>
          </w:p>
          <w:p w14:paraId="1C170618" w14:textId="77777777" w:rsidR="00FE3B37" w:rsidRDefault="004F2C25">
            <w:pPr>
              <w:spacing w:after="0" w:line="259" w:lineRule="auto"/>
              <w:ind w:right="0" w:firstLine="0"/>
            </w:pPr>
            <w:r>
              <w:t>T2DM</w:t>
            </w:r>
            <w:r>
              <w:t xml:space="preserve"> </w:t>
            </w:r>
          </w:p>
        </w:tc>
        <w:tc>
          <w:tcPr>
            <w:tcW w:w="1621" w:type="dxa"/>
            <w:tcBorders>
              <w:top w:val="single" w:sz="4" w:space="0" w:color="7F7F7F"/>
              <w:left w:val="nil"/>
              <w:bottom w:val="single" w:sz="4" w:space="0" w:color="7F7F7F"/>
              <w:right w:val="nil"/>
            </w:tcBorders>
          </w:tcPr>
          <w:p w14:paraId="3A518D60" w14:textId="77777777" w:rsidR="00FE3B37" w:rsidRDefault="004F2C25">
            <w:pPr>
              <w:spacing w:after="0" w:line="259" w:lineRule="auto"/>
              <w:ind w:right="0" w:firstLine="0"/>
            </w:pPr>
            <w:r>
              <w:t>HeLP-</w:t>
            </w:r>
          </w:p>
          <w:p w14:paraId="65A980BA" w14:textId="77777777" w:rsidR="00FE3B37" w:rsidRDefault="004F2C25">
            <w:pPr>
              <w:spacing w:after="5" w:line="237" w:lineRule="auto"/>
              <w:ind w:right="0" w:firstLine="0"/>
            </w:pPr>
            <w:r>
              <w:t xml:space="preserve">Diabetes web-based </w:t>
            </w:r>
          </w:p>
          <w:p w14:paraId="32BC4C24" w14:textId="77777777" w:rsidR="00FE3B37" w:rsidRDefault="004F2C25">
            <w:pPr>
              <w:spacing w:after="0" w:line="259" w:lineRule="auto"/>
              <w:ind w:right="0" w:firstLine="0"/>
            </w:pPr>
            <w:r>
              <w:t>self-</w:t>
            </w:r>
          </w:p>
        </w:tc>
        <w:tc>
          <w:tcPr>
            <w:tcW w:w="1126" w:type="dxa"/>
            <w:tcBorders>
              <w:top w:val="single" w:sz="4" w:space="0" w:color="7F7F7F"/>
              <w:left w:val="nil"/>
              <w:bottom w:val="single" w:sz="4" w:space="0" w:color="7F7F7F"/>
              <w:right w:val="nil"/>
            </w:tcBorders>
          </w:tcPr>
          <w:p w14:paraId="7CC1E27B" w14:textId="77777777" w:rsidR="00FE3B37" w:rsidRDefault="004F2C25">
            <w:pPr>
              <w:spacing w:after="0" w:line="259" w:lineRule="auto"/>
              <w:ind w:right="0" w:firstLine="0"/>
            </w:pPr>
            <w:r>
              <w:t>RCT</w:t>
            </w:r>
            <w:r>
              <w:t xml:space="preserve"> </w:t>
            </w:r>
          </w:p>
        </w:tc>
        <w:tc>
          <w:tcPr>
            <w:tcW w:w="1580" w:type="dxa"/>
            <w:tcBorders>
              <w:top w:val="single" w:sz="4" w:space="0" w:color="7F7F7F"/>
              <w:left w:val="nil"/>
              <w:bottom w:val="single" w:sz="4" w:space="0" w:color="7F7F7F"/>
              <w:right w:val="nil"/>
            </w:tcBorders>
          </w:tcPr>
          <w:p w14:paraId="351A8DFB" w14:textId="77777777" w:rsidR="00FE3B37" w:rsidRDefault="004F2C25">
            <w:pPr>
              <w:spacing w:after="0" w:line="242" w:lineRule="auto"/>
              <w:ind w:right="7" w:firstLine="0"/>
            </w:pPr>
            <w:r>
              <w:t>Increased self-</w:t>
            </w:r>
          </w:p>
          <w:p w14:paraId="56C5B56B" w14:textId="77777777" w:rsidR="00FE3B37" w:rsidRDefault="004F2C25">
            <w:pPr>
              <w:spacing w:after="0" w:line="259" w:lineRule="auto"/>
              <w:ind w:right="0" w:firstLine="0"/>
            </w:pPr>
            <w:r>
              <w:t xml:space="preserve">management </w:t>
            </w:r>
          </w:p>
          <w:p w14:paraId="79CD9E89" w14:textId="77777777" w:rsidR="00FE3B37" w:rsidRDefault="004F2C25">
            <w:pPr>
              <w:spacing w:after="0" w:line="259" w:lineRule="auto"/>
              <w:ind w:right="0" w:firstLine="0"/>
            </w:pPr>
            <w:r>
              <w:t xml:space="preserve">and patient </w:t>
            </w:r>
          </w:p>
        </w:tc>
        <w:tc>
          <w:tcPr>
            <w:tcW w:w="1271" w:type="dxa"/>
            <w:tcBorders>
              <w:top w:val="single" w:sz="4" w:space="0" w:color="7F7F7F"/>
              <w:left w:val="nil"/>
              <w:bottom w:val="single" w:sz="4" w:space="0" w:color="7F7F7F"/>
              <w:right w:val="nil"/>
            </w:tcBorders>
          </w:tcPr>
          <w:p w14:paraId="6047F7B6" w14:textId="77777777" w:rsidR="00FE3B37" w:rsidRDefault="004F2C25">
            <w:pPr>
              <w:spacing w:after="0" w:line="259" w:lineRule="auto"/>
              <w:ind w:right="0" w:firstLine="0"/>
            </w:pPr>
            <w:r>
              <w:t>Digital intervention s</w:t>
            </w:r>
            <w:r>
              <w:t xml:space="preserve"> </w:t>
            </w:r>
          </w:p>
        </w:tc>
      </w:tr>
    </w:tbl>
    <w:p w14:paraId="728AE008" w14:textId="77777777" w:rsidR="00FE3B37" w:rsidRDefault="004F2C25">
      <w:pPr>
        <w:tabs>
          <w:tab w:val="center" w:pos="4071"/>
          <w:tab w:val="center" w:pos="6671"/>
        </w:tabs>
        <w:spacing w:line="259" w:lineRule="auto"/>
        <w:ind w:right="0" w:firstLine="0"/>
      </w:pPr>
      <w:r>
        <w:rPr>
          <w:rFonts w:ascii="Calibri" w:eastAsia="Calibri" w:hAnsi="Calibri" w:cs="Calibri"/>
        </w:rPr>
        <w:tab/>
      </w:r>
      <w:r>
        <w:t xml:space="preserve">management </w:t>
      </w:r>
      <w:r>
        <w:tab/>
        <w:t xml:space="preserve">activation; </w:t>
      </w:r>
    </w:p>
    <w:p w14:paraId="54C18DB6" w14:textId="77777777" w:rsidR="00FE3B37" w:rsidRDefault="004F2C25">
      <w:pPr>
        <w:tabs>
          <w:tab w:val="center" w:pos="3797"/>
          <w:tab w:val="center" w:pos="6384"/>
        </w:tabs>
        <w:spacing w:after="0" w:line="259" w:lineRule="auto"/>
        <w:ind w:right="0" w:firstLine="0"/>
      </w:pPr>
      <w:r>
        <w:rPr>
          <w:rFonts w:ascii="Calibri" w:eastAsia="Calibri" w:hAnsi="Calibri" w:cs="Calibri"/>
        </w:rPr>
        <w:tab/>
      </w:r>
      <w:r>
        <w:t>support</w:t>
      </w:r>
      <w:r>
        <w:t xml:space="preserve"> </w:t>
      </w:r>
      <w:r>
        <w:tab/>
      </w:r>
      <w:r>
        <w:t xml:space="preserve">high </w:t>
      </w:r>
    </w:p>
    <w:p w14:paraId="2066743B" w14:textId="77777777" w:rsidR="00FE3B37" w:rsidRDefault="004F2C25">
      <w:pPr>
        <w:spacing w:line="259" w:lineRule="auto"/>
        <w:ind w:left="6178" w:right="7" w:firstLine="0"/>
      </w:pPr>
      <w:r>
        <w:t>acceptability</w:t>
      </w:r>
      <w:r>
        <w:t xml:space="preserve"> </w:t>
      </w:r>
    </w:p>
    <w:p w14:paraId="1585D19B" w14:textId="77777777" w:rsidR="00FE3B37" w:rsidRDefault="004F2C25">
      <w:pPr>
        <w:spacing w:after="210" w:line="259" w:lineRule="auto"/>
        <w:ind w:left="-15" w:right="-4" w:firstLine="0"/>
      </w:pPr>
      <w:r>
        <w:rPr>
          <w:rFonts w:ascii="Calibri" w:eastAsia="Calibri" w:hAnsi="Calibri" w:cs="Calibri"/>
          <w:noProof/>
        </w:rPr>
        <mc:AlternateContent>
          <mc:Choice Requires="wpg">
            <w:drawing>
              <wp:inline distT="0" distB="0" distL="0" distR="0" wp14:anchorId="4F29FDEC" wp14:editId="18FF2A8B">
                <wp:extent cx="5742941" cy="6350"/>
                <wp:effectExtent l="0" t="0" r="0" b="0"/>
                <wp:docPr id="15196" name="Group 15196"/>
                <wp:cNvGraphicFramePr/>
                <a:graphic xmlns:a="http://schemas.openxmlformats.org/drawingml/2006/main">
                  <a:graphicData uri="http://schemas.microsoft.com/office/word/2010/wordprocessingGroup">
                    <wpg:wgp>
                      <wpg:cNvGrpSpPr/>
                      <wpg:grpSpPr>
                        <a:xfrm>
                          <a:off x="0" y="0"/>
                          <a:ext cx="5742941" cy="6350"/>
                          <a:chOff x="0" y="0"/>
                          <a:chExt cx="5742941" cy="6350"/>
                        </a:xfrm>
                      </wpg:grpSpPr>
                      <wps:wsp>
                        <wps:cNvPr id="19385" name="Shape 19385"/>
                        <wps:cNvSpPr/>
                        <wps:spPr>
                          <a:xfrm>
                            <a:off x="0" y="0"/>
                            <a:ext cx="355918" cy="9144"/>
                          </a:xfrm>
                          <a:custGeom>
                            <a:avLst/>
                            <a:gdLst/>
                            <a:ahLst/>
                            <a:cxnLst/>
                            <a:rect l="0" t="0" r="0" b="0"/>
                            <a:pathLst>
                              <a:path w="355918" h="9144">
                                <a:moveTo>
                                  <a:pt x="0" y="0"/>
                                </a:moveTo>
                                <a:lnTo>
                                  <a:pt x="355918" y="0"/>
                                </a:lnTo>
                                <a:lnTo>
                                  <a:pt x="355918" y="9144"/>
                                </a:lnTo>
                                <a:lnTo>
                                  <a:pt x="0" y="9144"/>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19386" name="Shape 19386"/>
                        <wps:cNvSpPr/>
                        <wps:spPr>
                          <a:xfrm>
                            <a:off x="34639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19387" name="Shape 19387"/>
                        <wps:cNvSpPr/>
                        <wps:spPr>
                          <a:xfrm>
                            <a:off x="352743" y="0"/>
                            <a:ext cx="762318" cy="9144"/>
                          </a:xfrm>
                          <a:custGeom>
                            <a:avLst/>
                            <a:gdLst/>
                            <a:ahLst/>
                            <a:cxnLst/>
                            <a:rect l="0" t="0" r="0" b="0"/>
                            <a:pathLst>
                              <a:path w="762318" h="9144">
                                <a:moveTo>
                                  <a:pt x="0" y="0"/>
                                </a:moveTo>
                                <a:lnTo>
                                  <a:pt x="762318" y="0"/>
                                </a:lnTo>
                                <a:lnTo>
                                  <a:pt x="762318" y="9144"/>
                                </a:lnTo>
                                <a:lnTo>
                                  <a:pt x="0" y="9144"/>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19388" name="Shape 19388"/>
                        <wps:cNvSpPr/>
                        <wps:spPr>
                          <a:xfrm>
                            <a:off x="1105599"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19389" name="Shape 19389"/>
                        <wps:cNvSpPr/>
                        <wps:spPr>
                          <a:xfrm>
                            <a:off x="1111949" y="0"/>
                            <a:ext cx="1009968" cy="9144"/>
                          </a:xfrm>
                          <a:custGeom>
                            <a:avLst/>
                            <a:gdLst/>
                            <a:ahLst/>
                            <a:cxnLst/>
                            <a:rect l="0" t="0" r="0" b="0"/>
                            <a:pathLst>
                              <a:path w="1009968" h="9144">
                                <a:moveTo>
                                  <a:pt x="0" y="0"/>
                                </a:moveTo>
                                <a:lnTo>
                                  <a:pt x="1009968" y="0"/>
                                </a:lnTo>
                                <a:lnTo>
                                  <a:pt x="1009968" y="9144"/>
                                </a:lnTo>
                                <a:lnTo>
                                  <a:pt x="0" y="9144"/>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19390" name="Shape 19390"/>
                        <wps:cNvSpPr/>
                        <wps:spPr>
                          <a:xfrm>
                            <a:off x="211232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19391" name="Shape 19391"/>
                        <wps:cNvSpPr/>
                        <wps:spPr>
                          <a:xfrm>
                            <a:off x="2118678" y="0"/>
                            <a:ext cx="1029017" cy="9144"/>
                          </a:xfrm>
                          <a:custGeom>
                            <a:avLst/>
                            <a:gdLst/>
                            <a:ahLst/>
                            <a:cxnLst/>
                            <a:rect l="0" t="0" r="0" b="0"/>
                            <a:pathLst>
                              <a:path w="1029017" h="9144">
                                <a:moveTo>
                                  <a:pt x="0" y="0"/>
                                </a:moveTo>
                                <a:lnTo>
                                  <a:pt x="1029017" y="0"/>
                                </a:lnTo>
                                <a:lnTo>
                                  <a:pt x="1029017" y="9144"/>
                                </a:lnTo>
                                <a:lnTo>
                                  <a:pt x="0" y="9144"/>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19392" name="Shape 19392"/>
                        <wps:cNvSpPr/>
                        <wps:spPr>
                          <a:xfrm>
                            <a:off x="313823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19393" name="Shape 19393"/>
                        <wps:cNvSpPr/>
                        <wps:spPr>
                          <a:xfrm>
                            <a:off x="3144584" y="0"/>
                            <a:ext cx="717867" cy="9144"/>
                          </a:xfrm>
                          <a:custGeom>
                            <a:avLst/>
                            <a:gdLst/>
                            <a:ahLst/>
                            <a:cxnLst/>
                            <a:rect l="0" t="0" r="0" b="0"/>
                            <a:pathLst>
                              <a:path w="717867" h="9144">
                                <a:moveTo>
                                  <a:pt x="0" y="0"/>
                                </a:moveTo>
                                <a:lnTo>
                                  <a:pt x="717867" y="0"/>
                                </a:lnTo>
                                <a:lnTo>
                                  <a:pt x="717867" y="9144"/>
                                </a:lnTo>
                                <a:lnTo>
                                  <a:pt x="0" y="9144"/>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19394" name="Shape 19394"/>
                        <wps:cNvSpPr/>
                        <wps:spPr>
                          <a:xfrm>
                            <a:off x="385286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19395" name="Shape 19395"/>
                        <wps:cNvSpPr/>
                        <wps:spPr>
                          <a:xfrm>
                            <a:off x="3859213" y="0"/>
                            <a:ext cx="1010285" cy="9144"/>
                          </a:xfrm>
                          <a:custGeom>
                            <a:avLst/>
                            <a:gdLst/>
                            <a:ahLst/>
                            <a:cxnLst/>
                            <a:rect l="0" t="0" r="0" b="0"/>
                            <a:pathLst>
                              <a:path w="1010285" h="9144">
                                <a:moveTo>
                                  <a:pt x="0" y="0"/>
                                </a:moveTo>
                                <a:lnTo>
                                  <a:pt x="1010285" y="0"/>
                                </a:lnTo>
                                <a:lnTo>
                                  <a:pt x="1010285" y="9144"/>
                                </a:lnTo>
                                <a:lnTo>
                                  <a:pt x="0" y="9144"/>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19396" name="Shape 19396"/>
                        <wps:cNvSpPr/>
                        <wps:spPr>
                          <a:xfrm>
                            <a:off x="485997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19397" name="Shape 19397"/>
                        <wps:cNvSpPr/>
                        <wps:spPr>
                          <a:xfrm>
                            <a:off x="4866323" y="0"/>
                            <a:ext cx="876618" cy="9144"/>
                          </a:xfrm>
                          <a:custGeom>
                            <a:avLst/>
                            <a:gdLst/>
                            <a:ahLst/>
                            <a:cxnLst/>
                            <a:rect l="0" t="0" r="0" b="0"/>
                            <a:pathLst>
                              <a:path w="876618" h="9144">
                                <a:moveTo>
                                  <a:pt x="0" y="0"/>
                                </a:moveTo>
                                <a:lnTo>
                                  <a:pt x="876618" y="0"/>
                                </a:lnTo>
                                <a:lnTo>
                                  <a:pt x="876618" y="9144"/>
                                </a:lnTo>
                                <a:lnTo>
                                  <a:pt x="0" y="9144"/>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g:wgp>
                  </a:graphicData>
                </a:graphic>
              </wp:inline>
            </w:drawing>
          </mc:Choice>
          <mc:Fallback xmlns:a="http://schemas.openxmlformats.org/drawingml/2006/main">
            <w:pict>
              <v:group id="Group 15196" style="width:452.2pt;height:0.5pt;mso-position-horizontal-relative:char;mso-position-vertical-relative:line" coordsize="57429,63">
                <v:shape id="Shape 19398" style="position:absolute;width:3559;height:91;left:0;top:0;" coordsize="355918,9144" path="m0,0l355918,0l355918,9144l0,9144l0,0">
                  <v:stroke weight="0pt" endcap="flat" joinstyle="miter" miterlimit="10" on="false" color="#000000" opacity="0"/>
                  <v:fill on="true" color="#7f7f7f"/>
                </v:shape>
                <v:shape id="Shape 19399" style="position:absolute;width:91;height:91;left:3463;top:0;" coordsize="9144,9144" path="m0,0l9144,0l9144,9144l0,9144l0,0">
                  <v:stroke weight="0pt" endcap="flat" joinstyle="miter" miterlimit="10" on="false" color="#000000" opacity="0"/>
                  <v:fill on="true" color="#7f7f7f"/>
                </v:shape>
                <v:shape id="Shape 19400" style="position:absolute;width:7623;height:91;left:3527;top:0;" coordsize="762318,9144" path="m0,0l762318,0l762318,9144l0,9144l0,0">
                  <v:stroke weight="0pt" endcap="flat" joinstyle="miter" miterlimit="10" on="false" color="#000000" opacity="0"/>
                  <v:fill on="true" color="#7f7f7f"/>
                </v:shape>
                <v:shape id="Shape 19401" style="position:absolute;width:91;height:91;left:11055;top:0;" coordsize="9144,9144" path="m0,0l9144,0l9144,9144l0,9144l0,0">
                  <v:stroke weight="0pt" endcap="flat" joinstyle="miter" miterlimit="10" on="false" color="#000000" opacity="0"/>
                  <v:fill on="true" color="#7f7f7f"/>
                </v:shape>
                <v:shape id="Shape 19402" style="position:absolute;width:10099;height:91;left:11119;top:0;" coordsize="1009968,9144" path="m0,0l1009968,0l1009968,9144l0,9144l0,0">
                  <v:stroke weight="0pt" endcap="flat" joinstyle="miter" miterlimit="10" on="false" color="#000000" opacity="0"/>
                  <v:fill on="true" color="#7f7f7f"/>
                </v:shape>
                <v:shape id="Shape 19403" style="position:absolute;width:91;height:91;left:21123;top:0;" coordsize="9144,9144" path="m0,0l9144,0l9144,9144l0,9144l0,0">
                  <v:stroke weight="0pt" endcap="flat" joinstyle="miter" miterlimit="10" on="false" color="#000000" opacity="0"/>
                  <v:fill on="true" color="#7f7f7f"/>
                </v:shape>
                <v:shape id="Shape 19404" style="position:absolute;width:10290;height:91;left:21186;top:0;" coordsize="1029017,9144" path="m0,0l1029017,0l1029017,9144l0,9144l0,0">
                  <v:stroke weight="0pt" endcap="flat" joinstyle="miter" miterlimit="10" on="false" color="#000000" opacity="0"/>
                  <v:fill on="true" color="#7f7f7f"/>
                </v:shape>
                <v:shape id="Shape 19405" style="position:absolute;width:91;height:91;left:31382;top:0;" coordsize="9144,9144" path="m0,0l9144,0l9144,9144l0,9144l0,0">
                  <v:stroke weight="0pt" endcap="flat" joinstyle="miter" miterlimit="10" on="false" color="#000000" opacity="0"/>
                  <v:fill on="true" color="#7f7f7f"/>
                </v:shape>
                <v:shape id="Shape 19406" style="position:absolute;width:7178;height:91;left:31445;top:0;" coordsize="717867,9144" path="m0,0l717867,0l717867,9144l0,9144l0,0">
                  <v:stroke weight="0pt" endcap="flat" joinstyle="miter" miterlimit="10" on="false" color="#000000" opacity="0"/>
                  <v:fill on="true" color="#7f7f7f"/>
                </v:shape>
                <v:shape id="Shape 19407" style="position:absolute;width:91;height:91;left:38528;top:0;" coordsize="9144,9144" path="m0,0l9144,0l9144,9144l0,9144l0,0">
                  <v:stroke weight="0pt" endcap="flat" joinstyle="miter" miterlimit="10" on="false" color="#000000" opacity="0"/>
                  <v:fill on="true" color="#7f7f7f"/>
                </v:shape>
                <v:shape id="Shape 19408" style="position:absolute;width:10102;height:91;left:38592;top:0;" coordsize="1010285,9144" path="m0,0l1010285,0l1010285,9144l0,9144l0,0">
                  <v:stroke weight="0pt" endcap="flat" joinstyle="miter" miterlimit="10" on="false" color="#000000" opacity="0"/>
                  <v:fill on="true" color="#7f7f7f"/>
                </v:shape>
                <v:shape id="Shape 19409" style="position:absolute;width:91;height:91;left:48599;top:0;" coordsize="9144,9144" path="m0,0l9144,0l9144,9144l0,9144l0,0">
                  <v:stroke weight="0pt" endcap="flat" joinstyle="miter" miterlimit="10" on="false" color="#000000" opacity="0"/>
                  <v:fill on="true" color="#7f7f7f"/>
                </v:shape>
                <v:shape id="Shape 19410" style="position:absolute;width:8766;height:91;left:48663;top:0;" coordsize="876618,9144" path="m0,0l876618,0l876618,9144l0,9144l0,0">
                  <v:stroke weight="0pt" endcap="flat" joinstyle="miter" miterlimit="10" on="false" color="#000000" opacity="0"/>
                  <v:fill on="true" color="#7f7f7f"/>
                </v:shape>
              </v:group>
            </w:pict>
          </mc:Fallback>
        </mc:AlternateContent>
      </w:r>
    </w:p>
    <w:p w14:paraId="49C6D670" w14:textId="77777777" w:rsidR="00FE3B37" w:rsidRDefault="004F2C25">
      <w:pPr>
        <w:pStyle w:val="Heading2"/>
        <w:ind w:left="-5" w:right="0"/>
      </w:pPr>
      <w:bookmarkStart w:id="13" w:name="_Toc18953"/>
      <w:r>
        <w:t>Thematic Analysis</w:t>
      </w:r>
      <w:r>
        <w:t xml:space="preserve"> </w:t>
      </w:r>
      <w:bookmarkEnd w:id="13"/>
    </w:p>
    <w:p w14:paraId="6C1D6A31" w14:textId="77777777" w:rsidR="00FE3B37" w:rsidRDefault="004F2C25">
      <w:pPr>
        <w:ind w:left="-15" w:right="7"/>
      </w:pPr>
      <w:r>
        <w:t>Three main themes emerged from the six studies: digital interventions, educationbased programmes, and tailored interventions for vulnerable populations.</w:t>
      </w:r>
      <w:r>
        <w:t xml:space="preserve"> </w:t>
      </w:r>
    </w:p>
    <w:p w14:paraId="3F7FBC08" w14:textId="77777777" w:rsidR="00FE3B37" w:rsidRDefault="004F2C25">
      <w:pPr>
        <w:pStyle w:val="Heading4"/>
        <w:ind w:left="-5"/>
      </w:pPr>
      <w:r>
        <w:t>Digital Interventions</w:t>
      </w:r>
      <w:r>
        <w:t xml:space="preserve"> </w:t>
      </w:r>
    </w:p>
    <w:p w14:paraId="225D5DD8" w14:textId="77777777" w:rsidR="00FE3B37" w:rsidRDefault="004F2C25">
      <w:pPr>
        <w:ind w:left="-15" w:right="7"/>
      </w:pPr>
      <w:r>
        <w:t>Murray et al. (2017) and Benton et al. (2022) evaluated web-based and nationally implemented digital programmes. These interventions were associated with increased patient activation, improved self-management behaviours, and modest improvements in glycaemic control. Variation in implementation fidelity influenced engagement and behavioural outcomes.</w:t>
      </w:r>
      <w:r>
        <w:t xml:space="preserve"> </w:t>
      </w:r>
    </w:p>
    <w:p w14:paraId="72E5E043" w14:textId="77777777" w:rsidR="00FE3B37" w:rsidRDefault="004F2C25">
      <w:pPr>
        <w:pStyle w:val="Heading4"/>
        <w:ind w:left="-5"/>
      </w:pPr>
      <w:r>
        <w:t>Education-Based Programmes</w:t>
      </w:r>
      <w:r>
        <w:t xml:space="preserve"> </w:t>
      </w:r>
    </w:p>
    <w:p w14:paraId="77D95E67" w14:textId="77777777" w:rsidR="00FE3B37" w:rsidRDefault="004F2C25">
      <w:pPr>
        <w:spacing w:line="360" w:lineRule="auto"/>
        <w:ind w:left="-15" w:right="48"/>
        <w:jc w:val="both"/>
      </w:pPr>
      <w:r>
        <w:t>The GLoW trial (Mueller et al., 2025) combined structured education with behavioural strategies, demonstrating statistically significant improvements in HbA1c and weight control compared to standard education, particularly in newly diagnosed patients over 12 months.</w:t>
      </w:r>
      <w:r>
        <w:t xml:space="preserve"> </w:t>
      </w:r>
    </w:p>
    <w:p w14:paraId="69077D31" w14:textId="77777777" w:rsidR="00FE3B37" w:rsidRDefault="004F2C25">
      <w:pPr>
        <w:pStyle w:val="Heading4"/>
        <w:ind w:left="-5"/>
      </w:pPr>
      <w:r>
        <w:t>Tailored Interventions for Vulnerable Groups</w:t>
      </w:r>
      <w:r>
        <w:t xml:space="preserve"> </w:t>
      </w:r>
    </w:p>
    <w:p w14:paraId="5F5AB0AB" w14:textId="77777777" w:rsidR="00FE3B37" w:rsidRDefault="004F2C25">
      <w:pPr>
        <w:ind w:left="-15" w:right="7"/>
      </w:pPr>
      <w:r>
        <w:rPr>
          <w:rFonts w:ascii="Calibri" w:eastAsia="Calibri" w:hAnsi="Calibri" w:cs="Calibri"/>
          <w:noProof/>
        </w:rPr>
        <mc:AlternateContent>
          <mc:Choice Requires="wpg">
            <w:drawing>
              <wp:anchor distT="0" distB="0" distL="114300" distR="114300" simplePos="0" relativeHeight="251658240" behindDoc="0" locked="0" layoutInCell="1" allowOverlap="1" wp14:anchorId="100FC7E1" wp14:editId="4873AAC0">
                <wp:simplePos x="0" y="0"/>
                <wp:positionH relativeFrom="page">
                  <wp:posOffset>914718</wp:posOffset>
                </wp:positionH>
                <wp:positionV relativeFrom="page">
                  <wp:posOffset>914781</wp:posOffset>
                </wp:positionV>
                <wp:extent cx="5733416" cy="6350"/>
                <wp:effectExtent l="0" t="0" r="0" b="0"/>
                <wp:wrapTopAndBottom/>
                <wp:docPr id="15195" name="Group 15195"/>
                <wp:cNvGraphicFramePr/>
                <a:graphic xmlns:a="http://schemas.openxmlformats.org/drawingml/2006/main">
                  <a:graphicData uri="http://schemas.microsoft.com/office/word/2010/wordprocessingGroup">
                    <wpg:wgp>
                      <wpg:cNvGrpSpPr/>
                      <wpg:grpSpPr>
                        <a:xfrm>
                          <a:off x="0" y="0"/>
                          <a:ext cx="5733416" cy="6350"/>
                          <a:chOff x="0" y="0"/>
                          <a:chExt cx="5733416" cy="6350"/>
                        </a:xfrm>
                      </wpg:grpSpPr>
                      <wps:wsp>
                        <wps:cNvPr id="19411" name="Shape 19411"/>
                        <wps:cNvSpPr/>
                        <wps:spPr>
                          <a:xfrm>
                            <a:off x="0" y="0"/>
                            <a:ext cx="346393" cy="9144"/>
                          </a:xfrm>
                          <a:custGeom>
                            <a:avLst/>
                            <a:gdLst/>
                            <a:ahLst/>
                            <a:cxnLst/>
                            <a:rect l="0" t="0" r="0" b="0"/>
                            <a:pathLst>
                              <a:path w="346393" h="9144">
                                <a:moveTo>
                                  <a:pt x="0" y="0"/>
                                </a:moveTo>
                                <a:lnTo>
                                  <a:pt x="346393" y="0"/>
                                </a:lnTo>
                                <a:lnTo>
                                  <a:pt x="346393" y="9144"/>
                                </a:lnTo>
                                <a:lnTo>
                                  <a:pt x="0" y="9144"/>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19412" name="Shape 19412"/>
                        <wps:cNvSpPr/>
                        <wps:spPr>
                          <a:xfrm>
                            <a:off x="34639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19413" name="Shape 19413"/>
                        <wps:cNvSpPr/>
                        <wps:spPr>
                          <a:xfrm>
                            <a:off x="352743" y="0"/>
                            <a:ext cx="752793" cy="9144"/>
                          </a:xfrm>
                          <a:custGeom>
                            <a:avLst/>
                            <a:gdLst/>
                            <a:ahLst/>
                            <a:cxnLst/>
                            <a:rect l="0" t="0" r="0" b="0"/>
                            <a:pathLst>
                              <a:path w="752793" h="9144">
                                <a:moveTo>
                                  <a:pt x="0" y="0"/>
                                </a:moveTo>
                                <a:lnTo>
                                  <a:pt x="752793" y="0"/>
                                </a:lnTo>
                                <a:lnTo>
                                  <a:pt x="752793" y="9144"/>
                                </a:lnTo>
                                <a:lnTo>
                                  <a:pt x="0" y="9144"/>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19414" name="Shape 19414"/>
                        <wps:cNvSpPr/>
                        <wps:spPr>
                          <a:xfrm>
                            <a:off x="1105599"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19415" name="Shape 19415"/>
                        <wps:cNvSpPr/>
                        <wps:spPr>
                          <a:xfrm>
                            <a:off x="1111949" y="0"/>
                            <a:ext cx="1000443" cy="9144"/>
                          </a:xfrm>
                          <a:custGeom>
                            <a:avLst/>
                            <a:gdLst/>
                            <a:ahLst/>
                            <a:cxnLst/>
                            <a:rect l="0" t="0" r="0" b="0"/>
                            <a:pathLst>
                              <a:path w="1000443" h="9144">
                                <a:moveTo>
                                  <a:pt x="0" y="0"/>
                                </a:moveTo>
                                <a:lnTo>
                                  <a:pt x="1000443" y="0"/>
                                </a:lnTo>
                                <a:lnTo>
                                  <a:pt x="1000443" y="9144"/>
                                </a:lnTo>
                                <a:lnTo>
                                  <a:pt x="0" y="9144"/>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19416" name="Shape 19416"/>
                        <wps:cNvSpPr/>
                        <wps:spPr>
                          <a:xfrm>
                            <a:off x="211232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19417" name="Shape 19417"/>
                        <wps:cNvSpPr/>
                        <wps:spPr>
                          <a:xfrm>
                            <a:off x="2118678" y="0"/>
                            <a:ext cx="1019492" cy="9144"/>
                          </a:xfrm>
                          <a:custGeom>
                            <a:avLst/>
                            <a:gdLst/>
                            <a:ahLst/>
                            <a:cxnLst/>
                            <a:rect l="0" t="0" r="0" b="0"/>
                            <a:pathLst>
                              <a:path w="1019492" h="9144">
                                <a:moveTo>
                                  <a:pt x="0" y="0"/>
                                </a:moveTo>
                                <a:lnTo>
                                  <a:pt x="1019492" y="0"/>
                                </a:lnTo>
                                <a:lnTo>
                                  <a:pt x="1019492" y="9144"/>
                                </a:lnTo>
                                <a:lnTo>
                                  <a:pt x="0" y="9144"/>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19418" name="Shape 19418"/>
                        <wps:cNvSpPr/>
                        <wps:spPr>
                          <a:xfrm>
                            <a:off x="313823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19419" name="Shape 19419"/>
                        <wps:cNvSpPr/>
                        <wps:spPr>
                          <a:xfrm>
                            <a:off x="3144584" y="0"/>
                            <a:ext cx="708342" cy="9144"/>
                          </a:xfrm>
                          <a:custGeom>
                            <a:avLst/>
                            <a:gdLst/>
                            <a:ahLst/>
                            <a:cxnLst/>
                            <a:rect l="0" t="0" r="0" b="0"/>
                            <a:pathLst>
                              <a:path w="708342" h="9144">
                                <a:moveTo>
                                  <a:pt x="0" y="0"/>
                                </a:moveTo>
                                <a:lnTo>
                                  <a:pt x="708342" y="0"/>
                                </a:lnTo>
                                <a:lnTo>
                                  <a:pt x="708342" y="9144"/>
                                </a:lnTo>
                                <a:lnTo>
                                  <a:pt x="0" y="9144"/>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19420" name="Shape 19420"/>
                        <wps:cNvSpPr/>
                        <wps:spPr>
                          <a:xfrm>
                            <a:off x="385286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19421" name="Shape 19421"/>
                        <wps:cNvSpPr/>
                        <wps:spPr>
                          <a:xfrm>
                            <a:off x="3859213" y="0"/>
                            <a:ext cx="1000760" cy="9144"/>
                          </a:xfrm>
                          <a:custGeom>
                            <a:avLst/>
                            <a:gdLst/>
                            <a:ahLst/>
                            <a:cxnLst/>
                            <a:rect l="0" t="0" r="0" b="0"/>
                            <a:pathLst>
                              <a:path w="1000760" h="9144">
                                <a:moveTo>
                                  <a:pt x="0" y="0"/>
                                </a:moveTo>
                                <a:lnTo>
                                  <a:pt x="1000760" y="0"/>
                                </a:lnTo>
                                <a:lnTo>
                                  <a:pt x="1000760" y="9144"/>
                                </a:lnTo>
                                <a:lnTo>
                                  <a:pt x="0" y="9144"/>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19422" name="Shape 19422"/>
                        <wps:cNvSpPr/>
                        <wps:spPr>
                          <a:xfrm>
                            <a:off x="485997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19423" name="Shape 19423"/>
                        <wps:cNvSpPr/>
                        <wps:spPr>
                          <a:xfrm>
                            <a:off x="4866323" y="0"/>
                            <a:ext cx="867093" cy="9144"/>
                          </a:xfrm>
                          <a:custGeom>
                            <a:avLst/>
                            <a:gdLst/>
                            <a:ahLst/>
                            <a:cxnLst/>
                            <a:rect l="0" t="0" r="0" b="0"/>
                            <a:pathLst>
                              <a:path w="867093" h="9144">
                                <a:moveTo>
                                  <a:pt x="0" y="0"/>
                                </a:moveTo>
                                <a:lnTo>
                                  <a:pt x="867093" y="0"/>
                                </a:lnTo>
                                <a:lnTo>
                                  <a:pt x="867093" y="9144"/>
                                </a:lnTo>
                                <a:lnTo>
                                  <a:pt x="0" y="9144"/>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g:wgp>
                  </a:graphicData>
                </a:graphic>
              </wp:anchor>
            </w:drawing>
          </mc:Choice>
          <mc:Fallback xmlns:a="http://schemas.openxmlformats.org/drawingml/2006/main">
            <w:pict>
              <v:group id="Group 15195" style="width:451.45pt;height:0.5pt;position:absolute;mso-position-horizontal-relative:page;mso-position-horizontal:absolute;margin-left:72.025pt;mso-position-vertical-relative:page;margin-top:72.03pt;" coordsize="57334,63">
                <v:shape id="Shape 19424" style="position:absolute;width:3463;height:91;left:0;top:0;" coordsize="346393,9144" path="m0,0l346393,0l346393,9144l0,9144l0,0">
                  <v:stroke weight="0pt" endcap="flat" joinstyle="miter" miterlimit="10" on="false" color="#000000" opacity="0"/>
                  <v:fill on="true" color="#7f7f7f"/>
                </v:shape>
                <v:shape id="Shape 19425" style="position:absolute;width:91;height:91;left:3463;top:0;" coordsize="9144,9144" path="m0,0l9144,0l9144,9144l0,9144l0,0">
                  <v:stroke weight="0pt" endcap="flat" joinstyle="miter" miterlimit="10" on="false" color="#000000" opacity="0"/>
                  <v:fill on="true" color="#7f7f7f"/>
                </v:shape>
                <v:shape id="Shape 19426" style="position:absolute;width:7527;height:91;left:3527;top:0;" coordsize="752793,9144" path="m0,0l752793,0l752793,9144l0,9144l0,0">
                  <v:stroke weight="0pt" endcap="flat" joinstyle="miter" miterlimit="10" on="false" color="#000000" opacity="0"/>
                  <v:fill on="true" color="#7f7f7f"/>
                </v:shape>
                <v:shape id="Shape 19427" style="position:absolute;width:91;height:91;left:11055;top:0;" coordsize="9144,9144" path="m0,0l9144,0l9144,9144l0,9144l0,0">
                  <v:stroke weight="0pt" endcap="flat" joinstyle="miter" miterlimit="10" on="false" color="#000000" opacity="0"/>
                  <v:fill on="true" color="#7f7f7f"/>
                </v:shape>
                <v:shape id="Shape 19428" style="position:absolute;width:10004;height:91;left:11119;top:0;" coordsize="1000443,9144" path="m0,0l1000443,0l1000443,9144l0,9144l0,0">
                  <v:stroke weight="0pt" endcap="flat" joinstyle="miter" miterlimit="10" on="false" color="#000000" opacity="0"/>
                  <v:fill on="true" color="#7f7f7f"/>
                </v:shape>
                <v:shape id="Shape 19429" style="position:absolute;width:91;height:91;left:21123;top:0;" coordsize="9144,9144" path="m0,0l9144,0l9144,9144l0,9144l0,0">
                  <v:stroke weight="0pt" endcap="flat" joinstyle="miter" miterlimit="10" on="false" color="#000000" opacity="0"/>
                  <v:fill on="true" color="#7f7f7f"/>
                </v:shape>
                <v:shape id="Shape 19430" style="position:absolute;width:10194;height:91;left:21186;top:0;" coordsize="1019492,9144" path="m0,0l1019492,0l1019492,9144l0,9144l0,0">
                  <v:stroke weight="0pt" endcap="flat" joinstyle="miter" miterlimit="10" on="false" color="#000000" opacity="0"/>
                  <v:fill on="true" color="#7f7f7f"/>
                </v:shape>
                <v:shape id="Shape 19431" style="position:absolute;width:91;height:91;left:31382;top:0;" coordsize="9144,9144" path="m0,0l9144,0l9144,9144l0,9144l0,0">
                  <v:stroke weight="0pt" endcap="flat" joinstyle="miter" miterlimit="10" on="false" color="#000000" opacity="0"/>
                  <v:fill on="true" color="#7f7f7f"/>
                </v:shape>
                <v:shape id="Shape 19432" style="position:absolute;width:7083;height:91;left:31445;top:0;" coordsize="708342,9144" path="m0,0l708342,0l708342,9144l0,9144l0,0">
                  <v:stroke weight="0pt" endcap="flat" joinstyle="miter" miterlimit="10" on="false" color="#000000" opacity="0"/>
                  <v:fill on="true" color="#7f7f7f"/>
                </v:shape>
                <v:shape id="Shape 19433" style="position:absolute;width:91;height:91;left:38528;top:0;" coordsize="9144,9144" path="m0,0l9144,0l9144,9144l0,9144l0,0">
                  <v:stroke weight="0pt" endcap="flat" joinstyle="miter" miterlimit="10" on="false" color="#000000" opacity="0"/>
                  <v:fill on="true" color="#7f7f7f"/>
                </v:shape>
                <v:shape id="Shape 19434" style="position:absolute;width:10007;height:91;left:38592;top:0;" coordsize="1000760,9144" path="m0,0l1000760,0l1000760,9144l0,9144l0,0">
                  <v:stroke weight="0pt" endcap="flat" joinstyle="miter" miterlimit="10" on="false" color="#000000" opacity="0"/>
                  <v:fill on="true" color="#7f7f7f"/>
                </v:shape>
                <v:shape id="Shape 19435" style="position:absolute;width:91;height:91;left:48599;top:0;" coordsize="9144,9144" path="m0,0l9144,0l9144,9144l0,9144l0,0">
                  <v:stroke weight="0pt" endcap="flat" joinstyle="miter" miterlimit="10" on="false" color="#000000" opacity="0"/>
                  <v:fill on="true" color="#7f7f7f"/>
                </v:shape>
                <v:shape id="Shape 19436" style="position:absolute;width:8670;height:91;left:48663;top:0;" coordsize="867093,9144" path="m0,0l867093,0l867093,9144l0,9144l0,0">
                  <v:stroke weight="0pt" endcap="flat" joinstyle="miter" miterlimit="10" on="false" color="#000000" opacity="0"/>
                  <v:fill on="true" color="#7f7f7f"/>
                </v:shape>
                <w10:wrap type="topAndBottom"/>
              </v:group>
            </w:pict>
          </mc:Fallback>
        </mc:AlternateContent>
      </w:r>
      <w:r>
        <w:t>Three studies addressed high-risk or underserved populations. HEAL-D (Goff et al., 2021) culturally adapted interventions for Black-British adults, improving engagement and knowledge. HARPdoc (Amiel et al., 2022) enhanced hypoglycaemia awareness in adults with Type 1 diabetes and problematic hypoglycaemia. DIAMONDS (Brown et al., 2025) targeted adults with Type 2 diabetes and severe mental illness, improving engagement and identifying contextual barriers. Tailoring included cultural adaptation, psychologica</w:t>
      </w:r>
      <w:r>
        <w:t>l targeting, and accommodation of complex comorbidities.</w:t>
      </w:r>
      <w:r>
        <w:t xml:space="preserve"> </w:t>
      </w:r>
    </w:p>
    <w:p w14:paraId="3538713B" w14:textId="77777777" w:rsidR="00FE3B37" w:rsidRDefault="004F2C25">
      <w:pPr>
        <w:pStyle w:val="Heading4"/>
        <w:ind w:left="-5"/>
      </w:pPr>
      <w:r>
        <w:t>Outcome Measures</w:t>
      </w:r>
      <w:r>
        <w:t xml:space="preserve"> </w:t>
      </w:r>
    </w:p>
    <w:p w14:paraId="515CA77E" w14:textId="77777777" w:rsidR="00FE3B37" w:rsidRDefault="004F2C25">
      <w:pPr>
        <w:spacing w:after="162"/>
        <w:ind w:left="-15" w:right="7"/>
      </w:pPr>
      <w:r>
        <w:t>Most of the studies included reported hbA1c as one of the primary outcomes. Other outcomes were weight change, hypoglycaemia awareness, diabetes knowledge, selfmanagement behaviours, patient activation and programme engagement Most studies reported short-term improvements within 12 months, with limited data on longer-term outcomes.</w:t>
      </w:r>
      <w:r>
        <w:t xml:space="preserve"> </w:t>
      </w:r>
    </w:p>
    <w:p w14:paraId="6A927C6A" w14:textId="77777777" w:rsidR="00FE3B37" w:rsidRDefault="004F2C25">
      <w:pPr>
        <w:pStyle w:val="Heading2"/>
        <w:ind w:left="-5" w:right="0"/>
      </w:pPr>
      <w:bookmarkStart w:id="14" w:name="_Toc18954"/>
      <w:r>
        <w:lastRenderedPageBreak/>
        <w:t>Summary of Results</w:t>
      </w:r>
      <w:r>
        <w:t xml:space="preserve"> </w:t>
      </w:r>
      <w:bookmarkEnd w:id="14"/>
    </w:p>
    <w:p w14:paraId="10BBE114" w14:textId="77777777" w:rsidR="00FE3B37" w:rsidRDefault="004F2C25">
      <w:pPr>
        <w:ind w:left="-15" w:right="7"/>
      </w:pPr>
      <w:r>
        <w:t>The six studies reflect diverse intervention strategies in UK diabetes services, including digital delivery, structured education, and bespoke programmes for high-risk populations. Interventions varied in design, population focus, and outcome measures. Shortterm improvements were most frequently observed in glycaemic control, behavioural engagement, and psychosocial indicators. Evidence on long-term sustainability and comparative effectiveness of different interventions remains limited.</w:t>
      </w:r>
      <w:r>
        <w:t xml:space="preserve"> </w:t>
      </w:r>
      <w:r>
        <w:tab/>
        <w:t xml:space="preserve"> </w:t>
      </w:r>
      <w:r>
        <w:br w:type="page"/>
      </w:r>
    </w:p>
    <w:p w14:paraId="12B66554" w14:textId="77777777" w:rsidR="00FE3B37" w:rsidRDefault="004F2C25">
      <w:pPr>
        <w:pStyle w:val="Heading1"/>
        <w:spacing w:after="267"/>
        <w:ind w:left="15" w:right="8"/>
        <w:jc w:val="center"/>
      </w:pPr>
      <w:bookmarkStart w:id="15" w:name="_Toc18955"/>
      <w:r>
        <w:lastRenderedPageBreak/>
        <w:t>Discussion</w:t>
      </w:r>
      <w:r>
        <w:t xml:space="preserve"> </w:t>
      </w:r>
      <w:bookmarkEnd w:id="15"/>
    </w:p>
    <w:p w14:paraId="7A5A0FAB" w14:textId="77777777" w:rsidR="00FE3B37" w:rsidRDefault="004F2C25">
      <w:pPr>
        <w:pStyle w:val="Heading2"/>
        <w:ind w:left="-5" w:right="0"/>
      </w:pPr>
      <w:bookmarkStart w:id="16" w:name="_Toc18956"/>
      <w:r>
        <w:t>Comparative Effectiveness of Intervention Models</w:t>
      </w:r>
      <w:r>
        <w:t xml:space="preserve"> </w:t>
      </w:r>
      <w:bookmarkEnd w:id="16"/>
    </w:p>
    <w:p w14:paraId="6C181040" w14:textId="77777777" w:rsidR="00FE3B37" w:rsidRDefault="004F2C25">
      <w:pPr>
        <w:ind w:left="-15" w:right="7"/>
      </w:pPr>
      <w:r>
        <w:t>The studies included in this review indicate that the effectiveness of diabetes selfmanagement interventions in the UK is closely linked to their design and target population. The strongest biomedical outcomes were reported in the GLoW trial (Mueller et al., 2025), which demonstrated clinically significant reductions in HbA1c and body weight at 12 months. Incorporating behavioural weight management into structured education shifted the intervention from a purely informational focus to direct lifestyle chang</w:t>
      </w:r>
      <w:r>
        <w:t>e, which may explain its greater metabolic impact.</w:t>
      </w:r>
      <w:r>
        <w:t xml:space="preserve"> </w:t>
      </w:r>
    </w:p>
    <w:p w14:paraId="72344E46" w14:textId="77777777" w:rsidR="00FE3B37" w:rsidRDefault="004F2C25">
      <w:pPr>
        <w:ind w:left="-15" w:right="7"/>
      </w:pPr>
      <w:r>
        <w:t>By contrast, Murray et al. (2017), who evaluated the HeLP-Diabetes online platform, reported minimal changes in glycaemic levels and no significant differences in patient activation or self-management behaviours. However, even modest improvements in confidence and engagement can represent meaningful intermediate outcomes that support long-term disease management. Similarly, Benton et al. (2022) found substantial variation in uptake and delivery of a national digital self-management programme, suggesting tha</w:t>
      </w:r>
      <w:r>
        <w:t>t effectiveness depends not only on intervention design but also on local context, professional engagement, and fidelity of implementation.</w:t>
      </w:r>
      <w:r>
        <w:t xml:space="preserve"> </w:t>
      </w:r>
    </w:p>
    <w:p w14:paraId="5BABCA57" w14:textId="77777777" w:rsidR="00FE3B37" w:rsidRDefault="004F2C25">
      <w:pPr>
        <w:spacing w:after="161"/>
        <w:ind w:left="-15" w:right="7"/>
      </w:pPr>
      <w:r>
        <w:t>Targeted interventions also demonstrated meaningful effects. The culturally adapted HEAL-D programme (Goff et al., 2021) improved diabetes knowledge and self-management behaviours among Black-British adults, although longer-term glycaemic outcomes were less clear. HARPdoc (Amiel et al., 2022), aimed at adults with Type 1 diabetes and recurrent severe hypoglycaemia, improved hypoglycaemia awareness and safety, highlighting the value of psychological interventions for specific clinical challenges. The DIAMOND</w:t>
      </w:r>
      <w:r>
        <w:t>S intervention (Brown et al., 2025) supported adults with Type 2 diabetes and severe mental illness, improving engagement and self-care behaviours, though metabolic outcomes were not significantly affected. Collectively, these findings suggest that different intervention models influence different aspects of diabetes management, and success cannot be evaluated solely through glycaemic indices.</w:t>
      </w:r>
      <w:r>
        <w:t xml:space="preserve"> </w:t>
      </w:r>
    </w:p>
    <w:p w14:paraId="687E4FA2" w14:textId="77777777" w:rsidR="00FE3B37" w:rsidRDefault="004F2C25">
      <w:pPr>
        <w:pStyle w:val="Heading2"/>
        <w:ind w:left="-5" w:right="0"/>
      </w:pPr>
      <w:bookmarkStart w:id="17" w:name="_Toc18957"/>
      <w:r>
        <w:t>Methodological Quality and Strength of Evidence.</w:t>
      </w:r>
      <w:r>
        <w:t xml:space="preserve"> </w:t>
      </w:r>
      <w:bookmarkEnd w:id="17"/>
    </w:p>
    <w:p w14:paraId="50C1E67F" w14:textId="77777777" w:rsidR="00FE3B37" w:rsidRDefault="004F2C25">
      <w:pPr>
        <w:ind w:left="-15" w:right="7"/>
      </w:pPr>
      <w:r>
        <w:t>The methodological rigour of the included studies varied. Four of the studies were RCTs (Mueller et al., 2025; Goff et al., 2021; Amiel et al., 2022; Murray et al., 2017), supporting a reasonably strong evidence base. However, follow-up periods were generally short (12 months or less), limiting understanding of long-term sustainability, particularly relevant given the chronic nature of diabetes, where enduring behavioural change is arguably more valuable than short-term improvement.</w:t>
      </w:r>
      <w:r>
        <w:t xml:space="preserve"> </w:t>
      </w:r>
    </w:p>
    <w:p w14:paraId="39B47E83" w14:textId="77777777" w:rsidR="00FE3B37" w:rsidRDefault="004F2C25">
      <w:pPr>
        <w:spacing w:after="161"/>
        <w:ind w:left="-15" w:right="7"/>
      </w:pPr>
      <w:r>
        <w:lastRenderedPageBreak/>
        <w:t xml:space="preserve">Feasibility and implementation studies, including those by Brown et al. (2025) and Benton et al. (2022) provide a useful description of what is possible in the real but lacked sufficient statistical power to definitively assess effectiveness. Furthermore, lack of consistency in measurement of outcomes particularly for psychosocial indicator, hinders comparability. Also, formal economic evaluation was only included by Mueller et al. (2025) and this indicates a significant lack of cost-efficiency evidence in </w:t>
      </w:r>
      <w:r>
        <w:t>the broader literature.</w:t>
      </w:r>
      <w:r>
        <w:t xml:space="preserve"> </w:t>
      </w:r>
    </w:p>
    <w:p w14:paraId="5C664267" w14:textId="77777777" w:rsidR="00FE3B37" w:rsidRDefault="004F2C25">
      <w:pPr>
        <w:pStyle w:val="Heading2"/>
        <w:ind w:left="-5" w:right="0"/>
      </w:pPr>
      <w:bookmarkStart w:id="18" w:name="_Toc18958"/>
      <w:r>
        <w:t>Health Inequalities and Equity Considerations</w:t>
      </w:r>
      <w:r>
        <w:t xml:space="preserve"> </w:t>
      </w:r>
      <w:bookmarkEnd w:id="18"/>
    </w:p>
    <w:p w14:paraId="5A0E48F3" w14:textId="77777777" w:rsidR="00FE3B37" w:rsidRDefault="004F2C25">
      <w:pPr>
        <w:ind w:left="-15" w:right="7"/>
      </w:pPr>
      <w:r>
        <w:t>Among the strengths of the examined studies is the increased focus on populations experiencing a disproportionate burden of diabetes. Goff et al. (2021) directly addressed cultural barriers in Black-British communities, whereas Brown et al. (2025) focused on individuals with severe mental illness, a group with a long history of cardiometabolic morbidity and premature mortality. These interventions reflect a new trend towards contextually oriented care models rather than standardised education.</w:t>
      </w:r>
      <w:r>
        <w:t xml:space="preserve"> </w:t>
      </w:r>
    </w:p>
    <w:p w14:paraId="711182D1" w14:textId="77777777" w:rsidR="00FE3B37" w:rsidRDefault="004F2C25">
      <w:pPr>
        <w:spacing w:after="161"/>
        <w:ind w:left="-15" w:right="7"/>
      </w:pPr>
      <w:r>
        <w:t>However, broader structural determinants of health were not integrated into intervention design or evaluation. Socioeconomic deprivation, housing instability, and food insecurity were other factors that were seldom analysed. In addition, the digital platforms reviewed by Murray et al. (2017) and Benton et al. (2022) can be deployed at scale but may create issues with digital literacy and access. Unless active measures are taken to address exclusion, digital expansion may exacerbate existing inequalities.</w:t>
      </w:r>
      <w:r>
        <w:t xml:space="preserve"> </w:t>
      </w:r>
    </w:p>
    <w:p w14:paraId="47D48562" w14:textId="77777777" w:rsidR="00FE3B37" w:rsidRDefault="004F2C25">
      <w:pPr>
        <w:pStyle w:val="Heading2"/>
        <w:ind w:left="-5" w:right="0"/>
      </w:pPr>
      <w:bookmarkStart w:id="19" w:name="_Toc18959"/>
      <w:r>
        <w:t>Implications for UK Clinical Practice</w:t>
      </w:r>
      <w:r>
        <w:t xml:space="preserve"> </w:t>
      </w:r>
      <w:bookmarkEnd w:id="19"/>
    </w:p>
    <w:p w14:paraId="3F0DEB60" w14:textId="77777777" w:rsidR="00FE3B37" w:rsidRDefault="004F2C25">
      <w:pPr>
        <w:ind w:left="-15" w:right="7"/>
      </w:pPr>
      <w:r>
        <w:t>This review aligns closely with NHS policy priorities, such as personalised care and prevention strategies informed by behavioural and digital innovations. The cost-effectiveness evidence reported by Mueller et al. (2025) provides strong support for integrating behavioural weight management into routine structured educational programmes. Nevertheless, implementation challenges highlighted by Benton et al. (2022) indicate that national rollout of interventions requires long-term organisational support, workf</w:t>
      </w:r>
      <w:r>
        <w:t>orce training, and monitoring of intervention quality.</w:t>
      </w:r>
      <w:r>
        <w:t xml:space="preserve"> </w:t>
      </w:r>
    </w:p>
    <w:p w14:paraId="140B957F" w14:textId="77777777" w:rsidR="00FE3B37" w:rsidRDefault="004F2C25">
      <w:pPr>
        <w:spacing w:after="161"/>
        <w:ind w:left="-15" w:right="7"/>
      </w:pPr>
      <w:r>
        <w:t>The tailored solutions seen in HEAL-D and DIAMONDS suggest that equity-based adaptations should be incorporated into mainstream diabetes services rather than treated as marginal innovations. The existing evidence indicates that no single intervention model is sufficient; a layered approach recognising clinical complexity and social context is required.</w:t>
      </w:r>
      <w:r>
        <w:t xml:space="preserve"> </w:t>
      </w:r>
    </w:p>
    <w:p w14:paraId="1B72F7E4" w14:textId="77777777" w:rsidR="00FE3B37" w:rsidRDefault="004F2C25">
      <w:pPr>
        <w:pStyle w:val="Heading2"/>
        <w:ind w:left="-5" w:right="0"/>
      </w:pPr>
      <w:bookmarkStart w:id="20" w:name="_Toc18960"/>
      <w:r>
        <w:t>Considerations and Gaps in Economic Research</w:t>
      </w:r>
      <w:r>
        <w:t xml:space="preserve"> </w:t>
      </w:r>
      <w:bookmarkEnd w:id="20"/>
    </w:p>
    <w:p w14:paraId="249C95A2" w14:textId="77777777" w:rsidR="00FE3B37" w:rsidRDefault="004F2C25">
      <w:pPr>
        <w:ind w:left="-15" w:right="7"/>
      </w:pPr>
      <w:r>
        <w:t xml:space="preserve">The current evidence base lacks comprehensive economic assessment. Given that diabetes is a significant driver of NHS spending, particularly through preventable </w:t>
      </w:r>
      <w:r>
        <w:lastRenderedPageBreak/>
        <w:t>complications, policy translation is hindered by insufficient cost analyses. Future trials should prioritise long-term modelling of cost savings resulting from improved self-management.</w:t>
      </w:r>
      <w:r>
        <w:t xml:space="preserve"> </w:t>
      </w:r>
    </w:p>
    <w:p w14:paraId="26253D59" w14:textId="77777777" w:rsidR="00FE3B37" w:rsidRDefault="004F2C25">
      <w:pPr>
        <w:spacing w:line="360" w:lineRule="auto"/>
        <w:ind w:left="-15" w:right="148"/>
        <w:jc w:val="both"/>
      </w:pPr>
      <w:r>
        <w:t xml:space="preserve">There is also a lack of long-term follow-up beyond twelve months. Digital, face-toface, and hybrid models have not been evaluated in comparative effectiveness studies, and social determinants of health remain inadequately incorporated into intervention models. </w:t>
      </w:r>
    </w:p>
    <w:p w14:paraId="7DAF3C78" w14:textId="77777777" w:rsidR="00FE3B37" w:rsidRDefault="004F2C25">
      <w:pPr>
        <w:ind w:left="-15" w:right="7" w:firstLine="0"/>
      </w:pPr>
      <w:r>
        <w:t>Greater consistency in outcome reporting would further enhance evidence synthesis.</w:t>
      </w:r>
      <w:r>
        <w:t xml:space="preserve"> </w:t>
      </w:r>
      <w:r>
        <w:t>Overall, UK self-management interventions appear to be moving towards more personalised and behaviourally integrated approaches. While short-term gains are observed across multiple domains, long-term effects, financial viability, and equitable outcomes remain underresearched.</w:t>
      </w:r>
      <w:r>
        <w:t xml:space="preserve"> </w:t>
      </w:r>
    </w:p>
    <w:p w14:paraId="46AFD030" w14:textId="77777777" w:rsidR="00FE3B37" w:rsidRDefault="004F2C25">
      <w:pPr>
        <w:spacing w:after="126" w:line="259" w:lineRule="auto"/>
        <w:ind w:right="0" w:firstLine="0"/>
      </w:pPr>
      <w:r>
        <w:t xml:space="preserve"> </w:t>
      </w:r>
    </w:p>
    <w:p w14:paraId="61D2A05F" w14:textId="77777777" w:rsidR="00FE3B37" w:rsidRDefault="004F2C25">
      <w:pPr>
        <w:spacing w:after="0" w:line="259" w:lineRule="auto"/>
        <w:ind w:right="0" w:firstLine="0"/>
      </w:pPr>
      <w:r>
        <w:rPr>
          <w:b/>
        </w:rPr>
        <w:t xml:space="preserve"> </w:t>
      </w:r>
      <w:r>
        <w:rPr>
          <w:b/>
        </w:rPr>
        <w:tab/>
        <w:t xml:space="preserve"> </w:t>
      </w:r>
      <w:r>
        <w:br w:type="page"/>
      </w:r>
    </w:p>
    <w:p w14:paraId="685F3BAB" w14:textId="77777777" w:rsidR="00FE3B37" w:rsidRDefault="004F2C25">
      <w:pPr>
        <w:pStyle w:val="Heading1"/>
        <w:spacing w:after="187"/>
        <w:ind w:left="15" w:right="13"/>
        <w:jc w:val="center"/>
      </w:pPr>
      <w:bookmarkStart w:id="21" w:name="_Toc18961"/>
      <w:r>
        <w:lastRenderedPageBreak/>
        <w:t>Conclusion and Recommendations</w:t>
      </w:r>
      <w:r>
        <w:t xml:space="preserve"> </w:t>
      </w:r>
      <w:bookmarkEnd w:id="21"/>
    </w:p>
    <w:p w14:paraId="28810330" w14:textId="77777777" w:rsidR="00FE3B37" w:rsidRDefault="004F2C25">
      <w:pPr>
        <w:ind w:left="-15" w:right="7"/>
      </w:pPr>
      <w:r>
        <w:t>This scoping review identified UK-based peer-reviewed evidence on interventions designed to support adults living with diabetes in self-management. Six publications, published between 2017 and 2025, were included, encompassing digital platforms, structured education programmes, and interventions tailored to populations with specific clinical or cultural needs. Overall, the evidence suggests that self-management interventions can enhance behavioural engagement, psychosocial outcomes, and short-term glycaemic</w:t>
      </w:r>
      <w:r>
        <w:t xml:space="preserve"> control. However, the long-term sustainability of clinical benefits remains underexplored in the literature.</w:t>
      </w:r>
      <w:r>
        <w:t xml:space="preserve"> </w:t>
      </w:r>
    </w:p>
    <w:p w14:paraId="786409C6" w14:textId="77777777" w:rsidR="00FE3B37" w:rsidRDefault="004F2C25">
      <w:pPr>
        <w:ind w:left="-15" w:right="7"/>
      </w:pPr>
      <w:r>
        <w:t>Education programmes incorporating behavioural components demonstrated the most consistent biomedical improvements, particularly among newly diagnosed adults with Type 2 diabetes. Digital interventions positively influenced patient activation, knowledge acquisition, and access to support, although engagement and fidelity of implementation varied. Individualised interventions for culturally diverse populations, people with severe mental illness, and individuals experiencing recurrent hypoglycaemia were highl</w:t>
      </w:r>
      <w:r>
        <w:t>y acceptable and more engaging, indicating that personalised care approaches should be central to UK diabetes services.</w:t>
      </w:r>
      <w:r>
        <w:t xml:space="preserve"> </w:t>
      </w:r>
    </w:p>
    <w:p w14:paraId="30D7D9C1" w14:textId="77777777" w:rsidR="00FE3B37" w:rsidRDefault="004F2C25">
      <w:pPr>
        <w:ind w:left="-15" w:right="7"/>
      </w:pPr>
      <w:r>
        <w:t>Despite these positive findings, several limitations were evident in the current evidence base. Follow-up periods were generally brief, limiting understanding of long-term effectiveness. Economic evaluations were sparse, with only one study including a formal cost-effectiveness analysis. Outcome measures were inconsistently standardised, reducing comparability across intervention models. Furthermore, broader social determinants of health were rarely integrated into intervention design or evaluation.</w:t>
      </w:r>
      <w:r>
        <w:t xml:space="preserve"> </w:t>
      </w:r>
    </w:p>
    <w:p w14:paraId="63C99F72" w14:textId="77777777" w:rsidR="00FE3B37" w:rsidRDefault="004F2C25">
      <w:pPr>
        <w:ind w:left="-15" w:right="7"/>
      </w:pPr>
      <w:r>
        <w:t>Future research should prioritise longitudinal studies to assess the sustainability of behavioural and clinical outcomes. Comparative effectiveness trials evaluating digital, faceto-face, and hybrid intervention models would provide valuable evidence to inform service commissioning. Intervention evaluations should also incorporate economic modelling to guide NHS resource allocation. Additional studies are required to explore how selfmanagement interventions can more meaningfully address structural determina</w:t>
      </w:r>
      <w:r>
        <w:t>nts of health, such as deprivation, food access, and digital exclusion.</w:t>
      </w:r>
      <w:r>
        <w:t xml:space="preserve"> </w:t>
      </w:r>
    </w:p>
    <w:p w14:paraId="48F6CC8D" w14:textId="77777777" w:rsidR="00FE3B37" w:rsidRDefault="004F2C25">
      <w:pPr>
        <w:ind w:left="-15" w:right="7"/>
      </w:pPr>
      <w:r>
        <w:t>From a policy and practice perspective, UK diabetes services should continue transitioning towards personalised, behaviourally informed care. Structured education programmes should remain a cornerstone of diabetes management but should be complemented by digital tools and culturally sensitive delivery models. Workforce development is also essential to equip healthcare professionals with the skills necessary to support the psychological and behavioural aspects of self-management.</w:t>
      </w:r>
      <w:r>
        <w:t xml:space="preserve"> </w:t>
      </w:r>
    </w:p>
    <w:p w14:paraId="3F122BE4" w14:textId="77777777" w:rsidR="00FE3B37" w:rsidRDefault="004F2C25">
      <w:pPr>
        <w:ind w:left="-15" w:right="7"/>
      </w:pPr>
      <w:r>
        <w:lastRenderedPageBreak/>
        <w:t>Implementation planning is particularly important for digital health interventions. Considerations such as infrastructure readiness, user accessibility, and fidelity monitoring are critical to achieving equitable effectiveness across regions. Special attention should be given to populations at increased risk of diabetes-related complications, including ethnically diverse groups and individuals with severe mental disorders.</w:t>
      </w:r>
      <w:r>
        <w:t xml:space="preserve"> </w:t>
      </w:r>
    </w:p>
    <w:p w14:paraId="372AAE88" w14:textId="77777777" w:rsidR="00FE3B37" w:rsidRDefault="004F2C25">
      <w:pPr>
        <w:ind w:left="-15" w:right="7"/>
      </w:pPr>
      <w:r>
        <w:t>In conclusion, self-management support interventions are a vital component of modern diabetes care in the United Kingdom. While existing evidence demonstrates potential short-term benefits, future research and policy development should prioritise sustainability, equity, and practical applicability to maximise clinical and social impact within NHS services.</w:t>
      </w:r>
      <w:r>
        <w:t xml:space="preserve"> </w:t>
      </w:r>
    </w:p>
    <w:p w14:paraId="7B76760A" w14:textId="77777777" w:rsidR="00FE3B37" w:rsidRDefault="004F2C25">
      <w:pPr>
        <w:spacing w:after="0" w:line="259" w:lineRule="auto"/>
        <w:ind w:right="0" w:firstLine="0"/>
      </w:pPr>
      <w:r>
        <w:t xml:space="preserve"> </w:t>
      </w:r>
      <w:r>
        <w:tab/>
        <w:t xml:space="preserve"> </w:t>
      </w:r>
      <w:r>
        <w:br w:type="page"/>
      </w:r>
    </w:p>
    <w:p w14:paraId="0A9B4749" w14:textId="77777777" w:rsidR="00FE3B37" w:rsidRDefault="004F2C25">
      <w:pPr>
        <w:spacing w:after="107" w:line="259" w:lineRule="auto"/>
        <w:ind w:left="1580" w:right="852" w:hanging="10"/>
        <w:jc w:val="center"/>
      </w:pPr>
      <w:r>
        <w:lastRenderedPageBreak/>
        <w:t>References</w:t>
      </w:r>
      <w:r>
        <w:t xml:space="preserve"> </w:t>
      </w:r>
    </w:p>
    <w:p w14:paraId="020A737F" w14:textId="77777777" w:rsidR="00FE3B37" w:rsidRDefault="004F2C25">
      <w:pPr>
        <w:ind w:left="706" w:right="7" w:hanging="721"/>
      </w:pPr>
      <w:r>
        <w:t>Ahmad, F., &amp; Joshi, S. H. (2023). Self-Care Practices and Their Role in the Control of Diabetes: A Narrative Review.</w:t>
      </w:r>
      <w:r>
        <w:t xml:space="preserve"> </w:t>
      </w:r>
      <w:r>
        <w:rPr>
          <w:i/>
        </w:rPr>
        <w:t>Cureus</w:t>
      </w:r>
      <w:r>
        <w:t>,</w:t>
      </w:r>
      <w:r>
        <w:t xml:space="preserve"> </w:t>
      </w:r>
      <w:r>
        <w:rPr>
          <w:i/>
        </w:rPr>
        <w:t>15</w:t>
      </w:r>
      <w:r>
        <w:t xml:space="preserve">(7), e41409. </w:t>
      </w:r>
    </w:p>
    <w:p w14:paraId="65FD768C" w14:textId="77777777" w:rsidR="00FE3B37" w:rsidRDefault="004F2C25">
      <w:pPr>
        <w:spacing w:after="107" w:line="259" w:lineRule="auto"/>
        <w:ind w:left="721" w:right="7" w:firstLine="0"/>
      </w:pPr>
      <w:r>
        <w:t>https://doi.org/10.7759/cureus.41409</w:t>
      </w:r>
      <w:r>
        <w:t xml:space="preserve"> </w:t>
      </w:r>
    </w:p>
    <w:p w14:paraId="47B9C788" w14:textId="77777777" w:rsidR="00FE3B37" w:rsidRDefault="004F2C25">
      <w:pPr>
        <w:spacing w:after="102" w:line="259" w:lineRule="auto"/>
        <w:ind w:left="-15" w:right="7" w:firstLine="0"/>
      </w:pPr>
      <w:r>
        <w:t xml:space="preserve">Amiel, S. A., Potts, L., Goldsmith, K., Jacob, P., Smith, E. L., Gonder-Frederick, L., Heller, </w:t>
      </w:r>
    </w:p>
    <w:p w14:paraId="3D2881C0" w14:textId="77777777" w:rsidR="00FE3B37" w:rsidRDefault="004F2C25">
      <w:pPr>
        <w:ind w:left="721" w:right="7" w:firstLine="0"/>
      </w:pPr>
      <w:r>
        <w:t xml:space="preserve">S., Toschi, E., Brooks, A., Kariyawasam, D., Choudhary, P., Stadler, M., Rogers, H., Kendall, M., Sevdalis, N., Bakolis, I., &amp; de Zoysa, N. (2022). A parallel randomised controlled trial of the Hypoglycaemia Awareness Restoration Programme for adults with type 1 diabetes and problematic hypoglycaemia despite optimised self-care </w:t>
      </w:r>
    </w:p>
    <w:p w14:paraId="56067851" w14:textId="77777777" w:rsidR="00FE3B37" w:rsidRDefault="004F2C25">
      <w:pPr>
        <w:ind w:left="721" w:right="7" w:firstLine="0"/>
      </w:pPr>
      <w:r>
        <w:t>(HARPdoc).</w:t>
      </w:r>
      <w:r>
        <w:t xml:space="preserve"> </w:t>
      </w:r>
      <w:r>
        <w:rPr>
          <w:i/>
        </w:rPr>
        <w:t>Nature communications</w:t>
      </w:r>
      <w:r>
        <w:t>,</w:t>
      </w:r>
      <w:r>
        <w:t xml:space="preserve"> </w:t>
      </w:r>
      <w:r>
        <w:rPr>
          <w:i/>
        </w:rPr>
        <w:t>13</w:t>
      </w:r>
      <w:r>
        <w:t>(1), 2229. https://doi.org/10.1038/s41467022-29488-x</w:t>
      </w:r>
      <w:r>
        <w:t xml:space="preserve"> </w:t>
      </w:r>
    </w:p>
    <w:p w14:paraId="5142A5E6" w14:textId="77777777" w:rsidR="00FE3B37" w:rsidRDefault="004F2C25">
      <w:pPr>
        <w:ind w:left="706" w:right="317" w:hanging="721"/>
      </w:pPr>
      <w:r>
        <w:t>Au-</w:t>
      </w:r>
      <w:r>
        <w:t>Yeung, C. H., Ellis, D., Dallaway, A., Riley, J., Varney, J., &amp; Howell-Jones, R. (2024). Socioeconomic and ethnic inequalities increase the risk of type 2 diabetes: an analysis of NHS health check attendees in Birmingham.</w:t>
      </w:r>
      <w:r>
        <w:t xml:space="preserve"> </w:t>
      </w:r>
      <w:r>
        <w:rPr>
          <w:i/>
        </w:rPr>
        <w:t>Frontiers in Public Health</w:t>
      </w:r>
      <w:r>
        <w:t>,</w:t>
      </w:r>
      <w:r>
        <w:t xml:space="preserve"> </w:t>
      </w:r>
      <w:r>
        <w:rPr>
          <w:i/>
        </w:rPr>
        <w:t>12</w:t>
      </w:r>
      <w:r>
        <w:t>, 1477418.</w:t>
      </w:r>
      <w:r>
        <w:t xml:space="preserve"> </w:t>
      </w:r>
    </w:p>
    <w:p w14:paraId="04E346AB" w14:textId="77777777" w:rsidR="00FE3B37" w:rsidRDefault="004F2C25">
      <w:pPr>
        <w:ind w:left="706" w:right="7" w:hanging="721"/>
      </w:pPr>
      <w:r>
        <w:t>Benton, J. S., Cotterill, S., Hawkes, R. E., Miles, L. M., &amp; French, D. P. (2022). Changes in a digital type 2 diabetes self-management intervention during national rollout: mixed methods study of fidelity.</w:t>
      </w:r>
      <w:r>
        <w:t xml:space="preserve"> </w:t>
      </w:r>
      <w:r>
        <w:rPr>
          <w:i/>
        </w:rPr>
        <w:t>Journal of medical Internet research</w:t>
      </w:r>
      <w:r>
        <w:t>,</w:t>
      </w:r>
      <w:r>
        <w:t xml:space="preserve"> </w:t>
      </w:r>
      <w:r>
        <w:rPr>
          <w:i/>
        </w:rPr>
        <w:t>24</w:t>
      </w:r>
      <w:r>
        <w:t>(12), e39483.</w:t>
      </w:r>
      <w:r>
        <w:t xml:space="preserve"> </w:t>
      </w:r>
    </w:p>
    <w:p w14:paraId="1E1AC6FE" w14:textId="77777777" w:rsidR="00FE3B37" w:rsidRDefault="004F2C25">
      <w:pPr>
        <w:spacing w:after="107" w:line="259" w:lineRule="auto"/>
        <w:ind w:left="-15" w:right="7" w:firstLine="0"/>
      </w:pPr>
      <w:r>
        <w:t xml:space="preserve">Brown, J. V. E., Carswell, C., Podmore, D., Featherstone, I., Alderson, S., Böhnke, J. R., </w:t>
      </w:r>
    </w:p>
    <w:p w14:paraId="0450D2F2" w14:textId="77777777" w:rsidR="00FE3B37" w:rsidRDefault="004F2C25">
      <w:pPr>
        <w:spacing w:after="107" w:line="259" w:lineRule="auto"/>
        <w:ind w:left="721" w:right="7" w:firstLine="0"/>
      </w:pPr>
      <w:r>
        <w:t xml:space="preserve">Doran, T., Hadjiconstantinou, M., Hewitt, C. E., Holt, R. I. G., Jacobs, R., Johnson, </w:t>
      </w:r>
    </w:p>
    <w:p w14:paraId="2BB94B22" w14:textId="77777777" w:rsidR="00FE3B37" w:rsidRDefault="004F2C25">
      <w:pPr>
        <w:ind w:left="721" w:right="7" w:firstLine="0"/>
      </w:pPr>
      <w:r>
        <w:t>V., Kellar, I., Li, J., Osborn, D. P., Russell, G., Watson, J., Siddiqi, N., Coventry, P. A., &amp; DIAMONDS Research Team (2025). The DIAMONDS intervention for type 2 diabetes for people with severe mental illness: findings from a single-group feasibility study.</w:t>
      </w:r>
      <w:r>
        <w:t xml:space="preserve"> </w:t>
      </w:r>
      <w:r>
        <w:rPr>
          <w:i/>
        </w:rPr>
        <w:t>Frontiers in health services</w:t>
      </w:r>
      <w:r>
        <w:t>,</w:t>
      </w:r>
      <w:r>
        <w:t xml:space="preserve"> </w:t>
      </w:r>
      <w:r>
        <w:rPr>
          <w:i/>
        </w:rPr>
        <w:t>5</w:t>
      </w:r>
      <w:r>
        <w:t xml:space="preserve">, 1688787. </w:t>
      </w:r>
    </w:p>
    <w:p w14:paraId="7E841A2F" w14:textId="77777777" w:rsidR="00FE3B37" w:rsidRDefault="004F2C25">
      <w:pPr>
        <w:spacing w:after="107" w:line="259" w:lineRule="auto"/>
        <w:ind w:left="721" w:right="7" w:firstLine="0"/>
      </w:pPr>
      <w:r>
        <w:t>https://doi.org/10.3389/frhs.2025.1688787</w:t>
      </w:r>
      <w:r>
        <w:t xml:space="preserve"> </w:t>
      </w:r>
    </w:p>
    <w:p w14:paraId="2CED7E2D" w14:textId="77777777" w:rsidR="00FE3B37" w:rsidRDefault="004F2C25">
      <w:pPr>
        <w:ind w:left="706" w:right="113" w:hanging="721"/>
      </w:pPr>
      <w:r>
        <w:t>Goff, L. M., Rivas, C., Moore, A., Beckley-Hoelscher, N., Reid, F., &amp; Harding, S. (2021). Healthy Eating and Active Lifestyles for Diabetes (HEAL-D), a culturally tailored selfmanagement education and support program for type 2 diabetes in black-British adults: a randomized controlled feasibility trial.</w:t>
      </w:r>
      <w:r>
        <w:t xml:space="preserve"> </w:t>
      </w:r>
      <w:r>
        <w:rPr>
          <w:i/>
        </w:rPr>
        <w:t>BMJ open diabetes research &amp; care</w:t>
      </w:r>
      <w:r>
        <w:t>,</w:t>
      </w:r>
      <w:r>
        <w:t xml:space="preserve"> </w:t>
      </w:r>
      <w:r>
        <w:rPr>
          <w:i/>
        </w:rPr>
        <w:t>9</w:t>
      </w:r>
      <w:r>
        <w:t>(1), e002438. https://doi.org/10.1136/bmjdrc-2021-002438</w:t>
      </w:r>
      <w:r>
        <w:t xml:space="preserve"> </w:t>
      </w:r>
    </w:p>
    <w:p w14:paraId="2E0E5CFD" w14:textId="77777777" w:rsidR="00FE3B37" w:rsidRDefault="004F2C25">
      <w:pPr>
        <w:ind w:left="706" w:right="7" w:hanging="721"/>
      </w:pPr>
      <w:r>
        <w:t>Lewis, S. T., Greenway, F., Tucker, T. R., Alexander, M., Jackson, L. K., Hepford, S. A., ... &amp; Lakey, J. R. (2023). A receptor story: insulin resistance pathophysiology and physiologic insulin resensitization’s role as a treatment modality.</w:t>
      </w:r>
      <w:r>
        <w:t xml:space="preserve"> </w:t>
      </w:r>
      <w:r>
        <w:rPr>
          <w:i/>
        </w:rPr>
        <w:t>International journal of molecular sciences</w:t>
      </w:r>
      <w:r>
        <w:t>,</w:t>
      </w:r>
      <w:r>
        <w:t xml:space="preserve"> </w:t>
      </w:r>
      <w:r>
        <w:rPr>
          <w:i/>
        </w:rPr>
        <w:t>24</w:t>
      </w:r>
      <w:r>
        <w:t>(13), 10927.</w:t>
      </w:r>
      <w:r>
        <w:t xml:space="preserve"> </w:t>
      </w:r>
    </w:p>
    <w:p w14:paraId="78122B2D" w14:textId="77777777" w:rsidR="00FE3B37" w:rsidRDefault="004F2C25">
      <w:pPr>
        <w:spacing w:after="107" w:line="259" w:lineRule="auto"/>
        <w:ind w:left="-15" w:right="7" w:firstLine="0"/>
      </w:pPr>
      <w:r>
        <w:t xml:space="preserve">Maida, E., Caruso, P., Bonavita, S., Abbadessa, G., Miele, G., Longo, M., ... &amp; Maiorino, M. </w:t>
      </w:r>
    </w:p>
    <w:p w14:paraId="6C0F524F" w14:textId="77777777" w:rsidR="00FE3B37" w:rsidRDefault="004F2C25">
      <w:pPr>
        <w:ind w:left="721" w:right="7" w:firstLine="0"/>
      </w:pPr>
      <w:r>
        <w:lastRenderedPageBreak/>
        <w:t>I. (2025). Digital Health in Diabetes Care: A Narrative Review from Monitoring to the Management of Systemic and Neurologic Complications.</w:t>
      </w:r>
      <w:r>
        <w:t xml:space="preserve"> </w:t>
      </w:r>
      <w:r>
        <w:rPr>
          <w:i/>
        </w:rPr>
        <w:t>Journal of Clinical Medicine</w:t>
      </w:r>
      <w:r>
        <w:t>,</w:t>
      </w:r>
      <w:r>
        <w:t xml:space="preserve"> </w:t>
      </w:r>
      <w:r>
        <w:rPr>
          <w:i/>
        </w:rPr>
        <w:t>14</w:t>
      </w:r>
      <w:r>
        <w:t>(12), 4240.</w:t>
      </w:r>
      <w:r>
        <w:t xml:space="preserve"> </w:t>
      </w:r>
    </w:p>
    <w:p w14:paraId="22D58F5F" w14:textId="77777777" w:rsidR="00FE3B37" w:rsidRDefault="004F2C25">
      <w:pPr>
        <w:ind w:left="706" w:right="7" w:hanging="721"/>
      </w:pPr>
      <w:r>
        <w:t>Mueller, J., Breeze, P., Fusco, F., Sharp, S. J., Pidd, K., Brennan, A., ... &amp; Ahern, A. L. (2025). Glucose Lowering through Weight management (GLoW): a randomised controlled trial of the clinical and cost effectiveness of a diabetes education and behavioural weight management programme vs a diabetes education programme in adults with a recent diagnosis of type 2 diabetes.</w:t>
      </w:r>
      <w:r>
        <w:t xml:space="preserve"> </w:t>
      </w:r>
      <w:r>
        <w:rPr>
          <w:i/>
        </w:rPr>
        <w:t>Diabetologia</w:t>
      </w:r>
      <w:r>
        <w:t>,</w:t>
      </w:r>
      <w:r>
        <w:t xml:space="preserve"> </w:t>
      </w:r>
      <w:r>
        <w:rPr>
          <w:i/>
        </w:rPr>
        <w:t>68</w:t>
      </w:r>
      <w:r>
        <w:t>(5), 969-980.</w:t>
      </w:r>
      <w:r>
        <w:t xml:space="preserve"> </w:t>
      </w:r>
    </w:p>
    <w:p w14:paraId="75E9EDED" w14:textId="77777777" w:rsidR="00FE3B37" w:rsidRDefault="004F2C25">
      <w:pPr>
        <w:spacing w:after="107" w:line="259" w:lineRule="auto"/>
        <w:ind w:left="-15" w:right="7" w:firstLine="0"/>
      </w:pPr>
      <w:r>
        <w:t xml:space="preserve">Murray, E., Sweeting, M., Dack, C., Pal, K., Modrow, K., Hudda, M., Li, J., Ross, J., Alkhaldi, </w:t>
      </w:r>
    </w:p>
    <w:p w14:paraId="2A5982B4" w14:textId="77777777" w:rsidR="00FE3B37" w:rsidRDefault="004F2C25">
      <w:pPr>
        <w:ind w:left="721" w:right="7" w:firstLine="0"/>
      </w:pPr>
      <w:r>
        <w:t>G., Barnard, M., Farmer, A., Michie, S., Yardley, L., May, C., Parrott, S., Stevenson, F., Knox, M., &amp; Patterson, D. (2017). Web-based self-management support for people with type 2 diabetes (HeLP-Diabetes): randomised controlled trial in English primary care.</w:t>
      </w:r>
      <w:r>
        <w:t xml:space="preserve"> </w:t>
      </w:r>
      <w:r>
        <w:rPr>
          <w:i/>
        </w:rPr>
        <w:t>BMJ open</w:t>
      </w:r>
      <w:r>
        <w:t>,</w:t>
      </w:r>
      <w:r>
        <w:t xml:space="preserve"> </w:t>
      </w:r>
      <w:r>
        <w:rPr>
          <w:i/>
        </w:rPr>
        <w:t>7</w:t>
      </w:r>
      <w:r>
        <w:t>(9), e016009. https://doi.org/10.1136/bmjopen-2017016009</w:t>
      </w:r>
      <w:r>
        <w:t xml:space="preserve"> </w:t>
      </w:r>
    </w:p>
    <w:p w14:paraId="46F7F28E" w14:textId="77777777" w:rsidR="00FE3B37" w:rsidRDefault="004F2C25">
      <w:pPr>
        <w:spacing w:after="107" w:line="259" w:lineRule="auto"/>
        <w:ind w:left="-15" w:right="7" w:firstLine="0"/>
      </w:pPr>
      <w:r>
        <w:t xml:space="preserve">National Institute for Health and Care Excellence (NICE) (2023) </w:t>
      </w:r>
      <w:r>
        <w:rPr>
          <w:i/>
        </w:rPr>
        <w:t xml:space="preserve">Quality statement 2: </w:t>
      </w:r>
    </w:p>
    <w:p w14:paraId="31211026" w14:textId="77777777" w:rsidR="00FE3B37" w:rsidRDefault="004F2C25">
      <w:pPr>
        <w:spacing w:after="2" w:line="358" w:lineRule="auto"/>
        <w:ind w:left="716" w:right="0" w:hanging="10"/>
      </w:pPr>
      <w:r>
        <w:rPr>
          <w:i/>
        </w:rPr>
        <w:t>Structured education programme</w:t>
      </w:r>
      <w:r>
        <w:t xml:space="preserve">. Available at: </w:t>
      </w:r>
      <w:hyperlink r:id="rId7">
        <w:r>
          <w:rPr>
            <w:color w:val="0563C1"/>
            <w:u w:val="single" w:color="0563C1"/>
          </w:rPr>
          <w:t>https://www.nice.org.uk/guidance/qs209/chapter/Quality</w:t>
        </w:r>
      </w:hyperlink>
      <w:hyperlink r:id="rId8">
        <w:r>
          <w:rPr>
            <w:color w:val="0563C1"/>
            <w:u w:val="single" w:color="0563C1"/>
          </w:rPr>
          <w:t>-</w:t>
        </w:r>
      </w:hyperlink>
      <w:hyperlink r:id="rId9">
        <w:r>
          <w:rPr>
            <w:color w:val="0563C1"/>
            <w:u w:val="single" w:color="0563C1"/>
          </w:rPr>
          <w:t>statement</w:t>
        </w:r>
      </w:hyperlink>
      <w:hyperlink r:id="rId10">
        <w:r>
          <w:rPr>
            <w:color w:val="0563C1"/>
            <w:u w:val="single" w:color="0563C1"/>
          </w:rPr>
          <w:t>-</w:t>
        </w:r>
      </w:hyperlink>
      <w:hyperlink r:id="rId11">
        <w:r>
          <w:rPr>
            <w:color w:val="0563C1"/>
            <w:u w:val="single" w:color="0563C1"/>
          </w:rPr>
          <w:t>2</w:t>
        </w:r>
      </w:hyperlink>
      <w:hyperlink r:id="rId12">
        <w:r>
          <w:rPr>
            <w:color w:val="0563C1"/>
            <w:u w:val="single" w:color="0563C1"/>
          </w:rPr>
          <w:t>-</w:t>
        </w:r>
      </w:hyperlink>
      <w:hyperlink r:id="rId13">
        <w:r>
          <w:rPr>
            <w:color w:val="0563C1"/>
            <w:u w:val="single" w:color="0563C1"/>
          </w:rPr>
          <w:t>Structured</w:t>
        </w:r>
      </w:hyperlink>
      <w:hyperlink r:id="rId14"/>
      <w:hyperlink r:id="rId15">
        <w:r>
          <w:rPr>
            <w:color w:val="0563C1"/>
            <w:u w:val="single" w:color="0563C1"/>
          </w:rPr>
          <w:t>education</w:t>
        </w:r>
      </w:hyperlink>
      <w:hyperlink r:id="rId16">
        <w:r>
          <w:rPr>
            <w:color w:val="0563C1"/>
            <w:u w:val="single" w:color="0563C1"/>
          </w:rPr>
          <w:t>-</w:t>
        </w:r>
      </w:hyperlink>
      <w:hyperlink r:id="rId17">
        <w:r>
          <w:rPr>
            <w:color w:val="0563C1"/>
            <w:u w:val="single" w:color="0563C1"/>
          </w:rPr>
          <w:t>programme</w:t>
        </w:r>
      </w:hyperlink>
      <w:hyperlink r:id="rId18">
        <w:r>
          <w:t xml:space="preserve"> </w:t>
        </w:r>
      </w:hyperlink>
    </w:p>
    <w:p w14:paraId="5C753E1F" w14:textId="77777777" w:rsidR="00FE3B37" w:rsidRDefault="004F2C25">
      <w:pPr>
        <w:ind w:left="706" w:right="7" w:hanging="721"/>
      </w:pPr>
      <w:r>
        <w:t>Nikpour, S., Mehrdad, N., Sanjari, M., Aalaa, M., Heshmat, R., Mafinejad, M. K., ... &amp; Ghezeljeh, T. N. (2022). Challenges of type 2 diabetes mellitus management from the perspective of patients: conventional content analysis.</w:t>
      </w:r>
      <w:r>
        <w:t xml:space="preserve"> </w:t>
      </w:r>
      <w:r>
        <w:rPr>
          <w:i/>
        </w:rPr>
        <w:t>Interactive journal of medical research</w:t>
      </w:r>
      <w:r>
        <w:t>,</w:t>
      </w:r>
      <w:r>
        <w:t xml:space="preserve"> </w:t>
      </w:r>
      <w:r>
        <w:rPr>
          <w:i/>
        </w:rPr>
        <w:t>11</w:t>
      </w:r>
      <w:r>
        <w:t>(2), e41933.</w:t>
      </w:r>
      <w:r>
        <w:t xml:space="preserve"> </w:t>
      </w:r>
    </w:p>
    <w:p w14:paraId="18DD0D92" w14:textId="77777777" w:rsidR="00FE3B37" w:rsidRDefault="004F2C25">
      <w:pPr>
        <w:ind w:left="706" w:right="7" w:hanging="721"/>
      </w:pPr>
      <w:r>
        <w:t xml:space="preserve">Office for Health Improvement and Disparities (2025) </w:t>
      </w:r>
      <w:r>
        <w:rPr>
          <w:i/>
        </w:rPr>
        <w:t>Diabetes profile: statistical commentary, March 2025</w:t>
      </w:r>
      <w:r>
        <w:t xml:space="preserve">. GOV.UK. Available at: </w:t>
      </w:r>
    </w:p>
    <w:p w14:paraId="735E5980" w14:textId="77777777" w:rsidR="00FE3B37" w:rsidRDefault="004F2C25">
      <w:pPr>
        <w:spacing w:after="104" w:line="259" w:lineRule="auto"/>
        <w:ind w:left="716" w:right="0" w:hanging="10"/>
      </w:pPr>
      <w:hyperlink r:id="rId19">
        <w:r>
          <w:rPr>
            <w:color w:val="0563C1"/>
            <w:u w:val="single" w:color="0563C1"/>
          </w:rPr>
          <w:t>https://www.gov.uk/government/statistics/diabetes</w:t>
        </w:r>
      </w:hyperlink>
      <w:hyperlink r:id="rId20">
        <w:r>
          <w:rPr>
            <w:color w:val="0563C1"/>
            <w:u w:val="single" w:color="0563C1"/>
          </w:rPr>
          <w:t>-</w:t>
        </w:r>
      </w:hyperlink>
      <w:hyperlink r:id="rId21">
        <w:r>
          <w:rPr>
            <w:color w:val="0563C1"/>
            <w:u w:val="single" w:color="0563C1"/>
          </w:rPr>
          <w:t>profile</w:t>
        </w:r>
      </w:hyperlink>
      <w:hyperlink r:id="rId22">
        <w:r>
          <w:rPr>
            <w:color w:val="0563C1"/>
            <w:u w:val="single" w:color="0563C1"/>
          </w:rPr>
          <w:t>-</w:t>
        </w:r>
      </w:hyperlink>
      <w:hyperlink r:id="rId23">
        <w:r>
          <w:rPr>
            <w:color w:val="0563C1"/>
            <w:u w:val="single" w:color="0563C1"/>
          </w:rPr>
          <w:t>update</w:t>
        </w:r>
      </w:hyperlink>
      <w:hyperlink r:id="rId24">
        <w:r>
          <w:rPr>
            <w:color w:val="0563C1"/>
            <w:u w:val="single" w:color="0563C1"/>
          </w:rPr>
          <w:t>-</w:t>
        </w:r>
      </w:hyperlink>
      <w:hyperlink r:id="rId25">
        <w:r>
          <w:rPr>
            <w:color w:val="0563C1"/>
            <w:u w:val="single" w:color="0563C1"/>
          </w:rPr>
          <w:t>march</w:t>
        </w:r>
      </w:hyperlink>
      <w:hyperlink r:id="rId26">
        <w:r>
          <w:rPr>
            <w:color w:val="0563C1"/>
            <w:u w:val="single" w:color="0563C1"/>
          </w:rPr>
          <w:t>-</w:t>
        </w:r>
      </w:hyperlink>
    </w:p>
    <w:p w14:paraId="059C7DF0" w14:textId="77777777" w:rsidR="00FE3B37" w:rsidRDefault="004F2C25">
      <w:pPr>
        <w:spacing w:after="104" w:line="259" w:lineRule="auto"/>
        <w:ind w:left="716" w:right="0" w:hanging="10"/>
      </w:pPr>
      <w:hyperlink r:id="rId27">
        <w:r>
          <w:rPr>
            <w:color w:val="0563C1"/>
            <w:u w:val="single" w:color="0563C1"/>
          </w:rPr>
          <w:t>2025/diabetes</w:t>
        </w:r>
      </w:hyperlink>
      <w:hyperlink r:id="rId28">
        <w:r>
          <w:rPr>
            <w:color w:val="0563C1"/>
            <w:u w:val="single" w:color="0563C1"/>
          </w:rPr>
          <w:t>-</w:t>
        </w:r>
      </w:hyperlink>
      <w:hyperlink r:id="rId29">
        <w:r>
          <w:rPr>
            <w:color w:val="0563C1"/>
            <w:u w:val="single" w:color="0563C1"/>
          </w:rPr>
          <w:t>profile</w:t>
        </w:r>
      </w:hyperlink>
      <w:hyperlink r:id="rId30">
        <w:r>
          <w:rPr>
            <w:color w:val="0563C1"/>
            <w:u w:val="single" w:color="0563C1"/>
          </w:rPr>
          <w:t>-</w:t>
        </w:r>
      </w:hyperlink>
      <w:hyperlink r:id="rId31">
        <w:r>
          <w:rPr>
            <w:color w:val="0563C1"/>
            <w:u w:val="single" w:color="0563C1"/>
          </w:rPr>
          <w:t>statistical</w:t>
        </w:r>
      </w:hyperlink>
      <w:hyperlink r:id="rId32">
        <w:r>
          <w:rPr>
            <w:color w:val="0563C1"/>
            <w:u w:val="single" w:color="0563C1"/>
          </w:rPr>
          <w:t>-</w:t>
        </w:r>
      </w:hyperlink>
      <w:hyperlink r:id="rId33">
        <w:r>
          <w:rPr>
            <w:color w:val="0563C1"/>
            <w:u w:val="single" w:color="0563C1"/>
          </w:rPr>
          <w:t>commentary</w:t>
        </w:r>
      </w:hyperlink>
      <w:hyperlink r:id="rId34">
        <w:r>
          <w:rPr>
            <w:color w:val="0563C1"/>
            <w:u w:val="single" w:color="0563C1"/>
          </w:rPr>
          <w:t>-</w:t>
        </w:r>
      </w:hyperlink>
      <w:hyperlink r:id="rId35">
        <w:r>
          <w:rPr>
            <w:color w:val="0563C1"/>
            <w:u w:val="single" w:color="0563C1"/>
          </w:rPr>
          <w:t>march</w:t>
        </w:r>
      </w:hyperlink>
      <w:hyperlink r:id="rId36">
        <w:r>
          <w:rPr>
            <w:color w:val="0563C1"/>
            <w:u w:val="single" w:color="0563C1"/>
          </w:rPr>
          <w:t>-</w:t>
        </w:r>
      </w:hyperlink>
      <w:hyperlink r:id="rId37">
        <w:r>
          <w:rPr>
            <w:color w:val="0563C1"/>
            <w:u w:val="single" w:color="0563C1"/>
          </w:rPr>
          <w:t>2025</w:t>
        </w:r>
      </w:hyperlink>
      <w:hyperlink r:id="rId38">
        <w:r>
          <w:t xml:space="preserve"> </w:t>
        </w:r>
      </w:hyperlink>
    </w:p>
    <w:p w14:paraId="5F980C2B" w14:textId="77777777" w:rsidR="00FE3B37" w:rsidRDefault="004F2C25">
      <w:pPr>
        <w:spacing w:line="360" w:lineRule="auto"/>
        <w:ind w:left="706" w:right="48" w:hanging="721"/>
        <w:jc w:val="both"/>
      </w:pPr>
      <w:r>
        <w:t>Peng, X., Guo, X., Li, H., Wang, D., Liu, C., &amp; Du, Y. (2022). A qualitative exploration of selfmanagement behaviors and influencing factors in patients with type 2 diabetes.</w:t>
      </w:r>
      <w:r>
        <w:t xml:space="preserve"> </w:t>
      </w:r>
      <w:r>
        <w:rPr>
          <w:i/>
        </w:rPr>
        <w:t>Frontiers in endocrinology</w:t>
      </w:r>
      <w:r>
        <w:t>,</w:t>
      </w:r>
      <w:r>
        <w:t xml:space="preserve"> </w:t>
      </w:r>
      <w:r>
        <w:rPr>
          <w:i/>
        </w:rPr>
        <w:t>13</w:t>
      </w:r>
      <w:r>
        <w:t>, 771293.</w:t>
      </w:r>
      <w:r>
        <w:t xml:space="preserve"> </w:t>
      </w:r>
    </w:p>
    <w:p w14:paraId="6717BF5C" w14:textId="77777777" w:rsidR="00FE3B37" w:rsidRDefault="004F2C25">
      <w:pPr>
        <w:ind w:left="706" w:right="87" w:hanging="721"/>
      </w:pPr>
      <w:r>
        <w:t>Popoviciu, M. S., Paduraru, L., Nutas, R. M., Ujoc, A. M., Yahya, G., Metwally, K., &amp; Cavalu, S. (2023). Diabetes mellitus secondary to endocrine diseases: an update of diagnostic and treatment particularities.</w:t>
      </w:r>
      <w:r>
        <w:t xml:space="preserve"> </w:t>
      </w:r>
      <w:r>
        <w:rPr>
          <w:i/>
        </w:rPr>
        <w:t>International journal of molecular sciences</w:t>
      </w:r>
      <w:r>
        <w:t>,</w:t>
      </w:r>
      <w:r>
        <w:t xml:space="preserve"> </w:t>
      </w:r>
      <w:r>
        <w:rPr>
          <w:i/>
        </w:rPr>
        <w:t>24</w:t>
      </w:r>
      <w:r>
        <w:t>(16), 12676.</w:t>
      </w:r>
      <w:r>
        <w:t xml:space="preserve"> </w:t>
      </w:r>
    </w:p>
    <w:p w14:paraId="15152249" w14:textId="77777777" w:rsidR="00FE3B37" w:rsidRDefault="004F2C25">
      <w:pPr>
        <w:spacing w:line="360" w:lineRule="auto"/>
        <w:ind w:left="706" w:right="48" w:hanging="721"/>
        <w:jc w:val="both"/>
      </w:pPr>
      <w:r>
        <w:t>Riordan, F., Breen, C., Humphreys, M., Dinneen, S. F., &amp; McHugh, S. M. (2024). Delivery of Dose Adjustment For Normal Eating (DAFNE) in the UK and Ireland 2019-2022.</w:t>
      </w:r>
      <w:r>
        <w:t xml:space="preserve"> </w:t>
      </w:r>
      <w:r>
        <w:rPr>
          <w:i/>
        </w:rPr>
        <w:t>HRB Open Research</w:t>
      </w:r>
      <w:r>
        <w:t>,</w:t>
      </w:r>
      <w:r>
        <w:t xml:space="preserve"> </w:t>
      </w:r>
      <w:r>
        <w:rPr>
          <w:i/>
        </w:rPr>
        <w:t>7</w:t>
      </w:r>
      <w:r>
        <w:t>, 48.</w:t>
      </w:r>
      <w:r>
        <w:t xml:space="preserve"> </w:t>
      </w:r>
    </w:p>
    <w:p w14:paraId="66D119A4" w14:textId="77777777" w:rsidR="00FE3B37" w:rsidRDefault="004F2C25">
      <w:pPr>
        <w:spacing w:after="107" w:line="259" w:lineRule="auto"/>
        <w:ind w:left="-15" w:right="7" w:firstLine="0"/>
      </w:pPr>
      <w:r>
        <w:lastRenderedPageBreak/>
        <w:t xml:space="preserve">Scannell, C., O'Neill, T., &amp; Griffin, A. (2025). The Effectiveness of a Primary Care Diabetes </w:t>
      </w:r>
    </w:p>
    <w:p w14:paraId="7ED1A195" w14:textId="77777777" w:rsidR="00FE3B37" w:rsidRDefault="004F2C25">
      <w:pPr>
        <w:spacing w:line="259" w:lineRule="auto"/>
        <w:ind w:left="721" w:right="7" w:firstLine="0"/>
      </w:pPr>
      <w:r>
        <w:t xml:space="preserve">Education and Self-Management Program in Ireland: A 6-Month Follow-Up </w:t>
      </w:r>
    </w:p>
    <w:p w14:paraId="4B30DEBE" w14:textId="77777777" w:rsidR="00FE3B37" w:rsidRDefault="004F2C25">
      <w:pPr>
        <w:spacing w:after="107" w:line="259" w:lineRule="auto"/>
        <w:ind w:left="721" w:right="0" w:firstLine="0"/>
      </w:pPr>
      <w:r>
        <w:t>Study.</w:t>
      </w:r>
      <w:r>
        <w:t xml:space="preserve"> </w:t>
      </w:r>
      <w:r>
        <w:rPr>
          <w:i/>
        </w:rPr>
        <w:t>Endocrinology, diabetes &amp; metabolism</w:t>
      </w:r>
      <w:r>
        <w:t>,</w:t>
      </w:r>
      <w:r>
        <w:t xml:space="preserve"> </w:t>
      </w:r>
      <w:r>
        <w:rPr>
          <w:i/>
        </w:rPr>
        <w:t>8</w:t>
      </w:r>
      <w:r>
        <w:t xml:space="preserve">(2), e70036. </w:t>
      </w:r>
    </w:p>
    <w:p w14:paraId="2CDE048E" w14:textId="77777777" w:rsidR="00FE3B37" w:rsidRDefault="004F2C25">
      <w:pPr>
        <w:spacing w:after="107" w:line="259" w:lineRule="auto"/>
        <w:ind w:left="721" w:right="7" w:firstLine="0"/>
      </w:pPr>
      <w:r>
        <w:t>https://doi.org/10.1002/edm2.70036</w:t>
      </w:r>
      <w:r>
        <w:t xml:space="preserve"> </w:t>
      </w:r>
    </w:p>
    <w:p w14:paraId="5C6173C8" w14:textId="77777777" w:rsidR="00FE3B37" w:rsidRDefault="004F2C25">
      <w:pPr>
        <w:ind w:left="706" w:right="7" w:hanging="721"/>
      </w:pPr>
      <w:r>
        <w:t xml:space="preserve">Song, Y., Beltran Puerta, J., Medina-Aedo, M., Canelo-Aybar, C., Valli, C., Ballester, M., ... &amp; Heijmans, M. (2023, December). Self-Management Interventions for Adults Living with Type II Diabetes to Improve Patient-Important Outcomes: An Evidence Map. </w:t>
      </w:r>
    </w:p>
    <w:p w14:paraId="21A3A257" w14:textId="77777777" w:rsidR="00FE3B37" w:rsidRDefault="004F2C25">
      <w:pPr>
        <w:spacing w:after="107" w:line="259" w:lineRule="auto"/>
        <w:ind w:left="721" w:right="7" w:firstLine="0"/>
      </w:pPr>
      <w:r>
        <w:t>In</w:t>
      </w:r>
      <w:r>
        <w:t xml:space="preserve"> </w:t>
      </w:r>
      <w:r>
        <w:rPr>
          <w:i/>
        </w:rPr>
        <w:t>Healthcare</w:t>
      </w:r>
      <w:r>
        <w:t xml:space="preserve"> </w:t>
      </w:r>
      <w:r>
        <w:t>(Vol. 11, No. 24, p. 3156). MDPI.</w:t>
      </w:r>
      <w:r>
        <w:t xml:space="preserve"> </w:t>
      </w:r>
    </w:p>
    <w:p w14:paraId="1D979F8D" w14:textId="77777777" w:rsidR="00FE3B37" w:rsidRDefault="004F2C25">
      <w:pPr>
        <w:ind w:left="706" w:right="7" w:hanging="721"/>
      </w:pPr>
      <w:r>
        <w:t>Sperling, M. A., &amp; Laffel, L. M. (2022). Current management of glycemia in children with type 1 diabetes mellitus.</w:t>
      </w:r>
      <w:r>
        <w:t xml:space="preserve"> </w:t>
      </w:r>
      <w:r>
        <w:rPr>
          <w:i/>
        </w:rPr>
        <w:t>New England Journal of Medicine</w:t>
      </w:r>
      <w:r>
        <w:t>,</w:t>
      </w:r>
      <w:r>
        <w:t xml:space="preserve"> </w:t>
      </w:r>
      <w:r>
        <w:rPr>
          <w:i/>
        </w:rPr>
        <w:t>386</w:t>
      </w:r>
      <w:r>
        <w:t>(12), 1155-1164.</w:t>
      </w:r>
      <w:r>
        <w:t xml:space="preserve"> </w:t>
      </w:r>
    </w:p>
    <w:p w14:paraId="5CD0A3AF" w14:textId="77777777" w:rsidR="00FE3B37" w:rsidRDefault="004F2C25">
      <w:pPr>
        <w:spacing w:after="107" w:line="259" w:lineRule="auto"/>
        <w:ind w:right="0" w:firstLine="0"/>
      </w:pPr>
      <w:r>
        <w:t xml:space="preserve"> </w:t>
      </w:r>
    </w:p>
    <w:p w14:paraId="4B246B02" w14:textId="77777777" w:rsidR="00FE3B37" w:rsidRDefault="004F2C25">
      <w:pPr>
        <w:spacing w:after="0" w:line="259" w:lineRule="auto"/>
        <w:ind w:left="721" w:right="0" w:firstLine="0"/>
      </w:pPr>
      <w:r>
        <w:t xml:space="preserve"> </w:t>
      </w:r>
    </w:p>
    <w:sectPr w:rsidR="00FE3B37">
      <w:footerReference w:type="even" r:id="rId39"/>
      <w:footerReference w:type="default" r:id="rId40"/>
      <w:footerReference w:type="first" r:id="rId41"/>
      <w:pgSz w:w="11905" w:h="16840"/>
      <w:pgMar w:top="1490" w:right="1439" w:bottom="1466" w:left="1441" w:header="720" w:footer="71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081AB6" w14:textId="77777777" w:rsidR="004F2C25" w:rsidRDefault="004F2C25">
      <w:pPr>
        <w:spacing w:after="0" w:line="240" w:lineRule="auto"/>
      </w:pPr>
      <w:r>
        <w:separator/>
      </w:r>
    </w:p>
  </w:endnote>
  <w:endnote w:type="continuationSeparator" w:id="0">
    <w:p w14:paraId="5ABC8362" w14:textId="77777777" w:rsidR="004F2C25" w:rsidRDefault="004F2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71F06B" w14:textId="77777777" w:rsidR="00FE3B37" w:rsidRDefault="004F2C25">
    <w:pPr>
      <w:tabs>
        <w:tab w:val="center" w:pos="4518"/>
      </w:tabs>
      <w:spacing w:after="0" w:line="259" w:lineRule="auto"/>
      <w:ind w:right="0" w:firstLine="0"/>
    </w:pPr>
    <w:r>
      <w:rPr>
        <w:rFonts w:ascii="Calibri" w:eastAsia="Calibri" w:hAnsi="Calibri" w:cs="Calibri"/>
        <w:sz w:val="24"/>
      </w:rPr>
      <w:t xml:space="preserve"> </w:t>
    </w:r>
    <w:r>
      <w:rPr>
        <w:rFonts w:ascii="Calibri" w:eastAsia="Calibri" w:hAnsi="Calibri" w:cs="Calibri"/>
        <w:sz w:val="24"/>
      </w:rPr>
      <w:tab/>
    </w:r>
    <w:r>
      <w:fldChar w:fldCharType="begin"/>
    </w:r>
    <w:r>
      <w:instrText xml:space="preserve"> PAGE   \* MERGEFORMAT </w:instrText>
    </w:r>
    <w:r>
      <w:fldChar w:fldCharType="separate"/>
    </w:r>
    <w:r>
      <w:rPr>
        <w:rFonts w:ascii="Calibri" w:eastAsia="Calibri" w:hAnsi="Calibri" w:cs="Calibri"/>
        <w:sz w:val="24"/>
      </w:rPr>
      <w:t>1</w:t>
    </w:r>
    <w:r>
      <w:rPr>
        <w:rFonts w:ascii="Calibri" w:eastAsia="Calibri" w:hAnsi="Calibri" w:cs="Calibri"/>
        <w:sz w:val="24"/>
      </w:rPr>
      <w:fldChar w:fldCharType="end"/>
    </w:r>
    <w:r>
      <w:rPr>
        <w:rFonts w:ascii="Calibri" w:eastAsia="Calibri" w:hAnsi="Calibri" w:cs="Calibri"/>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CCD059" w14:textId="77777777" w:rsidR="00FE3B37" w:rsidRDefault="004F2C25">
    <w:pPr>
      <w:tabs>
        <w:tab w:val="center" w:pos="4518"/>
      </w:tabs>
      <w:spacing w:after="0" w:line="259" w:lineRule="auto"/>
      <w:ind w:right="0" w:firstLine="0"/>
    </w:pPr>
    <w:r>
      <w:rPr>
        <w:rFonts w:ascii="Calibri" w:eastAsia="Calibri" w:hAnsi="Calibri" w:cs="Calibri"/>
        <w:sz w:val="24"/>
      </w:rPr>
      <w:t xml:space="preserve"> </w:t>
    </w:r>
    <w:r>
      <w:rPr>
        <w:rFonts w:ascii="Calibri" w:eastAsia="Calibri" w:hAnsi="Calibri" w:cs="Calibri"/>
        <w:sz w:val="24"/>
      </w:rPr>
      <w:tab/>
    </w:r>
    <w:r>
      <w:fldChar w:fldCharType="begin"/>
    </w:r>
    <w:r>
      <w:instrText xml:space="preserve"> PAGE   \* MERGEFORMAT </w:instrText>
    </w:r>
    <w:r>
      <w:fldChar w:fldCharType="separate"/>
    </w:r>
    <w:r>
      <w:rPr>
        <w:rFonts w:ascii="Calibri" w:eastAsia="Calibri" w:hAnsi="Calibri" w:cs="Calibri"/>
        <w:sz w:val="24"/>
      </w:rPr>
      <w:t>1</w:t>
    </w:r>
    <w:r>
      <w:rPr>
        <w:rFonts w:ascii="Calibri" w:eastAsia="Calibri" w:hAnsi="Calibri" w:cs="Calibri"/>
        <w:sz w:val="24"/>
      </w:rPr>
      <w:fldChar w:fldCharType="end"/>
    </w:r>
    <w:r>
      <w:rPr>
        <w:rFonts w:ascii="Calibri" w:eastAsia="Calibri" w:hAnsi="Calibri" w:cs="Calibri"/>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22002A" w14:textId="77777777" w:rsidR="00FE3B37" w:rsidRDefault="004F2C25">
    <w:pPr>
      <w:tabs>
        <w:tab w:val="center" w:pos="4518"/>
      </w:tabs>
      <w:spacing w:after="0" w:line="259" w:lineRule="auto"/>
      <w:ind w:right="0" w:firstLine="0"/>
    </w:pPr>
    <w:r>
      <w:rPr>
        <w:rFonts w:ascii="Calibri" w:eastAsia="Calibri" w:hAnsi="Calibri" w:cs="Calibri"/>
        <w:sz w:val="24"/>
      </w:rPr>
      <w:t xml:space="preserve"> </w:t>
    </w:r>
    <w:r>
      <w:rPr>
        <w:rFonts w:ascii="Calibri" w:eastAsia="Calibri" w:hAnsi="Calibri" w:cs="Calibri"/>
        <w:sz w:val="24"/>
      </w:rPr>
      <w:tab/>
    </w:r>
    <w:r>
      <w:fldChar w:fldCharType="begin"/>
    </w:r>
    <w:r>
      <w:instrText xml:space="preserve"> PAGE   \* MERGEFORMAT </w:instrText>
    </w:r>
    <w:r>
      <w:fldChar w:fldCharType="separate"/>
    </w:r>
    <w:r>
      <w:rPr>
        <w:rFonts w:ascii="Calibri" w:eastAsia="Calibri" w:hAnsi="Calibri" w:cs="Calibri"/>
        <w:sz w:val="24"/>
      </w:rPr>
      <w:t>1</w:t>
    </w:r>
    <w:r>
      <w:rPr>
        <w:rFonts w:ascii="Calibri" w:eastAsia="Calibri" w:hAnsi="Calibri" w:cs="Calibri"/>
        <w:sz w:val="24"/>
      </w:rPr>
      <w:fldChar w:fldCharType="end"/>
    </w:r>
    <w:r>
      <w:rPr>
        <w:rFonts w:ascii="Calibri" w:eastAsia="Calibri" w:hAnsi="Calibri" w:cs="Calibri"/>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A8029A" w14:textId="77777777" w:rsidR="004F2C25" w:rsidRDefault="004F2C25">
      <w:pPr>
        <w:spacing w:after="0" w:line="240" w:lineRule="auto"/>
      </w:pPr>
      <w:r>
        <w:separator/>
      </w:r>
    </w:p>
  </w:footnote>
  <w:footnote w:type="continuationSeparator" w:id="0">
    <w:p w14:paraId="3CE965C8" w14:textId="77777777" w:rsidR="004F2C25" w:rsidRDefault="004F2C2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73668D"/>
    <w:multiLevelType w:val="hybridMultilevel"/>
    <w:tmpl w:val="FDCACC42"/>
    <w:lvl w:ilvl="0" w:tplc="8DF42EF0">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4483EA4">
      <w:start w:val="1"/>
      <w:numFmt w:val="bullet"/>
      <w:lvlText w:val="o"/>
      <w:lvlJc w:val="left"/>
      <w:pPr>
        <w:ind w:left="144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124DD84">
      <w:start w:val="1"/>
      <w:numFmt w:val="bullet"/>
      <w:lvlText w:val="▪"/>
      <w:lvlJc w:val="left"/>
      <w:pPr>
        <w:ind w:left="21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1DAE936">
      <w:start w:val="1"/>
      <w:numFmt w:val="bullet"/>
      <w:lvlText w:val="•"/>
      <w:lvlJc w:val="left"/>
      <w:pPr>
        <w:ind w:left="28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070DEE6">
      <w:start w:val="1"/>
      <w:numFmt w:val="bullet"/>
      <w:lvlText w:val="o"/>
      <w:lvlJc w:val="left"/>
      <w:pPr>
        <w:ind w:left="360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53849A0">
      <w:start w:val="1"/>
      <w:numFmt w:val="bullet"/>
      <w:lvlText w:val="▪"/>
      <w:lvlJc w:val="left"/>
      <w:pPr>
        <w:ind w:left="43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1365E34">
      <w:start w:val="1"/>
      <w:numFmt w:val="bullet"/>
      <w:lvlText w:val="•"/>
      <w:lvlJc w:val="left"/>
      <w:pPr>
        <w:ind w:left="50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DD2F462">
      <w:start w:val="1"/>
      <w:numFmt w:val="bullet"/>
      <w:lvlText w:val="o"/>
      <w:lvlJc w:val="left"/>
      <w:pPr>
        <w:ind w:left="57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7B6C38C">
      <w:start w:val="1"/>
      <w:numFmt w:val="bullet"/>
      <w:lvlText w:val="▪"/>
      <w:lvlJc w:val="left"/>
      <w:pPr>
        <w:ind w:left="64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54A74EA1"/>
    <w:multiLevelType w:val="hybridMultilevel"/>
    <w:tmpl w:val="B27013EC"/>
    <w:lvl w:ilvl="0" w:tplc="B3544816">
      <w:start w:val="1"/>
      <w:numFmt w:val="decimal"/>
      <w:lvlText w:val="%1."/>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F74235A">
      <w:start w:val="1"/>
      <w:numFmt w:val="lowerLetter"/>
      <w:lvlText w:val="%2"/>
      <w:lvlJc w:val="left"/>
      <w:pPr>
        <w:ind w:left="14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052BCA6">
      <w:start w:val="1"/>
      <w:numFmt w:val="lowerRoman"/>
      <w:lvlText w:val="%3"/>
      <w:lvlJc w:val="left"/>
      <w:pPr>
        <w:ind w:left="21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B4034CC">
      <w:start w:val="1"/>
      <w:numFmt w:val="decimal"/>
      <w:lvlText w:val="%4"/>
      <w:lvlJc w:val="left"/>
      <w:pPr>
        <w:ind w:left="28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9B6ECF4">
      <w:start w:val="1"/>
      <w:numFmt w:val="lowerLetter"/>
      <w:lvlText w:val="%5"/>
      <w:lvlJc w:val="left"/>
      <w:pPr>
        <w:ind w:left="36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5AA68DA">
      <w:start w:val="1"/>
      <w:numFmt w:val="lowerRoman"/>
      <w:lvlText w:val="%6"/>
      <w:lvlJc w:val="left"/>
      <w:pPr>
        <w:ind w:left="43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FD2FF4E">
      <w:start w:val="1"/>
      <w:numFmt w:val="decimal"/>
      <w:lvlText w:val="%7"/>
      <w:lvlJc w:val="left"/>
      <w:pPr>
        <w:ind w:left="50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71234BA">
      <w:start w:val="1"/>
      <w:numFmt w:val="lowerLetter"/>
      <w:lvlText w:val="%8"/>
      <w:lvlJc w:val="left"/>
      <w:pPr>
        <w:ind w:left="57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CD08692">
      <w:start w:val="1"/>
      <w:numFmt w:val="lowerRoman"/>
      <w:lvlText w:val="%9"/>
      <w:lvlJc w:val="left"/>
      <w:pPr>
        <w:ind w:left="64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7924383D"/>
    <w:multiLevelType w:val="hybridMultilevel"/>
    <w:tmpl w:val="8E361BFC"/>
    <w:lvl w:ilvl="0" w:tplc="0F1C2AA2">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E4C71A8">
      <w:start w:val="1"/>
      <w:numFmt w:val="bullet"/>
      <w:lvlText w:val="o"/>
      <w:lvlJc w:val="left"/>
      <w:pPr>
        <w:ind w:left="144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366163A">
      <w:start w:val="1"/>
      <w:numFmt w:val="bullet"/>
      <w:lvlText w:val="▪"/>
      <w:lvlJc w:val="left"/>
      <w:pPr>
        <w:ind w:left="21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2FCDB62">
      <w:start w:val="1"/>
      <w:numFmt w:val="bullet"/>
      <w:lvlText w:val="•"/>
      <w:lvlJc w:val="left"/>
      <w:pPr>
        <w:ind w:left="28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6D80720">
      <w:start w:val="1"/>
      <w:numFmt w:val="bullet"/>
      <w:lvlText w:val="o"/>
      <w:lvlJc w:val="left"/>
      <w:pPr>
        <w:ind w:left="360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1725BCA">
      <w:start w:val="1"/>
      <w:numFmt w:val="bullet"/>
      <w:lvlText w:val="▪"/>
      <w:lvlJc w:val="left"/>
      <w:pPr>
        <w:ind w:left="43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AA20378">
      <w:start w:val="1"/>
      <w:numFmt w:val="bullet"/>
      <w:lvlText w:val="•"/>
      <w:lvlJc w:val="left"/>
      <w:pPr>
        <w:ind w:left="50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03A7DDC">
      <w:start w:val="1"/>
      <w:numFmt w:val="bullet"/>
      <w:lvlText w:val="o"/>
      <w:lvlJc w:val="left"/>
      <w:pPr>
        <w:ind w:left="57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1F2FB3C">
      <w:start w:val="1"/>
      <w:numFmt w:val="bullet"/>
      <w:lvlText w:val="▪"/>
      <w:lvlJc w:val="left"/>
      <w:pPr>
        <w:ind w:left="64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16cid:durableId="1171335646">
    <w:abstractNumId w:val="1"/>
  </w:num>
  <w:num w:numId="2" w16cid:durableId="1253473871">
    <w:abstractNumId w:val="0"/>
  </w:num>
  <w:num w:numId="3" w16cid:durableId="171862824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3B37"/>
    <w:rsid w:val="004F2C25"/>
    <w:rsid w:val="00543A9B"/>
    <w:rsid w:val="00A04F95"/>
    <w:rsid w:val="00FE3B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6773C2"/>
  <w15:docId w15:val="{4C30E0F3-A873-4748-8874-2BF585553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line="359" w:lineRule="auto"/>
      <w:ind w:right="1" w:firstLine="711"/>
    </w:pPr>
    <w:rPr>
      <w:rFonts w:ascii="Arial" w:eastAsia="Arial" w:hAnsi="Arial" w:cs="Arial"/>
      <w:color w:val="000000"/>
      <w:sz w:val="22"/>
    </w:rPr>
  </w:style>
  <w:style w:type="paragraph" w:styleId="Heading1">
    <w:name w:val="heading 1"/>
    <w:next w:val="Normal"/>
    <w:link w:val="Heading1Char"/>
    <w:uiPriority w:val="9"/>
    <w:qFormat/>
    <w:pPr>
      <w:keepNext/>
      <w:keepLines/>
      <w:spacing w:after="185" w:line="259" w:lineRule="auto"/>
      <w:ind w:left="10" w:right="459" w:hanging="10"/>
      <w:outlineLvl w:val="0"/>
    </w:pPr>
    <w:rPr>
      <w:rFonts w:ascii="Arial" w:eastAsia="Arial" w:hAnsi="Arial" w:cs="Arial"/>
      <w:b/>
      <w:color w:val="000000"/>
      <w:sz w:val="22"/>
    </w:rPr>
  </w:style>
  <w:style w:type="paragraph" w:styleId="Heading2">
    <w:name w:val="heading 2"/>
    <w:next w:val="Normal"/>
    <w:link w:val="Heading2Char"/>
    <w:uiPriority w:val="9"/>
    <w:unhideWhenUsed/>
    <w:qFormat/>
    <w:pPr>
      <w:keepNext/>
      <w:keepLines/>
      <w:spacing w:after="185" w:line="259" w:lineRule="auto"/>
      <w:ind w:left="10" w:right="459" w:hanging="10"/>
      <w:outlineLvl w:val="1"/>
    </w:pPr>
    <w:rPr>
      <w:rFonts w:ascii="Arial" w:eastAsia="Arial" w:hAnsi="Arial" w:cs="Arial"/>
      <w:b/>
      <w:color w:val="000000"/>
      <w:sz w:val="22"/>
    </w:rPr>
  </w:style>
  <w:style w:type="paragraph" w:styleId="Heading3">
    <w:name w:val="heading 3"/>
    <w:next w:val="Normal"/>
    <w:link w:val="Heading3Char"/>
    <w:uiPriority w:val="9"/>
    <w:unhideWhenUsed/>
    <w:qFormat/>
    <w:pPr>
      <w:keepNext/>
      <w:keepLines/>
      <w:spacing w:after="185" w:line="259" w:lineRule="auto"/>
      <w:ind w:left="10" w:right="459" w:hanging="10"/>
      <w:outlineLvl w:val="2"/>
    </w:pPr>
    <w:rPr>
      <w:rFonts w:ascii="Arial" w:eastAsia="Arial" w:hAnsi="Arial" w:cs="Arial"/>
      <w:b/>
      <w:color w:val="000000"/>
      <w:sz w:val="22"/>
    </w:rPr>
  </w:style>
  <w:style w:type="paragraph" w:styleId="Heading4">
    <w:name w:val="heading 4"/>
    <w:next w:val="Normal"/>
    <w:link w:val="Heading4Char"/>
    <w:uiPriority w:val="9"/>
    <w:unhideWhenUsed/>
    <w:qFormat/>
    <w:pPr>
      <w:keepNext/>
      <w:keepLines/>
      <w:spacing w:after="104" w:line="259" w:lineRule="auto"/>
      <w:ind w:left="10" w:hanging="10"/>
      <w:outlineLvl w:val="3"/>
    </w:pPr>
    <w:rPr>
      <w:rFonts w:ascii="Arial" w:eastAsia="Arial" w:hAnsi="Arial" w:cs="Arial"/>
      <w:b/>
      <w:i/>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Arial" w:eastAsia="Arial" w:hAnsi="Arial" w:cs="Arial"/>
      <w:b/>
      <w:color w:val="000000"/>
      <w:sz w:val="22"/>
    </w:rPr>
  </w:style>
  <w:style w:type="character" w:customStyle="1" w:styleId="Heading4Char">
    <w:name w:val="Heading 4 Char"/>
    <w:link w:val="Heading4"/>
    <w:rPr>
      <w:rFonts w:ascii="Arial" w:eastAsia="Arial" w:hAnsi="Arial" w:cs="Arial"/>
      <w:b/>
      <w:i/>
      <w:color w:val="000000"/>
      <w:sz w:val="22"/>
    </w:rPr>
  </w:style>
  <w:style w:type="character" w:customStyle="1" w:styleId="Heading1Char">
    <w:name w:val="Heading 1 Char"/>
    <w:link w:val="Heading1"/>
    <w:rPr>
      <w:rFonts w:ascii="Arial" w:eastAsia="Arial" w:hAnsi="Arial" w:cs="Arial"/>
      <w:b/>
      <w:color w:val="000000"/>
      <w:sz w:val="22"/>
    </w:rPr>
  </w:style>
  <w:style w:type="character" w:customStyle="1" w:styleId="Heading2Char">
    <w:name w:val="Heading 2 Char"/>
    <w:link w:val="Heading2"/>
    <w:rPr>
      <w:rFonts w:ascii="Arial" w:eastAsia="Arial" w:hAnsi="Arial" w:cs="Arial"/>
      <w:b/>
      <w:color w:val="000000"/>
      <w:sz w:val="22"/>
    </w:rPr>
  </w:style>
  <w:style w:type="paragraph" w:styleId="TOC1">
    <w:name w:val="toc 1"/>
    <w:hidden/>
    <w:pPr>
      <w:spacing w:after="205" w:line="259" w:lineRule="auto"/>
      <w:ind w:left="25" w:right="18" w:hanging="10"/>
    </w:pPr>
    <w:rPr>
      <w:rFonts w:ascii="Arial" w:eastAsia="Arial" w:hAnsi="Arial" w:cs="Arial"/>
      <w:color w:val="000000"/>
      <w:sz w:val="22"/>
    </w:rPr>
  </w:style>
  <w:style w:type="paragraph" w:styleId="TOC2">
    <w:name w:val="toc 2"/>
    <w:hidden/>
    <w:pPr>
      <w:spacing w:after="205" w:line="259" w:lineRule="auto"/>
      <w:ind w:left="265" w:right="18" w:hanging="10"/>
    </w:pPr>
    <w:rPr>
      <w:rFonts w:ascii="Arial" w:eastAsia="Arial" w:hAnsi="Arial" w:cs="Arial"/>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nice.org.uk/guidance/qs209/chapter/Quality-statement-2-Structured-education-programme?utm_source=chatgpt.com" TargetMode="External"/><Relationship Id="rId18" Type="http://schemas.openxmlformats.org/officeDocument/2006/relationships/hyperlink" Target="https://www.nice.org.uk/guidance/qs209/chapter/Quality-statement-2-Structured-education-programme?utm_source=chatgpt.com" TargetMode="External"/><Relationship Id="rId26" Type="http://schemas.openxmlformats.org/officeDocument/2006/relationships/hyperlink" Target="https://www.gov.uk/government/statistics/diabetes-profile-update-march-2025/diabetes-profile-statistical-commentary-march-2025?utm_source=chatgpt.com" TargetMode="External"/><Relationship Id="rId39" Type="http://schemas.openxmlformats.org/officeDocument/2006/relationships/footer" Target="footer1.xml"/><Relationship Id="rId21" Type="http://schemas.openxmlformats.org/officeDocument/2006/relationships/hyperlink" Target="https://www.gov.uk/government/statistics/diabetes-profile-update-march-2025/diabetes-profile-statistical-commentary-march-2025?utm_source=chatgpt.com" TargetMode="External"/><Relationship Id="rId34" Type="http://schemas.openxmlformats.org/officeDocument/2006/relationships/hyperlink" Target="https://www.gov.uk/government/statistics/diabetes-profile-update-march-2025/diabetes-profile-statistical-commentary-march-2025?utm_source=chatgpt.com" TargetMode="External"/><Relationship Id="rId42" Type="http://schemas.openxmlformats.org/officeDocument/2006/relationships/fontTable" Target="fontTable.xml"/><Relationship Id="rId7" Type="http://schemas.openxmlformats.org/officeDocument/2006/relationships/hyperlink" Target="https://www.nice.org.uk/guidance/qs209/chapter/Quality-statement-2-Structured-education-programme?utm_source=chatgpt.com" TargetMode="External"/><Relationship Id="rId2" Type="http://schemas.openxmlformats.org/officeDocument/2006/relationships/styles" Target="styles.xml"/><Relationship Id="rId16" Type="http://schemas.openxmlformats.org/officeDocument/2006/relationships/hyperlink" Target="https://www.nice.org.uk/guidance/qs209/chapter/Quality-statement-2-Structured-education-programme?utm_source=chatgpt.com" TargetMode="External"/><Relationship Id="rId20" Type="http://schemas.openxmlformats.org/officeDocument/2006/relationships/hyperlink" Target="https://www.gov.uk/government/statistics/diabetes-profile-update-march-2025/diabetes-profile-statistical-commentary-march-2025?utm_source=chatgpt.com" TargetMode="External"/><Relationship Id="rId29" Type="http://schemas.openxmlformats.org/officeDocument/2006/relationships/hyperlink" Target="https://www.gov.uk/government/statistics/diabetes-profile-update-march-2025/diabetes-profile-statistical-commentary-march-2025?utm_source=chatgpt.com" TargetMode="External"/><Relationship Id="rId41"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ice.org.uk/guidance/qs209/chapter/Quality-statement-2-Structured-education-programme?utm_source=chatgpt.com" TargetMode="External"/><Relationship Id="rId24" Type="http://schemas.openxmlformats.org/officeDocument/2006/relationships/hyperlink" Target="https://www.gov.uk/government/statistics/diabetes-profile-update-march-2025/diabetes-profile-statistical-commentary-march-2025?utm_source=chatgpt.com" TargetMode="External"/><Relationship Id="rId32" Type="http://schemas.openxmlformats.org/officeDocument/2006/relationships/hyperlink" Target="https://www.gov.uk/government/statistics/diabetes-profile-update-march-2025/diabetes-profile-statistical-commentary-march-2025?utm_source=chatgpt.com" TargetMode="External"/><Relationship Id="rId37" Type="http://schemas.openxmlformats.org/officeDocument/2006/relationships/hyperlink" Target="https://www.gov.uk/government/statistics/diabetes-profile-update-march-2025/diabetes-profile-statistical-commentary-march-2025?utm_source=chatgpt.com" TargetMode="External"/><Relationship Id="rId40"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www.nice.org.uk/guidance/qs209/chapter/Quality-statement-2-Structured-education-programme?utm_source=chatgpt.com" TargetMode="External"/><Relationship Id="rId23" Type="http://schemas.openxmlformats.org/officeDocument/2006/relationships/hyperlink" Target="https://www.gov.uk/government/statistics/diabetes-profile-update-march-2025/diabetes-profile-statistical-commentary-march-2025?utm_source=chatgpt.com" TargetMode="External"/><Relationship Id="rId28" Type="http://schemas.openxmlformats.org/officeDocument/2006/relationships/hyperlink" Target="https://www.gov.uk/government/statistics/diabetes-profile-update-march-2025/diabetes-profile-statistical-commentary-march-2025?utm_source=chatgpt.com" TargetMode="External"/><Relationship Id="rId36" Type="http://schemas.openxmlformats.org/officeDocument/2006/relationships/hyperlink" Target="https://www.gov.uk/government/statistics/diabetes-profile-update-march-2025/diabetes-profile-statistical-commentary-march-2025?utm_source=chatgpt.com" TargetMode="External"/><Relationship Id="rId10" Type="http://schemas.openxmlformats.org/officeDocument/2006/relationships/hyperlink" Target="https://www.nice.org.uk/guidance/qs209/chapter/Quality-statement-2-Structured-education-programme?utm_source=chatgpt.com" TargetMode="External"/><Relationship Id="rId19" Type="http://schemas.openxmlformats.org/officeDocument/2006/relationships/hyperlink" Target="https://www.gov.uk/government/statistics/diabetes-profile-update-march-2025/diabetes-profile-statistical-commentary-march-2025?utm_source=chatgpt.com" TargetMode="External"/><Relationship Id="rId31" Type="http://schemas.openxmlformats.org/officeDocument/2006/relationships/hyperlink" Target="https://www.gov.uk/government/statistics/diabetes-profile-update-march-2025/diabetes-profile-statistical-commentary-march-2025?utm_source=chatgpt.com" TargetMode="External"/><Relationship Id="rId4" Type="http://schemas.openxmlformats.org/officeDocument/2006/relationships/webSettings" Target="webSettings.xml"/><Relationship Id="rId9" Type="http://schemas.openxmlformats.org/officeDocument/2006/relationships/hyperlink" Target="https://www.nice.org.uk/guidance/qs209/chapter/Quality-statement-2-Structured-education-programme?utm_source=chatgpt.com" TargetMode="External"/><Relationship Id="rId14" Type="http://schemas.openxmlformats.org/officeDocument/2006/relationships/hyperlink" Target="https://www.nice.org.uk/guidance/qs209/chapter/Quality-statement-2-Structured-education-programme?utm_source=chatgpt.com" TargetMode="External"/><Relationship Id="rId22" Type="http://schemas.openxmlformats.org/officeDocument/2006/relationships/hyperlink" Target="https://www.gov.uk/government/statistics/diabetes-profile-update-march-2025/diabetes-profile-statistical-commentary-march-2025?utm_source=chatgpt.com" TargetMode="External"/><Relationship Id="rId27" Type="http://schemas.openxmlformats.org/officeDocument/2006/relationships/hyperlink" Target="https://www.gov.uk/government/statistics/diabetes-profile-update-march-2025/diabetes-profile-statistical-commentary-march-2025?utm_source=chatgpt.com" TargetMode="External"/><Relationship Id="rId30" Type="http://schemas.openxmlformats.org/officeDocument/2006/relationships/hyperlink" Target="https://www.gov.uk/government/statistics/diabetes-profile-update-march-2025/diabetes-profile-statistical-commentary-march-2025?utm_source=chatgpt.com" TargetMode="External"/><Relationship Id="rId35" Type="http://schemas.openxmlformats.org/officeDocument/2006/relationships/hyperlink" Target="https://www.gov.uk/government/statistics/diabetes-profile-update-march-2025/diabetes-profile-statistical-commentary-march-2025?utm_source=chatgpt.com" TargetMode="External"/><Relationship Id="rId43" Type="http://schemas.openxmlformats.org/officeDocument/2006/relationships/theme" Target="theme/theme1.xml"/><Relationship Id="rId8" Type="http://schemas.openxmlformats.org/officeDocument/2006/relationships/hyperlink" Target="https://www.nice.org.uk/guidance/qs209/chapter/Quality-statement-2-Structured-education-programme?utm_source=chatgpt.com" TargetMode="External"/><Relationship Id="rId3" Type="http://schemas.openxmlformats.org/officeDocument/2006/relationships/settings" Target="settings.xml"/><Relationship Id="rId12" Type="http://schemas.openxmlformats.org/officeDocument/2006/relationships/hyperlink" Target="https://www.nice.org.uk/guidance/qs209/chapter/Quality-statement-2-Structured-education-programme?utm_source=chatgpt.com" TargetMode="External"/><Relationship Id="rId17" Type="http://schemas.openxmlformats.org/officeDocument/2006/relationships/hyperlink" Target="https://www.nice.org.uk/guidance/qs209/chapter/Quality-statement-2-Structured-education-programme?utm_source=chatgpt.com" TargetMode="External"/><Relationship Id="rId25" Type="http://schemas.openxmlformats.org/officeDocument/2006/relationships/hyperlink" Target="https://www.gov.uk/government/statistics/diabetes-profile-update-march-2025/diabetes-profile-statistical-commentary-march-2025?utm_source=chatgpt.com" TargetMode="External"/><Relationship Id="rId33" Type="http://schemas.openxmlformats.org/officeDocument/2006/relationships/hyperlink" Target="https://www.gov.uk/government/statistics/diabetes-profile-update-march-2025/diabetes-profile-statistical-commentary-march-2025?utm_source=chatgpt.com" TargetMode="External"/><Relationship Id="rId38" Type="http://schemas.openxmlformats.org/officeDocument/2006/relationships/hyperlink" Target="https://www.gov.uk/government/statistics/diabetes-profile-update-march-2025/diabetes-profile-statistical-commentary-march-2025?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18</Pages>
  <Words>5966</Words>
  <Characters>34009</Characters>
  <Application>Microsoft Office Word</Application>
  <DocSecurity>0</DocSecurity>
  <Lines>283</Lines>
  <Paragraphs>79</Paragraphs>
  <ScaleCrop>false</ScaleCrop>
  <Company/>
  <LinksUpToDate>false</LinksUpToDate>
  <CharactersWithSpaces>39896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dc:creator>
  <cp:keywords/>
  <cp:lastModifiedBy>Fariza iqbal</cp:lastModifiedBy>
  <cp:revision>2</cp:revision>
  <dcterms:created xsi:type="dcterms:W3CDTF">2026-03-24T22:04:00Z</dcterms:created>
  <dcterms:modified xsi:type="dcterms:W3CDTF">2026-03-24T22:04:00Z</dcterms:modified>
</cp:coreProperties>
</file>