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731C73" w14:textId="234BBC58" w:rsidR="00D23FA4" w:rsidRDefault="003441BA" w:rsidP="003441BA">
      <w:r>
        <w:rPr>
          <w:noProof/>
        </w:rPr>
        <w:drawing>
          <wp:inline distT="0" distB="0" distL="0" distR="0" wp14:anchorId="2B854E3E" wp14:editId="17673967">
            <wp:extent cx="5731510" cy="2554605"/>
            <wp:effectExtent l="0" t="0" r="2540" b="0"/>
            <wp:docPr id="88973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73555" name="Picture 88973555"/>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554605"/>
                    </a:xfrm>
                    <a:prstGeom prst="rect">
                      <a:avLst/>
                    </a:prstGeom>
                  </pic:spPr>
                </pic:pic>
              </a:graphicData>
            </a:graphic>
          </wp:inline>
        </w:drawing>
      </w:r>
    </w:p>
    <w:p w14:paraId="7BF13F85" w14:textId="5BD1D576" w:rsidR="00F064C0" w:rsidRPr="00B2395C" w:rsidRDefault="00B2395C" w:rsidP="00B2395C">
      <w:pPr>
        <w:jc w:val="center"/>
        <w:rPr>
          <w:b/>
          <w:bCs/>
          <w:sz w:val="52"/>
          <w:szCs w:val="52"/>
        </w:rPr>
      </w:pPr>
      <w:r w:rsidRPr="00B2395C">
        <w:rPr>
          <w:b/>
          <w:bCs/>
          <w:sz w:val="52"/>
          <w:szCs w:val="52"/>
        </w:rPr>
        <w:t>BANKING AND FINANCE ECONOMICS</w:t>
      </w:r>
    </w:p>
    <w:p w14:paraId="779E7AB3" w14:textId="15D617F9" w:rsidR="00D47AA9" w:rsidRDefault="00B2395C" w:rsidP="00D47AA9">
      <w:pPr>
        <w:jc w:val="center"/>
        <w:rPr>
          <w:b/>
          <w:bCs/>
          <w:sz w:val="48"/>
          <w:szCs w:val="48"/>
        </w:rPr>
      </w:pPr>
      <w:r>
        <w:br/>
      </w:r>
      <w:r w:rsidRPr="00B2395C">
        <w:rPr>
          <w:b/>
          <w:bCs/>
          <w:sz w:val="48"/>
          <w:szCs w:val="48"/>
        </w:rPr>
        <w:t>(LCMB7032_LON)</w:t>
      </w:r>
    </w:p>
    <w:p w14:paraId="0904196F" w14:textId="3047BC47" w:rsidR="00B2395C" w:rsidRDefault="00B2395C" w:rsidP="00B2395C">
      <w:pPr>
        <w:rPr>
          <w:b/>
          <w:bCs/>
          <w:sz w:val="44"/>
          <w:szCs w:val="44"/>
        </w:rPr>
      </w:pPr>
      <w:r w:rsidRPr="00452B5C">
        <w:rPr>
          <w:b/>
          <w:bCs/>
          <w:sz w:val="44"/>
          <w:szCs w:val="44"/>
        </w:rPr>
        <w:t xml:space="preserve">COMPANY: HILTON WORID WIDE </w:t>
      </w:r>
    </w:p>
    <w:p w14:paraId="59B8FFAB" w14:textId="0C7C9C68" w:rsidR="00A35528" w:rsidRPr="003C2DCA" w:rsidRDefault="00D47AA9" w:rsidP="003C2DCA">
      <w:pPr>
        <w:rPr>
          <w:b/>
          <w:bCs/>
          <w:sz w:val="44"/>
          <w:szCs w:val="44"/>
        </w:rPr>
      </w:pPr>
      <w:r>
        <w:rPr>
          <w:b/>
          <w:bCs/>
          <w:noProof/>
          <w:sz w:val="44"/>
          <w:szCs w:val="44"/>
        </w:rPr>
        <w:drawing>
          <wp:inline distT="0" distB="0" distL="0" distR="0" wp14:anchorId="0F1B0D04" wp14:editId="6F2378A4">
            <wp:extent cx="5486400" cy="3867912"/>
            <wp:effectExtent l="0" t="0" r="0" b="0"/>
            <wp:docPr id="3484901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490174" name="Picture 348490174"/>
                    <pic:cNvPicPr/>
                  </pic:nvPicPr>
                  <pic:blipFill>
                    <a:blip r:embed="rId9">
                      <a:extLst>
                        <a:ext uri="{28A0092B-C50C-407E-A947-70E740481C1C}">
                          <a14:useLocalDpi xmlns:a14="http://schemas.microsoft.com/office/drawing/2010/main" val="0"/>
                        </a:ext>
                      </a:extLst>
                    </a:blip>
                    <a:stretch>
                      <a:fillRect/>
                    </a:stretch>
                  </pic:blipFill>
                  <pic:spPr>
                    <a:xfrm>
                      <a:off x="0" y="0"/>
                      <a:ext cx="5486400" cy="3867912"/>
                    </a:xfrm>
                    <a:prstGeom prst="rect">
                      <a:avLst/>
                    </a:prstGeom>
                  </pic:spPr>
                </pic:pic>
              </a:graphicData>
            </a:graphic>
          </wp:inline>
        </w:drawing>
      </w:r>
    </w:p>
    <w:p w14:paraId="0C6C737C" w14:textId="77777777" w:rsidR="006A11D8" w:rsidRDefault="006A11D8" w:rsidP="00661C94">
      <w:pPr>
        <w:pStyle w:val="ListParagraph"/>
        <w:ind w:left="1104"/>
        <w:rPr>
          <w:b/>
          <w:bCs/>
          <w:sz w:val="44"/>
          <w:szCs w:val="44"/>
        </w:rPr>
      </w:pPr>
    </w:p>
    <w:p w14:paraId="05E9E9F0" w14:textId="1B66C39D" w:rsidR="006A11D8" w:rsidRDefault="00F169D3" w:rsidP="00177219">
      <w:pPr>
        <w:pStyle w:val="Heading1"/>
        <w:rPr>
          <w:b/>
          <w:bCs/>
          <w:sz w:val="40"/>
          <w:szCs w:val="40"/>
        </w:rPr>
      </w:pPr>
      <w:r>
        <w:rPr>
          <w:b/>
          <w:bCs/>
          <w:sz w:val="40"/>
          <w:szCs w:val="40"/>
        </w:rPr>
        <w:lastRenderedPageBreak/>
        <w:t xml:space="preserve">TABLE OF CONTENT </w:t>
      </w:r>
    </w:p>
    <w:p w14:paraId="1AB2FB32" w14:textId="7BEAC3ED" w:rsidR="00177219" w:rsidRPr="00B51AC9" w:rsidRDefault="00177219" w:rsidP="00177219">
      <w:pPr>
        <w:rPr>
          <w:b/>
          <w:bCs/>
          <w:sz w:val="32"/>
          <w:szCs w:val="32"/>
        </w:rPr>
      </w:pPr>
      <w:r w:rsidRPr="00B51AC9">
        <w:rPr>
          <w:b/>
          <w:bCs/>
          <w:sz w:val="32"/>
          <w:szCs w:val="32"/>
        </w:rPr>
        <w:t>1}</w:t>
      </w:r>
      <w:r w:rsidR="000A04FA" w:rsidRPr="00B51AC9">
        <w:rPr>
          <w:b/>
          <w:bCs/>
          <w:sz w:val="32"/>
          <w:szCs w:val="32"/>
        </w:rPr>
        <w:t xml:space="preserve"> COMPANY OVERVIEW </w:t>
      </w:r>
      <w:r w:rsidR="00BF17B5">
        <w:rPr>
          <w:b/>
          <w:bCs/>
          <w:sz w:val="32"/>
          <w:szCs w:val="32"/>
        </w:rPr>
        <w:t xml:space="preserve">                                                           2</w:t>
      </w:r>
    </w:p>
    <w:p w14:paraId="60920BE1" w14:textId="066213F8" w:rsidR="006A11D8" w:rsidRPr="00B51AC9" w:rsidRDefault="00177219" w:rsidP="00177219">
      <w:pPr>
        <w:rPr>
          <w:sz w:val="24"/>
          <w:szCs w:val="24"/>
        </w:rPr>
      </w:pPr>
      <w:r w:rsidRPr="00B51AC9">
        <w:rPr>
          <w:sz w:val="24"/>
          <w:szCs w:val="24"/>
        </w:rPr>
        <w:t>(A) PROVIDE A COMPREHENSIVE SUMMARY OF THE ORGANIZATION, ITS BUSINESS OPERATIONS, AND THE SPECIFIC MARKETS IT AIMS TO REACH</w:t>
      </w:r>
      <w:r w:rsidR="00907C64" w:rsidRPr="00B51AC9">
        <w:rPr>
          <w:sz w:val="24"/>
          <w:szCs w:val="24"/>
        </w:rPr>
        <w:t xml:space="preserve"> AND USP.</w:t>
      </w:r>
      <w:r w:rsidR="000A48D3">
        <w:rPr>
          <w:sz w:val="24"/>
          <w:szCs w:val="24"/>
        </w:rPr>
        <w:t>-</w:t>
      </w:r>
    </w:p>
    <w:p w14:paraId="10C40669" w14:textId="0A586BE8" w:rsidR="00907C64" w:rsidRPr="00B51AC9" w:rsidRDefault="00907C64" w:rsidP="00177219">
      <w:pPr>
        <w:rPr>
          <w:sz w:val="24"/>
          <w:szCs w:val="24"/>
        </w:rPr>
      </w:pPr>
      <w:r w:rsidRPr="00B51AC9">
        <w:rPr>
          <w:sz w:val="24"/>
          <w:szCs w:val="24"/>
        </w:rPr>
        <w:t>(B) DESCRIBE THE MAIN FACTORS THAT LED TO HILTON WORLD WIDE COMPANY GOING PUBLIC</w:t>
      </w:r>
    </w:p>
    <w:p w14:paraId="3F4EC493" w14:textId="4EFE03DE" w:rsidR="006A11D8" w:rsidRPr="00B51AC9" w:rsidRDefault="00867BF7" w:rsidP="006A11D8">
      <w:pPr>
        <w:rPr>
          <w:sz w:val="24"/>
          <w:szCs w:val="24"/>
        </w:rPr>
      </w:pPr>
      <w:r w:rsidRPr="00B51AC9">
        <w:rPr>
          <w:sz w:val="24"/>
          <w:szCs w:val="24"/>
        </w:rPr>
        <w:t>(C)Examine Hilton Worldwide Corporation S1</w:t>
      </w:r>
    </w:p>
    <w:p w14:paraId="320C2A79" w14:textId="0C7DE4E1" w:rsidR="00E5255D" w:rsidRPr="00B51AC9" w:rsidRDefault="00E5255D" w:rsidP="00E5255D">
      <w:pPr>
        <w:rPr>
          <w:b/>
          <w:bCs/>
          <w:sz w:val="32"/>
          <w:szCs w:val="32"/>
        </w:rPr>
      </w:pPr>
      <w:r w:rsidRPr="00B51AC9">
        <w:rPr>
          <w:b/>
          <w:bCs/>
          <w:sz w:val="32"/>
          <w:szCs w:val="32"/>
        </w:rPr>
        <w:t xml:space="preserve">2} </w:t>
      </w:r>
      <w:r w:rsidR="00C7000F" w:rsidRPr="00B51AC9">
        <w:rPr>
          <w:b/>
          <w:bCs/>
          <w:sz w:val="32"/>
          <w:szCs w:val="32"/>
        </w:rPr>
        <w:t xml:space="preserve">CALCULATION </w:t>
      </w:r>
      <w:r w:rsidR="003F17DE">
        <w:rPr>
          <w:b/>
          <w:bCs/>
          <w:sz w:val="32"/>
          <w:szCs w:val="32"/>
        </w:rPr>
        <w:t xml:space="preserve">                                                                         7</w:t>
      </w:r>
    </w:p>
    <w:p w14:paraId="09EE9CC6" w14:textId="7FEC9095" w:rsidR="00845308" w:rsidRPr="00B51AC9" w:rsidRDefault="00E5255D" w:rsidP="00E5255D">
      <w:pPr>
        <w:rPr>
          <w:sz w:val="24"/>
          <w:szCs w:val="24"/>
        </w:rPr>
      </w:pPr>
      <w:r w:rsidRPr="00B51AC9">
        <w:rPr>
          <w:sz w:val="24"/>
          <w:szCs w:val="24"/>
        </w:rPr>
        <w:t>(A)Share price performance</w:t>
      </w:r>
      <w:r w:rsidR="00845308" w:rsidRPr="00B51AC9">
        <w:rPr>
          <w:sz w:val="24"/>
          <w:szCs w:val="24"/>
        </w:rPr>
        <w:t xml:space="preserve"> AND </w:t>
      </w:r>
      <w:r w:rsidR="00845308" w:rsidRPr="00B51AC9">
        <w:rPr>
          <w:sz w:val="24"/>
          <w:szCs w:val="24"/>
        </w:rPr>
        <w:t>Descriptive Statistics</w:t>
      </w:r>
    </w:p>
    <w:p w14:paraId="3B7FFF86" w14:textId="38CFB066" w:rsidR="006A11D8" w:rsidRPr="00B51AC9" w:rsidRDefault="00292E3A" w:rsidP="006A11D8">
      <w:pPr>
        <w:rPr>
          <w:sz w:val="24"/>
          <w:szCs w:val="24"/>
        </w:rPr>
      </w:pPr>
      <w:r w:rsidRPr="00B51AC9">
        <w:rPr>
          <w:sz w:val="24"/>
          <w:szCs w:val="24"/>
        </w:rPr>
        <w:t>(B)WHAT IS CAGR</w:t>
      </w:r>
    </w:p>
    <w:p w14:paraId="2A99AEE1" w14:textId="478B924D" w:rsidR="00912246" w:rsidRPr="00B51AC9" w:rsidRDefault="00912246" w:rsidP="006A11D8">
      <w:pPr>
        <w:rPr>
          <w:sz w:val="24"/>
          <w:szCs w:val="24"/>
        </w:rPr>
      </w:pPr>
      <w:r w:rsidRPr="00B51AC9">
        <w:rPr>
          <w:sz w:val="24"/>
          <w:szCs w:val="24"/>
        </w:rPr>
        <w:t>(C) SHARP RATIO</w:t>
      </w:r>
      <w:r w:rsidRPr="00B51AC9">
        <w:rPr>
          <w:sz w:val="24"/>
          <w:szCs w:val="24"/>
        </w:rPr>
        <w:t xml:space="preserve"> AND TRYNOR RATIO</w:t>
      </w:r>
      <w:r w:rsidR="00B44CAB" w:rsidRPr="00B51AC9">
        <w:rPr>
          <w:sz w:val="24"/>
          <w:szCs w:val="24"/>
        </w:rPr>
        <w:t xml:space="preserve"> AND </w:t>
      </w:r>
      <w:r w:rsidR="00B44CAB" w:rsidRPr="00B51AC9">
        <w:rPr>
          <w:sz w:val="24"/>
          <w:szCs w:val="24"/>
        </w:rPr>
        <w:t xml:space="preserve">one-year performance </w:t>
      </w:r>
      <w:r w:rsidR="00F24E8F" w:rsidRPr="00B51AC9">
        <w:rPr>
          <w:sz w:val="24"/>
          <w:szCs w:val="24"/>
        </w:rPr>
        <w:t>baseline 2023</w:t>
      </w:r>
      <w:r w:rsidR="00B44CAB" w:rsidRPr="00B51AC9">
        <w:rPr>
          <w:sz w:val="24"/>
          <w:szCs w:val="24"/>
        </w:rPr>
        <w:t>-2024</w:t>
      </w:r>
    </w:p>
    <w:p w14:paraId="6E927366" w14:textId="2F2E43A2" w:rsidR="00E779CE" w:rsidRPr="00B51AC9" w:rsidRDefault="00E779CE" w:rsidP="00E779CE">
      <w:pPr>
        <w:rPr>
          <w:b/>
          <w:bCs/>
          <w:sz w:val="32"/>
          <w:szCs w:val="32"/>
        </w:rPr>
      </w:pPr>
      <w:r w:rsidRPr="00B51AC9">
        <w:rPr>
          <w:b/>
          <w:bCs/>
          <w:sz w:val="32"/>
          <w:szCs w:val="32"/>
        </w:rPr>
        <w:t>3}</w:t>
      </w:r>
      <w:r w:rsidR="00C7000F" w:rsidRPr="00B51AC9">
        <w:rPr>
          <w:b/>
          <w:bCs/>
          <w:sz w:val="32"/>
          <w:szCs w:val="32"/>
        </w:rPr>
        <w:t xml:space="preserve"> CALL , PUT , PAYOFF ,STRADDLE</w:t>
      </w:r>
      <w:r w:rsidR="003F17DE">
        <w:rPr>
          <w:b/>
          <w:bCs/>
          <w:sz w:val="32"/>
          <w:szCs w:val="32"/>
        </w:rPr>
        <w:t xml:space="preserve">                                       15</w:t>
      </w:r>
    </w:p>
    <w:p w14:paraId="7A630DDD" w14:textId="15D4FE3A" w:rsidR="00E779CE" w:rsidRPr="00B51AC9" w:rsidRDefault="00E779CE" w:rsidP="00E779CE">
      <w:pPr>
        <w:rPr>
          <w:sz w:val="24"/>
          <w:szCs w:val="24"/>
        </w:rPr>
      </w:pPr>
      <w:r w:rsidRPr="00B51AC9">
        <w:rPr>
          <w:sz w:val="24"/>
          <w:szCs w:val="24"/>
        </w:rPr>
        <w:t>(A) DERIVATION CONTRACT PAYOFF IN THE MONEY CALL OPTI</w:t>
      </w:r>
      <w:r w:rsidR="00860CDB" w:rsidRPr="00B51AC9">
        <w:rPr>
          <w:sz w:val="24"/>
          <w:szCs w:val="24"/>
        </w:rPr>
        <w:t>0N</w:t>
      </w:r>
    </w:p>
    <w:p w14:paraId="27302DF6" w14:textId="1C8B0F5C" w:rsidR="00051252" w:rsidRPr="00B51AC9" w:rsidRDefault="00D668FF" w:rsidP="00E779CE">
      <w:pPr>
        <w:rPr>
          <w:sz w:val="24"/>
          <w:szCs w:val="24"/>
        </w:rPr>
      </w:pPr>
      <w:r w:rsidRPr="00B51AC9">
        <w:rPr>
          <w:sz w:val="24"/>
          <w:szCs w:val="24"/>
        </w:rPr>
        <w:t>(B)THE MONEY PUT OPTI</w:t>
      </w:r>
      <w:r w:rsidR="001A4C72" w:rsidRPr="00B51AC9">
        <w:rPr>
          <w:sz w:val="24"/>
          <w:szCs w:val="24"/>
        </w:rPr>
        <w:t>ON</w:t>
      </w:r>
      <w:r w:rsidRPr="00B51AC9">
        <w:rPr>
          <w:sz w:val="24"/>
          <w:szCs w:val="24"/>
        </w:rPr>
        <w:t xml:space="preserve"> WITH HILTON'S WORLD WIDE </w:t>
      </w:r>
      <w:r w:rsidR="00B17503" w:rsidRPr="00B51AC9">
        <w:rPr>
          <w:sz w:val="24"/>
          <w:szCs w:val="24"/>
        </w:rPr>
        <w:t>Derivation</w:t>
      </w:r>
      <w:r w:rsidRPr="00B51AC9">
        <w:rPr>
          <w:sz w:val="24"/>
          <w:szCs w:val="24"/>
        </w:rPr>
        <w:t xml:space="preserve"> Contract Payoff</w:t>
      </w:r>
    </w:p>
    <w:p w14:paraId="76FA1E2A" w14:textId="38C0C02E" w:rsidR="00B459A6" w:rsidRDefault="00234CCB" w:rsidP="006A11D8">
      <w:pPr>
        <w:rPr>
          <w:b/>
          <w:bCs/>
          <w:sz w:val="28"/>
          <w:szCs w:val="28"/>
        </w:rPr>
      </w:pPr>
      <w:r w:rsidRPr="00B51AC9">
        <w:rPr>
          <w:sz w:val="24"/>
          <w:szCs w:val="24"/>
        </w:rPr>
        <w:t>(C) Straddle</w:t>
      </w:r>
      <w:r w:rsidRPr="00234CCB">
        <w:rPr>
          <w:b/>
          <w:bCs/>
          <w:sz w:val="28"/>
          <w:szCs w:val="28"/>
        </w:rPr>
        <w:t xml:space="preserve"> </w:t>
      </w:r>
    </w:p>
    <w:p w14:paraId="18CBF674" w14:textId="12E4486F" w:rsidR="008166BF" w:rsidRPr="00B51AC9" w:rsidRDefault="008166BF" w:rsidP="008166BF">
      <w:pPr>
        <w:rPr>
          <w:b/>
          <w:bCs/>
          <w:sz w:val="32"/>
          <w:szCs w:val="32"/>
        </w:rPr>
      </w:pPr>
      <w:r w:rsidRPr="00B51AC9">
        <w:rPr>
          <w:b/>
          <w:bCs/>
          <w:sz w:val="32"/>
          <w:szCs w:val="32"/>
        </w:rPr>
        <w:t>4}</w:t>
      </w:r>
      <w:r w:rsidR="00C7000F" w:rsidRPr="00B51AC9">
        <w:rPr>
          <w:b/>
          <w:bCs/>
          <w:sz w:val="32"/>
          <w:szCs w:val="32"/>
        </w:rPr>
        <w:t xml:space="preserve"> </w:t>
      </w:r>
      <w:r w:rsidR="00123B6C" w:rsidRPr="00B51AC9">
        <w:rPr>
          <w:b/>
          <w:bCs/>
          <w:sz w:val="32"/>
          <w:szCs w:val="32"/>
        </w:rPr>
        <w:t>Talk about the decade's performance.</w:t>
      </w:r>
      <w:r w:rsidR="00123B6C" w:rsidRPr="00B51AC9">
        <w:rPr>
          <w:b/>
          <w:bCs/>
          <w:sz w:val="32"/>
          <w:szCs w:val="32"/>
        </w:rPr>
        <w:t xml:space="preserve"> AND </w:t>
      </w:r>
      <w:r w:rsidR="00B51AC9" w:rsidRPr="00B51AC9">
        <w:rPr>
          <w:b/>
          <w:bCs/>
          <w:sz w:val="32"/>
          <w:szCs w:val="32"/>
        </w:rPr>
        <w:t>Talk about how the note's yield changed and how that affected consumer debt.</w:t>
      </w:r>
      <w:r w:rsidR="003F17DE">
        <w:rPr>
          <w:b/>
          <w:bCs/>
          <w:sz w:val="32"/>
          <w:szCs w:val="32"/>
        </w:rPr>
        <w:t xml:space="preserve">   20</w:t>
      </w:r>
    </w:p>
    <w:p w14:paraId="6CCFA2DB" w14:textId="63BA76E9" w:rsidR="00B459A6" w:rsidRPr="00B51AC9" w:rsidRDefault="008166BF" w:rsidP="008166BF">
      <w:pPr>
        <w:rPr>
          <w:sz w:val="24"/>
          <w:szCs w:val="24"/>
        </w:rPr>
      </w:pPr>
      <w:r w:rsidRPr="00B51AC9">
        <w:rPr>
          <w:sz w:val="24"/>
          <w:szCs w:val="24"/>
        </w:rPr>
        <w:t>(A) Talk about how the 10-year note performed.</w:t>
      </w:r>
    </w:p>
    <w:p w14:paraId="5F2A6CF3" w14:textId="40CDFE65" w:rsidR="00B459A6" w:rsidRPr="00B51AC9" w:rsidRDefault="00AD59B9" w:rsidP="00B32DC3">
      <w:pPr>
        <w:rPr>
          <w:b/>
          <w:bCs/>
          <w:sz w:val="24"/>
          <w:szCs w:val="24"/>
        </w:rPr>
      </w:pPr>
      <w:r w:rsidRPr="00B51AC9">
        <w:rPr>
          <w:sz w:val="24"/>
          <w:szCs w:val="24"/>
        </w:rPr>
        <w:t>(B) YIELD IMPACT CHANGE OF HILTION WORLDWIDE</w:t>
      </w:r>
      <w:r w:rsidRPr="00B51AC9">
        <w:rPr>
          <w:b/>
          <w:bCs/>
          <w:sz w:val="24"/>
          <w:szCs w:val="24"/>
        </w:rPr>
        <w:t xml:space="preserve">  </w:t>
      </w:r>
    </w:p>
    <w:p w14:paraId="5E08023F" w14:textId="77777777" w:rsidR="00802E8B" w:rsidRPr="00B51AC9" w:rsidRDefault="00802E8B" w:rsidP="00802E8B">
      <w:pPr>
        <w:rPr>
          <w:b/>
          <w:bCs/>
          <w:sz w:val="44"/>
          <w:szCs w:val="44"/>
        </w:rPr>
      </w:pPr>
      <w:r w:rsidRPr="00B51AC9">
        <w:rPr>
          <w:b/>
          <w:bCs/>
          <w:sz w:val="44"/>
          <w:szCs w:val="44"/>
        </w:rPr>
        <w:t>Index of Figures</w:t>
      </w:r>
    </w:p>
    <w:p w14:paraId="744B07CC" w14:textId="77777777" w:rsidR="00802E8B" w:rsidRPr="00802E8B" w:rsidRDefault="00802E8B" w:rsidP="00802E8B">
      <w:pPr>
        <w:rPr>
          <w:b/>
          <w:bCs/>
          <w:sz w:val="28"/>
          <w:szCs w:val="28"/>
        </w:rPr>
      </w:pPr>
      <w:r w:rsidRPr="00802E8B">
        <w:rPr>
          <w:b/>
          <w:bCs/>
          <w:sz w:val="28"/>
          <w:szCs w:val="28"/>
        </w:rPr>
        <w:t>Figure 1</w:t>
      </w:r>
      <w:r w:rsidRPr="00802E8B">
        <w:rPr>
          <w:b/>
          <w:bCs/>
          <w:sz w:val="28"/>
          <w:szCs w:val="28"/>
        </w:rPr>
        <w:tab/>
      </w:r>
    </w:p>
    <w:p w14:paraId="7D76FFF0" w14:textId="77777777" w:rsidR="00802E8B" w:rsidRPr="00802E8B" w:rsidRDefault="00802E8B" w:rsidP="00802E8B">
      <w:pPr>
        <w:rPr>
          <w:b/>
          <w:bCs/>
          <w:sz w:val="28"/>
          <w:szCs w:val="28"/>
        </w:rPr>
      </w:pPr>
      <w:r w:rsidRPr="00802E8B">
        <w:rPr>
          <w:b/>
          <w:bCs/>
          <w:sz w:val="28"/>
          <w:szCs w:val="28"/>
        </w:rPr>
        <w:t>Figure 2</w:t>
      </w:r>
      <w:r w:rsidRPr="00802E8B">
        <w:rPr>
          <w:b/>
          <w:bCs/>
          <w:sz w:val="28"/>
          <w:szCs w:val="28"/>
        </w:rPr>
        <w:tab/>
      </w:r>
    </w:p>
    <w:p w14:paraId="59458A81" w14:textId="77777777" w:rsidR="00802E8B" w:rsidRPr="00802E8B" w:rsidRDefault="00802E8B" w:rsidP="00802E8B">
      <w:pPr>
        <w:rPr>
          <w:b/>
          <w:bCs/>
          <w:sz w:val="28"/>
          <w:szCs w:val="28"/>
        </w:rPr>
      </w:pPr>
      <w:r w:rsidRPr="00802E8B">
        <w:rPr>
          <w:b/>
          <w:bCs/>
          <w:sz w:val="28"/>
          <w:szCs w:val="28"/>
        </w:rPr>
        <w:t>Figure 3</w:t>
      </w:r>
      <w:r w:rsidRPr="00802E8B">
        <w:rPr>
          <w:b/>
          <w:bCs/>
          <w:sz w:val="28"/>
          <w:szCs w:val="28"/>
        </w:rPr>
        <w:tab/>
      </w:r>
    </w:p>
    <w:p w14:paraId="5BDF5B7E" w14:textId="77777777" w:rsidR="00802E8B" w:rsidRPr="00802E8B" w:rsidRDefault="00802E8B" w:rsidP="00802E8B">
      <w:pPr>
        <w:rPr>
          <w:b/>
          <w:bCs/>
          <w:sz w:val="28"/>
          <w:szCs w:val="28"/>
        </w:rPr>
      </w:pPr>
      <w:r w:rsidRPr="00802E8B">
        <w:rPr>
          <w:b/>
          <w:bCs/>
          <w:sz w:val="28"/>
          <w:szCs w:val="28"/>
        </w:rPr>
        <w:t>Figure 4</w:t>
      </w:r>
      <w:r w:rsidRPr="00802E8B">
        <w:rPr>
          <w:b/>
          <w:bCs/>
          <w:sz w:val="28"/>
          <w:szCs w:val="28"/>
        </w:rPr>
        <w:tab/>
      </w:r>
    </w:p>
    <w:p w14:paraId="22C5C871" w14:textId="77777777" w:rsidR="00802E8B" w:rsidRPr="00802E8B" w:rsidRDefault="00802E8B" w:rsidP="00802E8B">
      <w:pPr>
        <w:rPr>
          <w:b/>
          <w:bCs/>
          <w:sz w:val="28"/>
          <w:szCs w:val="28"/>
        </w:rPr>
      </w:pPr>
      <w:r w:rsidRPr="00802E8B">
        <w:rPr>
          <w:b/>
          <w:bCs/>
          <w:sz w:val="28"/>
          <w:szCs w:val="28"/>
        </w:rPr>
        <w:t>Figure 5</w:t>
      </w:r>
      <w:r w:rsidRPr="00802E8B">
        <w:rPr>
          <w:b/>
          <w:bCs/>
          <w:sz w:val="28"/>
          <w:szCs w:val="28"/>
        </w:rPr>
        <w:tab/>
      </w:r>
    </w:p>
    <w:p w14:paraId="18A75E76" w14:textId="77777777" w:rsidR="00802E8B" w:rsidRPr="00802E8B" w:rsidRDefault="00802E8B" w:rsidP="00802E8B">
      <w:pPr>
        <w:rPr>
          <w:b/>
          <w:bCs/>
          <w:sz w:val="28"/>
          <w:szCs w:val="28"/>
        </w:rPr>
      </w:pPr>
      <w:r w:rsidRPr="00802E8B">
        <w:rPr>
          <w:b/>
          <w:bCs/>
          <w:sz w:val="28"/>
          <w:szCs w:val="28"/>
        </w:rPr>
        <w:t>Figure 6</w:t>
      </w:r>
      <w:r w:rsidRPr="00802E8B">
        <w:rPr>
          <w:b/>
          <w:bCs/>
          <w:sz w:val="28"/>
          <w:szCs w:val="28"/>
        </w:rPr>
        <w:tab/>
      </w:r>
    </w:p>
    <w:p w14:paraId="67DF8C50" w14:textId="77777777" w:rsidR="00802E8B" w:rsidRPr="00802E8B" w:rsidRDefault="00802E8B" w:rsidP="00802E8B">
      <w:pPr>
        <w:rPr>
          <w:b/>
          <w:bCs/>
          <w:sz w:val="28"/>
          <w:szCs w:val="28"/>
        </w:rPr>
      </w:pPr>
      <w:r w:rsidRPr="00802E8B">
        <w:rPr>
          <w:b/>
          <w:bCs/>
          <w:sz w:val="28"/>
          <w:szCs w:val="28"/>
        </w:rPr>
        <w:t>Figure 7</w:t>
      </w:r>
      <w:r w:rsidRPr="00802E8B">
        <w:rPr>
          <w:b/>
          <w:bCs/>
          <w:sz w:val="28"/>
          <w:szCs w:val="28"/>
        </w:rPr>
        <w:tab/>
      </w:r>
    </w:p>
    <w:p w14:paraId="1059C999" w14:textId="77777777" w:rsidR="000A48D3" w:rsidRDefault="004A47FA" w:rsidP="006A11D8">
      <w:pPr>
        <w:rPr>
          <w:b/>
          <w:bCs/>
          <w:sz w:val="28"/>
          <w:szCs w:val="28"/>
        </w:rPr>
      </w:pPr>
      <w:r>
        <w:rPr>
          <w:b/>
          <w:bCs/>
          <w:sz w:val="28"/>
          <w:szCs w:val="28"/>
        </w:rPr>
        <w:t xml:space="preserve">(5) </w:t>
      </w:r>
      <w:r w:rsidRPr="004A47FA">
        <w:rPr>
          <w:b/>
          <w:bCs/>
          <w:sz w:val="28"/>
          <w:szCs w:val="28"/>
        </w:rPr>
        <w:t>REFERENCES</w:t>
      </w:r>
      <w:bookmarkStart w:id="0" w:name="_Hlk165370577"/>
    </w:p>
    <w:p w14:paraId="0F466CC5" w14:textId="7AAE6B5D" w:rsidR="00DA73F8" w:rsidRPr="000A48D3" w:rsidRDefault="006A11D8" w:rsidP="006A11D8">
      <w:pPr>
        <w:rPr>
          <w:b/>
          <w:bCs/>
          <w:sz w:val="28"/>
          <w:szCs w:val="28"/>
        </w:rPr>
      </w:pPr>
      <w:r w:rsidRPr="006A11D8">
        <w:rPr>
          <w:b/>
          <w:bCs/>
          <w:sz w:val="40"/>
          <w:szCs w:val="40"/>
        </w:rPr>
        <w:lastRenderedPageBreak/>
        <w:t>1</w:t>
      </w:r>
      <w:r w:rsidR="00756857">
        <w:rPr>
          <w:b/>
          <w:bCs/>
          <w:sz w:val="40"/>
          <w:szCs w:val="40"/>
        </w:rPr>
        <w:t>}</w:t>
      </w:r>
      <w:r w:rsidR="000A04FA">
        <w:rPr>
          <w:b/>
          <w:bCs/>
          <w:sz w:val="40"/>
          <w:szCs w:val="40"/>
        </w:rPr>
        <w:t xml:space="preserve"> COMPANY OVERVIEW </w:t>
      </w:r>
    </w:p>
    <w:p w14:paraId="189067C8" w14:textId="48F16082" w:rsidR="006A11D8" w:rsidRDefault="000634D3" w:rsidP="006A11D8">
      <w:pPr>
        <w:rPr>
          <w:b/>
          <w:bCs/>
          <w:sz w:val="40"/>
          <w:szCs w:val="40"/>
        </w:rPr>
      </w:pPr>
      <w:r>
        <w:rPr>
          <w:b/>
          <w:bCs/>
          <w:sz w:val="40"/>
          <w:szCs w:val="40"/>
        </w:rPr>
        <w:t>(A</w:t>
      </w:r>
      <w:r w:rsidR="006A11D8" w:rsidRPr="006A11D8">
        <w:rPr>
          <w:b/>
          <w:bCs/>
          <w:sz w:val="40"/>
          <w:szCs w:val="40"/>
        </w:rPr>
        <w:t>)</w:t>
      </w:r>
      <w:r w:rsidR="00E55991" w:rsidRPr="00E55991">
        <w:rPr>
          <w:b/>
          <w:bCs/>
          <w:sz w:val="40"/>
          <w:szCs w:val="40"/>
        </w:rPr>
        <w:t xml:space="preserve"> </w:t>
      </w:r>
      <w:r w:rsidR="00E55991">
        <w:rPr>
          <w:b/>
          <w:bCs/>
          <w:sz w:val="40"/>
          <w:szCs w:val="40"/>
        </w:rPr>
        <w:t xml:space="preserve">PROVIDE A COMPREHENSIVE SUMMARY OF THE ORGANIZATION, ITS BUSINESS OPERATIONS, AND THE SPECIFIC MARKETS IT AIMS TO REACH </w:t>
      </w:r>
    </w:p>
    <w:bookmarkEnd w:id="0"/>
    <w:p w14:paraId="22B178D2" w14:textId="532FC7D1" w:rsidR="00744B5C" w:rsidRPr="00543F74" w:rsidRDefault="001320A0" w:rsidP="00744B5C">
      <w:pPr>
        <w:rPr>
          <w:b/>
          <w:bCs/>
          <w:sz w:val="28"/>
          <w:szCs w:val="28"/>
        </w:rPr>
      </w:pPr>
      <w:r>
        <w:rPr>
          <w:sz w:val="28"/>
          <w:szCs w:val="28"/>
        </w:rPr>
        <w:t>-</w:t>
      </w:r>
      <w:r w:rsidRPr="001320A0">
        <w:rPr>
          <w:sz w:val="28"/>
          <w:szCs w:val="28"/>
        </w:rPr>
        <w:t>Hilton Worldwide Holdings, Inc. operates companies in the hospitality industry. The ownership and management and franchise segments are how it runs. Hotel ownership comprises hotels that are owned, leased, and joint ventures. In addition to managing hotels and timeshare properties, the Management &amp; Franchise segment grants franchisees licenses to use its brands. Located in McLean, Virginia, the company was founded on March 18, 2010, by Conrad Hilton.</w:t>
      </w:r>
      <w:r w:rsidRPr="001320A0">
        <w:t xml:space="preserve"> </w:t>
      </w:r>
      <w:r w:rsidRPr="00543F74">
        <w:rPr>
          <w:b/>
          <w:bCs/>
          <w:sz w:val="28"/>
          <w:szCs w:val="28"/>
        </w:rPr>
        <w:t>(Forbes, n.d.)</w:t>
      </w:r>
    </w:p>
    <w:p w14:paraId="61D7E68C" w14:textId="77777777" w:rsidR="007974B6" w:rsidRPr="00543F74" w:rsidRDefault="007974B6" w:rsidP="00744B5C">
      <w:pPr>
        <w:rPr>
          <w:b/>
          <w:bCs/>
          <w:sz w:val="32"/>
          <w:szCs w:val="32"/>
        </w:rPr>
      </w:pPr>
    </w:p>
    <w:p w14:paraId="20DB55F5" w14:textId="738F7712" w:rsidR="001320A0" w:rsidRPr="00543F74" w:rsidRDefault="007974B6" w:rsidP="00744B5C">
      <w:pPr>
        <w:rPr>
          <w:b/>
          <w:bCs/>
          <w:sz w:val="32"/>
          <w:szCs w:val="32"/>
        </w:rPr>
      </w:pPr>
      <w:r w:rsidRPr="00543F74">
        <w:rPr>
          <w:b/>
          <w:bCs/>
          <w:sz w:val="32"/>
          <w:szCs w:val="32"/>
        </w:rPr>
        <w:t xml:space="preserve">"HILTON WORLDWIDE COMPANY EXPANDS ITS BUSINESS </w:t>
      </w:r>
      <w:r w:rsidRPr="00885A0C">
        <w:rPr>
          <w:sz w:val="28"/>
          <w:szCs w:val="28"/>
        </w:rPr>
        <w:t>GLOBALLY</w:t>
      </w:r>
      <w:r w:rsidRPr="00543F74">
        <w:rPr>
          <w:b/>
          <w:bCs/>
          <w:sz w:val="32"/>
          <w:szCs w:val="32"/>
        </w:rPr>
        <w:t>"</w:t>
      </w:r>
    </w:p>
    <w:p w14:paraId="3C5B9CFB" w14:textId="4C4EC353" w:rsidR="008E2F8E" w:rsidRDefault="001320A0" w:rsidP="00744B5C">
      <w:pPr>
        <w:rPr>
          <w:sz w:val="28"/>
          <w:szCs w:val="28"/>
        </w:rPr>
      </w:pPr>
      <w:r>
        <w:rPr>
          <w:sz w:val="28"/>
          <w:szCs w:val="28"/>
        </w:rPr>
        <w:t>-</w:t>
      </w:r>
      <w:r w:rsidRPr="001320A0">
        <w:rPr>
          <w:sz w:val="28"/>
          <w:szCs w:val="28"/>
        </w:rPr>
        <w:t xml:space="preserve"> </w:t>
      </w:r>
      <w:r w:rsidR="00885A0C" w:rsidRPr="00885A0C">
        <w:rPr>
          <w:sz w:val="28"/>
          <w:szCs w:val="28"/>
        </w:rPr>
        <w:t>Hilton, one of the most well-known names in the hospitality industry, will have 1,127,430 rooms spread across 7,165 locations across 123 countries and territories by December 31, 2022. Inspired by its founder, Conrad Hilton, the company has continuously led the way in innovation for over a century, with the goal of spreading hospitality and warmth throughout the world.</w:t>
      </w:r>
    </w:p>
    <w:p w14:paraId="33202470" w14:textId="2EA0FA61" w:rsidR="008E2F8E" w:rsidRDefault="008E2F8E" w:rsidP="00744B5C">
      <w:pPr>
        <w:rPr>
          <w:sz w:val="28"/>
          <w:szCs w:val="28"/>
        </w:rPr>
      </w:pPr>
      <w:r>
        <w:rPr>
          <w:sz w:val="28"/>
          <w:szCs w:val="28"/>
        </w:rPr>
        <w:t>-</w:t>
      </w:r>
      <w:r w:rsidR="00885A0C" w:rsidRPr="00885A0C">
        <w:t xml:space="preserve"> </w:t>
      </w:r>
      <w:r w:rsidR="00885A0C" w:rsidRPr="00885A0C">
        <w:rPr>
          <w:sz w:val="28"/>
          <w:szCs w:val="28"/>
        </w:rPr>
        <w:t>The Hilton brand portfolio includes a range of premium goods and services: lifestyle brands like Canopy by Hilton, Curio Collection by Hilton, Tapestry Collection by Hilton, Tempo by Hilton, and Motto by Hilton; full-service brands like Hilton Hotels &amp; Resorts, Hilton Garden Inn, Hampton by Hilton, and Tru by Hilton; and the recently launched premium economy brand Spark by Hilton, which made its debut in January 2023.</w:t>
      </w:r>
    </w:p>
    <w:p w14:paraId="61702719" w14:textId="55732226" w:rsidR="001320A0" w:rsidRPr="006312D7" w:rsidRDefault="008E2F8E" w:rsidP="00744B5C">
      <w:pPr>
        <w:rPr>
          <w:b/>
          <w:bCs/>
          <w:sz w:val="28"/>
          <w:szCs w:val="28"/>
        </w:rPr>
      </w:pPr>
      <w:r>
        <w:rPr>
          <w:sz w:val="28"/>
          <w:szCs w:val="28"/>
        </w:rPr>
        <w:t>-</w:t>
      </w:r>
      <w:r w:rsidR="003447CD" w:rsidRPr="003447CD">
        <w:t xml:space="preserve"> </w:t>
      </w:r>
      <w:r w:rsidR="00885A0C" w:rsidRPr="00885A0C">
        <w:rPr>
          <w:sz w:val="28"/>
          <w:szCs w:val="28"/>
        </w:rPr>
        <w:t>The number of members in the Hilton Honors guest loyalty program as of December 31, 2022, is 152 million, a 19% increase from the previous year. Please see "—Our Brand Portfolio" and "—Our Guest Loyalty Program" below for additional details about our brands and Hilton Honors.</w:t>
      </w:r>
      <w:r w:rsidR="00885A0C" w:rsidRPr="00885A0C">
        <w:t xml:space="preserve"> </w:t>
      </w:r>
      <w:r w:rsidR="003447CD" w:rsidRPr="006312D7">
        <w:rPr>
          <w:b/>
          <w:bCs/>
          <w:sz w:val="28"/>
          <w:szCs w:val="28"/>
        </w:rPr>
        <w:t>(Washington, 2023)</w:t>
      </w:r>
    </w:p>
    <w:p w14:paraId="79DB47CC" w14:textId="77777777" w:rsidR="003447CD" w:rsidRDefault="003447CD" w:rsidP="00744B5C">
      <w:pPr>
        <w:rPr>
          <w:sz w:val="28"/>
          <w:szCs w:val="28"/>
        </w:rPr>
      </w:pPr>
    </w:p>
    <w:p w14:paraId="77BEFF61" w14:textId="77777777" w:rsidR="003447CD" w:rsidRDefault="003447CD" w:rsidP="00744B5C">
      <w:pPr>
        <w:rPr>
          <w:sz w:val="28"/>
          <w:szCs w:val="28"/>
        </w:rPr>
      </w:pPr>
    </w:p>
    <w:p w14:paraId="0B17C760" w14:textId="77777777" w:rsidR="000A04FA" w:rsidRDefault="000A04FA" w:rsidP="007974B6">
      <w:pPr>
        <w:rPr>
          <w:b/>
          <w:bCs/>
          <w:sz w:val="32"/>
          <w:szCs w:val="32"/>
        </w:rPr>
      </w:pPr>
    </w:p>
    <w:p w14:paraId="4C9158C3" w14:textId="2EB90594" w:rsidR="00543F74" w:rsidRPr="00543F74" w:rsidRDefault="00543F74" w:rsidP="007974B6">
      <w:pPr>
        <w:rPr>
          <w:b/>
          <w:bCs/>
          <w:sz w:val="32"/>
          <w:szCs w:val="32"/>
        </w:rPr>
      </w:pPr>
      <w:r w:rsidRPr="00543F74">
        <w:rPr>
          <w:b/>
          <w:bCs/>
          <w:sz w:val="32"/>
          <w:szCs w:val="32"/>
        </w:rPr>
        <w:lastRenderedPageBreak/>
        <w:t>HILTON Global Business Market Objectives</w:t>
      </w:r>
    </w:p>
    <w:p w14:paraId="17315873" w14:textId="16120688" w:rsidR="001320A0" w:rsidRPr="004A3D39" w:rsidRDefault="007974B6" w:rsidP="007974B6">
      <w:pPr>
        <w:rPr>
          <w:b/>
          <w:bCs/>
          <w:sz w:val="28"/>
          <w:szCs w:val="28"/>
        </w:rPr>
      </w:pPr>
      <w:r>
        <w:rPr>
          <w:sz w:val="28"/>
          <w:szCs w:val="28"/>
        </w:rPr>
        <w:t>-</w:t>
      </w:r>
      <w:r w:rsidRPr="007974B6">
        <w:rPr>
          <w:sz w:val="28"/>
          <w:szCs w:val="28"/>
        </w:rPr>
        <w:t>Hilton Hotels utilizes segmentation, targeting, and positioning strategies to select its customer base and tailor its services to meet their needs and desires effectively. Market segmentation involves dividing the market into distinct groups based on specific characteristics. These groups can be categorized into geographic, demographic, psychographic, and benefit-oriented segments.</w:t>
      </w:r>
      <w:r>
        <w:rPr>
          <w:sz w:val="28"/>
          <w:szCs w:val="28"/>
        </w:rPr>
        <w:t xml:space="preserve"> </w:t>
      </w:r>
      <w:r w:rsidRPr="007974B6">
        <w:rPr>
          <w:sz w:val="28"/>
          <w:szCs w:val="28"/>
        </w:rPr>
        <w:t>Demographic segmentation considers variables like gender, age, income, social class, and lifestyle. Hilton typically caters to middle and senior-aged professionals with high incomes who belong to the upper social class. The company primarily attracts individuals seeking a luxurious lifestyle, offering products and services at premium prices to reflect their perceived quality.</w:t>
      </w:r>
      <w:r w:rsidR="004A3D39" w:rsidRPr="004A3D39">
        <w:t xml:space="preserve"> </w:t>
      </w:r>
      <w:r w:rsidR="004A3D39" w:rsidRPr="004A3D39">
        <w:rPr>
          <w:b/>
          <w:bCs/>
          <w:sz w:val="28"/>
          <w:szCs w:val="28"/>
        </w:rPr>
        <w:t>(Dudovskiy, 2016)</w:t>
      </w:r>
    </w:p>
    <w:p w14:paraId="3856013B" w14:textId="77777777" w:rsidR="00543F74" w:rsidRDefault="00543F74" w:rsidP="006A11D8">
      <w:pPr>
        <w:rPr>
          <w:sz w:val="28"/>
          <w:szCs w:val="28"/>
        </w:rPr>
      </w:pPr>
    </w:p>
    <w:p w14:paraId="7B47E50E" w14:textId="27017077" w:rsidR="001224DC" w:rsidRPr="000634D3" w:rsidRDefault="001224DC" w:rsidP="006A11D8">
      <w:pPr>
        <w:rPr>
          <w:b/>
          <w:bCs/>
          <w:sz w:val="36"/>
          <w:szCs w:val="36"/>
        </w:rPr>
      </w:pPr>
      <w:r w:rsidRPr="000634D3">
        <w:rPr>
          <w:b/>
          <w:bCs/>
          <w:sz w:val="36"/>
          <w:szCs w:val="36"/>
        </w:rPr>
        <w:t>USP OF HILTON WORL</w:t>
      </w:r>
      <w:r w:rsidR="002B1616">
        <w:rPr>
          <w:b/>
          <w:bCs/>
          <w:sz w:val="36"/>
          <w:szCs w:val="36"/>
        </w:rPr>
        <w:t>D</w:t>
      </w:r>
      <w:r w:rsidRPr="000634D3">
        <w:rPr>
          <w:b/>
          <w:bCs/>
          <w:sz w:val="36"/>
          <w:szCs w:val="36"/>
        </w:rPr>
        <w:t>WIDE</w:t>
      </w:r>
      <w:r w:rsidR="002B1616">
        <w:rPr>
          <w:b/>
          <w:bCs/>
          <w:sz w:val="36"/>
          <w:szCs w:val="36"/>
        </w:rPr>
        <w:t xml:space="preserve"> HOLDINGS </w:t>
      </w:r>
    </w:p>
    <w:p w14:paraId="34ABC8AC" w14:textId="6BA832FD" w:rsidR="00AA166E" w:rsidRPr="000A04FA" w:rsidRDefault="001224DC" w:rsidP="000634D3">
      <w:pPr>
        <w:rPr>
          <w:b/>
          <w:bCs/>
          <w:sz w:val="32"/>
          <w:szCs w:val="32"/>
        </w:rPr>
      </w:pPr>
      <w:r w:rsidRPr="001224DC">
        <w:rPr>
          <w:sz w:val="28"/>
          <w:szCs w:val="28"/>
        </w:rPr>
        <w:t>All upscale hotel chains strive to provide services that are comparable to those of their rivals, but only Hilton succeeds in providing standardized services, integrated IT systems, and a strong emphasis on client satisfaction. Aside from this, the business doesn't hesitate to challenge itself. The company started a global research program a few years ago to help with a rebranding initiative. This keeps the business current.</w:t>
      </w:r>
      <w:r w:rsidR="00CC5F53" w:rsidRPr="00CC5F53">
        <w:t xml:space="preserve"> </w:t>
      </w:r>
      <w:r w:rsidR="00CC5F53" w:rsidRPr="000634D3">
        <w:rPr>
          <w:b/>
          <w:bCs/>
          <w:sz w:val="32"/>
          <w:szCs w:val="32"/>
        </w:rPr>
        <w:t>(Luenendonk, 2015)</w:t>
      </w:r>
      <w:bookmarkStart w:id="1" w:name="_Hlk165369691"/>
    </w:p>
    <w:p w14:paraId="16500D85" w14:textId="77777777" w:rsidR="00AA166E" w:rsidRDefault="00AA166E" w:rsidP="000634D3">
      <w:pPr>
        <w:rPr>
          <w:b/>
          <w:bCs/>
          <w:sz w:val="40"/>
          <w:szCs w:val="40"/>
        </w:rPr>
      </w:pPr>
    </w:p>
    <w:p w14:paraId="2D1C29C5" w14:textId="3D3E33A5" w:rsidR="000634D3" w:rsidRDefault="000634D3" w:rsidP="000634D3">
      <w:pPr>
        <w:rPr>
          <w:b/>
          <w:bCs/>
          <w:sz w:val="40"/>
          <w:szCs w:val="40"/>
        </w:rPr>
      </w:pPr>
      <w:r w:rsidRPr="0012002B">
        <w:rPr>
          <w:b/>
          <w:bCs/>
          <w:sz w:val="40"/>
          <w:szCs w:val="40"/>
        </w:rPr>
        <w:t xml:space="preserve">(B) DESCRIBE THE MAIN FACTORS THAT LED TO HILTON WORLD WIDE COMPANY GOING PUBLIC </w:t>
      </w:r>
    </w:p>
    <w:bookmarkEnd w:id="1"/>
    <w:p w14:paraId="36C0EE8C" w14:textId="77777777" w:rsidR="00C351F4" w:rsidRPr="00C351F4" w:rsidRDefault="00C351F4" w:rsidP="00C351F4">
      <w:pPr>
        <w:rPr>
          <w:sz w:val="28"/>
          <w:szCs w:val="28"/>
        </w:rPr>
      </w:pPr>
      <w:r w:rsidRPr="00C351F4">
        <w:rPr>
          <w:sz w:val="28"/>
          <w:szCs w:val="28"/>
        </w:rPr>
        <w:t>A number of significant factors are driving Hilton Worldwide Holdings Inc.'s public offering:</w:t>
      </w:r>
    </w:p>
    <w:p w14:paraId="64981CDD" w14:textId="70D30D0A" w:rsidR="00DF7159" w:rsidRPr="00DF7159" w:rsidRDefault="00C351F4" w:rsidP="00DF7159">
      <w:pPr>
        <w:rPr>
          <w:sz w:val="28"/>
          <w:szCs w:val="28"/>
        </w:rPr>
      </w:pPr>
      <w:r w:rsidRPr="00C351F4">
        <w:rPr>
          <w:sz w:val="28"/>
          <w:szCs w:val="28"/>
        </w:rPr>
        <w:t>Leveraging Growth Prospects: To take advantage of growth opportunities, boost its competitiveness in the hotel and motel industry, and create internal efficiencies that would allow its core segments to act on opportunities more quickly than before, Hilton announced in February 2016 that it planned to split into three separate entities.</w:t>
      </w:r>
      <w:r w:rsidR="000A04FA">
        <w:rPr>
          <w:sz w:val="28"/>
          <w:szCs w:val="28"/>
        </w:rPr>
        <w:t xml:space="preserve"> </w:t>
      </w:r>
      <w:r w:rsidRPr="00C351F4">
        <w:rPr>
          <w:sz w:val="28"/>
          <w:szCs w:val="28"/>
        </w:rPr>
        <w:t>To enhance competitiveness, the company's prior timeshare rentals and different resort segments were divided into two new segments after the spin-offs were finished in early 2017.</w:t>
      </w:r>
      <w:r w:rsidR="000A04FA">
        <w:rPr>
          <w:sz w:val="28"/>
          <w:szCs w:val="28"/>
        </w:rPr>
        <w:t xml:space="preserve"> </w:t>
      </w:r>
      <w:r w:rsidR="007E7DF4" w:rsidRPr="007E7DF4">
        <w:rPr>
          <w:sz w:val="28"/>
          <w:szCs w:val="28"/>
        </w:rPr>
        <w:t xml:space="preserve">Access to Public </w:t>
      </w:r>
      <w:r w:rsidR="007E7DF4" w:rsidRPr="007E7DF4">
        <w:rPr>
          <w:sz w:val="28"/>
          <w:szCs w:val="28"/>
        </w:rPr>
        <w:lastRenderedPageBreak/>
        <w:t>Markets: Hilton Worldwide Holdings Inc.'s move to the public market will provide it access to a larger pool of capital providers and investors, which could result in more financial flexibility and expansion prospects.</w:t>
      </w:r>
      <w:r w:rsidR="000A04FA">
        <w:rPr>
          <w:sz w:val="28"/>
          <w:szCs w:val="28"/>
        </w:rPr>
        <w:t xml:space="preserve"> </w:t>
      </w:r>
      <w:r w:rsidR="007E7DF4" w:rsidRPr="007E7DF4">
        <w:rPr>
          <w:sz w:val="28"/>
          <w:szCs w:val="28"/>
        </w:rPr>
        <w:t>Shareholder Value: By offering shares to the general public, Hilton's going public allows investors to own a portion of the business and possibly profit from its expansion and success.</w:t>
      </w:r>
      <w:r w:rsidR="000A04FA">
        <w:rPr>
          <w:sz w:val="28"/>
          <w:szCs w:val="28"/>
        </w:rPr>
        <w:t xml:space="preserve"> </w:t>
      </w:r>
      <w:r w:rsidR="00DF7159" w:rsidRPr="00DF7159">
        <w:rPr>
          <w:sz w:val="28"/>
          <w:szCs w:val="28"/>
        </w:rPr>
        <w:t>Strategic Choice: The decision to go public with Hilton coincides with a robust IPO market driven by low interest rates and a surge in the stock market. Selling or listing their assets has allowed private equity firms, like Blackstone, to profit from this trend.</w:t>
      </w:r>
    </w:p>
    <w:p w14:paraId="4D72AE2F" w14:textId="77777777" w:rsidR="00DF7159" w:rsidRDefault="00DF7159" w:rsidP="00DF7159">
      <w:pPr>
        <w:rPr>
          <w:sz w:val="28"/>
          <w:szCs w:val="28"/>
        </w:rPr>
      </w:pPr>
      <w:r w:rsidRPr="00DF7159">
        <w:rPr>
          <w:sz w:val="28"/>
          <w:szCs w:val="28"/>
        </w:rPr>
        <w:t>Diversification: The hotel chain's IPO, which focuses on luxury and lifestyle hotel brands and diversifies its business model, is another important turning point.</w:t>
      </w:r>
    </w:p>
    <w:p w14:paraId="19BFF00C" w14:textId="0E6CE2A9" w:rsidR="00DF7159" w:rsidRPr="00FB7995" w:rsidRDefault="00DF7159" w:rsidP="00DF7159">
      <w:pPr>
        <w:rPr>
          <w:b/>
          <w:bCs/>
          <w:sz w:val="28"/>
          <w:szCs w:val="28"/>
        </w:rPr>
      </w:pPr>
      <w:r w:rsidRPr="00DF7159">
        <w:rPr>
          <w:sz w:val="28"/>
          <w:szCs w:val="28"/>
        </w:rPr>
        <w:t>To summarize, the purpose of Hilton Worldwide Holdings Inc.'s IPO is to generate shareholder value, boost competitiveness, access public markets, seize growth opportunities, and make strategic decisions in response to market dynamics.</w:t>
      </w:r>
      <w:r w:rsidR="00FB7995" w:rsidRPr="00FB7995">
        <w:t xml:space="preserve"> </w:t>
      </w:r>
      <w:r w:rsidR="00FB7995" w:rsidRPr="00FB7995">
        <w:rPr>
          <w:b/>
          <w:bCs/>
          <w:sz w:val="28"/>
          <w:szCs w:val="28"/>
        </w:rPr>
        <w:t>(YAHOO FINANCE , 2023)</w:t>
      </w:r>
    </w:p>
    <w:p w14:paraId="0348A165" w14:textId="77777777" w:rsidR="00C351F4" w:rsidRPr="00C351F4" w:rsidRDefault="00C351F4" w:rsidP="00C351F4">
      <w:pPr>
        <w:rPr>
          <w:sz w:val="28"/>
          <w:szCs w:val="28"/>
        </w:rPr>
      </w:pPr>
    </w:p>
    <w:p w14:paraId="62F6E213" w14:textId="135C8C5C" w:rsidR="00C351F4" w:rsidRDefault="00756857" w:rsidP="00C351F4">
      <w:pPr>
        <w:rPr>
          <w:b/>
          <w:bCs/>
          <w:sz w:val="36"/>
          <w:szCs w:val="36"/>
        </w:rPr>
      </w:pPr>
      <w:r>
        <w:rPr>
          <w:b/>
          <w:bCs/>
          <w:sz w:val="36"/>
          <w:szCs w:val="36"/>
        </w:rPr>
        <w:t>(C)</w:t>
      </w:r>
      <w:r w:rsidR="00B91208" w:rsidRPr="00B91208">
        <w:rPr>
          <w:b/>
          <w:bCs/>
          <w:sz w:val="36"/>
          <w:szCs w:val="36"/>
        </w:rPr>
        <w:t>Examine Hilton Worldwide Corporation S1</w:t>
      </w:r>
    </w:p>
    <w:p w14:paraId="3CCDCB09" w14:textId="1D318280" w:rsidR="002D70FE" w:rsidRDefault="002D70FE" w:rsidP="00C351F4">
      <w:pPr>
        <w:rPr>
          <w:sz w:val="28"/>
          <w:szCs w:val="28"/>
        </w:rPr>
      </w:pPr>
      <w:r w:rsidRPr="002D70FE">
        <w:rPr>
          <w:sz w:val="28"/>
          <w:szCs w:val="28"/>
        </w:rPr>
        <w:t>The Hilton Worldwide S1 Show Financial Precise form gives details on the company's earnings, holdings, and debts for the previous</w:t>
      </w:r>
      <w:r w:rsidR="003C5726">
        <w:rPr>
          <w:sz w:val="28"/>
          <w:szCs w:val="28"/>
        </w:rPr>
        <w:t xml:space="preserve"> year.</w:t>
      </w:r>
    </w:p>
    <w:p w14:paraId="3C9CE342" w14:textId="75B04855" w:rsidR="00FB7270" w:rsidRDefault="00EB0F82" w:rsidP="00C351F4">
      <w:pPr>
        <w:rPr>
          <w:sz w:val="28"/>
          <w:szCs w:val="28"/>
        </w:rPr>
      </w:pPr>
      <w:r>
        <w:rPr>
          <w:b/>
          <w:bCs/>
          <w:sz w:val="28"/>
          <w:szCs w:val="28"/>
        </w:rPr>
        <w:t>-</w:t>
      </w:r>
      <w:r w:rsidRPr="00EB0F82">
        <w:rPr>
          <w:b/>
          <w:bCs/>
          <w:sz w:val="28"/>
          <w:szCs w:val="28"/>
        </w:rPr>
        <w:t>These are the three main risks facing Hilton Worldwide</w:t>
      </w:r>
      <w:r w:rsidRPr="00EB0F82">
        <w:rPr>
          <w:sz w:val="28"/>
          <w:szCs w:val="28"/>
        </w:rPr>
        <w:t>.</w:t>
      </w:r>
    </w:p>
    <w:p w14:paraId="0BC3600D" w14:textId="0B15AB06" w:rsidR="003D2C4A" w:rsidRDefault="00BE2F72" w:rsidP="00C351F4">
      <w:pPr>
        <w:rPr>
          <w:sz w:val="28"/>
          <w:szCs w:val="28"/>
        </w:rPr>
      </w:pPr>
      <w:r>
        <w:rPr>
          <w:sz w:val="28"/>
          <w:szCs w:val="28"/>
        </w:rPr>
        <w:t>-</w:t>
      </w:r>
      <w:r w:rsidR="006E1DFB" w:rsidRPr="006E1DFB">
        <w:rPr>
          <w:sz w:val="28"/>
          <w:szCs w:val="28"/>
        </w:rPr>
        <w:t>connections with outside developers, property owners, and joint venture partners, including the possibility that these parties will sever our management, franchise, or joint venture agreements;</w:t>
      </w:r>
    </w:p>
    <w:p w14:paraId="5616A224" w14:textId="594EA925" w:rsidR="00BE2F72" w:rsidRDefault="00BE2F72" w:rsidP="00C351F4">
      <w:pPr>
        <w:rPr>
          <w:sz w:val="28"/>
          <w:szCs w:val="28"/>
        </w:rPr>
      </w:pPr>
      <w:r>
        <w:rPr>
          <w:sz w:val="28"/>
          <w:szCs w:val="28"/>
        </w:rPr>
        <w:t>-</w:t>
      </w:r>
      <w:r w:rsidRPr="00BE2F72">
        <w:rPr>
          <w:sz w:val="28"/>
          <w:szCs w:val="28"/>
        </w:rPr>
        <w:t>reductions in the cost of capital that we and other hotel owners must pay for in order to finance investments, capital expenses, and debt repayment;</w:t>
      </w:r>
    </w:p>
    <w:p w14:paraId="32DD7A7A" w14:textId="77777777" w:rsidR="001F60F7" w:rsidRDefault="00BE2F72" w:rsidP="00C351F4">
      <w:pPr>
        <w:rPr>
          <w:b/>
          <w:bCs/>
          <w:sz w:val="28"/>
          <w:szCs w:val="28"/>
        </w:rPr>
      </w:pPr>
      <w:r>
        <w:rPr>
          <w:sz w:val="28"/>
          <w:szCs w:val="28"/>
        </w:rPr>
        <w:t>-</w:t>
      </w:r>
      <w:r w:rsidR="003E34DF" w:rsidRPr="003E34DF">
        <w:t xml:space="preserve"> </w:t>
      </w:r>
      <w:r w:rsidR="003E34DF" w:rsidRPr="003E34DF">
        <w:rPr>
          <w:sz w:val="28"/>
          <w:szCs w:val="28"/>
        </w:rPr>
        <w:t>price increases for our products and services as a result of inflation, as well as other factors that may not be entirely offset by increases in business revenue; these factors could negatively impact our revenues by decreasing consumer demand for travel and other products we offer.</w:t>
      </w:r>
      <w:r w:rsidR="00086AFC" w:rsidRPr="00086AFC">
        <w:rPr>
          <w:sz w:val="28"/>
          <w:szCs w:val="28"/>
        </w:rPr>
        <w:t xml:space="preserve"> </w:t>
      </w:r>
      <w:r w:rsidR="00086AFC" w:rsidRPr="00086AFC">
        <w:rPr>
          <w:b/>
          <w:bCs/>
          <w:sz w:val="28"/>
          <w:szCs w:val="28"/>
        </w:rPr>
        <w:t>(s-1 form of Hilton worldwide holding)</w:t>
      </w:r>
    </w:p>
    <w:p w14:paraId="0AA08173" w14:textId="4A5ED77E" w:rsidR="00EB0F82" w:rsidRDefault="008636D8" w:rsidP="00C351F4">
      <w:pPr>
        <w:rPr>
          <w:b/>
          <w:bCs/>
          <w:sz w:val="28"/>
          <w:szCs w:val="28"/>
        </w:rPr>
      </w:pPr>
      <w:r>
        <w:rPr>
          <w:b/>
          <w:bCs/>
          <w:sz w:val="28"/>
          <w:szCs w:val="28"/>
        </w:rPr>
        <w:t xml:space="preserve"> </w:t>
      </w:r>
      <w:r w:rsidR="009D077E">
        <w:rPr>
          <w:b/>
          <w:bCs/>
          <w:sz w:val="28"/>
          <w:szCs w:val="28"/>
        </w:rPr>
        <w:t xml:space="preserve">Comment on risks </w:t>
      </w:r>
    </w:p>
    <w:p w14:paraId="7741EFCE" w14:textId="5B73FEA0" w:rsidR="001547D8" w:rsidRDefault="002E5137" w:rsidP="00C351F4">
      <w:pPr>
        <w:rPr>
          <w:b/>
          <w:bCs/>
          <w:sz w:val="28"/>
          <w:szCs w:val="28"/>
        </w:rPr>
      </w:pPr>
      <w:r>
        <w:rPr>
          <w:sz w:val="28"/>
          <w:szCs w:val="28"/>
        </w:rPr>
        <w:lastRenderedPageBreak/>
        <w:t>-</w:t>
      </w:r>
      <w:r w:rsidR="001547D8" w:rsidRPr="001547D8">
        <w:rPr>
          <w:sz w:val="28"/>
          <w:szCs w:val="28"/>
        </w:rPr>
        <w:t>Based on Hilton's own disclosures in its S-1 filing with the SEC, the search results offer comprehensive information on these risk factors. Before making any choices on investments pertaining to Hilton Worldwide Holdings, investors should thoroughly consider these risk aspects. As stated in the company's public filings, the information provided below describes the major risks that it faces</w:t>
      </w:r>
      <w:r w:rsidR="001547D8" w:rsidRPr="001547D8">
        <w:rPr>
          <w:b/>
          <w:bCs/>
          <w:sz w:val="28"/>
          <w:szCs w:val="28"/>
        </w:rPr>
        <w:t>.</w:t>
      </w:r>
    </w:p>
    <w:p w14:paraId="75175947" w14:textId="7B10D5D6" w:rsidR="002364D5" w:rsidRDefault="000A04FA" w:rsidP="00C351F4">
      <w:pPr>
        <w:rPr>
          <w:b/>
          <w:bCs/>
          <w:sz w:val="28"/>
          <w:szCs w:val="28"/>
        </w:rPr>
      </w:pPr>
      <w:r>
        <w:rPr>
          <w:b/>
          <w:bCs/>
          <w:sz w:val="28"/>
          <w:szCs w:val="28"/>
        </w:rPr>
        <w:t>W</w:t>
      </w:r>
      <w:r w:rsidR="002364D5" w:rsidRPr="002364D5">
        <w:rPr>
          <w:b/>
          <w:bCs/>
          <w:sz w:val="28"/>
          <w:szCs w:val="28"/>
        </w:rPr>
        <w:t>eighing the likelihood of an event</w:t>
      </w:r>
    </w:p>
    <w:p w14:paraId="5B4D50F9" w14:textId="77777777" w:rsidR="00765F12" w:rsidRPr="00765F12" w:rsidRDefault="00765F12" w:rsidP="00765F12">
      <w:pPr>
        <w:rPr>
          <w:sz w:val="28"/>
          <w:szCs w:val="28"/>
        </w:rPr>
      </w:pPr>
      <w:r w:rsidRPr="00765F12">
        <w:rPr>
          <w:sz w:val="28"/>
          <w:szCs w:val="28"/>
        </w:rPr>
        <w:t>Three major hazards related to Hilton Worldwide Holdings are listed below, based on the most recent data:</w:t>
      </w:r>
    </w:p>
    <w:p w14:paraId="6284602C" w14:textId="77777777" w:rsidR="000A04FA" w:rsidRDefault="00765F12" w:rsidP="000A04FA">
      <w:pPr>
        <w:pStyle w:val="ListParagraph"/>
        <w:numPr>
          <w:ilvl w:val="0"/>
          <w:numId w:val="3"/>
        </w:numPr>
        <w:rPr>
          <w:sz w:val="28"/>
          <w:szCs w:val="28"/>
        </w:rPr>
      </w:pPr>
      <w:r w:rsidRPr="000A04FA">
        <w:rPr>
          <w:b/>
          <w:bCs/>
          <w:sz w:val="28"/>
          <w:szCs w:val="28"/>
        </w:rPr>
        <w:t>Hazard Factors</w:t>
      </w:r>
      <w:r w:rsidRPr="000A04FA">
        <w:rPr>
          <w:sz w:val="28"/>
          <w:szCs w:val="28"/>
        </w:rPr>
        <w:t>: It is crucial to take into account the risk factors included in Hilton's S-1 SEC filing before investing in common stock. The performance of the firm may be impacted by the risks and uncertainties that are shown by these elements.</w:t>
      </w:r>
      <w:r w:rsidR="000A04FA" w:rsidRPr="000A04FA">
        <w:rPr>
          <w:sz w:val="28"/>
          <w:szCs w:val="28"/>
        </w:rPr>
        <w:t xml:space="preserve"> </w:t>
      </w:r>
    </w:p>
    <w:p w14:paraId="3AC21711" w14:textId="77777777" w:rsidR="000A04FA" w:rsidRDefault="00765F12" w:rsidP="00503A7C">
      <w:pPr>
        <w:pStyle w:val="ListParagraph"/>
        <w:numPr>
          <w:ilvl w:val="0"/>
          <w:numId w:val="3"/>
        </w:numPr>
        <w:rPr>
          <w:sz w:val="28"/>
          <w:szCs w:val="28"/>
        </w:rPr>
      </w:pPr>
      <w:r w:rsidRPr="000A04FA">
        <w:rPr>
          <w:b/>
          <w:bCs/>
          <w:sz w:val="28"/>
          <w:szCs w:val="28"/>
        </w:rPr>
        <w:t>Stock risk</w:t>
      </w:r>
      <w:r w:rsidRPr="000A04FA">
        <w:rPr>
          <w:sz w:val="28"/>
          <w:szCs w:val="28"/>
        </w:rPr>
        <w:t>: Hilton Worldwide Holdings has disclosed forty-three risk factors related to its shares. Platforms such as TipRanks.com provide information on these risks, which encompass several facets of the business's activities. Making</w:t>
      </w:r>
      <w:r w:rsidR="00503A7C" w:rsidRPr="00503A7C">
        <w:t xml:space="preserve"> </w:t>
      </w:r>
      <w:r w:rsidR="00503A7C" w:rsidRPr="000A04FA">
        <w:rPr>
          <w:sz w:val="28"/>
          <w:szCs w:val="28"/>
        </w:rPr>
        <w:t>educated selections as an investor can be aided by having awareness of these hazards.</w:t>
      </w:r>
    </w:p>
    <w:p w14:paraId="24C7F7F6" w14:textId="0014D87E" w:rsidR="00503A7C" w:rsidRPr="000A04FA" w:rsidRDefault="000A04FA" w:rsidP="00503A7C">
      <w:pPr>
        <w:pStyle w:val="ListParagraph"/>
        <w:numPr>
          <w:ilvl w:val="0"/>
          <w:numId w:val="3"/>
        </w:numPr>
        <w:rPr>
          <w:sz w:val="28"/>
          <w:szCs w:val="28"/>
        </w:rPr>
      </w:pPr>
      <w:r w:rsidRPr="000A04FA">
        <w:rPr>
          <w:b/>
          <w:bCs/>
          <w:sz w:val="28"/>
          <w:szCs w:val="28"/>
        </w:rPr>
        <w:t xml:space="preserve"> </w:t>
      </w:r>
      <w:r w:rsidR="00503A7C" w:rsidRPr="000A04FA">
        <w:rPr>
          <w:b/>
          <w:bCs/>
          <w:sz w:val="28"/>
          <w:szCs w:val="28"/>
        </w:rPr>
        <w:t>Risk Analysis</w:t>
      </w:r>
      <w:r w:rsidR="00503A7C" w:rsidRPr="000A04FA">
        <w:rPr>
          <w:sz w:val="28"/>
          <w:szCs w:val="28"/>
        </w:rPr>
        <w:t>: When comparing Hilton Worldwide Holdings to its primary rivals, a risk analysis looks at things like financial debt, capital structure, volatility, and liquidity. This study offers a thorough understanding of the dangers connected to purchasing Hilton stock.</w:t>
      </w:r>
    </w:p>
    <w:p w14:paraId="11F6179E" w14:textId="49474BD7" w:rsidR="004A5C9B" w:rsidRDefault="00503A7C" w:rsidP="00503A7C">
      <w:pPr>
        <w:rPr>
          <w:b/>
          <w:bCs/>
          <w:sz w:val="28"/>
          <w:szCs w:val="28"/>
        </w:rPr>
      </w:pPr>
      <w:r w:rsidRPr="00503A7C">
        <w:rPr>
          <w:sz w:val="28"/>
          <w:szCs w:val="28"/>
        </w:rPr>
        <w:t xml:space="preserve">Please be advised that official records and reports filed by Hilton Worldwide Holdings with the SEC are the best source of information for a thorough understanding of the risks. </w:t>
      </w:r>
      <w:r w:rsidRPr="007A474C">
        <w:rPr>
          <w:b/>
          <w:bCs/>
          <w:sz w:val="28"/>
          <w:szCs w:val="28"/>
        </w:rPr>
        <w:t>(s-1 form of Hilton worldwide holding)</w:t>
      </w:r>
    </w:p>
    <w:p w14:paraId="51E37A82" w14:textId="56AD2A46" w:rsidR="004A5C9B" w:rsidRDefault="00BA023F" w:rsidP="00503A7C">
      <w:pPr>
        <w:rPr>
          <w:b/>
          <w:bCs/>
          <w:sz w:val="28"/>
          <w:szCs w:val="28"/>
        </w:rPr>
      </w:pPr>
      <w:r>
        <w:rPr>
          <w:b/>
          <w:bCs/>
          <w:sz w:val="28"/>
          <w:szCs w:val="28"/>
        </w:rPr>
        <w:t>-</w:t>
      </w:r>
      <w:r w:rsidR="004A5C9B">
        <w:rPr>
          <w:b/>
          <w:bCs/>
          <w:sz w:val="28"/>
          <w:szCs w:val="28"/>
        </w:rPr>
        <w:t xml:space="preserve">Comment on Hilton </w:t>
      </w:r>
      <w:r w:rsidR="0055649B">
        <w:rPr>
          <w:b/>
          <w:bCs/>
          <w:sz w:val="28"/>
          <w:szCs w:val="28"/>
        </w:rPr>
        <w:t>worldwide</w:t>
      </w:r>
    </w:p>
    <w:p w14:paraId="1A080B6A" w14:textId="77777777" w:rsidR="00F47252" w:rsidRDefault="00707634" w:rsidP="00503A7C">
      <w:pPr>
        <w:rPr>
          <w:sz w:val="28"/>
          <w:szCs w:val="28"/>
        </w:rPr>
      </w:pPr>
      <w:r>
        <w:rPr>
          <w:sz w:val="28"/>
          <w:szCs w:val="28"/>
        </w:rPr>
        <w:t>-</w:t>
      </w:r>
      <w:r w:rsidR="0055649B" w:rsidRPr="0055649B">
        <w:rPr>
          <w:sz w:val="28"/>
          <w:szCs w:val="28"/>
        </w:rPr>
        <w:t>Because we operate in a highly competitive industry, our revenues or profits could be harmed if we are unable to compete effectively</w:t>
      </w:r>
      <w:r w:rsidR="00F47252">
        <w:rPr>
          <w:sz w:val="28"/>
          <w:szCs w:val="28"/>
        </w:rPr>
        <w:t>.</w:t>
      </w:r>
    </w:p>
    <w:p w14:paraId="3F4BAE1C" w14:textId="49B4C71D" w:rsidR="00F47252" w:rsidRDefault="00F47252" w:rsidP="00503A7C">
      <w:pPr>
        <w:rPr>
          <w:sz w:val="28"/>
          <w:szCs w:val="28"/>
        </w:rPr>
      </w:pPr>
      <w:r>
        <w:rPr>
          <w:sz w:val="28"/>
          <w:szCs w:val="28"/>
        </w:rPr>
        <w:t>-</w:t>
      </w:r>
      <w:r w:rsidR="0055649B" w:rsidRPr="0055649B">
        <w:rPr>
          <w:sz w:val="28"/>
          <w:szCs w:val="28"/>
        </w:rPr>
        <w:t xml:space="preserve"> Our business is subject to risks related to doing business with third-party property owners that could adversely affect our reputation, operational results, or prospects for growth</w:t>
      </w:r>
      <w:r>
        <w:rPr>
          <w:sz w:val="28"/>
          <w:szCs w:val="28"/>
        </w:rPr>
        <w:t>.</w:t>
      </w:r>
    </w:p>
    <w:p w14:paraId="149A900A" w14:textId="3F30697D" w:rsidR="0055649B" w:rsidRDefault="0055649B" w:rsidP="00503A7C">
      <w:pPr>
        <w:rPr>
          <w:sz w:val="28"/>
          <w:szCs w:val="28"/>
        </w:rPr>
      </w:pPr>
      <w:r w:rsidRPr="0055649B">
        <w:rPr>
          <w:sz w:val="28"/>
          <w:szCs w:val="28"/>
        </w:rPr>
        <w:t xml:space="preserve"> • The COVID-19 pandemic negatively affected our business, financial condition, and results of operations; and additional outbreaks of contagious </w:t>
      </w:r>
      <w:r w:rsidRPr="0055649B">
        <w:rPr>
          <w:sz w:val="28"/>
          <w:szCs w:val="28"/>
        </w:rPr>
        <w:lastRenderedPageBreak/>
        <w:t>diseases or other unfavourable public health developments may negatively affect future results</w:t>
      </w:r>
      <w:r w:rsidR="00707634">
        <w:rPr>
          <w:sz w:val="28"/>
          <w:szCs w:val="28"/>
        </w:rPr>
        <w:t>.</w:t>
      </w:r>
    </w:p>
    <w:p w14:paraId="69FB175D" w14:textId="1EFAD348" w:rsidR="00707634" w:rsidRDefault="00707634" w:rsidP="00503A7C">
      <w:pPr>
        <w:rPr>
          <w:sz w:val="28"/>
          <w:szCs w:val="28"/>
        </w:rPr>
      </w:pPr>
      <w:r>
        <w:rPr>
          <w:sz w:val="28"/>
          <w:szCs w:val="28"/>
        </w:rPr>
        <w:t>-</w:t>
      </w:r>
      <w:r w:rsidRPr="00707634">
        <w:rPr>
          <w:sz w:val="28"/>
          <w:szCs w:val="28"/>
        </w:rPr>
        <w:t>Failures, significant harm, or disruptions to our websites, software, or information technology systems, including as a result of cyberattacks on our systems or those run by outside parties that provide us with operational and technical services, expenses related to safeguarding the confidentiality, integrity, and integrity of personal data, and challenges in creating and implementing new software could all have a materially negative impact on our operations and financial performance</w:t>
      </w:r>
      <w:r w:rsidR="00E93663">
        <w:rPr>
          <w:sz w:val="28"/>
          <w:szCs w:val="28"/>
        </w:rPr>
        <w:t>.</w:t>
      </w:r>
    </w:p>
    <w:p w14:paraId="00882EA6" w14:textId="03723C5F" w:rsidR="00F47252" w:rsidRDefault="00E93663" w:rsidP="00503A7C">
      <w:pPr>
        <w:rPr>
          <w:sz w:val="28"/>
          <w:szCs w:val="28"/>
        </w:rPr>
      </w:pPr>
      <w:r>
        <w:rPr>
          <w:sz w:val="28"/>
          <w:szCs w:val="28"/>
        </w:rPr>
        <w:t>-</w:t>
      </w:r>
      <w:r w:rsidRPr="00E93663">
        <w:rPr>
          <w:sz w:val="28"/>
          <w:szCs w:val="28"/>
        </w:rPr>
        <w:t xml:space="preserve">• Because we receive some of our revenue from operations outside of the United States the risks of conducting business internationally could decrease our revenues, increase our costs, reduce our profits, or disrupt our business. </w:t>
      </w:r>
    </w:p>
    <w:p w14:paraId="440A0290" w14:textId="5FB8DCD2" w:rsidR="006D63AD" w:rsidRDefault="00F47252" w:rsidP="007E6004">
      <w:pPr>
        <w:rPr>
          <w:sz w:val="28"/>
          <w:szCs w:val="28"/>
        </w:rPr>
      </w:pPr>
      <w:r>
        <w:rPr>
          <w:sz w:val="28"/>
          <w:szCs w:val="28"/>
        </w:rPr>
        <w:t>-</w:t>
      </w:r>
      <w:r w:rsidR="00E93663" w:rsidRPr="00E93663">
        <w:rPr>
          <w:sz w:val="28"/>
          <w:szCs w:val="28"/>
        </w:rPr>
        <w:t>The expansion of online reservation channels could negatively impact our business and profitability.</w:t>
      </w:r>
    </w:p>
    <w:p w14:paraId="0F67DDF9" w14:textId="4683CC74" w:rsidR="000A04FA" w:rsidRDefault="00756857" w:rsidP="0022503A">
      <w:pPr>
        <w:rPr>
          <w:b/>
          <w:bCs/>
          <w:sz w:val="36"/>
          <w:szCs w:val="36"/>
        </w:rPr>
      </w:pPr>
      <w:r>
        <w:rPr>
          <w:b/>
          <w:bCs/>
          <w:sz w:val="36"/>
          <w:szCs w:val="36"/>
        </w:rPr>
        <w:t>2}</w:t>
      </w:r>
      <w:r w:rsidR="000574E3" w:rsidRPr="00BA023F">
        <w:rPr>
          <w:b/>
          <w:bCs/>
          <w:sz w:val="36"/>
          <w:szCs w:val="36"/>
        </w:rPr>
        <w:t xml:space="preserve"> </w:t>
      </w:r>
      <w:r w:rsidR="000A04FA">
        <w:rPr>
          <w:b/>
          <w:bCs/>
          <w:sz w:val="36"/>
          <w:szCs w:val="36"/>
        </w:rPr>
        <w:t xml:space="preserve">CALCULATION </w:t>
      </w:r>
    </w:p>
    <w:p w14:paraId="766B41DD" w14:textId="4E3CD944" w:rsidR="0022503A" w:rsidRPr="000A04FA" w:rsidRDefault="000A04FA" w:rsidP="0022503A">
      <w:pPr>
        <w:rPr>
          <w:b/>
          <w:bCs/>
          <w:sz w:val="36"/>
          <w:szCs w:val="36"/>
        </w:rPr>
      </w:pPr>
      <w:r>
        <w:rPr>
          <w:b/>
          <w:bCs/>
          <w:sz w:val="36"/>
          <w:szCs w:val="36"/>
        </w:rPr>
        <w:t xml:space="preserve"> </w:t>
      </w:r>
      <w:r w:rsidR="00756857">
        <w:rPr>
          <w:b/>
          <w:bCs/>
          <w:sz w:val="32"/>
          <w:szCs w:val="32"/>
        </w:rPr>
        <w:t>(A)</w:t>
      </w:r>
      <w:r w:rsidR="00BA023F" w:rsidRPr="0022503A">
        <w:rPr>
          <w:b/>
          <w:bCs/>
          <w:sz w:val="32"/>
          <w:szCs w:val="32"/>
        </w:rPr>
        <w:t>Share price performance:</w:t>
      </w:r>
      <w:r w:rsidR="0022503A" w:rsidRPr="0022503A">
        <w:rPr>
          <w:b/>
          <w:bCs/>
          <w:sz w:val="32"/>
          <w:szCs w:val="32"/>
        </w:rPr>
        <w:t xml:space="preserve"> </w:t>
      </w:r>
      <w:r w:rsidR="0022503A" w:rsidRPr="0022503A">
        <w:rPr>
          <w:sz w:val="28"/>
          <w:szCs w:val="28"/>
        </w:rPr>
        <w:t>The way the price of a company's shares moves both during and after the Initial Public Offering (IPO) is referred to as share price performance. Based on the data in the search results, this performance may be examined from a number of important angles:</w:t>
      </w:r>
    </w:p>
    <w:p w14:paraId="0BCAB293" w14:textId="0AB50DA5" w:rsidR="0022503A" w:rsidRPr="0022503A" w:rsidRDefault="0022503A" w:rsidP="0022503A">
      <w:pPr>
        <w:rPr>
          <w:sz w:val="28"/>
          <w:szCs w:val="28"/>
        </w:rPr>
      </w:pPr>
      <w:r w:rsidRPr="0022503A">
        <w:rPr>
          <w:sz w:val="28"/>
          <w:szCs w:val="28"/>
        </w:rPr>
        <w:t>First Returns (Under-pricing):</w:t>
      </w:r>
    </w:p>
    <w:p w14:paraId="513169AE" w14:textId="44CA7A73" w:rsidR="000574E3" w:rsidRDefault="0022503A" w:rsidP="0022503A">
      <w:pPr>
        <w:rPr>
          <w:sz w:val="28"/>
          <w:szCs w:val="28"/>
        </w:rPr>
      </w:pPr>
      <w:r w:rsidRPr="0022503A">
        <w:rPr>
          <w:sz w:val="28"/>
          <w:szCs w:val="28"/>
        </w:rPr>
        <w:t xml:space="preserve">Explained The price difference between the offering price to the market price on the first trading day is measured by initial returns, often known as under-pricing. The formula for this is </w:t>
      </w:r>
      <w:r>
        <w:rPr>
          <w:sz w:val="28"/>
          <w:szCs w:val="28"/>
        </w:rPr>
        <w:t>=</w:t>
      </w:r>
      <w:r w:rsidRPr="0022503A">
        <w:rPr>
          <w:sz w:val="28"/>
          <w:szCs w:val="28"/>
        </w:rPr>
        <w:t>(first day closing price - offering price) / offering price (1st day closing price - offering price) / offering price.</w:t>
      </w:r>
    </w:p>
    <w:p w14:paraId="734D3DBA" w14:textId="795BF2CB" w:rsidR="0081261A" w:rsidRDefault="0081261A" w:rsidP="0022503A">
      <w:pPr>
        <w:rPr>
          <w:sz w:val="28"/>
          <w:szCs w:val="28"/>
        </w:rPr>
      </w:pPr>
      <w:r w:rsidRPr="0081261A">
        <w:rPr>
          <w:b/>
          <w:bCs/>
          <w:sz w:val="28"/>
          <w:szCs w:val="28"/>
        </w:rPr>
        <w:t>Aftermarket Performance:</w:t>
      </w:r>
      <w:r w:rsidRPr="0081261A">
        <w:rPr>
          <w:sz w:val="28"/>
          <w:szCs w:val="28"/>
        </w:rPr>
        <w:t xml:space="preserve"> Research on the long-term success of initial public offerings (IPOs) has shown conflicting findings. Years following the IPO, some IPOs have a tendency to underperform the market, displaying poorer returns in comparison to the wider market indexes.</w:t>
      </w:r>
    </w:p>
    <w:p w14:paraId="12DBB318" w14:textId="3915FD25" w:rsidR="006B40BE" w:rsidRDefault="006B40BE" w:rsidP="0022503A">
      <w:pPr>
        <w:rPr>
          <w:sz w:val="28"/>
          <w:szCs w:val="28"/>
        </w:rPr>
      </w:pPr>
      <w:r w:rsidRPr="006B40BE">
        <w:rPr>
          <w:b/>
          <w:bCs/>
          <w:sz w:val="28"/>
          <w:szCs w:val="28"/>
        </w:rPr>
        <w:t>Factors Impacting Long-Term success:</w:t>
      </w:r>
      <w:r w:rsidRPr="006B40BE">
        <w:rPr>
          <w:sz w:val="28"/>
          <w:szCs w:val="28"/>
        </w:rPr>
        <w:t xml:space="preserve"> A number of factors, such as the company's growth, the state of the industry, and the original pricing plan, can have an impact on long-term success.</w:t>
      </w:r>
    </w:p>
    <w:p w14:paraId="5357AFDF" w14:textId="42E80964" w:rsidR="000574E3" w:rsidRPr="00D36255" w:rsidRDefault="000574E3" w:rsidP="007E6004">
      <w:pPr>
        <w:rPr>
          <w:b/>
          <w:bCs/>
          <w:sz w:val="32"/>
          <w:szCs w:val="32"/>
        </w:rPr>
      </w:pPr>
      <w:r w:rsidRPr="006B30DB">
        <w:rPr>
          <w:sz w:val="28"/>
          <w:szCs w:val="28"/>
        </w:rPr>
        <w:lastRenderedPageBreak/>
        <w:t>Produce a full set of descriptive statistics, including such visual aids as will be necessary to understand your selected company’s performance</w:t>
      </w:r>
      <w:r w:rsidR="00D36255">
        <w:rPr>
          <w:sz w:val="28"/>
          <w:szCs w:val="28"/>
        </w:rPr>
        <w:t xml:space="preserve"> </w:t>
      </w:r>
      <w:r w:rsidR="00D36255" w:rsidRPr="00D36255">
        <w:rPr>
          <w:b/>
          <w:bCs/>
          <w:sz w:val="32"/>
          <w:szCs w:val="32"/>
        </w:rPr>
        <w:t>(Mohamed &amp; Chenyi, 2023)</w:t>
      </w:r>
    </w:p>
    <w:p w14:paraId="00B780B4" w14:textId="77777777" w:rsidR="000574E3" w:rsidRPr="006B30DB" w:rsidRDefault="000574E3" w:rsidP="007E6004">
      <w:pPr>
        <w:rPr>
          <w:sz w:val="28"/>
          <w:szCs w:val="28"/>
        </w:rPr>
      </w:pPr>
    </w:p>
    <w:p w14:paraId="652638A8" w14:textId="4432D016" w:rsidR="000574E3" w:rsidRDefault="00606A6B" w:rsidP="007E6004">
      <w:pPr>
        <w:rPr>
          <w:sz w:val="28"/>
          <w:szCs w:val="28"/>
        </w:rPr>
      </w:pPr>
      <w:r w:rsidRPr="002E5137">
        <w:rPr>
          <w:b/>
          <w:bCs/>
          <w:sz w:val="28"/>
          <w:szCs w:val="28"/>
        </w:rPr>
        <w:t>SHARE</w:t>
      </w:r>
      <w:r w:rsidR="001B5B5D" w:rsidRPr="002E5137">
        <w:rPr>
          <w:b/>
          <w:bCs/>
          <w:sz w:val="28"/>
          <w:szCs w:val="28"/>
        </w:rPr>
        <w:t xml:space="preserve"> PRICE</w:t>
      </w:r>
      <w:r w:rsidRPr="002E5137">
        <w:rPr>
          <w:b/>
          <w:bCs/>
          <w:sz w:val="28"/>
          <w:szCs w:val="28"/>
        </w:rPr>
        <w:t xml:space="preserve"> PERFORMANC</w:t>
      </w:r>
      <w:r>
        <w:rPr>
          <w:sz w:val="28"/>
          <w:szCs w:val="28"/>
        </w:rPr>
        <w:t>E</w:t>
      </w:r>
      <w:r w:rsidR="00D36255">
        <w:rPr>
          <w:noProof/>
          <w:sz w:val="28"/>
          <w:szCs w:val="28"/>
        </w:rPr>
        <w:drawing>
          <wp:inline distT="0" distB="0" distL="0" distR="0" wp14:anchorId="332EC7E1" wp14:editId="24B6C5A7">
            <wp:extent cx="5394960" cy="3017520"/>
            <wp:effectExtent l="0" t="0" r="15240" b="11430"/>
            <wp:docPr id="1766568452"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A686E1D" w14:textId="7F754654" w:rsidR="000574E3" w:rsidRPr="005C71F8" w:rsidRDefault="00FE57BD" w:rsidP="007E6004">
      <w:pPr>
        <w:rPr>
          <w:b/>
          <w:bCs/>
          <w:sz w:val="32"/>
          <w:szCs w:val="32"/>
        </w:rPr>
      </w:pPr>
      <w:r w:rsidRPr="005C71F8">
        <w:rPr>
          <w:b/>
          <w:bCs/>
          <w:sz w:val="32"/>
          <w:szCs w:val="32"/>
        </w:rPr>
        <w:t>FIGURE 1</w:t>
      </w:r>
    </w:p>
    <w:p w14:paraId="560B1225" w14:textId="286D1015" w:rsidR="00DA39A5" w:rsidRPr="00DA39A5" w:rsidRDefault="00606A6B" w:rsidP="00DA39A5">
      <w:pPr>
        <w:rPr>
          <w:sz w:val="28"/>
          <w:szCs w:val="28"/>
        </w:rPr>
      </w:pPr>
      <w:r>
        <w:rPr>
          <w:sz w:val="28"/>
          <w:szCs w:val="28"/>
        </w:rPr>
        <w:t>REVIEW</w:t>
      </w:r>
      <w:r w:rsidR="00013EF2">
        <w:rPr>
          <w:sz w:val="28"/>
          <w:szCs w:val="28"/>
        </w:rPr>
        <w:t>:</w:t>
      </w:r>
      <w:r w:rsidR="00DA39A5" w:rsidRPr="00DA39A5">
        <w:t xml:space="preserve"> </w:t>
      </w:r>
      <w:r w:rsidR="00DA39A5" w:rsidRPr="00DA39A5">
        <w:rPr>
          <w:sz w:val="28"/>
          <w:szCs w:val="28"/>
        </w:rPr>
        <w:t>The stock price was around $162.25 in 2014. In the ensuing years, the stock price fluctuated between $150 and $170, staying comparatively steady.</w:t>
      </w:r>
    </w:p>
    <w:p w14:paraId="01C4016B" w14:textId="77777777" w:rsidR="00DA39A5" w:rsidRPr="00DA39A5" w:rsidRDefault="00DA39A5" w:rsidP="00DA39A5">
      <w:pPr>
        <w:rPr>
          <w:sz w:val="28"/>
          <w:szCs w:val="28"/>
        </w:rPr>
      </w:pPr>
      <w:r w:rsidRPr="00DA39A5">
        <w:rPr>
          <w:sz w:val="28"/>
          <w:szCs w:val="28"/>
        </w:rPr>
        <w:t>By the end of the year, the stock price had increased considerably in 2017 and was trading close to $200. 2018 saw more increase, with the stock price rising to almost $250.</w:t>
      </w:r>
    </w:p>
    <w:p w14:paraId="57770F88" w14:textId="77777777" w:rsidR="00DA39A5" w:rsidRPr="00DA39A5" w:rsidRDefault="00DA39A5" w:rsidP="00DA39A5">
      <w:pPr>
        <w:rPr>
          <w:sz w:val="28"/>
          <w:szCs w:val="28"/>
        </w:rPr>
      </w:pPr>
      <w:r w:rsidRPr="00DA39A5">
        <w:rPr>
          <w:sz w:val="28"/>
          <w:szCs w:val="28"/>
        </w:rPr>
        <w:t>The stock price saw a minor dip in 2019, but it bounced back in 2020, hitting almost $300. In 2021, the stock price increased further, peaking at $216.84 on February 11 of that year.</w:t>
      </w:r>
    </w:p>
    <w:p w14:paraId="54BF42FF" w14:textId="0D9BADF4" w:rsidR="00D8284F" w:rsidRDefault="00DA39A5" w:rsidP="00DA39A5">
      <w:pPr>
        <w:rPr>
          <w:sz w:val="28"/>
          <w:szCs w:val="28"/>
        </w:rPr>
      </w:pPr>
      <w:r w:rsidRPr="00DA39A5">
        <w:rPr>
          <w:sz w:val="28"/>
          <w:szCs w:val="28"/>
        </w:rPr>
        <w:t>The stock price dropped in 2022 but bounced again in 2023, hitting about $170. Though it has not stopped fluctuating, the stock price has generally increased during the last ten years.</w:t>
      </w:r>
    </w:p>
    <w:p w14:paraId="32F725F9" w14:textId="77777777" w:rsidR="008405A1" w:rsidRPr="008405A1" w:rsidRDefault="008405A1" w:rsidP="008405A1">
      <w:pPr>
        <w:rPr>
          <w:sz w:val="28"/>
          <w:szCs w:val="28"/>
        </w:rPr>
      </w:pPr>
      <w:r w:rsidRPr="008405A1">
        <w:rPr>
          <w:sz w:val="28"/>
          <w:szCs w:val="28"/>
        </w:rPr>
        <w:t>With gross bookings value rising by 15.9% to $73.3 billion in 2023, Airbnb has seen considerable revenue growth. With 448 million reservations made in 2023—a 13.9% rise from the previous year—the corporation has also witnessed an increase in bookings.</w:t>
      </w:r>
    </w:p>
    <w:p w14:paraId="68B1CC08" w14:textId="4E78A1A0" w:rsidR="008405A1" w:rsidRDefault="008405A1" w:rsidP="008405A1">
      <w:pPr>
        <w:rPr>
          <w:sz w:val="28"/>
          <w:szCs w:val="28"/>
        </w:rPr>
      </w:pPr>
      <w:r w:rsidRPr="008405A1">
        <w:rPr>
          <w:sz w:val="28"/>
          <w:szCs w:val="28"/>
        </w:rPr>
        <w:lastRenderedPageBreak/>
        <w:t>For the most part, during the last ten years, Airbnb's stock price has performed well. The firm has grown significantly, emerging as one of the biggest and most prosperous travel businesses globally.</w:t>
      </w:r>
    </w:p>
    <w:p w14:paraId="302F0FC5" w14:textId="77777777" w:rsidR="00D24EDF" w:rsidRDefault="00D24EDF" w:rsidP="007E6004">
      <w:pPr>
        <w:rPr>
          <w:sz w:val="28"/>
          <w:szCs w:val="28"/>
        </w:rPr>
      </w:pPr>
    </w:p>
    <w:p w14:paraId="56F5675B" w14:textId="7888B906" w:rsidR="003E755F" w:rsidRPr="00F64014" w:rsidRDefault="003E755F" w:rsidP="007E6004">
      <w:pPr>
        <w:rPr>
          <w:b/>
          <w:bCs/>
          <w:sz w:val="36"/>
          <w:szCs w:val="36"/>
        </w:rPr>
      </w:pPr>
      <w:r w:rsidRPr="00F64014">
        <w:rPr>
          <w:b/>
          <w:bCs/>
          <w:sz w:val="36"/>
          <w:szCs w:val="36"/>
        </w:rPr>
        <w:t>Descriptive Statistics</w:t>
      </w:r>
    </w:p>
    <w:p w14:paraId="69925E77" w14:textId="62E81BBB" w:rsidR="00F64014" w:rsidRPr="003B6099" w:rsidRDefault="00606A6B" w:rsidP="007E6004">
      <w:pPr>
        <w:rPr>
          <w:b/>
          <w:bCs/>
          <w:sz w:val="28"/>
          <w:szCs w:val="28"/>
        </w:rPr>
      </w:pPr>
      <w:r>
        <w:rPr>
          <w:sz w:val="28"/>
          <w:szCs w:val="28"/>
        </w:rPr>
        <w:t xml:space="preserve">AVERAGE RETURN OF SHARE </w:t>
      </w:r>
      <w:r w:rsidR="00F4667C">
        <w:rPr>
          <w:sz w:val="28"/>
          <w:szCs w:val="28"/>
        </w:rPr>
        <w:t>PRICE</w:t>
      </w:r>
      <w:r w:rsidR="00F64014">
        <w:rPr>
          <w:sz w:val="28"/>
          <w:szCs w:val="28"/>
        </w:rPr>
        <w:t>:</w:t>
      </w:r>
      <w:r w:rsidR="003B6099" w:rsidRPr="003B6099">
        <w:t xml:space="preserve"> </w:t>
      </w:r>
      <w:r w:rsidR="003B6099" w:rsidRPr="003B6099">
        <w:rPr>
          <w:b/>
          <w:bCs/>
          <w:sz w:val="28"/>
          <w:szCs w:val="28"/>
        </w:rPr>
        <w:t>(Netcials, n.d.)</w:t>
      </w:r>
    </w:p>
    <w:p w14:paraId="63042B02" w14:textId="1F9F5951" w:rsidR="001C54F1" w:rsidRDefault="001C54F1" w:rsidP="007E6004">
      <w:pPr>
        <w:rPr>
          <w:sz w:val="28"/>
          <w:szCs w:val="28"/>
        </w:rPr>
      </w:pPr>
      <w:r w:rsidRPr="001C54F1">
        <w:rPr>
          <w:sz w:val="28"/>
          <w:szCs w:val="28"/>
        </w:rPr>
        <w:t>This figure shows the closing prices for Hilton Worldwide Holdings Inc (HLT) over the previous ten years. Instead of using market closing prices, this specific graph uses modified closing prices. (The modified close accounts for notable activities at the corporate or institutional level that take place outside of regular market hours.)</w:t>
      </w:r>
    </w:p>
    <w:p w14:paraId="5F9DE5D3" w14:textId="5C9CACCA" w:rsidR="00EC7BB7" w:rsidRDefault="00EC7BB7" w:rsidP="007E6004">
      <w:pPr>
        <w:rPr>
          <w:sz w:val="28"/>
          <w:szCs w:val="28"/>
        </w:rPr>
      </w:pPr>
      <w:r w:rsidRPr="00EC7BB7">
        <w:rPr>
          <w:sz w:val="28"/>
          <w:szCs w:val="28"/>
        </w:rPr>
        <w:t>Assume for the sake of this example that you bought HLT stock on March 29, 2014, and you held it for ten years, until March 26, 2024. In this case, you may use the following method to get the compound annual growth rate (CAGR) over these 10 years:</w:t>
      </w:r>
    </w:p>
    <w:p w14:paraId="4F85FA3C" w14:textId="54E5B3E7" w:rsidR="00273A3D" w:rsidRPr="00273A3D" w:rsidRDefault="00273A3D" w:rsidP="00273A3D">
      <w:pPr>
        <w:rPr>
          <w:sz w:val="28"/>
          <w:szCs w:val="28"/>
        </w:rPr>
      </w:pPr>
      <w:r w:rsidRPr="00273A3D">
        <w:rPr>
          <w:sz w:val="28"/>
          <w:szCs w:val="28"/>
        </w:rPr>
        <w:t>R is equal to 100 times [(EP/SP) ^1/10-1]. in which EP - HLT price on March 26, 2024 = $213.04 and SP - HLT price on March 29, 2014 = $43.3928</w:t>
      </w:r>
    </w:p>
    <w:p w14:paraId="1480DBD0" w14:textId="24F9788B" w:rsidR="00273A3D" w:rsidRPr="00273A3D" w:rsidRDefault="00273A3D" w:rsidP="00273A3D">
      <w:pPr>
        <w:rPr>
          <w:sz w:val="28"/>
          <w:szCs w:val="28"/>
        </w:rPr>
      </w:pPr>
      <w:r w:rsidRPr="00273A3D">
        <w:rPr>
          <w:sz w:val="28"/>
          <w:szCs w:val="28"/>
        </w:rPr>
        <w:t>The yearly return is denoted by R.</w:t>
      </w:r>
    </w:p>
    <w:p w14:paraId="2E7D8844" w14:textId="77777777" w:rsidR="00273A3D" w:rsidRPr="00273A3D" w:rsidRDefault="00273A3D" w:rsidP="00273A3D">
      <w:pPr>
        <w:rPr>
          <w:sz w:val="28"/>
          <w:szCs w:val="28"/>
        </w:rPr>
      </w:pPr>
      <w:r w:rsidRPr="00273A3D">
        <w:rPr>
          <w:sz w:val="28"/>
          <w:szCs w:val="28"/>
        </w:rPr>
        <w:t>Entering the values yields the following computed R-value:</w:t>
      </w:r>
    </w:p>
    <w:p w14:paraId="20E15A0B" w14:textId="77777777" w:rsidR="00273A3D" w:rsidRPr="00273A3D" w:rsidRDefault="00273A3D" w:rsidP="00273A3D">
      <w:pPr>
        <w:rPr>
          <w:sz w:val="28"/>
          <w:szCs w:val="28"/>
        </w:rPr>
      </w:pPr>
      <w:r w:rsidRPr="00273A3D">
        <w:rPr>
          <w:sz w:val="28"/>
          <w:szCs w:val="28"/>
        </w:rPr>
        <w:t>100 x [(213.04/43.3928)1/10 - 1] is R.</w:t>
      </w:r>
    </w:p>
    <w:p w14:paraId="21DC549B" w14:textId="00481A76" w:rsidR="00273A3D" w:rsidRPr="00EC7BB7" w:rsidRDefault="00273A3D" w:rsidP="00273A3D">
      <w:pPr>
        <w:rPr>
          <w:sz w:val="28"/>
          <w:szCs w:val="28"/>
        </w:rPr>
      </w:pPr>
      <w:r w:rsidRPr="00273A3D">
        <w:rPr>
          <w:sz w:val="28"/>
          <w:szCs w:val="28"/>
        </w:rPr>
        <w:t>Equals 17.25%</w:t>
      </w:r>
    </w:p>
    <w:p w14:paraId="2C6CAC5D" w14:textId="402CBA6E" w:rsidR="005638D8" w:rsidRDefault="005638D8" w:rsidP="007E6004">
      <w:pPr>
        <w:rPr>
          <w:b/>
          <w:bCs/>
          <w:sz w:val="28"/>
          <w:szCs w:val="28"/>
        </w:rPr>
      </w:pPr>
    </w:p>
    <w:p w14:paraId="49E098E8" w14:textId="187CC452" w:rsidR="00DE2300" w:rsidRPr="00F608EF" w:rsidRDefault="00756857" w:rsidP="007E6004">
      <w:pPr>
        <w:rPr>
          <w:b/>
          <w:bCs/>
          <w:sz w:val="36"/>
          <w:szCs w:val="36"/>
        </w:rPr>
      </w:pPr>
      <w:r>
        <w:rPr>
          <w:b/>
          <w:bCs/>
          <w:sz w:val="36"/>
          <w:szCs w:val="36"/>
        </w:rPr>
        <w:t>(B)</w:t>
      </w:r>
      <w:r w:rsidR="00DE2300" w:rsidRPr="00F608EF">
        <w:rPr>
          <w:b/>
          <w:bCs/>
          <w:sz w:val="36"/>
          <w:szCs w:val="36"/>
        </w:rPr>
        <w:t xml:space="preserve">WHAT IS </w:t>
      </w:r>
      <w:r w:rsidR="00A54524" w:rsidRPr="00F608EF">
        <w:rPr>
          <w:b/>
          <w:bCs/>
          <w:sz w:val="36"/>
          <w:szCs w:val="36"/>
        </w:rPr>
        <w:t>CAGR?</w:t>
      </w:r>
    </w:p>
    <w:p w14:paraId="3B617103" w14:textId="1578FDAB" w:rsidR="00EA4BD3" w:rsidRPr="00605DBF" w:rsidRDefault="00605DBF" w:rsidP="00DE2300">
      <w:pPr>
        <w:spacing w:after="0" w:line="240" w:lineRule="auto"/>
        <w:rPr>
          <w:rFonts w:eastAsia="Times New Roman" w:cstheme="minorHAnsi"/>
          <w:kern w:val="0"/>
          <w:sz w:val="28"/>
          <w:szCs w:val="28"/>
          <w:lang w:eastAsia="en-IN"/>
          <w14:ligatures w14:val="none"/>
        </w:rPr>
      </w:pPr>
      <w:r w:rsidRPr="00605DBF">
        <w:rPr>
          <w:rFonts w:eastAsia="Times New Roman" w:cstheme="minorHAnsi"/>
          <w:kern w:val="0"/>
          <w:sz w:val="28"/>
          <w:szCs w:val="28"/>
          <w:lang w:eastAsia="en-IN"/>
          <w14:ligatures w14:val="none"/>
        </w:rPr>
        <w:t>The acronym CAGR refers to the compound annual growth rate. It represents the yearly growth rate of an investment over time, compounding effects included. It is frequently used to estimate the predicted future returns on investments or to evaluate and compare the previous performance of such assets. The formula for compound annual growth is (ending value/beginning value) ^ (1/number of periods) – 1.</w:t>
      </w:r>
    </w:p>
    <w:p w14:paraId="149B7D17" w14:textId="40BA0513" w:rsidR="00EA4BD3" w:rsidRPr="00EA4BD3" w:rsidRDefault="00EA4BD3" w:rsidP="00DE2300">
      <w:pPr>
        <w:spacing w:after="0" w:line="240" w:lineRule="auto"/>
        <w:rPr>
          <w:rFonts w:ascii="Times New Roman" w:eastAsia="Times New Roman" w:hAnsi="Times New Roman" w:cs="Times New Roman"/>
          <w:b/>
          <w:bCs/>
          <w:kern w:val="0"/>
          <w:sz w:val="28"/>
          <w:szCs w:val="28"/>
          <w:lang w:eastAsia="en-IN"/>
          <w14:ligatures w14:val="none"/>
        </w:rPr>
      </w:pPr>
      <w:r w:rsidRPr="00EA4BD3">
        <w:rPr>
          <w:rFonts w:ascii="Times New Roman" w:eastAsia="Times New Roman" w:hAnsi="Times New Roman" w:cs="Times New Roman"/>
          <w:b/>
          <w:bCs/>
          <w:kern w:val="0"/>
          <w:sz w:val="28"/>
          <w:szCs w:val="28"/>
          <w:lang w:eastAsia="en-IN"/>
          <w14:ligatures w14:val="none"/>
        </w:rPr>
        <w:t>FORMULA OF CAGR</w:t>
      </w:r>
    </w:p>
    <w:p w14:paraId="12594DE1" w14:textId="77777777" w:rsidR="00EA4BD3" w:rsidRPr="00EA4BD3" w:rsidRDefault="00EA4BD3" w:rsidP="00DE2300">
      <w:pPr>
        <w:spacing w:after="0" w:line="240" w:lineRule="auto"/>
        <w:rPr>
          <w:rFonts w:ascii="Times New Roman" w:eastAsia="Times New Roman" w:hAnsi="Times New Roman" w:cs="Times New Roman"/>
          <w:b/>
          <w:bCs/>
          <w:kern w:val="0"/>
          <w:sz w:val="28"/>
          <w:szCs w:val="28"/>
          <w:lang w:eastAsia="en-IN"/>
          <w14:ligatures w14:val="none"/>
        </w:rPr>
      </w:pPr>
    </w:p>
    <w:p w14:paraId="24D74541" w14:textId="1B289672" w:rsidR="00DE2300" w:rsidRPr="00EA4BD3" w:rsidRDefault="00EA4BD3" w:rsidP="007E6004">
      <w:pPr>
        <w:rPr>
          <w:sz w:val="28"/>
          <w:szCs w:val="28"/>
        </w:rPr>
      </w:pPr>
      <w:r w:rsidRPr="00EA4BD3">
        <w:rPr>
          <w:sz w:val="28"/>
          <w:szCs w:val="28"/>
        </w:rPr>
        <w:lastRenderedPageBreak/>
        <w:t>Just the investment's initial and ending values as well as the number of compounding years are needed to compute the compound annual growth rate. The method is to raise that number to the inverse number of years, divide the ending value by the beginning value, and then remove one from the result.</w:t>
      </w:r>
    </w:p>
    <w:p w14:paraId="4E7F1A00" w14:textId="686458D9" w:rsidR="00A54524" w:rsidRPr="00CC5737" w:rsidRDefault="00A54524" w:rsidP="007E6004">
      <w:pPr>
        <w:rPr>
          <w:rFonts w:ascii="Segoe UI" w:hAnsi="Segoe UI" w:cs="Segoe UI"/>
          <w:b/>
          <w:bCs/>
          <w:color w:val="13343B"/>
          <w:shd w:val="clear" w:color="auto" w:fill="FCFCF9"/>
        </w:rPr>
      </w:pPr>
      <w:r w:rsidRPr="00CC5737">
        <w:rPr>
          <w:rFonts w:ascii="Segoe UI" w:hAnsi="Segoe UI" w:cs="Segoe UI"/>
          <w:b/>
          <w:bCs/>
          <w:color w:val="13343B"/>
          <w:shd w:val="clear" w:color="auto" w:fill="FCFCF9"/>
        </w:rPr>
        <w:t xml:space="preserve">(Ending Value/Beginning </w:t>
      </w:r>
      <w:r w:rsidR="00CC5737" w:rsidRPr="00CC5737">
        <w:rPr>
          <w:rFonts w:ascii="Segoe UI" w:hAnsi="Segoe UI" w:cs="Segoe UI"/>
          <w:b/>
          <w:bCs/>
          <w:color w:val="13343B"/>
          <w:shd w:val="clear" w:color="auto" w:fill="FCFCF9"/>
        </w:rPr>
        <w:t xml:space="preserve">Value) ^ </w:t>
      </w:r>
      <w:r w:rsidRPr="00CC5737">
        <w:rPr>
          <w:rFonts w:ascii="Segoe UI" w:hAnsi="Segoe UI" w:cs="Segoe UI"/>
          <w:b/>
          <w:bCs/>
          <w:color w:val="13343B"/>
          <w:shd w:val="clear" w:color="auto" w:fill="FCFCF9"/>
        </w:rPr>
        <w:t>(1/Number of Years))</w:t>
      </w:r>
    </w:p>
    <w:p w14:paraId="7408857B" w14:textId="0F57B68F" w:rsidR="003B0B86" w:rsidRDefault="0015416D" w:rsidP="007E6004">
      <w:pPr>
        <w:rPr>
          <w:rFonts w:ascii="Segoe UI" w:hAnsi="Segoe UI" w:cs="Segoe UI"/>
          <w:color w:val="13343B"/>
          <w:shd w:val="clear" w:color="auto" w:fill="FCFCF9"/>
        </w:rPr>
      </w:pPr>
      <w:r>
        <w:rPr>
          <w:rFonts w:ascii="Segoe UI" w:hAnsi="Segoe UI" w:cs="Segoe UI"/>
          <w:noProof/>
          <w:color w:val="13343B"/>
          <w:shd w:val="clear" w:color="auto" w:fill="FCFCF9"/>
        </w:rPr>
        <w:drawing>
          <wp:inline distT="0" distB="0" distL="0" distR="0" wp14:anchorId="33034067" wp14:editId="4B205BDE">
            <wp:extent cx="5486400" cy="2975811"/>
            <wp:effectExtent l="0" t="0" r="0" b="15240"/>
            <wp:docPr id="1570234001"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5485061" w14:textId="0313B9C1" w:rsidR="00CC69D6" w:rsidRPr="005C71F8" w:rsidRDefault="00CC69D6" w:rsidP="007E6004">
      <w:pPr>
        <w:rPr>
          <w:b/>
          <w:bCs/>
          <w:sz w:val="32"/>
          <w:szCs w:val="32"/>
        </w:rPr>
      </w:pPr>
      <w:r w:rsidRPr="005C71F8">
        <w:rPr>
          <w:b/>
          <w:bCs/>
          <w:sz w:val="32"/>
          <w:szCs w:val="32"/>
        </w:rPr>
        <w:t>Figure</w:t>
      </w:r>
      <w:r w:rsidR="00E94EF0" w:rsidRPr="005C71F8">
        <w:rPr>
          <w:b/>
          <w:bCs/>
          <w:sz w:val="32"/>
          <w:szCs w:val="32"/>
        </w:rPr>
        <w:t xml:space="preserve"> </w:t>
      </w:r>
      <w:r w:rsidR="000A04FA" w:rsidRPr="005C71F8">
        <w:rPr>
          <w:b/>
          <w:bCs/>
          <w:sz w:val="32"/>
          <w:szCs w:val="32"/>
        </w:rPr>
        <w:t>2</w:t>
      </w:r>
    </w:p>
    <w:p w14:paraId="2FDE2288" w14:textId="08C7D318" w:rsidR="00A54524" w:rsidRDefault="00454755" w:rsidP="007E6004">
      <w:pPr>
        <w:rPr>
          <w:b/>
          <w:bCs/>
          <w:sz w:val="28"/>
          <w:szCs w:val="28"/>
        </w:rPr>
      </w:pPr>
      <w:r>
        <w:rPr>
          <w:b/>
          <w:bCs/>
          <w:sz w:val="28"/>
          <w:szCs w:val="28"/>
        </w:rPr>
        <w:t>-</w:t>
      </w:r>
      <w:r w:rsidRPr="00454755">
        <w:rPr>
          <w:b/>
          <w:bCs/>
          <w:sz w:val="28"/>
          <w:szCs w:val="28"/>
        </w:rPr>
        <w:t>Benefits of Applying the CAGR</w:t>
      </w:r>
    </w:p>
    <w:p w14:paraId="7ECEC471" w14:textId="0503D6DA" w:rsidR="00454755" w:rsidRDefault="00434E2F" w:rsidP="007E6004">
      <w:pPr>
        <w:rPr>
          <w:b/>
          <w:bCs/>
          <w:sz w:val="28"/>
          <w:szCs w:val="28"/>
        </w:rPr>
      </w:pPr>
      <w:r w:rsidRPr="00434E2F">
        <w:rPr>
          <w:sz w:val="28"/>
          <w:szCs w:val="28"/>
        </w:rPr>
        <w:t>When comparing different assets over a comparable investment horizon, the Compound Annual Growth rate is a helpful measure. The fact that CAGR is unaffected by percentage fluctuations over the investment horizon, which might produce inaccurate findings, gives it an advantage over an average annualized rate of return.</w:t>
      </w:r>
      <w:r w:rsidR="00D114BA" w:rsidRPr="00D114BA">
        <w:t xml:space="preserve"> </w:t>
      </w:r>
      <w:r w:rsidR="00D114BA" w:rsidRPr="00D114BA">
        <w:rPr>
          <w:b/>
          <w:bCs/>
          <w:sz w:val="28"/>
          <w:szCs w:val="28"/>
        </w:rPr>
        <w:t>(CFI team, n.d.)</w:t>
      </w:r>
    </w:p>
    <w:p w14:paraId="571B6E42" w14:textId="7C9EE740" w:rsidR="00016FC2" w:rsidRPr="00016FC2" w:rsidRDefault="00016FC2" w:rsidP="00016FC2">
      <w:pPr>
        <w:rPr>
          <w:sz w:val="28"/>
          <w:szCs w:val="28"/>
        </w:rPr>
      </w:pPr>
      <w:r>
        <w:rPr>
          <w:b/>
          <w:bCs/>
          <w:sz w:val="28"/>
          <w:szCs w:val="28"/>
        </w:rPr>
        <w:t>COMMENT :</w:t>
      </w:r>
      <w:r w:rsidRPr="00016FC2">
        <w:t xml:space="preserve"> </w:t>
      </w:r>
      <w:r w:rsidRPr="00016FC2">
        <w:rPr>
          <w:sz w:val="28"/>
          <w:szCs w:val="28"/>
        </w:rPr>
        <w:t>Observing the search results, the following analysis of Hilton Worldwide Holdings Inc. (HLT)'s CAGR (Compound Annual Growth Rate) ratios is provided:</w:t>
      </w:r>
    </w:p>
    <w:p w14:paraId="07F19979" w14:textId="63A61882" w:rsidR="00016FC2" w:rsidRPr="00016FC2" w:rsidRDefault="00016FC2" w:rsidP="00016FC2">
      <w:pPr>
        <w:rPr>
          <w:sz w:val="28"/>
          <w:szCs w:val="28"/>
        </w:rPr>
      </w:pPr>
      <w:r w:rsidRPr="00016FC2">
        <w:rPr>
          <w:sz w:val="28"/>
          <w:szCs w:val="28"/>
        </w:rPr>
        <w:t xml:space="preserve">Several statistics on Hilton </w:t>
      </w:r>
      <w:r w:rsidRPr="00016FC2">
        <w:rPr>
          <w:sz w:val="28"/>
          <w:szCs w:val="28"/>
        </w:rPr>
        <w:t>World wide’s</w:t>
      </w:r>
      <w:r w:rsidRPr="00016FC2">
        <w:rPr>
          <w:sz w:val="28"/>
          <w:szCs w:val="28"/>
        </w:rPr>
        <w:t xml:space="preserve"> revenue CAGR are included in the search results:</w:t>
      </w:r>
      <w:r w:rsidRPr="00016FC2">
        <w:rPr>
          <w:sz w:val="28"/>
          <w:szCs w:val="28"/>
        </w:rPr>
        <w:t xml:space="preserve"> </w:t>
      </w:r>
      <w:r w:rsidRPr="00016FC2">
        <w:rPr>
          <w:sz w:val="28"/>
          <w:szCs w:val="28"/>
        </w:rPr>
        <w:t xml:space="preserve">Hilton's revenue CAGR over the last five years has been 3.7%. </w:t>
      </w:r>
    </w:p>
    <w:p w14:paraId="4C8BFF5D" w14:textId="77777777" w:rsidR="00016FC2" w:rsidRPr="00016FC2" w:rsidRDefault="00016FC2" w:rsidP="00016FC2">
      <w:pPr>
        <w:rPr>
          <w:sz w:val="28"/>
          <w:szCs w:val="28"/>
        </w:rPr>
      </w:pPr>
      <w:r w:rsidRPr="00016FC2">
        <w:rPr>
          <w:sz w:val="28"/>
          <w:szCs w:val="28"/>
        </w:rPr>
        <w:t xml:space="preserve">Hilton projects a 5.3% compound annual growth rate in sales. </w:t>
      </w:r>
    </w:p>
    <w:p w14:paraId="24FADB41" w14:textId="77777777" w:rsidR="00016FC2" w:rsidRPr="00016FC2" w:rsidRDefault="00016FC2" w:rsidP="00016FC2">
      <w:pPr>
        <w:rPr>
          <w:sz w:val="28"/>
          <w:szCs w:val="28"/>
        </w:rPr>
      </w:pPr>
      <w:r w:rsidRPr="00016FC2">
        <w:rPr>
          <w:sz w:val="28"/>
          <w:szCs w:val="28"/>
        </w:rPr>
        <w:t xml:space="preserve">For common shares, Hilton's 10-year CAGR is -11%. </w:t>
      </w:r>
    </w:p>
    <w:p w14:paraId="6BE6BE64" w14:textId="77777777" w:rsidR="00016FC2" w:rsidRPr="00016FC2" w:rsidRDefault="00016FC2" w:rsidP="00016FC2">
      <w:pPr>
        <w:rPr>
          <w:sz w:val="28"/>
          <w:szCs w:val="28"/>
        </w:rPr>
      </w:pPr>
      <w:r w:rsidRPr="00016FC2">
        <w:rPr>
          <w:sz w:val="28"/>
          <w:szCs w:val="28"/>
        </w:rPr>
        <w:t>These CAGR numbers shed light on Hilton's growth patterns:</w:t>
      </w:r>
    </w:p>
    <w:p w14:paraId="0E22F81E" w14:textId="77777777" w:rsidR="00016FC2" w:rsidRPr="00016FC2" w:rsidRDefault="00016FC2" w:rsidP="00016FC2">
      <w:pPr>
        <w:rPr>
          <w:sz w:val="28"/>
          <w:szCs w:val="28"/>
        </w:rPr>
      </w:pPr>
      <w:r w:rsidRPr="00016FC2">
        <w:rPr>
          <w:sz w:val="28"/>
          <w:szCs w:val="28"/>
        </w:rPr>
        <w:lastRenderedPageBreak/>
        <w:t>Historical 3.7% 5-year CAGR in revenue:</w:t>
      </w:r>
    </w:p>
    <w:p w14:paraId="6E955F0D" w14:textId="77777777" w:rsidR="00016FC2" w:rsidRPr="00016FC2" w:rsidRDefault="00016FC2" w:rsidP="00016FC2">
      <w:pPr>
        <w:rPr>
          <w:sz w:val="28"/>
          <w:szCs w:val="28"/>
        </w:rPr>
      </w:pPr>
      <w:r w:rsidRPr="00016FC2">
        <w:rPr>
          <w:sz w:val="28"/>
          <w:szCs w:val="28"/>
        </w:rPr>
        <w:t>This suggests that during the last five years, Hilton has seen a modest increase in revenue.</w:t>
      </w:r>
    </w:p>
    <w:p w14:paraId="736C72DA" w14:textId="77777777" w:rsidR="00016FC2" w:rsidRPr="00016FC2" w:rsidRDefault="00016FC2" w:rsidP="00016FC2">
      <w:pPr>
        <w:rPr>
          <w:sz w:val="28"/>
          <w:szCs w:val="28"/>
        </w:rPr>
      </w:pPr>
      <w:r w:rsidRPr="00016FC2">
        <w:rPr>
          <w:sz w:val="28"/>
          <w:szCs w:val="28"/>
        </w:rPr>
        <w:t>The comparatively modest CAGR indicates that, throughout this time, Hilton's revenue development has been consistent but not particularly noteworthy.</w:t>
      </w:r>
    </w:p>
    <w:p w14:paraId="0087CBE0" w14:textId="227EFC39" w:rsidR="005D32DB" w:rsidRPr="00016FC2" w:rsidRDefault="00016FC2" w:rsidP="00016FC2">
      <w:pPr>
        <w:rPr>
          <w:sz w:val="28"/>
          <w:szCs w:val="28"/>
        </w:rPr>
      </w:pPr>
      <w:r w:rsidRPr="00016FC2">
        <w:rPr>
          <w:sz w:val="28"/>
          <w:szCs w:val="28"/>
        </w:rPr>
        <w:t>Anticipated 5. Year Revenue CAGR of 11.3%:</w:t>
      </w:r>
    </w:p>
    <w:p w14:paraId="1225C5D6" w14:textId="77777777" w:rsidR="00707A71" w:rsidRDefault="00707A71" w:rsidP="007E6004">
      <w:pPr>
        <w:rPr>
          <w:b/>
          <w:bCs/>
          <w:sz w:val="28"/>
          <w:szCs w:val="28"/>
        </w:rPr>
      </w:pPr>
    </w:p>
    <w:p w14:paraId="0F35F162" w14:textId="3EE9BA11" w:rsidR="00CD69A5" w:rsidRPr="00707A71" w:rsidRDefault="00756857" w:rsidP="007E6004">
      <w:pPr>
        <w:rPr>
          <w:b/>
          <w:bCs/>
          <w:sz w:val="36"/>
          <w:szCs w:val="36"/>
        </w:rPr>
      </w:pPr>
      <w:r>
        <w:rPr>
          <w:b/>
          <w:bCs/>
          <w:sz w:val="36"/>
          <w:szCs w:val="36"/>
        </w:rPr>
        <w:t xml:space="preserve">(C) </w:t>
      </w:r>
      <w:r w:rsidR="00CD69A5" w:rsidRPr="00707A71">
        <w:rPr>
          <w:b/>
          <w:bCs/>
          <w:sz w:val="36"/>
          <w:szCs w:val="36"/>
        </w:rPr>
        <w:t xml:space="preserve">SHARP RATIO </w:t>
      </w:r>
    </w:p>
    <w:p w14:paraId="25CBB6EC" w14:textId="1FECAD22" w:rsidR="00CD69A5" w:rsidRPr="00283695" w:rsidRDefault="00CD69A5" w:rsidP="00DD2757">
      <w:pPr>
        <w:spacing w:after="0" w:line="240" w:lineRule="auto"/>
        <w:rPr>
          <w:rFonts w:eastAsia="Times New Roman" w:cstheme="minorHAnsi"/>
          <w:b/>
          <w:bCs/>
          <w:kern w:val="0"/>
          <w:sz w:val="28"/>
          <w:szCs w:val="28"/>
          <w:lang w:eastAsia="en-IN"/>
          <w14:ligatures w14:val="none"/>
        </w:rPr>
      </w:pPr>
      <w:r w:rsidRPr="00283695">
        <w:rPr>
          <w:rFonts w:eastAsia="Times New Roman" w:cstheme="minorHAnsi"/>
          <w:kern w:val="0"/>
          <w:sz w:val="28"/>
          <w:szCs w:val="28"/>
          <w:lang w:eastAsia="en-IN"/>
          <w14:ligatures w14:val="none"/>
        </w:rPr>
        <w:t xml:space="preserve">The indicator of a financial portfolio's risk-adjusted return is the Sharpe ratio. A portfolio that exhibits a greater Sharpe ratio in comparison to its rivals is deemed superior. William F. Sharpe, an emeritus professor of finance at Stanford University and a Nobel winner, is </w:t>
      </w:r>
      <w:r w:rsidR="00CE42C8" w:rsidRPr="00283695">
        <w:rPr>
          <w:rFonts w:eastAsia="Times New Roman" w:cstheme="minorHAnsi"/>
          <w:kern w:val="0"/>
          <w:sz w:val="28"/>
          <w:szCs w:val="28"/>
          <w:lang w:eastAsia="en-IN"/>
          <w14:ligatures w14:val="none"/>
        </w:rPr>
        <w:t>honoured</w:t>
      </w:r>
      <w:r w:rsidRPr="00283695">
        <w:rPr>
          <w:rFonts w:eastAsia="Times New Roman" w:cstheme="minorHAnsi"/>
          <w:kern w:val="0"/>
          <w:sz w:val="28"/>
          <w:szCs w:val="28"/>
          <w:lang w:eastAsia="en-IN"/>
          <w14:ligatures w14:val="none"/>
        </w:rPr>
        <w:t xml:space="preserve"> by the measure's name.</w:t>
      </w:r>
      <w:r w:rsidR="00DD2757" w:rsidRPr="00283695">
        <w:rPr>
          <w:rFonts w:eastAsia="Times New Roman" w:cstheme="minorHAnsi"/>
          <w:kern w:val="0"/>
          <w:sz w:val="28"/>
          <w:szCs w:val="28"/>
          <w:lang w:eastAsia="en-IN"/>
          <w14:ligatures w14:val="none"/>
        </w:rPr>
        <w:t xml:space="preserve"> </w:t>
      </w:r>
    </w:p>
    <w:p w14:paraId="10BA21F4" w14:textId="55BAB503" w:rsidR="00080144" w:rsidRPr="00283695" w:rsidRDefault="00080144" w:rsidP="00080144">
      <w:pPr>
        <w:spacing w:after="0" w:line="240" w:lineRule="auto"/>
        <w:rPr>
          <w:rFonts w:eastAsia="Times New Roman" w:cstheme="minorHAnsi"/>
          <w:kern w:val="0"/>
          <w:sz w:val="28"/>
          <w:szCs w:val="28"/>
          <w:lang w:eastAsia="en-IN"/>
          <w14:ligatures w14:val="none"/>
        </w:rPr>
      </w:pPr>
      <w:r w:rsidRPr="00283695">
        <w:rPr>
          <w:rFonts w:eastAsia="Times New Roman" w:cstheme="minorHAnsi"/>
          <w:kern w:val="0"/>
          <w:sz w:val="28"/>
          <w:szCs w:val="28"/>
          <w:lang w:eastAsia="en-IN"/>
          <w14:ligatures w14:val="none"/>
        </w:rPr>
        <w:t>-A measure of excess portfolio return above the risk-free rate in relation to standard deviation is called the Sharpe ratio. Typically, the risk-free rate is represented by the rate on 90-day Treasury bills.</w:t>
      </w:r>
    </w:p>
    <w:p w14:paraId="4FB549F5" w14:textId="77777777" w:rsidR="00080144" w:rsidRPr="00283695" w:rsidRDefault="00080144" w:rsidP="00080144">
      <w:pPr>
        <w:spacing w:after="0" w:line="240" w:lineRule="auto"/>
        <w:rPr>
          <w:rFonts w:eastAsia="Times New Roman" w:cstheme="minorHAnsi"/>
          <w:kern w:val="0"/>
          <w:sz w:val="28"/>
          <w:szCs w:val="28"/>
          <w:lang w:eastAsia="en-IN"/>
          <w14:ligatures w14:val="none"/>
        </w:rPr>
      </w:pPr>
    </w:p>
    <w:p w14:paraId="78E31E4F" w14:textId="77777777" w:rsidR="00080144" w:rsidRPr="00283695" w:rsidRDefault="00080144" w:rsidP="00080144">
      <w:pPr>
        <w:spacing w:after="0" w:line="240" w:lineRule="auto"/>
        <w:rPr>
          <w:rFonts w:eastAsia="Times New Roman" w:cstheme="minorHAnsi"/>
          <w:kern w:val="0"/>
          <w:sz w:val="28"/>
          <w:szCs w:val="28"/>
          <w:lang w:eastAsia="en-IN"/>
          <w14:ligatures w14:val="none"/>
        </w:rPr>
      </w:pPr>
      <w:r w:rsidRPr="00283695">
        <w:rPr>
          <w:rFonts w:eastAsia="Times New Roman" w:cstheme="minorHAnsi"/>
          <w:kern w:val="0"/>
          <w:sz w:val="28"/>
          <w:szCs w:val="28"/>
          <w:lang w:eastAsia="en-IN"/>
          <w14:ligatures w14:val="none"/>
        </w:rPr>
        <w:t>{R (p) – R (f)} /s (p) is the formula used to get the Sharpe ratio.</w:t>
      </w:r>
    </w:p>
    <w:p w14:paraId="3C0EA287" w14:textId="77777777" w:rsidR="00080144" w:rsidRPr="00283695" w:rsidRDefault="00080144" w:rsidP="00080144">
      <w:pPr>
        <w:spacing w:after="0" w:line="240" w:lineRule="auto"/>
        <w:rPr>
          <w:rFonts w:asciiTheme="majorHAnsi" w:eastAsia="Times New Roman" w:hAnsiTheme="majorHAnsi" w:cstheme="majorHAnsi"/>
          <w:kern w:val="0"/>
          <w:sz w:val="28"/>
          <w:szCs w:val="28"/>
          <w:lang w:eastAsia="en-IN"/>
          <w14:ligatures w14:val="none"/>
        </w:rPr>
      </w:pPr>
    </w:p>
    <w:p w14:paraId="187DE931" w14:textId="77777777" w:rsidR="00080144" w:rsidRPr="00283695" w:rsidRDefault="00080144" w:rsidP="00080144">
      <w:pPr>
        <w:spacing w:after="0" w:line="240" w:lineRule="auto"/>
        <w:rPr>
          <w:rFonts w:eastAsia="Times New Roman" w:cstheme="minorHAnsi"/>
          <w:kern w:val="0"/>
          <w:sz w:val="28"/>
          <w:szCs w:val="28"/>
          <w:lang w:eastAsia="en-IN"/>
          <w14:ligatures w14:val="none"/>
        </w:rPr>
      </w:pPr>
      <w:r w:rsidRPr="00283695">
        <w:rPr>
          <w:rFonts w:eastAsia="Times New Roman" w:cstheme="minorHAnsi"/>
          <w:kern w:val="0"/>
          <w:sz w:val="28"/>
          <w:szCs w:val="28"/>
          <w:lang w:eastAsia="en-IN"/>
          <w14:ligatures w14:val="none"/>
        </w:rPr>
        <w:t>When</w:t>
      </w:r>
    </w:p>
    <w:p w14:paraId="71C886A0" w14:textId="036774E6" w:rsidR="00080144" w:rsidRPr="00283695" w:rsidRDefault="00080144" w:rsidP="00080144">
      <w:pPr>
        <w:spacing w:after="0" w:line="240" w:lineRule="auto"/>
        <w:rPr>
          <w:rFonts w:eastAsia="Times New Roman" w:cstheme="minorHAnsi"/>
          <w:kern w:val="0"/>
          <w:sz w:val="28"/>
          <w:szCs w:val="28"/>
          <w:lang w:eastAsia="en-IN"/>
          <w14:ligatures w14:val="none"/>
        </w:rPr>
      </w:pPr>
      <w:r w:rsidRPr="00283695">
        <w:rPr>
          <w:rFonts w:eastAsia="Times New Roman" w:cstheme="minorHAnsi"/>
          <w:kern w:val="0"/>
          <w:sz w:val="28"/>
          <w:szCs w:val="28"/>
          <w:lang w:eastAsia="en-IN"/>
          <w14:ligatures w14:val="none"/>
        </w:rPr>
        <w:t>Return on portfolio (R (p)).</w:t>
      </w:r>
    </w:p>
    <w:p w14:paraId="34E1A69B" w14:textId="77777777" w:rsidR="00080144" w:rsidRPr="00283695" w:rsidRDefault="00080144" w:rsidP="00080144">
      <w:pPr>
        <w:spacing w:after="0" w:line="240" w:lineRule="auto"/>
        <w:rPr>
          <w:rFonts w:eastAsia="Times New Roman" w:cstheme="minorHAnsi"/>
          <w:kern w:val="0"/>
          <w:sz w:val="28"/>
          <w:szCs w:val="28"/>
          <w:lang w:eastAsia="en-IN"/>
          <w14:ligatures w14:val="none"/>
        </w:rPr>
      </w:pPr>
    </w:p>
    <w:p w14:paraId="383C1226" w14:textId="77777777" w:rsidR="00080144" w:rsidRPr="00283695" w:rsidRDefault="00080144" w:rsidP="00080144">
      <w:pPr>
        <w:spacing w:after="0" w:line="240" w:lineRule="auto"/>
        <w:rPr>
          <w:rFonts w:eastAsia="Times New Roman" w:cstheme="minorHAnsi"/>
          <w:kern w:val="0"/>
          <w:sz w:val="28"/>
          <w:szCs w:val="28"/>
          <w:lang w:eastAsia="en-IN"/>
          <w14:ligatures w14:val="none"/>
        </w:rPr>
      </w:pPr>
      <w:r w:rsidRPr="00283695">
        <w:rPr>
          <w:rFonts w:eastAsia="Times New Roman" w:cstheme="minorHAnsi"/>
          <w:kern w:val="0"/>
          <w:sz w:val="28"/>
          <w:szCs w:val="28"/>
          <w:lang w:eastAsia="en-IN"/>
          <w14:ligatures w14:val="none"/>
        </w:rPr>
        <w:t>Risk-free rate of return, or R (f)</w:t>
      </w:r>
    </w:p>
    <w:p w14:paraId="0B77F095" w14:textId="721C06C1" w:rsidR="00080144" w:rsidRPr="00283695" w:rsidRDefault="00080144" w:rsidP="00080144">
      <w:pPr>
        <w:spacing w:after="0" w:line="240" w:lineRule="auto"/>
        <w:rPr>
          <w:rFonts w:eastAsia="Times New Roman" w:cstheme="minorHAnsi"/>
          <w:kern w:val="0"/>
          <w:sz w:val="28"/>
          <w:szCs w:val="28"/>
          <w:lang w:eastAsia="en-IN"/>
          <w14:ligatures w14:val="none"/>
        </w:rPr>
      </w:pPr>
      <w:r w:rsidRPr="00283695">
        <w:rPr>
          <w:rFonts w:eastAsia="Times New Roman" w:cstheme="minorHAnsi"/>
          <w:kern w:val="0"/>
          <w:sz w:val="28"/>
          <w:szCs w:val="28"/>
          <w:lang w:eastAsia="en-IN"/>
          <w14:ligatures w14:val="none"/>
        </w:rPr>
        <w:t>Standard deviation of the portfolio, s (p)</w:t>
      </w:r>
    </w:p>
    <w:p w14:paraId="585D4EB0" w14:textId="14D87862" w:rsidR="00080144" w:rsidRDefault="00080144" w:rsidP="00080144">
      <w:pPr>
        <w:spacing w:after="0" w:line="240" w:lineRule="auto"/>
        <w:rPr>
          <w:rFonts w:ascii="Times New Roman" w:eastAsia="Times New Roman" w:hAnsi="Times New Roman" w:cs="Times New Roman"/>
          <w:b/>
          <w:bCs/>
          <w:kern w:val="0"/>
          <w:sz w:val="28"/>
          <w:szCs w:val="28"/>
          <w:lang w:eastAsia="en-IN"/>
          <w14:ligatures w14:val="none"/>
        </w:rPr>
      </w:pPr>
      <w:r w:rsidRPr="00283695">
        <w:rPr>
          <w:rFonts w:eastAsia="Times New Roman" w:cstheme="minorHAnsi"/>
          <w:kern w:val="0"/>
          <w:sz w:val="28"/>
          <w:szCs w:val="28"/>
          <w:lang w:eastAsia="en-IN"/>
          <w14:ligatures w14:val="none"/>
        </w:rPr>
        <w:t>Whereas the ex-ante Sharpe ratio uses projected return, the ex-post Sharpe ratio uses realized historical return.</w:t>
      </w:r>
      <w:r w:rsidRPr="00080144">
        <w:t xml:space="preserve"> </w:t>
      </w:r>
    </w:p>
    <w:p w14:paraId="2458C20D" w14:textId="0655638B" w:rsidR="00F84B3F" w:rsidRPr="006C6608" w:rsidRDefault="006C6608" w:rsidP="00080144">
      <w:pPr>
        <w:spacing w:after="0" w:line="240" w:lineRule="auto"/>
        <w:rPr>
          <w:rFonts w:ascii="Times New Roman" w:eastAsia="Times New Roman" w:hAnsi="Times New Roman" w:cs="Times New Roman"/>
          <w:b/>
          <w:bCs/>
          <w:kern w:val="0"/>
          <w:sz w:val="28"/>
          <w:szCs w:val="28"/>
          <w:lang w:eastAsia="en-IN"/>
          <w14:ligatures w14:val="none"/>
        </w:rPr>
      </w:pPr>
      <w:r w:rsidRPr="006C6608">
        <w:rPr>
          <w:rFonts w:ascii="Times New Roman" w:eastAsia="Times New Roman" w:hAnsi="Times New Roman" w:cs="Times New Roman"/>
          <w:b/>
          <w:bCs/>
          <w:kern w:val="0"/>
          <w:sz w:val="28"/>
          <w:szCs w:val="28"/>
          <w:lang w:eastAsia="en-IN"/>
          <w14:ligatures w14:val="none"/>
        </w:rPr>
        <w:t>(CFI Team, n.d.)</w:t>
      </w:r>
    </w:p>
    <w:p w14:paraId="6CCC80FD" w14:textId="0E28573F" w:rsidR="00F84B3F" w:rsidRPr="005C71F8" w:rsidRDefault="00F84B3F" w:rsidP="00080144">
      <w:pPr>
        <w:spacing w:after="0" w:line="240" w:lineRule="auto"/>
        <w:rPr>
          <w:rFonts w:ascii="Times New Roman" w:eastAsia="Times New Roman" w:hAnsi="Times New Roman" w:cs="Times New Roman"/>
          <w:b/>
          <w:bCs/>
          <w:kern w:val="0"/>
          <w:sz w:val="32"/>
          <w:szCs w:val="32"/>
          <w:lang w:eastAsia="en-IN"/>
          <w14:ligatures w14:val="none"/>
        </w:rPr>
      </w:pPr>
      <w:r w:rsidRPr="005C71F8">
        <w:rPr>
          <w:rFonts w:ascii="Times New Roman" w:eastAsia="Times New Roman" w:hAnsi="Times New Roman" w:cs="Times New Roman"/>
          <w:b/>
          <w:bCs/>
          <w:kern w:val="0"/>
          <w:sz w:val="32"/>
          <w:szCs w:val="32"/>
          <w:lang w:eastAsia="en-IN"/>
          <w14:ligatures w14:val="none"/>
        </w:rPr>
        <w:t>Figure</w:t>
      </w:r>
      <w:r w:rsidR="00E94EF0" w:rsidRPr="005C71F8">
        <w:rPr>
          <w:rFonts w:ascii="Times New Roman" w:eastAsia="Times New Roman" w:hAnsi="Times New Roman" w:cs="Times New Roman"/>
          <w:b/>
          <w:bCs/>
          <w:kern w:val="0"/>
          <w:sz w:val="32"/>
          <w:szCs w:val="32"/>
          <w:lang w:eastAsia="en-IN"/>
          <w14:ligatures w14:val="none"/>
        </w:rPr>
        <w:t xml:space="preserve"> </w:t>
      </w:r>
      <w:r w:rsidR="005C71F8" w:rsidRPr="005C71F8">
        <w:rPr>
          <w:rFonts w:ascii="Times New Roman" w:eastAsia="Times New Roman" w:hAnsi="Times New Roman" w:cs="Times New Roman"/>
          <w:b/>
          <w:bCs/>
          <w:kern w:val="0"/>
          <w:sz w:val="32"/>
          <w:szCs w:val="32"/>
          <w:lang w:eastAsia="en-IN"/>
          <w14:ligatures w14:val="none"/>
        </w:rPr>
        <w:t>3</w:t>
      </w:r>
    </w:p>
    <w:p w14:paraId="67497F11" w14:textId="77777777" w:rsidR="004F18A5" w:rsidRPr="005C71F8" w:rsidRDefault="004F18A5" w:rsidP="00DD2757">
      <w:pPr>
        <w:spacing w:after="0" w:line="240" w:lineRule="auto"/>
        <w:rPr>
          <w:rFonts w:ascii="Times New Roman" w:eastAsia="Times New Roman" w:hAnsi="Times New Roman" w:cs="Times New Roman"/>
          <w:b/>
          <w:bCs/>
          <w:kern w:val="0"/>
          <w:sz w:val="32"/>
          <w:szCs w:val="32"/>
          <w:lang w:eastAsia="en-IN"/>
          <w14:ligatures w14:val="none"/>
        </w:rPr>
      </w:pPr>
    </w:p>
    <w:p w14:paraId="07497202" w14:textId="4D599C1B" w:rsidR="004F18A5" w:rsidRDefault="005E546D" w:rsidP="00DD2757">
      <w:pPr>
        <w:spacing w:after="0" w:line="240" w:lineRule="auto"/>
        <w:rPr>
          <w:rFonts w:ascii="Times New Roman" w:eastAsia="Times New Roman" w:hAnsi="Times New Roman" w:cs="Times New Roman"/>
          <w:kern w:val="0"/>
          <w:sz w:val="24"/>
          <w:szCs w:val="24"/>
          <w:lang w:eastAsia="en-IN"/>
          <w14:ligatures w14:val="none"/>
        </w:rPr>
      </w:pPr>
      <w:r>
        <w:rPr>
          <w:rFonts w:ascii="Times New Roman" w:eastAsia="Times New Roman" w:hAnsi="Times New Roman" w:cs="Times New Roman"/>
          <w:noProof/>
          <w:kern w:val="0"/>
          <w:sz w:val="24"/>
          <w:szCs w:val="24"/>
          <w:lang w:eastAsia="en-IN"/>
        </w:rPr>
        <w:lastRenderedPageBreak/>
        <w:drawing>
          <wp:inline distT="0" distB="0" distL="0" distR="0" wp14:anchorId="01C6A908" wp14:editId="392CAEAC">
            <wp:extent cx="5622758" cy="2674620"/>
            <wp:effectExtent l="0" t="0" r="16510" b="11430"/>
            <wp:docPr id="49503785"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4E0B933" w14:textId="77777777" w:rsidR="004F18A5" w:rsidRPr="00DD2757" w:rsidRDefault="004F18A5" w:rsidP="00315594">
      <w:pPr>
        <w:spacing w:after="0" w:line="240" w:lineRule="auto"/>
        <w:ind w:firstLine="720"/>
        <w:rPr>
          <w:rFonts w:ascii="Times New Roman" w:eastAsia="Times New Roman" w:hAnsi="Times New Roman" w:cs="Times New Roman"/>
          <w:kern w:val="0"/>
          <w:sz w:val="24"/>
          <w:szCs w:val="24"/>
          <w:lang w:eastAsia="en-IN"/>
          <w14:ligatures w14:val="none"/>
        </w:rPr>
      </w:pPr>
    </w:p>
    <w:p w14:paraId="6C885CA1" w14:textId="77777777" w:rsidR="00051ABE" w:rsidRDefault="00051ABE" w:rsidP="007E6004">
      <w:pPr>
        <w:rPr>
          <w:sz w:val="28"/>
          <w:szCs w:val="28"/>
        </w:rPr>
      </w:pPr>
    </w:p>
    <w:p w14:paraId="7CDF87FB" w14:textId="04868907" w:rsidR="00051ABE" w:rsidRDefault="00FF2D60" w:rsidP="007E6004">
      <w:pPr>
        <w:rPr>
          <w:sz w:val="28"/>
          <w:szCs w:val="28"/>
        </w:rPr>
      </w:pPr>
      <w:r>
        <w:rPr>
          <w:sz w:val="28"/>
          <w:szCs w:val="28"/>
        </w:rPr>
        <w:t xml:space="preserve">Comment of Sharpe </w:t>
      </w:r>
      <w:r w:rsidR="005C28F6">
        <w:rPr>
          <w:sz w:val="28"/>
          <w:szCs w:val="28"/>
        </w:rPr>
        <w:t>ratio:</w:t>
      </w:r>
    </w:p>
    <w:p w14:paraId="0FFCD1E2" w14:textId="77777777" w:rsidR="005C28F6" w:rsidRDefault="005C28F6" w:rsidP="007E6004">
      <w:pPr>
        <w:rPr>
          <w:sz w:val="28"/>
          <w:szCs w:val="28"/>
        </w:rPr>
      </w:pPr>
    </w:p>
    <w:p w14:paraId="06107493" w14:textId="25A74422" w:rsidR="005C28F6" w:rsidRPr="00381A06" w:rsidRDefault="00381A06" w:rsidP="007E6004">
      <w:pPr>
        <w:rPr>
          <w:b/>
          <w:bCs/>
          <w:sz w:val="28"/>
          <w:szCs w:val="28"/>
        </w:rPr>
      </w:pPr>
      <w:bookmarkStart w:id="2" w:name="_Hlk165369926"/>
      <w:r w:rsidRPr="00381A06">
        <w:rPr>
          <w:b/>
          <w:bCs/>
          <w:sz w:val="28"/>
          <w:szCs w:val="28"/>
        </w:rPr>
        <w:t>TREYNOR RATIOS:</w:t>
      </w:r>
    </w:p>
    <w:bookmarkEnd w:id="2"/>
    <w:p w14:paraId="7D258E61" w14:textId="51AC9CC5" w:rsidR="009D290C" w:rsidRPr="009D290C" w:rsidRDefault="00B27DCF" w:rsidP="009D290C">
      <w:pPr>
        <w:rPr>
          <w:sz w:val="28"/>
          <w:szCs w:val="28"/>
        </w:rPr>
      </w:pPr>
      <w:r>
        <w:rPr>
          <w:sz w:val="28"/>
          <w:szCs w:val="28"/>
        </w:rPr>
        <w:t>-</w:t>
      </w:r>
      <w:r w:rsidR="00381A06" w:rsidRPr="00381A06">
        <w:rPr>
          <w:sz w:val="28"/>
          <w:szCs w:val="28"/>
        </w:rPr>
        <w:t xml:space="preserve">The fund's performance, adjusted for risk, is displayed by the Treynor ratio. Here, the portfolio's beta serves as the denominator. It considers the portfolio's </w:t>
      </w:r>
      <w:r w:rsidR="009D290C" w:rsidRPr="00381A06">
        <w:rPr>
          <w:sz w:val="28"/>
          <w:szCs w:val="28"/>
        </w:rPr>
        <w:t>si</w:t>
      </w:r>
      <w:r w:rsidR="009D290C" w:rsidRPr="009D290C">
        <w:rPr>
          <w:sz w:val="28"/>
          <w:szCs w:val="28"/>
        </w:rPr>
        <w:t>byl establishing the Treynor ratio, Jack Treynor expanded on the research of William Sharpe. The denominator is the sole distinction between Treynor and Sharpe ratios, which are otherwise comparable.</w:t>
      </w:r>
    </w:p>
    <w:p w14:paraId="7884E6B2" w14:textId="66071A64" w:rsidR="009D290C" w:rsidRPr="009D290C" w:rsidRDefault="00B27DCF" w:rsidP="009D290C">
      <w:pPr>
        <w:rPr>
          <w:sz w:val="28"/>
          <w:szCs w:val="28"/>
        </w:rPr>
      </w:pPr>
      <w:r>
        <w:rPr>
          <w:sz w:val="28"/>
          <w:szCs w:val="28"/>
        </w:rPr>
        <w:t>-</w:t>
      </w:r>
      <w:r w:rsidR="009D290C" w:rsidRPr="009D290C">
        <w:rPr>
          <w:sz w:val="28"/>
          <w:szCs w:val="28"/>
        </w:rPr>
        <w:t>The Treynor ratio formula is (Rp-Rf)/Beta.</w:t>
      </w:r>
    </w:p>
    <w:p w14:paraId="600B52C5" w14:textId="77777777" w:rsidR="009D290C" w:rsidRDefault="009D290C" w:rsidP="009D290C">
      <w:pPr>
        <w:rPr>
          <w:sz w:val="28"/>
          <w:szCs w:val="28"/>
        </w:rPr>
      </w:pPr>
      <w:r w:rsidRPr="009D290C">
        <w:rPr>
          <w:sz w:val="28"/>
          <w:szCs w:val="28"/>
        </w:rPr>
        <w:t>where in</w:t>
      </w:r>
      <w:r>
        <w:rPr>
          <w:sz w:val="28"/>
          <w:szCs w:val="28"/>
        </w:rPr>
        <w:t xml:space="preserve"> </w:t>
      </w:r>
    </w:p>
    <w:p w14:paraId="27FEDD8E" w14:textId="4BD25B74" w:rsidR="009D290C" w:rsidRPr="009D290C" w:rsidRDefault="009D290C" w:rsidP="009D290C">
      <w:pPr>
        <w:rPr>
          <w:sz w:val="28"/>
          <w:szCs w:val="28"/>
        </w:rPr>
      </w:pPr>
      <w:r w:rsidRPr="009D290C">
        <w:rPr>
          <w:sz w:val="28"/>
          <w:szCs w:val="28"/>
        </w:rPr>
        <w:t>Rp: Portfolio return</w:t>
      </w:r>
    </w:p>
    <w:p w14:paraId="7563C62E" w14:textId="77777777" w:rsidR="009D290C" w:rsidRPr="009D290C" w:rsidRDefault="009D290C" w:rsidP="009D290C">
      <w:pPr>
        <w:rPr>
          <w:sz w:val="28"/>
          <w:szCs w:val="28"/>
        </w:rPr>
      </w:pPr>
      <w:r w:rsidRPr="009D290C">
        <w:rPr>
          <w:sz w:val="28"/>
          <w:szCs w:val="28"/>
        </w:rPr>
        <w:t>Risk-free rate, or Rf</w:t>
      </w:r>
    </w:p>
    <w:p w14:paraId="6286890F" w14:textId="3305E0D1" w:rsidR="00381A06" w:rsidRDefault="009D290C" w:rsidP="009D290C">
      <w:pPr>
        <w:rPr>
          <w:sz w:val="28"/>
          <w:szCs w:val="28"/>
        </w:rPr>
      </w:pPr>
      <w:r w:rsidRPr="009D290C">
        <w:rPr>
          <w:sz w:val="28"/>
          <w:szCs w:val="28"/>
        </w:rPr>
        <w:t>B: Beta, the portfolio's susceptibility to shifts in the market as a whole.</w:t>
      </w:r>
      <w:r w:rsidR="0066570A">
        <w:rPr>
          <w:sz w:val="28"/>
          <w:szCs w:val="28"/>
        </w:rPr>
        <w:t xml:space="preserve"> </w:t>
      </w:r>
      <w:r w:rsidR="0066570A" w:rsidRPr="00381A06">
        <w:rPr>
          <w:sz w:val="28"/>
          <w:szCs w:val="28"/>
        </w:rPr>
        <w:t>sematic</w:t>
      </w:r>
      <w:r w:rsidR="00381A06" w:rsidRPr="00381A06">
        <w:rPr>
          <w:sz w:val="28"/>
          <w:szCs w:val="28"/>
        </w:rPr>
        <w:t xml:space="preserve"> risk as a result.</w:t>
      </w:r>
    </w:p>
    <w:p w14:paraId="6A8DCC55" w14:textId="2C1C363C" w:rsidR="000F7A99" w:rsidRDefault="000F7A99" w:rsidP="009D290C">
      <w:pPr>
        <w:rPr>
          <w:sz w:val="28"/>
          <w:szCs w:val="28"/>
        </w:rPr>
      </w:pPr>
      <w:r w:rsidRPr="000F7A99">
        <w:rPr>
          <w:sz w:val="28"/>
          <w:szCs w:val="28"/>
        </w:rPr>
        <w:t>Treynor denominates the variable in beta rather than the standard deviation, in contrast to Sharpe. Just the portfolio's susceptibility to market movements is measured by the beta, whereas the standard deviation captures the entirety of volatility—both up and down. Treynor ratios indicate that a fund with a higher ratio would likely outperform another fund with a lower ratio in terms of risk-adjusted return.</w:t>
      </w:r>
      <w:r w:rsidR="00CA2FFE">
        <w:rPr>
          <w:sz w:val="28"/>
          <w:szCs w:val="28"/>
        </w:rPr>
        <w:t xml:space="preserve"> (       )</w:t>
      </w:r>
    </w:p>
    <w:p w14:paraId="45962811" w14:textId="77777777" w:rsidR="009D290C" w:rsidRPr="00381A06" w:rsidRDefault="009D290C" w:rsidP="007E6004">
      <w:pPr>
        <w:rPr>
          <w:sz w:val="28"/>
          <w:szCs w:val="28"/>
        </w:rPr>
      </w:pPr>
    </w:p>
    <w:p w14:paraId="0D2BDA5B" w14:textId="66498160" w:rsidR="005C28F6" w:rsidRPr="00A404D7" w:rsidRDefault="00A404D7" w:rsidP="007E6004">
      <w:pPr>
        <w:rPr>
          <w:b/>
          <w:bCs/>
          <w:sz w:val="28"/>
          <w:szCs w:val="28"/>
        </w:rPr>
      </w:pPr>
      <w:r w:rsidRPr="00A404D7">
        <w:rPr>
          <w:b/>
          <w:bCs/>
          <w:sz w:val="28"/>
          <w:szCs w:val="28"/>
        </w:rPr>
        <w:t xml:space="preserve">Figure </w:t>
      </w:r>
      <w:r w:rsidR="005C71F8">
        <w:rPr>
          <w:b/>
          <w:bCs/>
          <w:sz w:val="28"/>
          <w:szCs w:val="28"/>
        </w:rPr>
        <w:t>4</w:t>
      </w:r>
    </w:p>
    <w:p w14:paraId="7A0A6C3B" w14:textId="77777777" w:rsidR="00A404D7" w:rsidRDefault="00A404D7" w:rsidP="007E6004">
      <w:pPr>
        <w:rPr>
          <w:sz w:val="28"/>
          <w:szCs w:val="28"/>
        </w:rPr>
      </w:pPr>
    </w:p>
    <w:p w14:paraId="3A6F1A96" w14:textId="77777777" w:rsidR="005C28F6" w:rsidRDefault="005C28F6" w:rsidP="007E6004">
      <w:pPr>
        <w:rPr>
          <w:sz w:val="28"/>
          <w:szCs w:val="28"/>
        </w:rPr>
      </w:pPr>
    </w:p>
    <w:p w14:paraId="79F79EEA" w14:textId="2E934168" w:rsidR="00051ABE" w:rsidRDefault="005E546D" w:rsidP="007E6004">
      <w:pPr>
        <w:rPr>
          <w:sz w:val="28"/>
          <w:szCs w:val="28"/>
        </w:rPr>
      </w:pPr>
      <w:r>
        <w:rPr>
          <w:noProof/>
          <w:sz w:val="28"/>
          <w:szCs w:val="28"/>
        </w:rPr>
        <w:drawing>
          <wp:inline distT="0" distB="0" distL="0" distR="0" wp14:anchorId="441D09D8" wp14:editId="126101EB">
            <wp:extent cx="4480560" cy="2560320"/>
            <wp:effectExtent l="0" t="0" r="15240" b="11430"/>
            <wp:docPr id="586966055"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4D9F081" w14:textId="77777777" w:rsidR="00051ABE" w:rsidRDefault="00051ABE" w:rsidP="007E6004">
      <w:pPr>
        <w:rPr>
          <w:sz w:val="28"/>
          <w:szCs w:val="28"/>
        </w:rPr>
      </w:pPr>
    </w:p>
    <w:p w14:paraId="3F4912EA" w14:textId="77777777" w:rsidR="005A413E" w:rsidRDefault="000B1E00" w:rsidP="005A413E">
      <w:r>
        <w:rPr>
          <w:sz w:val="28"/>
          <w:szCs w:val="28"/>
        </w:rPr>
        <w:t>Comment on Treynor ratios:</w:t>
      </w:r>
      <w:r w:rsidR="005A413E" w:rsidRPr="005A413E">
        <w:t xml:space="preserve"> </w:t>
      </w:r>
    </w:p>
    <w:p w14:paraId="316FFD56" w14:textId="2D3E04C0" w:rsidR="005A413E" w:rsidRPr="005A413E" w:rsidRDefault="005A413E" w:rsidP="005A413E">
      <w:pPr>
        <w:rPr>
          <w:sz w:val="28"/>
          <w:szCs w:val="28"/>
        </w:rPr>
      </w:pPr>
      <w:r w:rsidRPr="005A413E">
        <w:rPr>
          <w:sz w:val="28"/>
          <w:szCs w:val="28"/>
        </w:rPr>
        <w:t>With a 10-year Sharpe Ratio of 2.20 and a current ratio of 1.70, the search results show that Hilton Worldwide has a great ratio.</w:t>
      </w:r>
    </w:p>
    <w:p w14:paraId="30568903" w14:textId="77777777" w:rsidR="005A413E" w:rsidRPr="005A413E" w:rsidRDefault="005A413E" w:rsidP="005A413E">
      <w:pPr>
        <w:rPr>
          <w:sz w:val="28"/>
          <w:szCs w:val="28"/>
        </w:rPr>
      </w:pPr>
      <w:r w:rsidRPr="005A413E">
        <w:rPr>
          <w:sz w:val="28"/>
          <w:szCs w:val="28"/>
        </w:rPr>
        <w:t>Over 1.0 is regarded as satisfactory, and over 2.0 as extremely good, according to the Sharpe Ratio.</w:t>
      </w:r>
    </w:p>
    <w:p w14:paraId="02D2F77C" w14:textId="77777777" w:rsidR="005A413E" w:rsidRPr="005A413E" w:rsidRDefault="005A413E" w:rsidP="005A413E">
      <w:pPr>
        <w:rPr>
          <w:sz w:val="28"/>
          <w:szCs w:val="28"/>
        </w:rPr>
      </w:pPr>
      <w:r w:rsidRPr="005A413E">
        <w:rPr>
          <w:sz w:val="28"/>
          <w:szCs w:val="28"/>
        </w:rPr>
        <w:t>This indicates that, in comparison to the risk (as determined by standard deviation) assumed by investors, Hilton Worldwide has produced a high degree of return.</w:t>
      </w:r>
    </w:p>
    <w:p w14:paraId="0F67AEAE" w14:textId="726CF6C8" w:rsidR="00051ABE" w:rsidRDefault="005A413E" w:rsidP="005A413E">
      <w:pPr>
        <w:rPr>
          <w:sz w:val="28"/>
          <w:szCs w:val="28"/>
        </w:rPr>
      </w:pPr>
      <w:r w:rsidRPr="005A413E">
        <w:rPr>
          <w:sz w:val="28"/>
          <w:szCs w:val="28"/>
        </w:rPr>
        <w:t>Hilton Worldwide has outperformed the overall market in terms of risk-adjusted performance, as seen by the high Sharpe Ratio.</w:t>
      </w:r>
    </w:p>
    <w:p w14:paraId="49D164AC" w14:textId="77777777" w:rsidR="00521998" w:rsidRPr="00521998" w:rsidRDefault="00521998" w:rsidP="00521998">
      <w:pPr>
        <w:rPr>
          <w:sz w:val="28"/>
          <w:szCs w:val="28"/>
        </w:rPr>
      </w:pPr>
      <w:r w:rsidRPr="00521998">
        <w:rPr>
          <w:sz w:val="28"/>
          <w:szCs w:val="28"/>
        </w:rPr>
        <w:t>Treynor to Ratio: 2.</w:t>
      </w:r>
    </w:p>
    <w:p w14:paraId="010FE5A4" w14:textId="541B136C" w:rsidR="00521998" w:rsidRPr="00521998" w:rsidRDefault="00521998" w:rsidP="00521998">
      <w:pPr>
        <w:rPr>
          <w:sz w:val="28"/>
          <w:szCs w:val="28"/>
        </w:rPr>
      </w:pPr>
      <w:r w:rsidRPr="00521998">
        <w:rPr>
          <w:sz w:val="28"/>
          <w:szCs w:val="28"/>
        </w:rPr>
        <w:t>Another indicator of risk-adjusted return that is included in the search results is Hilton World</w:t>
      </w:r>
      <w:r>
        <w:rPr>
          <w:sz w:val="28"/>
          <w:szCs w:val="28"/>
        </w:rPr>
        <w:t xml:space="preserve"> </w:t>
      </w:r>
      <w:r w:rsidRPr="00521998">
        <w:rPr>
          <w:sz w:val="28"/>
          <w:szCs w:val="28"/>
        </w:rPr>
        <w:t>wide's Treynor Ratio.</w:t>
      </w:r>
    </w:p>
    <w:p w14:paraId="59E97F2C" w14:textId="2DC50953" w:rsidR="00521998" w:rsidRPr="00521998" w:rsidRDefault="00521998" w:rsidP="00521998">
      <w:pPr>
        <w:rPr>
          <w:sz w:val="28"/>
          <w:szCs w:val="28"/>
        </w:rPr>
      </w:pPr>
      <w:r w:rsidRPr="00521998">
        <w:rPr>
          <w:sz w:val="28"/>
          <w:szCs w:val="28"/>
        </w:rPr>
        <w:t>Hilton World</w:t>
      </w:r>
      <w:r>
        <w:rPr>
          <w:sz w:val="28"/>
          <w:szCs w:val="28"/>
        </w:rPr>
        <w:t xml:space="preserve"> </w:t>
      </w:r>
      <w:r w:rsidRPr="00521998">
        <w:rPr>
          <w:sz w:val="28"/>
          <w:szCs w:val="28"/>
        </w:rPr>
        <w:t>wide's Treynor Ratio is 0.91, indicating that for every unit of systematic risk (beta), the business has produced 0.91 units of extra return.</w:t>
      </w:r>
    </w:p>
    <w:p w14:paraId="6DC09678" w14:textId="77777777" w:rsidR="00521998" w:rsidRPr="00521998" w:rsidRDefault="00521998" w:rsidP="00521998">
      <w:pPr>
        <w:rPr>
          <w:sz w:val="28"/>
          <w:szCs w:val="28"/>
        </w:rPr>
      </w:pPr>
      <w:r w:rsidRPr="00521998">
        <w:rPr>
          <w:sz w:val="28"/>
          <w:szCs w:val="28"/>
        </w:rPr>
        <w:lastRenderedPageBreak/>
        <w:t>Instead of using standard deviation as the measure of risk like the Sharpe Ratio does, the Treynor Ratio employs beta.</w:t>
      </w:r>
    </w:p>
    <w:p w14:paraId="0A859655" w14:textId="35D057C7" w:rsidR="000B1E00" w:rsidRPr="00F12B6E" w:rsidRDefault="00521998" w:rsidP="007E6004">
      <w:pPr>
        <w:rPr>
          <w:b/>
          <w:bCs/>
          <w:sz w:val="28"/>
          <w:szCs w:val="28"/>
        </w:rPr>
      </w:pPr>
      <w:r w:rsidRPr="00521998">
        <w:rPr>
          <w:sz w:val="28"/>
          <w:szCs w:val="28"/>
        </w:rPr>
        <w:t>Better risk-adjusted performance is indicated by a higher Treynor Ratio, and Hilton World</w:t>
      </w:r>
      <w:r>
        <w:rPr>
          <w:sz w:val="28"/>
          <w:szCs w:val="28"/>
        </w:rPr>
        <w:t xml:space="preserve"> </w:t>
      </w:r>
      <w:r w:rsidRPr="00521998">
        <w:rPr>
          <w:sz w:val="28"/>
          <w:szCs w:val="28"/>
        </w:rPr>
        <w:t>wide's ratio of 0.91 is seen as a respectable level of risk-adjusted return.</w:t>
      </w:r>
      <w:r w:rsidR="00995BA2" w:rsidRPr="00995BA2">
        <w:t xml:space="preserve"> </w:t>
      </w:r>
      <w:r w:rsidR="00995BA2" w:rsidRPr="00995BA2">
        <w:rPr>
          <w:b/>
          <w:bCs/>
          <w:sz w:val="28"/>
          <w:szCs w:val="28"/>
        </w:rPr>
        <w:t>(What is Treynor Ratio? Definition of Treynor Ratio, Treynor Ratio Meaning - The Economic Times, 2019)</w:t>
      </w:r>
    </w:p>
    <w:p w14:paraId="07598212" w14:textId="77777777" w:rsidR="000B1E00" w:rsidRDefault="000B1E00" w:rsidP="007E6004">
      <w:pPr>
        <w:rPr>
          <w:sz w:val="28"/>
          <w:szCs w:val="28"/>
        </w:rPr>
      </w:pPr>
    </w:p>
    <w:p w14:paraId="5948392E" w14:textId="21A0C0C9" w:rsidR="00D26AE3" w:rsidRPr="00221FB5" w:rsidRDefault="00D821D4" w:rsidP="00D26AE3">
      <w:pPr>
        <w:rPr>
          <w:b/>
          <w:bCs/>
          <w:sz w:val="32"/>
          <w:szCs w:val="32"/>
        </w:rPr>
      </w:pPr>
      <w:r>
        <w:rPr>
          <w:b/>
          <w:bCs/>
          <w:sz w:val="32"/>
          <w:szCs w:val="32"/>
        </w:rPr>
        <w:t>-</w:t>
      </w:r>
      <w:r w:rsidR="00D26AE3" w:rsidRPr="00221FB5">
        <w:rPr>
          <w:b/>
          <w:bCs/>
          <w:sz w:val="32"/>
          <w:szCs w:val="32"/>
        </w:rPr>
        <w:t xml:space="preserve">one-year performance baseline </w:t>
      </w:r>
      <w:r w:rsidR="00221FB5" w:rsidRPr="00221FB5">
        <w:rPr>
          <w:b/>
          <w:bCs/>
          <w:sz w:val="32"/>
          <w:szCs w:val="32"/>
        </w:rPr>
        <w:t>2023-2024</w:t>
      </w:r>
    </w:p>
    <w:p w14:paraId="0DCF1042" w14:textId="0D13516C" w:rsidR="00D138DE" w:rsidRDefault="00D26AE3" w:rsidP="007E6004">
      <w:pPr>
        <w:rPr>
          <w:sz w:val="28"/>
          <w:szCs w:val="28"/>
        </w:rPr>
      </w:pPr>
      <w:r w:rsidRPr="00D26AE3">
        <w:rPr>
          <w:sz w:val="28"/>
          <w:szCs w:val="28"/>
        </w:rPr>
        <w:t xml:space="preserve">  </w:t>
      </w:r>
      <w:r w:rsidR="00E27575">
        <w:rPr>
          <w:noProof/>
        </w:rPr>
        <w:t xml:space="preserve"> O</w:t>
      </w:r>
      <w:r w:rsidR="00CC51EC">
        <w:rPr>
          <w:noProof/>
        </w:rPr>
        <w:drawing>
          <wp:inline distT="0" distB="0" distL="0" distR="0" wp14:anchorId="37A06AA2" wp14:editId="6FC298A7">
            <wp:extent cx="5731510" cy="3799840"/>
            <wp:effectExtent l="0" t="0" r="2540" b="0"/>
            <wp:docPr id="7350635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799840"/>
                    </a:xfrm>
                    <a:prstGeom prst="rect">
                      <a:avLst/>
                    </a:prstGeom>
                    <a:noFill/>
                    <a:ln>
                      <a:noFill/>
                    </a:ln>
                  </pic:spPr>
                </pic:pic>
              </a:graphicData>
            </a:graphic>
          </wp:inline>
        </w:drawing>
      </w:r>
    </w:p>
    <w:p w14:paraId="32DFF6AF" w14:textId="24C07E59" w:rsidR="00051ABE" w:rsidRDefault="00051ABE" w:rsidP="007E6004">
      <w:pPr>
        <w:rPr>
          <w:sz w:val="28"/>
          <w:szCs w:val="28"/>
        </w:rPr>
      </w:pPr>
    </w:p>
    <w:p w14:paraId="7D0996EE" w14:textId="77777777" w:rsidR="00471793" w:rsidRDefault="00637DDD" w:rsidP="00471793">
      <w:pPr>
        <w:rPr>
          <w:sz w:val="28"/>
          <w:szCs w:val="28"/>
        </w:rPr>
      </w:pPr>
      <w:r>
        <w:rPr>
          <w:sz w:val="28"/>
          <w:szCs w:val="28"/>
        </w:rPr>
        <w:t>Comment on year chart:</w:t>
      </w:r>
      <w:r w:rsidR="00471793">
        <w:rPr>
          <w:sz w:val="28"/>
          <w:szCs w:val="28"/>
        </w:rPr>
        <w:t xml:space="preserve"> </w:t>
      </w:r>
    </w:p>
    <w:p w14:paraId="5F3564C1" w14:textId="11EE463F" w:rsidR="00471793" w:rsidRPr="00471793" w:rsidRDefault="00471793" w:rsidP="00471793">
      <w:pPr>
        <w:rPr>
          <w:sz w:val="28"/>
          <w:szCs w:val="28"/>
        </w:rPr>
      </w:pPr>
      <w:r w:rsidRPr="00471793">
        <w:t xml:space="preserve"> </w:t>
      </w:r>
      <w:r w:rsidRPr="00471793">
        <w:rPr>
          <w:sz w:val="28"/>
          <w:szCs w:val="28"/>
        </w:rPr>
        <w:t>Based on the data shown in the search results, the following is a commentary on Hilton Worldwide Holdings Inc.'s (HLT) 2023–2024 one-year performance baseline. Based on the search results, Hilton Worldwide is expected to continue growing in 2024 after a successful 2023:</w:t>
      </w:r>
    </w:p>
    <w:p w14:paraId="1E671A2E" w14:textId="77777777" w:rsidR="00471793" w:rsidRPr="00471793" w:rsidRDefault="00471793" w:rsidP="00471793">
      <w:pPr>
        <w:rPr>
          <w:sz w:val="28"/>
          <w:szCs w:val="28"/>
        </w:rPr>
      </w:pPr>
      <w:r w:rsidRPr="00471793">
        <w:rPr>
          <w:sz w:val="28"/>
          <w:szCs w:val="28"/>
        </w:rPr>
        <w:t>The following major metrics were recorded by Hilton in 2023:</w:t>
      </w:r>
    </w:p>
    <w:p w14:paraId="746416EC" w14:textId="77777777" w:rsidR="00471793" w:rsidRPr="00471793" w:rsidRDefault="00471793" w:rsidP="00471793">
      <w:pPr>
        <w:rPr>
          <w:sz w:val="28"/>
          <w:szCs w:val="28"/>
        </w:rPr>
      </w:pPr>
      <w:r w:rsidRPr="00471793">
        <w:rPr>
          <w:sz w:val="28"/>
          <w:szCs w:val="28"/>
        </w:rPr>
        <w:t>For the entire year, diluted EPS was $4.33</w:t>
      </w:r>
    </w:p>
    <w:p w14:paraId="3ED04F20" w14:textId="77777777" w:rsidR="00471793" w:rsidRPr="00471793" w:rsidRDefault="00471793" w:rsidP="00471793">
      <w:pPr>
        <w:rPr>
          <w:sz w:val="28"/>
          <w:szCs w:val="28"/>
        </w:rPr>
      </w:pPr>
      <w:r w:rsidRPr="00471793">
        <w:rPr>
          <w:sz w:val="28"/>
          <w:szCs w:val="28"/>
        </w:rPr>
        <w:lastRenderedPageBreak/>
        <w:t>For the whole year, adjusted EBITDA was $3,089 million.</w:t>
      </w:r>
    </w:p>
    <w:p w14:paraId="58784DF9" w14:textId="77777777" w:rsidR="00471793" w:rsidRPr="00471793" w:rsidRDefault="00471793" w:rsidP="00471793">
      <w:pPr>
        <w:rPr>
          <w:sz w:val="28"/>
          <w:szCs w:val="28"/>
        </w:rPr>
      </w:pPr>
      <w:r w:rsidRPr="00471793">
        <w:rPr>
          <w:sz w:val="28"/>
          <w:szCs w:val="28"/>
        </w:rPr>
        <w:t>In comparison to 2022, the system-wide comparable RevPAR (revenue per available room) climbed by 12.6%.</w:t>
      </w:r>
    </w:p>
    <w:p w14:paraId="1A543103" w14:textId="77777777" w:rsidR="00471793" w:rsidRPr="00471793" w:rsidRDefault="00471793" w:rsidP="00471793">
      <w:pPr>
        <w:rPr>
          <w:sz w:val="28"/>
          <w:szCs w:val="28"/>
        </w:rPr>
      </w:pPr>
      <w:r w:rsidRPr="00471793">
        <w:rPr>
          <w:sz w:val="28"/>
          <w:szCs w:val="28"/>
        </w:rPr>
        <w:t>approved 33,800 more rooms for development, increasing the total number of rooms in the pipeline to 462,400.</w:t>
      </w:r>
    </w:p>
    <w:p w14:paraId="2AE8F49E" w14:textId="77777777" w:rsidR="00471793" w:rsidRPr="00471793" w:rsidRDefault="00471793" w:rsidP="00471793">
      <w:pPr>
        <w:rPr>
          <w:sz w:val="28"/>
          <w:szCs w:val="28"/>
        </w:rPr>
      </w:pPr>
      <w:r w:rsidRPr="00471793">
        <w:rPr>
          <w:sz w:val="28"/>
          <w:szCs w:val="28"/>
        </w:rPr>
        <w:t>brought a record 24,000 rooms to the Hilton network, resulting in a 4.9% increase in net unit growth. With an eye toward 2024, Hilton anticipates:</w:t>
      </w:r>
    </w:p>
    <w:p w14:paraId="5E2A5080" w14:textId="2E89870B" w:rsidR="00AE0A4B" w:rsidRPr="00AE0A4B" w:rsidRDefault="00471793" w:rsidP="00AE0A4B">
      <w:pPr>
        <w:rPr>
          <w:sz w:val="28"/>
          <w:szCs w:val="28"/>
        </w:rPr>
      </w:pPr>
      <w:r w:rsidRPr="00471793">
        <w:rPr>
          <w:sz w:val="28"/>
          <w:szCs w:val="28"/>
        </w:rPr>
        <w:t>RevPAR for the entire system in 2024</w:t>
      </w:r>
      <w:r w:rsidR="00AE0A4B" w:rsidRPr="00AE0A4B">
        <w:t xml:space="preserve"> </w:t>
      </w:r>
      <w:r w:rsidR="00AE0A4B" w:rsidRPr="00AE0A4B">
        <w:rPr>
          <w:sz w:val="28"/>
          <w:szCs w:val="28"/>
        </w:rPr>
        <w:t>R will rise in comparison to 2023 by 2.0% to 4.0%.</w:t>
      </w:r>
    </w:p>
    <w:p w14:paraId="185F218F" w14:textId="77777777" w:rsidR="00AE0A4B" w:rsidRPr="00AE0A4B" w:rsidRDefault="00AE0A4B" w:rsidP="00AE0A4B">
      <w:pPr>
        <w:rPr>
          <w:sz w:val="28"/>
          <w:szCs w:val="28"/>
        </w:rPr>
      </w:pPr>
      <w:r w:rsidRPr="00AE0A4B">
        <w:rPr>
          <w:sz w:val="28"/>
          <w:szCs w:val="28"/>
        </w:rPr>
        <w:t>2024's total net income is expected to range from $1,694 million to $1,729 million.</w:t>
      </w:r>
    </w:p>
    <w:p w14:paraId="14972360" w14:textId="77777777" w:rsidR="00AE0A4B" w:rsidRPr="00AE0A4B" w:rsidRDefault="00AE0A4B" w:rsidP="00AE0A4B">
      <w:pPr>
        <w:rPr>
          <w:sz w:val="28"/>
          <w:szCs w:val="28"/>
        </w:rPr>
      </w:pPr>
      <w:r w:rsidRPr="00AE0A4B">
        <w:rPr>
          <w:sz w:val="28"/>
          <w:szCs w:val="28"/>
        </w:rPr>
        <w:t>Whole calendar year 2024 The range of adjusted EBITDA is $3,330 million to $3,380 million.</w:t>
      </w:r>
    </w:p>
    <w:p w14:paraId="0534C4BD" w14:textId="77777777" w:rsidR="00AE0A4B" w:rsidRPr="00AE0A4B" w:rsidRDefault="00AE0A4B" w:rsidP="00AE0A4B">
      <w:pPr>
        <w:rPr>
          <w:sz w:val="28"/>
          <w:szCs w:val="28"/>
        </w:rPr>
      </w:pPr>
      <w:r w:rsidRPr="00AE0A4B">
        <w:rPr>
          <w:sz w:val="28"/>
          <w:szCs w:val="28"/>
        </w:rPr>
        <w:t>A capital return of around $3.0 billion for the entire year 2024</w:t>
      </w:r>
    </w:p>
    <w:p w14:paraId="546C363D" w14:textId="77777777" w:rsidR="00AE0A4B" w:rsidRPr="00AE0A4B" w:rsidRDefault="00AE0A4B" w:rsidP="00AE0A4B">
      <w:pPr>
        <w:rPr>
          <w:sz w:val="28"/>
          <w:szCs w:val="28"/>
        </w:rPr>
      </w:pPr>
      <w:r w:rsidRPr="00AE0A4B">
        <w:rPr>
          <w:sz w:val="28"/>
          <w:szCs w:val="28"/>
        </w:rPr>
        <w:t>Hilton's stock price has increased by 56.75% over the previous 52 weeks, according to the search results, demonstrating significant investor confidence in the company's performance.</w:t>
      </w:r>
    </w:p>
    <w:p w14:paraId="57B33E43" w14:textId="49243508" w:rsidR="008166BF" w:rsidRPr="00F12B6E" w:rsidRDefault="00AE0A4B" w:rsidP="007E6004">
      <w:pPr>
        <w:rPr>
          <w:sz w:val="28"/>
          <w:szCs w:val="28"/>
        </w:rPr>
      </w:pPr>
      <w:r w:rsidRPr="00AE0A4B">
        <w:rPr>
          <w:sz w:val="28"/>
          <w:szCs w:val="28"/>
        </w:rPr>
        <w:t>The search results collectively present Hilton Worldwide as a firm that will generate great financial and operational results in 2023 and that will continue to develop and perform well into 2024. Based on the one-year baseline from 2023 to 2024, Hilton appears to be in a strong position to expand on its current achievements and continue to be a top global hospitality</w:t>
      </w:r>
      <w:r w:rsidR="00D53BDB">
        <w:rPr>
          <w:sz w:val="28"/>
          <w:szCs w:val="28"/>
        </w:rPr>
        <w:t xml:space="preserve"> </w:t>
      </w:r>
      <w:r w:rsidR="00D53BDB" w:rsidRPr="00D53BDB">
        <w:rPr>
          <w:sz w:val="28"/>
          <w:szCs w:val="28"/>
        </w:rPr>
        <w:t>organization.</w:t>
      </w:r>
    </w:p>
    <w:p w14:paraId="4A793B7C" w14:textId="77777777" w:rsidR="008166BF" w:rsidRDefault="008166BF" w:rsidP="007E6004">
      <w:pPr>
        <w:rPr>
          <w:b/>
          <w:bCs/>
          <w:sz w:val="28"/>
          <w:szCs w:val="28"/>
        </w:rPr>
      </w:pPr>
    </w:p>
    <w:p w14:paraId="1B628357" w14:textId="12686862" w:rsidR="00637DDD" w:rsidRPr="00431B32" w:rsidRDefault="00D53BDB" w:rsidP="007E6004">
      <w:pPr>
        <w:rPr>
          <w:b/>
          <w:bCs/>
          <w:sz w:val="28"/>
          <w:szCs w:val="28"/>
        </w:rPr>
      </w:pPr>
      <w:r w:rsidRPr="00D53BDB">
        <w:rPr>
          <w:b/>
          <w:bCs/>
          <w:sz w:val="28"/>
          <w:szCs w:val="28"/>
        </w:rPr>
        <w:t xml:space="preserve">WHAT </w:t>
      </w:r>
      <w:r w:rsidR="00431B32" w:rsidRPr="00431B32">
        <w:rPr>
          <w:b/>
          <w:bCs/>
          <w:sz w:val="28"/>
          <w:szCs w:val="28"/>
        </w:rPr>
        <w:t xml:space="preserve">IS CALL AND PUT: </w:t>
      </w:r>
    </w:p>
    <w:p w14:paraId="40EB943F" w14:textId="295A3F3F" w:rsidR="00637DDD" w:rsidRDefault="00431B32" w:rsidP="007E6004">
      <w:pPr>
        <w:rPr>
          <w:sz w:val="28"/>
          <w:szCs w:val="28"/>
        </w:rPr>
      </w:pPr>
      <w:r w:rsidRPr="00431B32">
        <w:rPr>
          <w:sz w:val="28"/>
          <w:szCs w:val="28"/>
        </w:rPr>
        <w:t>The right, but not the responsibility, to purchase or sell the underlying asset by a given date (the expiration date) at a predetermined price (the strike price) is what an option is, a derivative. Both puts and calls are different kinds of options. Prior to their expiration, American-style options are exercisable at any point. It is only possible to execute European-style options on the day of expiry.</w:t>
      </w:r>
    </w:p>
    <w:p w14:paraId="78377EFA" w14:textId="77777777" w:rsidR="00756857" w:rsidRDefault="00637DDD" w:rsidP="007E6004">
      <w:pPr>
        <w:rPr>
          <w:b/>
          <w:bCs/>
          <w:sz w:val="40"/>
          <w:szCs w:val="40"/>
        </w:rPr>
      </w:pPr>
      <w:bookmarkStart w:id="3" w:name="_Hlk165373485"/>
      <w:r w:rsidRPr="005553CD">
        <w:rPr>
          <w:b/>
          <w:bCs/>
          <w:sz w:val="40"/>
          <w:szCs w:val="40"/>
        </w:rPr>
        <w:t>3</w:t>
      </w:r>
      <w:r w:rsidR="00756857">
        <w:rPr>
          <w:b/>
          <w:bCs/>
          <w:sz w:val="40"/>
          <w:szCs w:val="40"/>
        </w:rPr>
        <w:t>}</w:t>
      </w:r>
    </w:p>
    <w:p w14:paraId="0FDDE540" w14:textId="2E13DD51" w:rsidR="00637DDD" w:rsidRPr="004D18A1" w:rsidRDefault="00756857" w:rsidP="007E6004">
      <w:pPr>
        <w:rPr>
          <w:b/>
          <w:bCs/>
          <w:sz w:val="32"/>
          <w:szCs w:val="32"/>
        </w:rPr>
      </w:pPr>
      <w:r>
        <w:rPr>
          <w:b/>
          <w:bCs/>
          <w:sz w:val="40"/>
          <w:szCs w:val="40"/>
        </w:rPr>
        <w:t>(A)</w:t>
      </w:r>
      <w:r w:rsidR="00637DDD">
        <w:rPr>
          <w:sz w:val="28"/>
          <w:szCs w:val="28"/>
        </w:rPr>
        <w:t xml:space="preserve"> </w:t>
      </w:r>
      <w:r w:rsidR="004D18A1" w:rsidRPr="004D18A1">
        <w:rPr>
          <w:b/>
          <w:bCs/>
          <w:sz w:val="32"/>
          <w:szCs w:val="32"/>
        </w:rPr>
        <w:t>DERIVATION CONTRACT PAYOFF IN THE MONEY CALL OPTIN</w:t>
      </w:r>
    </w:p>
    <w:bookmarkEnd w:id="3"/>
    <w:p w14:paraId="7A87CEC7" w14:textId="7A1DF7A1" w:rsidR="00051ABE" w:rsidRDefault="00227090" w:rsidP="007E6004">
      <w:pPr>
        <w:rPr>
          <w:sz w:val="28"/>
          <w:szCs w:val="28"/>
        </w:rPr>
      </w:pPr>
      <w:r w:rsidRPr="00227090">
        <w:rPr>
          <w:sz w:val="28"/>
          <w:szCs w:val="28"/>
        </w:rPr>
        <w:lastRenderedPageBreak/>
        <w:t>Calls provide the buyer the right, but not the responsibility, to purchase the underlying asset at the option contract's strike price. When investors think the price of the underlying asset will rise, they will purchase calls; if they think it will fall, they will sell calls.</w:t>
      </w:r>
    </w:p>
    <w:p w14:paraId="57566927" w14:textId="2B4A0C83" w:rsidR="00DD2AE0" w:rsidRDefault="00DD2AE0" w:rsidP="007E6004">
      <w:pPr>
        <w:rPr>
          <w:sz w:val="28"/>
          <w:szCs w:val="28"/>
        </w:rPr>
      </w:pPr>
      <w:r w:rsidRPr="00DD2AE0">
        <w:rPr>
          <w:sz w:val="28"/>
          <w:szCs w:val="28"/>
        </w:rPr>
        <w:t xml:space="preserve">When they sign into a contract, buyers of call options pay the option price in full. When the market moves in the buyer's </w:t>
      </w:r>
      <w:r w:rsidR="00992A96" w:rsidRPr="00DD2AE0">
        <w:rPr>
          <w:sz w:val="28"/>
          <w:szCs w:val="28"/>
        </w:rPr>
        <w:t>Favor</w:t>
      </w:r>
      <w:r w:rsidRPr="00DD2AE0">
        <w:rPr>
          <w:sz w:val="28"/>
          <w:szCs w:val="28"/>
        </w:rPr>
        <w:t>, he enjoys the possibility of making a profit. Beyond the purchase price, there is little chance that the option will result in any additional losses. One of the best things about purchasing alternatives is this. The customer is guaranteed an unrestricted profit potential for a finite investment, together with a known and tightly limited potential loss.</w:t>
      </w:r>
    </w:p>
    <w:p w14:paraId="7DE189D8" w14:textId="253D0C8E" w:rsidR="00051ABE" w:rsidRPr="0065470F" w:rsidRDefault="00992A96" w:rsidP="007E6004">
      <w:pPr>
        <w:rPr>
          <w:b/>
          <w:bCs/>
          <w:sz w:val="32"/>
          <w:szCs w:val="32"/>
        </w:rPr>
      </w:pPr>
      <w:r w:rsidRPr="00992A96">
        <w:rPr>
          <w:sz w:val="28"/>
          <w:szCs w:val="28"/>
        </w:rPr>
        <w:t>In the event that the investor forfeits their option purchase money before the option expires and the spot price of the underlying asset does not climb over the option strike price. Still, the call buyer benefits if the underlying asset's price does end up rising over the strike price. Subtracting the option purchase price from the additional value of the underlying asset and multiplying the resultant amount by the difference between the market price and the option's strike price yields the profit</w:t>
      </w:r>
      <w:r w:rsidRPr="0065470F">
        <w:rPr>
          <w:b/>
          <w:bCs/>
          <w:sz w:val="32"/>
          <w:szCs w:val="32"/>
        </w:rPr>
        <w:t>.</w:t>
      </w:r>
      <w:r w:rsidR="0065470F" w:rsidRPr="0065470F">
        <w:rPr>
          <w:b/>
          <w:bCs/>
          <w:sz w:val="32"/>
          <w:szCs w:val="32"/>
        </w:rPr>
        <w:t xml:space="preserve"> </w:t>
      </w:r>
      <w:r w:rsidR="0065470F" w:rsidRPr="0065470F">
        <w:rPr>
          <w:b/>
          <w:bCs/>
          <w:sz w:val="32"/>
          <w:szCs w:val="32"/>
        </w:rPr>
        <w:t>(CFI Team, 2023)</w:t>
      </w:r>
    </w:p>
    <w:p w14:paraId="58BD0BAA" w14:textId="77777777" w:rsidR="00255672" w:rsidRDefault="00255672" w:rsidP="007E6004">
      <w:pPr>
        <w:rPr>
          <w:sz w:val="28"/>
          <w:szCs w:val="28"/>
        </w:rPr>
      </w:pPr>
    </w:p>
    <w:p w14:paraId="1F49D714" w14:textId="538097CA" w:rsidR="00255672" w:rsidRPr="005C71F8" w:rsidRDefault="00255672" w:rsidP="007E6004">
      <w:pPr>
        <w:rPr>
          <w:b/>
          <w:bCs/>
          <w:sz w:val="32"/>
          <w:szCs w:val="32"/>
        </w:rPr>
      </w:pPr>
      <w:r w:rsidRPr="005C71F8">
        <w:rPr>
          <w:b/>
          <w:bCs/>
          <w:sz w:val="32"/>
          <w:szCs w:val="32"/>
        </w:rPr>
        <w:t xml:space="preserve">FIGURE </w:t>
      </w:r>
      <w:r w:rsidR="005C71F8" w:rsidRPr="005C71F8">
        <w:rPr>
          <w:b/>
          <w:bCs/>
          <w:sz w:val="32"/>
          <w:szCs w:val="32"/>
        </w:rPr>
        <w:t>5</w:t>
      </w:r>
    </w:p>
    <w:p w14:paraId="7799CD90" w14:textId="3322DBAA" w:rsidR="00255672" w:rsidRDefault="005708A9" w:rsidP="007E6004">
      <w:pPr>
        <w:rPr>
          <w:sz w:val="28"/>
          <w:szCs w:val="28"/>
        </w:rPr>
      </w:pPr>
      <w:r>
        <w:rPr>
          <w:sz w:val="28"/>
          <w:szCs w:val="28"/>
        </w:rPr>
        <w:t xml:space="preserve">  </w:t>
      </w:r>
    </w:p>
    <w:p w14:paraId="7C597A03" w14:textId="07197F18" w:rsidR="00255672" w:rsidRDefault="00202B8B" w:rsidP="007E6004">
      <w:pPr>
        <w:rPr>
          <w:sz w:val="28"/>
          <w:szCs w:val="28"/>
        </w:rPr>
      </w:pPr>
      <w:r>
        <w:rPr>
          <w:noProof/>
        </w:rPr>
        <w:drawing>
          <wp:inline distT="0" distB="0" distL="0" distR="0" wp14:anchorId="011DF1E7" wp14:editId="64ABCA44">
            <wp:extent cx="5731510" cy="2217420"/>
            <wp:effectExtent l="0" t="0" r="2540" b="0"/>
            <wp:docPr id="12387659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217420"/>
                    </a:xfrm>
                    <a:prstGeom prst="rect">
                      <a:avLst/>
                    </a:prstGeom>
                    <a:noFill/>
                    <a:ln>
                      <a:noFill/>
                    </a:ln>
                  </pic:spPr>
                </pic:pic>
              </a:graphicData>
            </a:graphic>
          </wp:inline>
        </w:drawing>
      </w:r>
    </w:p>
    <w:p w14:paraId="245FCB94" w14:textId="77777777" w:rsidR="00255672" w:rsidRDefault="00255672" w:rsidP="007E6004">
      <w:pPr>
        <w:rPr>
          <w:sz w:val="28"/>
          <w:szCs w:val="28"/>
        </w:rPr>
      </w:pPr>
    </w:p>
    <w:p w14:paraId="667B9FCC" w14:textId="77777777" w:rsidR="00255672" w:rsidRDefault="00255672" w:rsidP="007E6004">
      <w:pPr>
        <w:rPr>
          <w:sz w:val="28"/>
          <w:szCs w:val="28"/>
        </w:rPr>
      </w:pPr>
    </w:p>
    <w:p w14:paraId="319619FA" w14:textId="77777777" w:rsidR="00AC2360" w:rsidRPr="00AC2360" w:rsidRDefault="00AC2360" w:rsidP="00AC2360">
      <w:pPr>
        <w:rPr>
          <w:sz w:val="28"/>
          <w:szCs w:val="28"/>
        </w:rPr>
      </w:pPr>
      <w:r w:rsidRPr="00AC2360">
        <w:rPr>
          <w:sz w:val="28"/>
          <w:szCs w:val="28"/>
        </w:rPr>
        <w:t>To calculate the payoff, we use the following formula:</w:t>
      </w:r>
    </w:p>
    <w:p w14:paraId="666F6548" w14:textId="77777777" w:rsidR="00AC2360" w:rsidRPr="00AC2360" w:rsidRDefault="00AC2360" w:rsidP="00AC2360">
      <w:pPr>
        <w:rPr>
          <w:sz w:val="28"/>
          <w:szCs w:val="28"/>
        </w:rPr>
      </w:pPr>
    </w:p>
    <w:p w14:paraId="5A8D76B6" w14:textId="77777777" w:rsidR="00AC2360" w:rsidRPr="00AC2360" w:rsidRDefault="00AC2360" w:rsidP="00AC2360">
      <w:pPr>
        <w:rPr>
          <w:sz w:val="28"/>
          <w:szCs w:val="28"/>
        </w:rPr>
      </w:pPr>
      <w:r w:rsidRPr="00AC2360">
        <w:rPr>
          <w:sz w:val="28"/>
          <w:szCs w:val="28"/>
        </w:rPr>
        <w:t>Payoff = Current price of share - Strike price</w:t>
      </w:r>
    </w:p>
    <w:p w14:paraId="0010121E" w14:textId="50848ADF" w:rsidR="00AC2360" w:rsidRPr="00AC2360" w:rsidRDefault="00AC2360" w:rsidP="00AC2360">
      <w:pPr>
        <w:rPr>
          <w:sz w:val="28"/>
          <w:szCs w:val="28"/>
        </w:rPr>
      </w:pPr>
      <w:r w:rsidRPr="00AC2360">
        <w:rPr>
          <w:sz w:val="28"/>
          <w:szCs w:val="28"/>
        </w:rPr>
        <w:t>Payoff = $</w:t>
      </w:r>
      <w:r>
        <w:rPr>
          <w:sz w:val="28"/>
          <w:szCs w:val="28"/>
        </w:rPr>
        <w:t>20</w:t>
      </w:r>
      <w:r w:rsidR="00AF0693">
        <w:rPr>
          <w:sz w:val="28"/>
          <w:szCs w:val="28"/>
        </w:rPr>
        <w:t>2</w:t>
      </w:r>
      <w:r>
        <w:rPr>
          <w:sz w:val="28"/>
          <w:szCs w:val="28"/>
        </w:rPr>
        <w:t xml:space="preserve">.16 </w:t>
      </w:r>
      <w:r w:rsidRPr="00AC2360">
        <w:rPr>
          <w:sz w:val="28"/>
          <w:szCs w:val="28"/>
        </w:rPr>
        <w:t>- $</w:t>
      </w:r>
      <w:r w:rsidR="00AF0693">
        <w:rPr>
          <w:sz w:val="28"/>
          <w:szCs w:val="28"/>
        </w:rPr>
        <w:t>200</w:t>
      </w:r>
    </w:p>
    <w:p w14:paraId="0393AEE4" w14:textId="6048D367" w:rsidR="00AC2360" w:rsidRPr="00AC2360" w:rsidRDefault="00AC2360" w:rsidP="00AC2360">
      <w:pPr>
        <w:rPr>
          <w:sz w:val="28"/>
          <w:szCs w:val="28"/>
        </w:rPr>
      </w:pPr>
      <w:r w:rsidRPr="00AC2360">
        <w:rPr>
          <w:sz w:val="28"/>
          <w:szCs w:val="28"/>
        </w:rPr>
        <w:t>Payoff = $2.1</w:t>
      </w:r>
      <w:r w:rsidR="00AF0693">
        <w:rPr>
          <w:sz w:val="28"/>
          <w:szCs w:val="28"/>
        </w:rPr>
        <w:t>6</w:t>
      </w:r>
    </w:p>
    <w:p w14:paraId="53A917D3" w14:textId="77777777" w:rsidR="00AC2360" w:rsidRPr="00AC2360" w:rsidRDefault="00AC2360" w:rsidP="00AC2360">
      <w:pPr>
        <w:rPr>
          <w:sz w:val="28"/>
          <w:szCs w:val="28"/>
        </w:rPr>
      </w:pPr>
      <w:r w:rsidRPr="00AC2360">
        <w:rPr>
          <w:sz w:val="28"/>
          <w:szCs w:val="28"/>
        </w:rPr>
        <w:t>The payoff profit is calculated as follows:</w:t>
      </w:r>
    </w:p>
    <w:p w14:paraId="1903ED96" w14:textId="77777777" w:rsidR="00AC2360" w:rsidRPr="00AC2360" w:rsidRDefault="00AC2360" w:rsidP="00AC2360">
      <w:pPr>
        <w:rPr>
          <w:sz w:val="28"/>
          <w:szCs w:val="28"/>
        </w:rPr>
      </w:pPr>
    </w:p>
    <w:p w14:paraId="46BE6564" w14:textId="77777777" w:rsidR="00AC2360" w:rsidRPr="00AC2360" w:rsidRDefault="00AC2360" w:rsidP="00AC2360">
      <w:pPr>
        <w:rPr>
          <w:sz w:val="28"/>
          <w:szCs w:val="28"/>
        </w:rPr>
      </w:pPr>
      <w:r w:rsidRPr="00AC2360">
        <w:rPr>
          <w:sz w:val="28"/>
          <w:szCs w:val="28"/>
        </w:rPr>
        <w:t>Payoff Profit = Payoff - Premium</w:t>
      </w:r>
    </w:p>
    <w:p w14:paraId="11447543" w14:textId="77777777" w:rsidR="00AC2360" w:rsidRPr="00AC2360" w:rsidRDefault="00AC2360" w:rsidP="00AC2360">
      <w:pPr>
        <w:rPr>
          <w:sz w:val="28"/>
          <w:szCs w:val="28"/>
        </w:rPr>
      </w:pPr>
      <w:r w:rsidRPr="00AC2360">
        <w:rPr>
          <w:sz w:val="28"/>
          <w:szCs w:val="28"/>
        </w:rPr>
        <w:t>In this case:</w:t>
      </w:r>
    </w:p>
    <w:p w14:paraId="0A534D35" w14:textId="7B578812" w:rsidR="00AC2360" w:rsidRPr="00AC2360" w:rsidRDefault="00AC2360" w:rsidP="00AC2360">
      <w:pPr>
        <w:rPr>
          <w:sz w:val="28"/>
          <w:szCs w:val="28"/>
        </w:rPr>
      </w:pPr>
      <w:r w:rsidRPr="00AC2360">
        <w:rPr>
          <w:sz w:val="28"/>
          <w:szCs w:val="28"/>
        </w:rPr>
        <w:t>Payoff Profit = $2.1</w:t>
      </w:r>
      <w:r w:rsidR="00AF0693">
        <w:rPr>
          <w:sz w:val="28"/>
          <w:szCs w:val="28"/>
        </w:rPr>
        <w:t>6</w:t>
      </w:r>
      <w:r w:rsidRPr="00AC2360">
        <w:rPr>
          <w:sz w:val="28"/>
          <w:szCs w:val="28"/>
        </w:rPr>
        <w:t xml:space="preserve"> - $</w:t>
      </w:r>
      <w:r w:rsidR="00AF0693">
        <w:rPr>
          <w:sz w:val="28"/>
          <w:szCs w:val="28"/>
        </w:rPr>
        <w:t>5.25</w:t>
      </w:r>
    </w:p>
    <w:p w14:paraId="26B5A5FA" w14:textId="03074665" w:rsidR="00255672" w:rsidRDefault="00AC2360" w:rsidP="007E6004">
      <w:pPr>
        <w:rPr>
          <w:sz w:val="28"/>
          <w:szCs w:val="28"/>
        </w:rPr>
      </w:pPr>
      <w:r w:rsidRPr="00AC2360">
        <w:rPr>
          <w:sz w:val="28"/>
          <w:szCs w:val="28"/>
        </w:rPr>
        <w:t>Payoff Profit = -$</w:t>
      </w:r>
      <w:r w:rsidR="00AF0693">
        <w:rPr>
          <w:sz w:val="28"/>
          <w:szCs w:val="28"/>
        </w:rPr>
        <w:t>3.09</w:t>
      </w:r>
    </w:p>
    <w:p w14:paraId="0A365630" w14:textId="77777777" w:rsidR="00255672" w:rsidRDefault="00255672" w:rsidP="007E6004">
      <w:pPr>
        <w:rPr>
          <w:sz w:val="28"/>
          <w:szCs w:val="28"/>
        </w:rPr>
      </w:pPr>
    </w:p>
    <w:p w14:paraId="54C6AD84" w14:textId="77777777" w:rsidR="00F12B6E" w:rsidRDefault="00756857" w:rsidP="007E6004">
      <w:pPr>
        <w:rPr>
          <w:b/>
          <w:bCs/>
          <w:sz w:val="32"/>
          <w:szCs w:val="32"/>
        </w:rPr>
      </w:pPr>
      <w:r w:rsidRPr="00756857">
        <w:rPr>
          <w:b/>
          <w:bCs/>
          <w:sz w:val="32"/>
          <w:szCs w:val="32"/>
        </w:rPr>
        <w:t>(B)</w:t>
      </w:r>
      <w:r w:rsidR="00EC2E82" w:rsidRPr="00EC2E82">
        <w:rPr>
          <w:b/>
          <w:bCs/>
          <w:sz w:val="32"/>
          <w:szCs w:val="32"/>
        </w:rPr>
        <w:t>THE MONEY PUT OPTI</w:t>
      </w:r>
      <w:r w:rsidR="00C23BFF">
        <w:rPr>
          <w:b/>
          <w:bCs/>
          <w:sz w:val="32"/>
          <w:szCs w:val="32"/>
        </w:rPr>
        <w:t>ON</w:t>
      </w:r>
      <w:r w:rsidR="00EC2E82" w:rsidRPr="00EC2E82">
        <w:rPr>
          <w:b/>
          <w:bCs/>
          <w:sz w:val="32"/>
          <w:szCs w:val="32"/>
        </w:rPr>
        <w:t xml:space="preserve"> WITH HILTON'S WORLDWIDE </w:t>
      </w:r>
    </w:p>
    <w:p w14:paraId="33044A30" w14:textId="76632671" w:rsidR="00255672" w:rsidRDefault="00EC2E82" w:rsidP="007E6004">
      <w:pPr>
        <w:rPr>
          <w:sz w:val="28"/>
          <w:szCs w:val="28"/>
        </w:rPr>
      </w:pPr>
      <w:r w:rsidRPr="00EC2E82">
        <w:rPr>
          <w:b/>
          <w:bCs/>
          <w:sz w:val="32"/>
          <w:szCs w:val="32"/>
        </w:rPr>
        <w:t>D</w:t>
      </w:r>
      <w:r w:rsidR="00F12B6E">
        <w:rPr>
          <w:b/>
          <w:bCs/>
          <w:sz w:val="32"/>
          <w:szCs w:val="32"/>
        </w:rPr>
        <w:t>e</w:t>
      </w:r>
      <w:r w:rsidRPr="00EC2E82">
        <w:rPr>
          <w:b/>
          <w:bCs/>
          <w:sz w:val="32"/>
          <w:szCs w:val="32"/>
        </w:rPr>
        <w:t>rivation Contract Payoff</w:t>
      </w:r>
    </w:p>
    <w:p w14:paraId="45FBC7CE" w14:textId="127D82E9" w:rsidR="00051ABE" w:rsidRDefault="007922D9" w:rsidP="007E6004">
      <w:pPr>
        <w:rPr>
          <w:sz w:val="28"/>
          <w:szCs w:val="28"/>
        </w:rPr>
      </w:pPr>
      <w:r w:rsidRPr="007922D9">
        <w:rPr>
          <w:sz w:val="28"/>
          <w:szCs w:val="28"/>
        </w:rPr>
        <w:t>The buyer of a put option has the option, but not the duty, to sell the underlying asset at the contract's strike price. When the put buyer exercises their option, the put option writer (seller) is required to purchase the asset. Puts are purchased by investors if they anticipate a decline in the value of the underlying asset and sold if they anticipate a gain in value.</w:t>
      </w:r>
    </w:p>
    <w:p w14:paraId="3F4ACFFF" w14:textId="10D633EA" w:rsidR="00D94AD1" w:rsidRPr="00D94AD1" w:rsidRDefault="00D94AD1" w:rsidP="00D94AD1">
      <w:pPr>
        <w:rPr>
          <w:sz w:val="28"/>
          <w:szCs w:val="28"/>
        </w:rPr>
      </w:pPr>
      <w:r w:rsidRPr="00D94AD1">
        <w:rPr>
          <w:sz w:val="28"/>
          <w:szCs w:val="28"/>
        </w:rPr>
        <w:t>The buyer of a put option has the option to sell the underlying asset at the option strike price. The amount that the buyer of the option will earn from will depend on how much the current price drops below the strike price. Put buyers are said to be "in-the-money" if the spot price is less than the strike price. Without exercise, the option will expire with the spot price still greater than the strike price. Once more, the option buyer's loss is capped at the option premium.</w:t>
      </w:r>
    </w:p>
    <w:p w14:paraId="4A3BA8EA" w14:textId="7DE68DAD" w:rsidR="00D94AD1" w:rsidRDefault="00D94AD1" w:rsidP="00D94AD1">
      <w:pPr>
        <w:rPr>
          <w:sz w:val="28"/>
          <w:szCs w:val="28"/>
        </w:rPr>
      </w:pPr>
      <w:r w:rsidRPr="00D94AD1">
        <w:rPr>
          <w:sz w:val="28"/>
          <w:szCs w:val="28"/>
        </w:rPr>
        <w:t>If the contract's strike price is less than the spot price of the underlying asset, the put writer is considered to be "out-of-the-money." The put option buyer's profit is equal to their loss. As long as the market price is higher than the strike price</w:t>
      </w:r>
      <w:r w:rsidR="00AC388A" w:rsidRPr="00AC388A">
        <w:t xml:space="preserve"> </w:t>
      </w:r>
      <w:r w:rsidR="00AC388A" w:rsidRPr="00AC388A">
        <w:rPr>
          <w:sz w:val="28"/>
          <w:szCs w:val="28"/>
        </w:rPr>
        <w:t>the writer keeps the option premium when the option expires unsettled at the end of the contract</w:t>
      </w:r>
      <w:r w:rsidR="004A02ED">
        <w:rPr>
          <w:sz w:val="28"/>
          <w:szCs w:val="28"/>
        </w:rPr>
        <w:t xml:space="preserve">. </w:t>
      </w:r>
      <w:r w:rsidR="004A0D61" w:rsidRPr="004A0D61">
        <w:rPr>
          <w:b/>
          <w:bCs/>
          <w:sz w:val="28"/>
          <w:szCs w:val="28"/>
        </w:rPr>
        <w:t>(CFI Team, 2023)</w:t>
      </w:r>
      <w:r w:rsidR="00AC388A" w:rsidRPr="004A0D61">
        <w:rPr>
          <w:b/>
          <w:bCs/>
          <w:sz w:val="28"/>
          <w:szCs w:val="28"/>
        </w:rPr>
        <w:t>.</w:t>
      </w:r>
    </w:p>
    <w:p w14:paraId="1F0261F1" w14:textId="7D490F08" w:rsidR="002B694E" w:rsidRPr="005C71F8" w:rsidRDefault="004C7587" w:rsidP="00D94AD1">
      <w:pPr>
        <w:rPr>
          <w:b/>
          <w:bCs/>
          <w:sz w:val="32"/>
          <w:szCs w:val="32"/>
        </w:rPr>
      </w:pPr>
      <w:r w:rsidRPr="005C71F8">
        <w:rPr>
          <w:b/>
          <w:bCs/>
          <w:sz w:val="32"/>
          <w:szCs w:val="32"/>
        </w:rPr>
        <w:lastRenderedPageBreak/>
        <w:t xml:space="preserve">FIGURE </w:t>
      </w:r>
      <w:r w:rsidR="002B694E">
        <w:rPr>
          <w:b/>
          <w:bCs/>
          <w:sz w:val="32"/>
          <w:szCs w:val="32"/>
        </w:rPr>
        <w:t>6</w:t>
      </w:r>
    </w:p>
    <w:p w14:paraId="5E81EAB4" w14:textId="77777777" w:rsidR="004C7587" w:rsidRDefault="004C7587" w:rsidP="00D94AD1">
      <w:pPr>
        <w:rPr>
          <w:sz w:val="28"/>
          <w:szCs w:val="28"/>
        </w:rPr>
      </w:pPr>
    </w:p>
    <w:p w14:paraId="1799137A" w14:textId="5EA202A8" w:rsidR="004C7587" w:rsidRDefault="00BC4035" w:rsidP="00D94AD1">
      <w:pPr>
        <w:rPr>
          <w:sz w:val="28"/>
          <w:szCs w:val="28"/>
        </w:rPr>
      </w:pPr>
      <w:r>
        <w:rPr>
          <w:noProof/>
        </w:rPr>
        <w:drawing>
          <wp:inline distT="0" distB="0" distL="0" distR="0" wp14:anchorId="208959D4" wp14:editId="16ED3B34">
            <wp:extent cx="5731510" cy="2344420"/>
            <wp:effectExtent l="0" t="0" r="2540" b="0"/>
            <wp:docPr id="26338907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344420"/>
                    </a:xfrm>
                    <a:prstGeom prst="rect">
                      <a:avLst/>
                    </a:prstGeom>
                    <a:noFill/>
                    <a:ln>
                      <a:noFill/>
                    </a:ln>
                  </pic:spPr>
                </pic:pic>
              </a:graphicData>
            </a:graphic>
          </wp:inline>
        </w:drawing>
      </w:r>
    </w:p>
    <w:p w14:paraId="46FC513D" w14:textId="77777777" w:rsidR="004C7587" w:rsidRDefault="004C7587" w:rsidP="00D94AD1">
      <w:pPr>
        <w:rPr>
          <w:sz w:val="28"/>
          <w:szCs w:val="28"/>
        </w:rPr>
      </w:pPr>
    </w:p>
    <w:p w14:paraId="262B6D41" w14:textId="77777777" w:rsidR="004C7587" w:rsidRDefault="004C7587" w:rsidP="00D94AD1">
      <w:pPr>
        <w:rPr>
          <w:sz w:val="28"/>
          <w:szCs w:val="28"/>
        </w:rPr>
      </w:pPr>
    </w:p>
    <w:p w14:paraId="439C901E" w14:textId="7243FCD9" w:rsidR="00804216" w:rsidRDefault="00F04847" w:rsidP="00804216">
      <w:pPr>
        <w:rPr>
          <w:sz w:val="28"/>
          <w:szCs w:val="28"/>
        </w:rPr>
      </w:pPr>
      <w:r>
        <w:rPr>
          <w:sz w:val="28"/>
          <w:szCs w:val="28"/>
        </w:rPr>
        <w:t>F</w:t>
      </w:r>
      <w:r w:rsidR="004A02ED">
        <w:rPr>
          <w:sz w:val="28"/>
          <w:szCs w:val="28"/>
        </w:rPr>
        <w:t>U</w:t>
      </w:r>
      <w:r>
        <w:rPr>
          <w:sz w:val="28"/>
          <w:szCs w:val="28"/>
        </w:rPr>
        <w:t>TURE PRICE =$42.65</w:t>
      </w:r>
    </w:p>
    <w:p w14:paraId="02BC2106" w14:textId="566F25BA" w:rsidR="00F04847" w:rsidRDefault="001B2E6B" w:rsidP="00804216">
      <w:pPr>
        <w:rPr>
          <w:sz w:val="28"/>
          <w:szCs w:val="28"/>
        </w:rPr>
      </w:pPr>
      <w:r>
        <w:rPr>
          <w:sz w:val="28"/>
          <w:szCs w:val="28"/>
        </w:rPr>
        <w:t xml:space="preserve">PAYOFF </w:t>
      </w:r>
      <w:r w:rsidR="00F04847">
        <w:rPr>
          <w:sz w:val="28"/>
          <w:szCs w:val="28"/>
        </w:rPr>
        <w:t>CALL</w:t>
      </w:r>
      <w:r>
        <w:rPr>
          <w:sz w:val="28"/>
          <w:szCs w:val="28"/>
        </w:rPr>
        <w:t>=$5.25</w:t>
      </w:r>
    </w:p>
    <w:p w14:paraId="6248E2B3" w14:textId="00017A06" w:rsidR="00F04847" w:rsidRDefault="001B2E6B" w:rsidP="00804216">
      <w:pPr>
        <w:rPr>
          <w:sz w:val="28"/>
          <w:szCs w:val="28"/>
        </w:rPr>
      </w:pPr>
      <w:r>
        <w:rPr>
          <w:sz w:val="28"/>
          <w:szCs w:val="28"/>
        </w:rPr>
        <w:t xml:space="preserve">PAYOFF </w:t>
      </w:r>
      <w:r w:rsidR="00F04847">
        <w:rPr>
          <w:sz w:val="28"/>
          <w:szCs w:val="28"/>
        </w:rPr>
        <w:t>PUTS=</w:t>
      </w:r>
      <w:r>
        <w:rPr>
          <w:sz w:val="28"/>
          <w:szCs w:val="28"/>
        </w:rPr>
        <w:t>$8.57</w:t>
      </w:r>
    </w:p>
    <w:p w14:paraId="44CCC8E4" w14:textId="78850EB8" w:rsidR="00F04847" w:rsidRPr="00804216" w:rsidRDefault="00F04847" w:rsidP="00804216">
      <w:pPr>
        <w:rPr>
          <w:sz w:val="28"/>
          <w:szCs w:val="28"/>
        </w:rPr>
      </w:pPr>
      <w:r>
        <w:rPr>
          <w:sz w:val="28"/>
          <w:szCs w:val="28"/>
        </w:rPr>
        <w:t>STIKE PRICE =</w:t>
      </w:r>
      <w:r w:rsidR="001B2E6B">
        <w:rPr>
          <w:sz w:val="28"/>
          <w:szCs w:val="28"/>
        </w:rPr>
        <w:t>$250</w:t>
      </w:r>
    </w:p>
    <w:p w14:paraId="357CBECF" w14:textId="7FA16EAB" w:rsidR="004C7587" w:rsidRDefault="001B2E6B" w:rsidP="004A02ED">
      <w:pPr>
        <w:pStyle w:val="NoSpacing"/>
      </w:pPr>
      <w:r>
        <w:t>=$42.65-$5.25+$8.57-$250= -$204.03</w:t>
      </w:r>
    </w:p>
    <w:p w14:paraId="2B498F25" w14:textId="77777777" w:rsidR="004A02ED" w:rsidRDefault="004A02ED" w:rsidP="004A02ED">
      <w:pPr>
        <w:pStyle w:val="NoSpacing"/>
      </w:pPr>
    </w:p>
    <w:p w14:paraId="231C4D40" w14:textId="77777777" w:rsidR="004A02ED" w:rsidRPr="004A02ED" w:rsidRDefault="004A02ED" w:rsidP="004A02ED">
      <w:pPr>
        <w:pStyle w:val="NoSpacing"/>
      </w:pPr>
    </w:p>
    <w:p w14:paraId="54E272BA" w14:textId="0A3434D7" w:rsidR="004C7587" w:rsidRPr="00234CCB" w:rsidRDefault="00756857" w:rsidP="00D94AD1">
      <w:pPr>
        <w:rPr>
          <w:b/>
          <w:bCs/>
          <w:sz w:val="36"/>
          <w:szCs w:val="36"/>
        </w:rPr>
      </w:pPr>
      <w:bookmarkStart w:id="4" w:name="_Hlk165373560"/>
      <w:r w:rsidRPr="00234CCB">
        <w:rPr>
          <w:b/>
          <w:bCs/>
          <w:sz w:val="36"/>
          <w:szCs w:val="36"/>
        </w:rPr>
        <w:t xml:space="preserve">(C) </w:t>
      </w:r>
      <w:r w:rsidR="004C7587" w:rsidRPr="00234CCB">
        <w:rPr>
          <w:b/>
          <w:bCs/>
          <w:sz w:val="36"/>
          <w:szCs w:val="36"/>
        </w:rPr>
        <w:t>S</w:t>
      </w:r>
      <w:r w:rsidR="009C5287" w:rsidRPr="00234CCB">
        <w:rPr>
          <w:b/>
          <w:bCs/>
          <w:sz w:val="36"/>
          <w:szCs w:val="36"/>
        </w:rPr>
        <w:t>traddle :</w:t>
      </w:r>
    </w:p>
    <w:bookmarkEnd w:id="4"/>
    <w:p w14:paraId="1E278AB7" w14:textId="235F0BAA" w:rsidR="009C5287" w:rsidRDefault="009C5287" w:rsidP="00D94AD1">
      <w:pPr>
        <w:rPr>
          <w:sz w:val="28"/>
          <w:szCs w:val="28"/>
        </w:rPr>
      </w:pPr>
      <w:r w:rsidRPr="009C5287">
        <w:rPr>
          <w:sz w:val="28"/>
          <w:szCs w:val="28"/>
        </w:rPr>
        <w:t>A "V" shape would be characteristic of Hilton Worldwide Holdings' straddle graph. This is because purchasing both a call option and a put option with the same strike price and expiration date on the same underlying asset—in this example, Hilton's stock—is the basis of the straddle options strategy.</w:t>
      </w:r>
    </w:p>
    <w:p w14:paraId="32160E57" w14:textId="77777777" w:rsidR="00F71166" w:rsidRPr="00F71166" w:rsidRDefault="00F71166" w:rsidP="00F71166">
      <w:pPr>
        <w:rPr>
          <w:sz w:val="28"/>
          <w:szCs w:val="28"/>
        </w:rPr>
      </w:pPr>
      <w:r w:rsidRPr="00F71166">
        <w:rPr>
          <w:sz w:val="28"/>
          <w:szCs w:val="28"/>
        </w:rPr>
        <w:t>On the straddle graph, the breakeven marks would be the options' strike price plus/minus the total premium paid for the call and put options. When the stock price drops below the lower breakeven point, the straddle technique would begin to make money; on the downside, the maximum profit potential is limitless.</w:t>
      </w:r>
    </w:p>
    <w:p w14:paraId="189EF62D" w14:textId="1330E358" w:rsidR="00F71166" w:rsidRDefault="00F71166" w:rsidP="00F71166">
      <w:pPr>
        <w:rPr>
          <w:sz w:val="28"/>
          <w:szCs w:val="28"/>
        </w:rPr>
      </w:pPr>
      <w:r w:rsidRPr="00F71166">
        <w:rPr>
          <w:sz w:val="28"/>
          <w:szCs w:val="28"/>
        </w:rPr>
        <w:t xml:space="preserve">On the other hand, if the straddle is above the higher breakeven point, it will begin to benefit as the stock price increases and has limitless upside potential. </w:t>
      </w:r>
      <w:r w:rsidRPr="00F71166">
        <w:rPr>
          <w:sz w:val="28"/>
          <w:szCs w:val="28"/>
        </w:rPr>
        <w:lastRenderedPageBreak/>
        <w:t>The whole call and put option premium paid is the maximum loss on the straddle.</w:t>
      </w:r>
    </w:p>
    <w:p w14:paraId="05936C74" w14:textId="77777777" w:rsidR="002063F0" w:rsidRPr="002063F0" w:rsidRDefault="002063F0" w:rsidP="002063F0">
      <w:pPr>
        <w:rPr>
          <w:sz w:val="28"/>
          <w:szCs w:val="28"/>
        </w:rPr>
      </w:pPr>
      <w:r w:rsidRPr="002063F0">
        <w:rPr>
          <w:sz w:val="28"/>
          <w:szCs w:val="28"/>
        </w:rPr>
        <w:t>The straddle graph's form demonstrates how this technique, which is a market-neutral trading method, may benefit from significant changes in the underlying stock price in either direction. Hilton's stock might see a huge price movement, with the potential profit increasing with the width of the gap between the breakeven marks.</w:t>
      </w:r>
    </w:p>
    <w:p w14:paraId="6ED69369" w14:textId="59C1937D" w:rsidR="002063F0" w:rsidRPr="00661394" w:rsidRDefault="002063F0" w:rsidP="002063F0">
      <w:pPr>
        <w:rPr>
          <w:b/>
          <w:bCs/>
          <w:sz w:val="28"/>
          <w:szCs w:val="28"/>
        </w:rPr>
      </w:pPr>
      <w:r w:rsidRPr="002063F0">
        <w:rPr>
          <w:sz w:val="28"/>
          <w:szCs w:val="28"/>
        </w:rPr>
        <w:t>The overall conceptual knowledge is given by the search results, however the financial information required to create the straddle graph for Hilton Worldwide Holdings is missing</w:t>
      </w:r>
      <w:r w:rsidRPr="00661394">
        <w:rPr>
          <w:b/>
          <w:bCs/>
          <w:sz w:val="28"/>
          <w:szCs w:val="28"/>
        </w:rPr>
        <w:t>.</w:t>
      </w:r>
      <w:r w:rsidR="00661394" w:rsidRPr="00661394">
        <w:rPr>
          <w:b/>
          <w:bCs/>
          <w:sz w:val="28"/>
          <w:szCs w:val="28"/>
        </w:rPr>
        <w:t xml:space="preserve"> </w:t>
      </w:r>
      <w:r w:rsidR="00661394" w:rsidRPr="00661394">
        <w:rPr>
          <w:b/>
          <w:bCs/>
          <w:sz w:val="28"/>
          <w:szCs w:val="28"/>
        </w:rPr>
        <w:t>(HILTON, n.d.)</w:t>
      </w:r>
    </w:p>
    <w:p w14:paraId="06D0D253" w14:textId="77777777" w:rsidR="006D5D71" w:rsidRDefault="006D5D71" w:rsidP="002063F0">
      <w:pPr>
        <w:rPr>
          <w:sz w:val="28"/>
          <w:szCs w:val="28"/>
        </w:rPr>
      </w:pPr>
    </w:p>
    <w:p w14:paraId="44E94A35" w14:textId="4B16A83F" w:rsidR="004A02ED" w:rsidRDefault="006D5D71" w:rsidP="004A02ED">
      <w:pPr>
        <w:rPr>
          <w:b/>
          <w:bCs/>
          <w:sz w:val="32"/>
          <w:szCs w:val="32"/>
        </w:rPr>
      </w:pPr>
      <w:r w:rsidRPr="002B694E">
        <w:rPr>
          <w:b/>
          <w:bCs/>
          <w:sz w:val="32"/>
          <w:szCs w:val="32"/>
        </w:rPr>
        <w:t xml:space="preserve">Figure </w:t>
      </w:r>
      <w:r w:rsidR="002B694E">
        <w:rPr>
          <w:b/>
          <w:bCs/>
          <w:sz w:val="32"/>
          <w:szCs w:val="32"/>
        </w:rPr>
        <w:t>7</w:t>
      </w:r>
    </w:p>
    <w:p w14:paraId="4AEF5A22" w14:textId="77777777" w:rsidR="002B694E" w:rsidRPr="002B694E" w:rsidRDefault="002B694E" w:rsidP="004A02ED">
      <w:pPr>
        <w:rPr>
          <w:b/>
          <w:bCs/>
          <w:sz w:val="32"/>
          <w:szCs w:val="32"/>
        </w:rPr>
      </w:pPr>
    </w:p>
    <w:p w14:paraId="03F59F61" w14:textId="094A1BAA" w:rsidR="006D5D71" w:rsidRDefault="005F13D0" w:rsidP="002063F0">
      <w:pPr>
        <w:rPr>
          <w:sz w:val="28"/>
          <w:szCs w:val="28"/>
        </w:rPr>
      </w:pPr>
      <w:r>
        <w:rPr>
          <w:noProof/>
        </w:rPr>
        <w:drawing>
          <wp:inline distT="0" distB="0" distL="0" distR="0" wp14:anchorId="7B13F077" wp14:editId="4575D071">
            <wp:extent cx="5731510" cy="3000375"/>
            <wp:effectExtent l="0" t="0" r="2540" b="9525"/>
            <wp:docPr id="82229561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000375"/>
                    </a:xfrm>
                    <a:prstGeom prst="rect">
                      <a:avLst/>
                    </a:prstGeom>
                    <a:noFill/>
                    <a:ln>
                      <a:noFill/>
                    </a:ln>
                  </pic:spPr>
                </pic:pic>
              </a:graphicData>
            </a:graphic>
          </wp:inline>
        </w:drawing>
      </w:r>
    </w:p>
    <w:p w14:paraId="0C310E3A" w14:textId="3E5BA952" w:rsidR="006D5D71" w:rsidRDefault="006D5D71" w:rsidP="002063F0">
      <w:pPr>
        <w:rPr>
          <w:sz w:val="28"/>
          <w:szCs w:val="28"/>
        </w:rPr>
      </w:pPr>
      <w:bookmarkStart w:id="5" w:name="_Hlk165370038"/>
    </w:p>
    <w:p w14:paraId="63205681" w14:textId="77777777" w:rsidR="00190C86" w:rsidRDefault="006D5D71" w:rsidP="001144D4">
      <w:pPr>
        <w:rPr>
          <w:b/>
          <w:bCs/>
          <w:sz w:val="36"/>
          <w:szCs w:val="36"/>
        </w:rPr>
      </w:pPr>
      <w:r w:rsidRPr="001144D4">
        <w:rPr>
          <w:b/>
          <w:bCs/>
          <w:sz w:val="36"/>
          <w:szCs w:val="36"/>
        </w:rPr>
        <w:t>4</w:t>
      </w:r>
      <w:r w:rsidR="00190C86">
        <w:rPr>
          <w:b/>
          <w:bCs/>
          <w:sz w:val="36"/>
          <w:szCs w:val="36"/>
        </w:rPr>
        <w:t>}</w:t>
      </w:r>
    </w:p>
    <w:p w14:paraId="3CB900C6" w14:textId="4B174FEC" w:rsidR="001144D4" w:rsidRPr="001144D4" w:rsidRDefault="00190C86" w:rsidP="001144D4">
      <w:pPr>
        <w:rPr>
          <w:b/>
          <w:bCs/>
          <w:sz w:val="36"/>
          <w:szCs w:val="36"/>
        </w:rPr>
      </w:pPr>
      <w:r>
        <w:rPr>
          <w:b/>
          <w:bCs/>
          <w:sz w:val="36"/>
          <w:szCs w:val="36"/>
        </w:rPr>
        <w:t>(A)</w:t>
      </w:r>
      <w:r w:rsidR="006D5D71" w:rsidRPr="001144D4">
        <w:rPr>
          <w:b/>
          <w:bCs/>
          <w:sz w:val="36"/>
          <w:szCs w:val="36"/>
        </w:rPr>
        <w:t xml:space="preserve"> </w:t>
      </w:r>
      <w:r w:rsidR="001144D4" w:rsidRPr="001144D4">
        <w:rPr>
          <w:b/>
          <w:bCs/>
          <w:sz w:val="36"/>
          <w:szCs w:val="36"/>
        </w:rPr>
        <w:t>Talk about how the 10-year note performed</w:t>
      </w:r>
      <w:bookmarkEnd w:id="5"/>
      <w:r w:rsidR="001144D4" w:rsidRPr="001144D4">
        <w:rPr>
          <w:b/>
          <w:bCs/>
          <w:sz w:val="36"/>
          <w:szCs w:val="36"/>
        </w:rPr>
        <w:t xml:space="preserve">. </w:t>
      </w:r>
    </w:p>
    <w:p w14:paraId="5CEF03A1" w14:textId="33865276" w:rsidR="006D5D71" w:rsidRPr="008C4FB8" w:rsidRDefault="008C4FB8" w:rsidP="002063F0">
      <w:pPr>
        <w:rPr>
          <w:sz w:val="28"/>
          <w:szCs w:val="28"/>
        </w:rPr>
      </w:pPr>
      <w:r w:rsidRPr="008C4FB8">
        <w:rPr>
          <w:sz w:val="28"/>
          <w:szCs w:val="28"/>
        </w:rPr>
        <w:t xml:space="preserve">A loan to the federal government of the United States is represented by the 10-year Treasury note. Out of all of them, only this one develops over ten years. Bonds, the most common debt instrument globally, are a sort of note. U.S. "Full </w:t>
      </w:r>
      <w:r w:rsidRPr="008C4FB8">
        <w:rPr>
          <w:sz w:val="28"/>
          <w:szCs w:val="28"/>
        </w:rPr>
        <w:lastRenderedPageBreak/>
        <w:t>Faith and Credit Clause" supports it. There is less chance that the United States would default on these debts than there is with sovereign debt from other nations.</w:t>
      </w:r>
    </w:p>
    <w:p w14:paraId="64A380EA" w14:textId="4462DF88" w:rsidR="006B2E50" w:rsidRPr="006B2E50" w:rsidRDefault="006B2E50" w:rsidP="006B2E50">
      <w:pPr>
        <w:rPr>
          <w:sz w:val="28"/>
          <w:szCs w:val="28"/>
        </w:rPr>
      </w:pPr>
      <w:r w:rsidRPr="006B2E50">
        <w:rPr>
          <w:sz w:val="28"/>
          <w:szCs w:val="28"/>
        </w:rPr>
        <w:t>Each bond issuance is created by the U.S. Treasury, which also sets the interest rate, known as the "coupon yield," in advance. Bonds are issued in $100 increments. First made available to investment banks through a Federal Reserve auction, they are then made available to investors worldwide on the secondary market.</w:t>
      </w:r>
      <w:r>
        <w:rPr>
          <w:sz w:val="28"/>
          <w:szCs w:val="28"/>
        </w:rPr>
        <w:t xml:space="preserve"> </w:t>
      </w:r>
      <w:r w:rsidRPr="006B2E50">
        <w:rPr>
          <w:sz w:val="28"/>
          <w:szCs w:val="28"/>
        </w:rPr>
        <w:t>Two The determination of "market yields" takes place here.</w:t>
      </w:r>
    </w:p>
    <w:p w14:paraId="45D02B90" w14:textId="6F957DCD" w:rsidR="00051ABE" w:rsidRDefault="006B2E50" w:rsidP="006B2E50">
      <w:pPr>
        <w:rPr>
          <w:sz w:val="28"/>
          <w:szCs w:val="28"/>
        </w:rPr>
      </w:pPr>
      <w:r w:rsidRPr="006B2E50">
        <w:rPr>
          <w:sz w:val="28"/>
          <w:szCs w:val="28"/>
        </w:rPr>
        <w:t>In situations where demand is high, investors will bid at or over face value. The yield is low in that scenario as they will receive a less return on their investment. But since they are certain that their investment is secure, they find it worthwhile. In exchange for reduced risk, they are prepared to accept a poor yield.</w:t>
      </w:r>
    </w:p>
    <w:p w14:paraId="796B5D51" w14:textId="7374014D" w:rsidR="00B56A50" w:rsidRPr="00B56A50" w:rsidRDefault="00B56A50" w:rsidP="00B56A50">
      <w:pPr>
        <w:rPr>
          <w:sz w:val="28"/>
          <w:szCs w:val="28"/>
        </w:rPr>
      </w:pPr>
      <w:r w:rsidRPr="00B56A50">
        <w:rPr>
          <w:sz w:val="28"/>
          <w:szCs w:val="28"/>
        </w:rPr>
        <w:t>There are a plethora of alternative investments available during a bull market or when the economy is expanding. More return than what a 10-year Treasury note will provide is what investors are seeking for. There is not much demand as a result. Only a portion of the face value will be accepted by bidders. The yield is greater at that point. There is a higher return on investment when purchasing Treasurys since they are sold at a discount.</w:t>
      </w:r>
    </w:p>
    <w:p w14:paraId="776B9FD5" w14:textId="0ED00DB6" w:rsidR="00B56A50" w:rsidRDefault="00B56A50" w:rsidP="00B56A50">
      <w:pPr>
        <w:rPr>
          <w:sz w:val="28"/>
          <w:szCs w:val="28"/>
        </w:rPr>
      </w:pPr>
      <w:r w:rsidRPr="00B56A50">
        <w:rPr>
          <w:sz w:val="28"/>
          <w:szCs w:val="28"/>
        </w:rPr>
        <w:t>The yield to maturity, which is given daily on the 10-year Treasury bond, is sometimes confused with the set yearly interest rate, often known as the "coupon yield." The Treasury Rate is a common term used to describe the yield. People do not necessarily refer to the fixed interest rate paid when they refer to "the 10-year Treasury rate."</w:t>
      </w:r>
      <w:r w:rsidR="001407AD" w:rsidRPr="001407AD">
        <w:t xml:space="preserve"> </w:t>
      </w:r>
      <w:r w:rsidR="001407AD" w:rsidRPr="001407AD">
        <w:rPr>
          <w:sz w:val="28"/>
          <w:szCs w:val="28"/>
        </w:rPr>
        <w:t>during the course of the note. They frequently refer to the yield.</w:t>
      </w:r>
    </w:p>
    <w:p w14:paraId="085AB69A" w14:textId="0B279E32" w:rsidR="00E36529" w:rsidRDefault="00E36529" w:rsidP="00B56A50">
      <w:pPr>
        <w:rPr>
          <w:sz w:val="28"/>
          <w:szCs w:val="28"/>
        </w:rPr>
      </w:pPr>
      <w:r w:rsidRPr="00E36529">
        <w:rPr>
          <w:sz w:val="28"/>
          <w:szCs w:val="28"/>
        </w:rPr>
        <w:t>Because they are resold on the secondary market, Treasury rates fluctuate daily. They are rarely retained for the entire duration. The demand for Treasurys has decreased if bond prices have declined. Due to investors' increased need for a return on their investments, yields increase.</w:t>
      </w:r>
    </w:p>
    <w:p w14:paraId="6B534BD8" w14:textId="5A32E412" w:rsidR="005265C2" w:rsidRPr="005265C2" w:rsidRDefault="005265C2" w:rsidP="005265C2">
      <w:pPr>
        <w:rPr>
          <w:sz w:val="28"/>
          <w:szCs w:val="28"/>
        </w:rPr>
      </w:pPr>
      <w:r w:rsidRPr="005265C2">
        <w:rPr>
          <w:sz w:val="28"/>
          <w:szCs w:val="28"/>
        </w:rPr>
        <w:t>In addition, the benchmark used to set other interest rates is the yield on the 10-year Treasury note. Fixed-rate mortgages and other loan instruments have rising interest rates in line with the 10-year Treasury note yield. When purchasing bonds, investors seek out the lowest return possible at the best rate. Even though alternative investments are less safe, their rates can still decrease and stay competitive if the rate on the Treasury note does.</w:t>
      </w:r>
    </w:p>
    <w:p w14:paraId="70195DE7" w14:textId="27BBC59A" w:rsidR="005265C2" w:rsidRDefault="005265C2" w:rsidP="005265C2">
      <w:pPr>
        <w:rPr>
          <w:sz w:val="28"/>
          <w:szCs w:val="28"/>
        </w:rPr>
      </w:pPr>
      <w:r w:rsidRPr="005265C2">
        <w:rPr>
          <w:sz w:val="28"/>
          <w:szCs w:val="28"/>
        </w:rPr>
        <w:lastRenderedPageBreak/>
        <w:t>Mortgages with adjustable rates, which are based on the federal funds rate, are the main exception. Even yet, the relationship between this rate and the yield on the 10-year Treasury bond is not as strong. Though it is debatable if that is true, some people think the Federal Reserve looks at the Treasury yield before deciding whether to adjust the federal funds rate.</w:t>
      </w:r>
      <w:r w:rsidR="00332F40" w:rsidRPr="00332F40">
        <w:t xml:space="preserve"> </w:t>
      </w:r>
      <w:r w:rsidR="00332F40" w:rsidRPr="00332F40">
        <w:rPr>
          <w:sz w:val="28"/>
          <w:szCs w:val="28"/>
        </w:rPr>
        <w:t>valid or invalid.4. Investor optimism in economic growth is reflected in the yield on 10-year Treasury notes.</w:t>
      </w:r>
    </w:p>
    <w:p w14:paraId="46BE0E18" w14:textId="010BE12D" w:rsidR="00004349" w:rsidRDefault="00004349" w:rsidP="005265C2">
      <w:pPr>
        <w:rPr>
          <w:sz w:val="28"/>
          <w:szCs w:val="28"/>
        </w:rPr>
      </w:pPr>
      <w:r w:rsidRPr="00004349">
        <w:rPr>
          <w:sz w:val="28"/>
          <w:szCs w:val="28"/>
        </w:rPr>
        <w:t>Your personal loan yield has an influence on your life even if it will not be as low as the Treasury yield. It lowers the price of purchasing a house. To borrow the same amount of money, you must pay the bank less interest. Demand increases when the cost of owning a property decreases. The economy benefits when the real estate market grows. It spurs growth in the gross domestic product, which adds to job opportunities.</w:t>
      </w:r>
    </w:p>
    <w:p w14:paraId="2FF95C46" w14:textId="758A6ADF" w:rsidR="006327D1" w:rsidRPr="006327D1" w:rsidRDefault="006327D1" w:rsidP="006327D1">
      <w:pPr>
        <w:rPr>
          <w:sz w:val="28"/>
          <w:szCs w:val="28"/>
        </w:rPr>
      </w:pPr>
      <w:r w:rsidRPr="006327D1">
        <w:rPr>
          <w:sz w:val="28"/>
          <w:szCs w:val="28"/>
        </w:rPr>
        <w:t>Even if the ratio of the current U.S. debt to GDP has been above 100% since late 2015, investing in 10-year Treasury notes is still one of the safest ways to participate in sovereign debt.5. This implies that paying out the nation's debt would need more than the output of the American economy in a single year. When the ratio is higher than 77%, investors start to worry about a nation's capacity to pay. As per the World Bank, that is the tipping point.</w:t>
      </w:r>
      <w:r w:rsidR="00747D50">
        <w:rPr>
          <w:sz w:val="28"/>
          <w:szCs w:val="28"/>
        </w:rPr>
        <w:t xml:space="preserve"> </w:t>
      </w:r>
      <w:r w:rsidRPr="006327D1">
        <w:rPr>
          <w:sz w:val="28"/>
          <w:szCs w:val="28"/>
        </w:rPr>
        <w:t>Six If it lasts for a year or two, it is not a big deal; but, if it persists for decades, it might hinder growth.</w:t>
      </w:r>
    </w:p>
    <w:p w14:paraId="183A8669" w14:textId="1F8154A1" w:rsidR="006327D1" w:rsidRDefault="006327D1" w:rsidP="006327D1">
      <w:pPr>
        <w:rPr>
          <w:sz w:val="28"/>
          <w:szCs w:val="28"/>
        </w:rPr>
      </w:pPr>
      <w:r w:rsidRPr="006327D1">
        <w:rPr>
          <w:sz w:val="28"/>
          <w:szCs w:val="28"/>
        </w:rPr>
        <w:t>It hardly ever makes sense for the US to default since it can always create more dollars. It could only do it in one way:</w:t>
      </w:r>
      <w:r w:rsidR="00E47E36" w:rsidRPr="00E47E36">
        <w:t xml:space="preserve"> </w:t>
      </w:r>
      <w:r w:rsidR="00E47E36" w:rsidRPr="00E47E36">
        <w:rPr>
          <w:sz w:val="28"/>
          <w:szCs w:val="28"/>
        </w:rPr>
        <w:t>should the debt ceiling not be raised by Congress. That would prohibit the issuance of new Treasury notes by the US Treasury.</w:t>
      </w:r>
    </w:p>
    <w:p w14:paraId="5BC20B0E" w14:textId="77777777" w:rsidR="003B1E04" w:rsidRPr="003B1E04" w:rsidRDefault="003B1E04" w:rsidP="003B1E04">
      <w:pPr>
        <w:rPr>
          <w:sz w:val="28"/>
          <w:szCs w:val="28"/>
        </w:rPr>
      </w:pPr>
      <w:r w:rsidRPr="003B1E04">
        <w:rPr>
          <w:sz w:val="28"/>
          <w:szCs w:val="28"/>
        </w:rPr>
        <w:t>The yield on a Treasury asset is often higher the longer the time term. When they lock up their money for an extended length of time, investors demand a bigger return. We refer to that as the yield curve.</w:t>
      </w:r>
    </w:p>
    <w:p w14:paraId="3E2EFD3D" w14:textId="77777777" w:rsidR="003B1E04" w:rsidRPr="003B1E04" w:rsidRDefault="003B1E04" w:rsidP="003B1E04">
      <w:pPr>
        <w:rPr>
          <w:sz w:val="28"/>
          <w:szCs w:val="28"/>
        </w:rPr>
      </w:pPr>
      <w:r w:rsidRPr="003B1E04">
        <w:rPr>
          <w:sz w:val="28"/>
          <w:szCs w:val="28"/>
        </w:rPr>
        <w:t>2012</w:t>
      </w:r>
    </w:p>
    <w:p w14:paraId="2BB5EF3E" w14:textId="5BA30994" w:rsidR="003B1E04" w:rsidRPr="003B1E04" w:rsidRDefault="003B1E04" w:rsidP="003B1E04">
      <w:pPr>
        <w:rPr>
          <w:sz w:val="28"/>
          <w:szCs w:val="28"/>
        </w:rPr>
      </w:pPr>
      <w:r w:rsidRPr="003B1E04">
        <w:rPr>
          <w:sz w:val="28"/>
          <w:szCs w:val="28"/>
        </w:rPr>
        <w:t>The 10-year Treasury rate reached its lowest level in years on June 1, 2012. It fell as low as 1.47% throughout the day. Investors were alarmed by the bad jobs data and the European financial crisis. It ended the day of July 25, 2012, at 1.43%.7. In 200 years, this was the lowest point</w:t>
      </w:r>
      <w:r w:rsidR="00D138DE">
        <w:rPr>
          <w:sz w:val="28"/>
          <w:szCs w:val="28"/>
        </w:rPr>
        <w:t>.</w:t>
      </w:r>
    </w:p>
    <w:p w14:paraId="13880BEA" w14:textId="7E8C5515" w:rsidR="00B13B78" w:rsidRDefault="003B1E04" w:rsidP="003B1E04">
      <w:pPr>
        <w:rPr>
          <w:sz w:val="28"/>
          <w:szCs w:val="28"/>
        </w:rPr>
      </w:pPr>
      <w:r w:rsidRPr="003B1E04">
        <w:rPr>
          <w:sz w:val="28"/>
          <w:szCs w:val="28"/>
        </w:rPr>
        <w:lastRenderedPageBreak/>
        <w:t>The International Settlements Bank. "Looking for Production as Rates Continue to Fall"</w:t>
      </w:r>
    </w:p>
    <w:p w14:paraId="7DA7EE71" w14:textId="2F9573CB" w:rsidR="003B1E04" w:rsidRPr="003B1E04" w:rsidRDefault="003B1E04" w:rsidP="003B1E04">
      <w:pPr>
        <w:rPr>
          <w:sz w:val="28"/>
          <w:szCs w:val="28"/>
        </w:rPr>
      </w:pPr>
      <w:r w:rsidRPr="003B1E04">
        <w:rPr>
          <w:sz w:val="28"/>
          <w:szCs w:val="28"/>
        </w:rPr>
        <w:t>2016</w:t>
      </w:r>
    </w:p>
    <w:p w14:paraId="7052B286" w14:textId="2E736BD9" w:rsidR="003B1E04" w:rsidRDefault="003B1E04" w:rsidP="003B1E04">
      <w:pPr>
        <w:rPr>
          <w:sz w:val="28"/>
          <w:szCs w:val="28"/>
        </w:rPr>
      </w:pPr>
      <w:r w:rsidRPr="003B1E04">
        <w:rPr>
          <w:sz w:val="28"/>
          <w:szCs w:val="28"/>
        </w:rPr>
        <w:t>It closed at 1.37% on July 5, 2016, breaking the record established in 2012.9. Concerns were raised by investors after the UK voted to exit the European</w:t>
      </w:r>
    </w:p>
    <w:p w14:paraId="50C3E0C4" w14:textId="77777777" w:rsidR="006E66C2" w:rsidRPr="006E66C2" w:rsidRDefault="006E66C2" w:rsidP="006E66C2">
      <w:pPr>
        <w:rPr>
          <w:sz w:val="28"/>
          <w:szCs w:val="28"/>
        </w:rPr>
      </w:pPr>
      <w:r w:rsidRPr="006E66C2">
        <w:rPr>
          <w:sz w:val="28"/>
          <w:szCs w:val="28"/>
        </w:rPr>
        <w:t>2016–2019</w:t>
      </w:r>
    </w:p>
    <w:p w14:paraId="05929C7E" w14:textId="77777777" w:rsidR="006E66C2" w:rsidRPr="006E66C2" w:rsidRDefault="006E66C2" w:rsidP="006E66C2">
      <w:pPr>
        <w:rPr>
          <w:sz w:val="28"/>
          <w:szCs w:val="28"/>
        </w:rPr>
      </w:pPr>
      <w:r w:rsidRPr="006E66C2">
        <w:rPr>
          <w:sz w:val="28"/>
          <w:szCs w:val="28"/>
        </w:rPr>
        <w:t>By late 2016 and into 2017, the yield increased once more. Initially, on December 15, 2016, it had dropped to 2.60% following Donald Trump's victory in the presidential race of 2016.9 The Treasury Department of the United States. The 2016 "Daily Treasury Par Yield Curve Rates"</w:t>
      </w:r>
    </w:p>
    <w:p w14:paraId="648A46B8" w14:textId="77777777" w:rsidR="006E66C2" w:rsidRPr="006E66C2" w:rsidRDefault="006E66C2" w:rsidP="006E66C2">
      <w:pPr>
        <w:rPr>
          <w:sz w:val="28"/>
          <w:szCs w:val="28"/>
        </w:rPr>
      </w:pPr>
    </w:p>
    <w:p w14:paraId="27C7DC7C" w14:textId="77777777" w:rsidR="006E66C2" w:rsidRPr="006E66C2" w:rsidRDefault="006E66C2" w:rsidP="006E66C2">
      <w:pPr>
        <w:rPr>
          <w:sz w:val="28"/>
          <w:szCs w:val="28"/>
        </w:rPr>
      </w:pPr>
      <w:r w:rsidRPr="006E66C2">
        <w:rPr>
          <w:sz w:val="28"/>
          <w:szCs w:val="28"/>
        </w:rPr>
        <w:t xml:space="preserve"> It reached its maximum at 2.79% on January 18, 2019.10 of 2019</w:t>
      </w:r>
    </w:p>
    <w:p w14:paraId="3BF87B65" w14:textId="39623A25" w:rsidR="006E66C2" w:rsidRDefault="006E66C2" w:rsidP="006E66C2">
      <w:pPr>
        <w:rPr>
          <w:sz w:val="28"/>
          <w:szCs w:val="28"/>
        </w:rPr>
      </w:pPr>
      <w:r w:rsidRPr="006E66C2">
        <w:rPr>
          <w:sz w:val="28"/>
          <w:szCs w:val="28"/>
        </w:rPr>
        <w:t>2019 saw the yield peak and then start to decline. The yield curve reversed itself by March 22, 2019. Down from the three-month yield of 2.46%, the 10-year yield was now only 2.44%. Thus, investors' concerns about the state of the economy in the last three months exceeded those of the previous ten.</w:t>
      </w:r>
    </w:p>
    <w:p w14:paraId="04F91C27" w14:textId="77777777" w:rsidR="003F5F42" w:rsidRPr="003F5F42" w:rsidRDefault="003F5F42" w:rsidP="003F5F42">
      <w:pPr>
        <w:rPr>
          <w:sz w:val="28"/>
          <w:szCs w:val="28"/>
        </w:rPr>
      </w:pPr>
      <w:r w:rsidRPr="003F5F42">
        <w:rPr>
          <w:sz w:val="28"/>
          <w:szCs w:val="28"/>
        </w:rPr>
        <w:t>Later, the yield rose, then fell once more, and it stayed largely down until the middle of August. For the first time in American financial history, on August 15, the 30-year bond yield closed below 2%. On December 23, 2019, the 10-year note yield increased to 1.93%.Ten</w:t>
      </w:r>
    </w:p>
    <w:p w14:paraId="63B9A9EE" w14:textId="77777777" w:rsidR="003F5F42" w:rsidRPr="003F5F42" w:rsidRDefault="003F5F42" w:rsidP="003F5F42">
      <w:pPr>
        <w:rPr>
          <w:sz w:val="28"/>
          <w:szCs w:val="28"/>
        </w:rPr>
      </w:pPr>
    </w:p>
    <w:p w14:paraId="64B8FE47" w14:textId="77777777" w:rsidR="003F5F42" w:rsidRPr="003F5F42" w:rsidRDefault="003F5F42" w:rsidP="003F5F42">
      <w:pPr>
        <w:rPr>
          <w:sz w:val="28"/>
          <w:szCs w:val="28"/>
        </w:rPr>
      </w:pPr>
      <w:r w:rsidRPr="003F5F42">
        <w:rPr>
          <w:sz w:val="28"/>
          <w:szCs w:val="28"/>
        </w:rPr>
        <w:t>2020- 2021</w:t>
      </w:r>
    </w:p>
    <w:p w14:paraId="27FFDC6F" w14:textId="77777777" w:rsidR="003F5F42" w:rsidRPr="003F5F42" w:rsidRDefault="003F5F42" w:rsidP="003F5F42">
      <w:pPr>
        <w:rPr>
          <w:sz w:val="28"/>
          <w:szCs w:val="28"/>
        </w:rPr>
      </w:pPr>
      <w:r w:rsidRPr="003F5F42">
        <w:rPr>
          <w:sz w:val="28"/>
          <w:szCs w:val="28"/>
        </w:rPr>
        <w:t>2020 saw a January 2 top of 1.88% for the 10-year yield, after which it started to decline. On February 25, 2020, it closed at 1.33%, the all-time low. Still, it dropped farther and further, reaching new lows. It has decreased to 0.54% on March 9th.With the COVID-19 coronavirus pandemic's effects yet unknown, eleven investors hurried to safety.</w:t>
      </w:r>
    </w:p>
    <w:p w14:paraId="1DB864B8" w14:textId="77777777" w:rsidR="003F5F42" w:rsidRPr="003F5F42" w:rsidRDefault="003F5F42" w:rsidP="003F5F42">
      <w:pPr>
        <w:rPr>
          <w:sz w:val="28"/>
          <w:szCs w:val="28"/>
        </w:rPr>
      </w:pPr>
    </w:p>
    <w:p w14:paraId="584CB74B" w14:textId="6CB637B3" w:rsidR="003F5F42" w:rsidRPr="00AF1085" w:rsidRDefault="003F5F42" w:rsidP="003F5F42">
      <w:pPr>
        <w:rPr>
          <w:b/>
          <w:bCs/>
          <w:sz w:val="32"/>
          <w:szCs w:val="32"/>
        </w:rPr>
      </w:pPr>
      <w:r w:rsidRPr="003F5F42">
        <w:rPr>
          <w:sz w:val="28"/>
          <w:szCs w:val="28"/>
        </w:rPr>
        <w:t>Early in 2021, it topped 1% after steadily improving throughout the year.12. As the rate of inflation started rising</w:t>
      </w:r>
      <w:r w:rsidR="00EA1AE6" w:rsidRPr="00EA1AE6">
        <w:t xml:space="preserve"> </w:t>
      </w:r>
      <w:r w:rsidR="00EA1AE6" w:rsidRPr="00EA1AE6">
        <w:rPr>
          <w:sz w:val="28"/>
          <w:szCs w:val="28"/>
        </w:rPr>
        <w:t>The 10-year yield reached 1.55% on December 29, 2021, at the end of that year.</w:t>
      </w:r>
      <w:r w:rsidR="00044940" w:rsidRPr="00044940">
        <w:t xml:space="preserve"> </w:t>
      </w:r>
      <w:r w:rsidR="00AF1085" w:rsidRPr="00AF1085">
        <w:rPr>
          <w:b/>
          <w:bCs/>
          <w:sz w:val="32"/>
          <w:szCs w:val="32"/>
        </w:rPr>
        <w:t>(Kimberly Amadeo , 2022)</w:t>
      </w:r>
    </w:p>
    <w:p w14:paraId="3D713218" w14:textId="77777777" w:rsidR="00190C86" w:rsidRDefault="00190C86" w:rsidP="003F5F42">
      <w:pPr>
        <w:rPr>
          <w:sz w:val="28"/>
          <w:szCs w:val="28"/>
        </w:rPr>
      </w:pPr>
    </w:p>
    <w:p w14:paraId="7F72E460" w14:textId="1CFBC82E" w:rsidR="00190C86" w:rsidRPr="00E43BEC" w:rsidRDefault="00190C86" w:rsidP="003F5F42">
      <w:pPr>
        <w:rPr>
          <w:b/>
          <w:bCs/>
          <w:sz w:val="36"/>
          <w:szCs w:val="36"/>
        </w:rPr>
      </w:pPr>
      <w:bookmarkStart w:id="6" w:name="_Hlk165373698"/>
      <w:r w:rsidRPr="00E43BEC">
        <w:rPr>
          <w:b/>
          <w:bCs/>
          <w:sz w:val="36"/>
          <w:szCs w:val="36"/>
        </w:rPr>
        <w:t>(B) YIELD IMPACT CHANGE</w:t>
      </w:r>
      <w:r w:rsidR="00E27575" w:rsidRPr="00E43BEC">
        <w:rPr>
          <w:b/>
          <w:bCs/>
          <w:sz w:val="36"/>
          <w:szCs w:val="36"/>
        </w:rPr>
        <w:t xml:space="preserve"> </w:t>
      </w:r>
      <w:r w:rsidR="00D821D4" w:rsidRPr="00E43BEC">
        <w:rPr>
          <w:b/>
          <w:bCs/>
          <w:sz w:val="36"/>
          <w:szCs w:val="36"/>
        </w:rPr>
        <w:t xml:space="preserve">OF HILTION WORLDWIDE </w:t>
      </w:r>
      <w:r w:rsidRPr="00E43BEC">
        <w:rPr>
          <w:b/>
          <w:bCs/>
          <w:sz w:val="36"/>
          <w:szCs w:val="36"/>
        </w:rPr>
        <w:t xml:space="preserve"> </w:t>
      </w:r>
    </w:p>
    <w:bookmarkEnd w:id="6"/>
    <w:p w14:paraId="26789598" w14:textId="27AF642C" w:rsidR="00051ABE" w:rsidRPr="003705B6" w:rsidRDefault="003705B6" w:rsidP="007E6004">
      <w:pPr>
        <w:rPr>
          <w:sz w:val="28"/>
          <w:szCs w:val="28"/>
        </w:rPr>
      </w:pPr>
      <w:r w:rsidRPr="003705B6">
        <w:rPr>
          <w:sz w:val="28"/>
          <w:szCs w:val="28"/>
        </w:rPr>
        <w:t>The next chart shows that these effects are not unique to the mortgage market but are also present across the spectrum of fixed-income securities, including the yields earned by U.S. Treasury securities. Comparable to mortgage loans, yields on long-maturity bonds are less sensitive to changes in the target rate than yields on short-maturity bonds. The yields on securities with a shorter maturity respond the week of the target rate increase and continue to adjust upward for as many as six weeks following the increase.</w:t>
      </w:r>
    </w:p>
    <w:p w14:paraId="241387F6" w14:textId="77777777" w:rsidR="00051ABE" w:rsidRPr="003705B6" w:rsidRDefault="00051ABE" w:rsidP="007E6004">
      <w:pPr>
        <w:rPr>
          <w:sz w:val="28"/>
          <w:szCs w:val="28"/>
        </w:rPr>
      </w:pPr>
    </w:p>
    <w:p w14:paraId="53FDC08C" w14:textId="1F21C552" w:rsidR="00051ABE" w:rsidRDefault="001E0846" w:rsidP="007E6004">
      <w:pPr>
        <w:rPr>
          <w:sz w:val="28"/>
          <w:szCs w:val="28"/>
        </w:rPr>
      </w:pPr>
      <w:r>
        <w:rPr>
          <w:noProof/>
          <w:sz w:val="28"/>
          <w:szCs w:val="28"/>
        </w:rPr>
        <w:drawing>
          <wp:inline distT="0" distB="0" distL="0" distR="0" wp14:anchorId="2DBD2061" wp14:editId="16037EBD">
            <wp:extent cx="4381500" cy="3867150"/>
            <wp:effectExtent l="0" t="0" r="0" b="0"/>
            <wp:docPr id="2868269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81500" cy="3867150"/>
                    </a:xfrm>
                    <a:prstGeom prst="rect">
                      <a:avLst/>
                    </a:prstGeom>
                    <a:noFill/>
                  </pic:spPr>
                </pic:pic>
              </a:graphicData>
            </a:graphic>
          </wp:inline>
        </w:drawing>
      </w:r>
    </w:p>
    <w:p w14:paraId="2038C7B6" w14:textId="5D59831C" w:rsidR="006B3157" w:rsidRPr="006B3157" w:rsidRDefault="00421D14" w:rsidP="006B3157">
      <w:pPr>
        <w:rPr>
          <w:sz w:val="28"/>
          <w:szCs w:val="28"/>
        </w:rPr>
      </w:pPr>
      <w:r w:rsidRPr="00421D14">
        <w:rPr>
          <w:sz w:val="28"/>
          <w:szCs w:val="28"/>
        </w:rPr>
        <w:t xml:space="preserve">By observing how mortgage rates react to changes in longer-dated yields, we may determine how important maturity is. Treasury rates sharply rose in the middle of 2013 as a result of widespread market speculation that the Federal Reserve would start to reduce its massive asset buying program. Even though the Federal Reserve said at its May 2013 Federal Open Market Committee (FOMC) meeting that it would keep buying the same amount of securities going forward, the markets expected the program to start tapering within the next few FOMC meetings, and they responded sharply to Fed Chairman Ben </w:t>
      </w:r>
      <w:r w:rsidRPr="00421D14">
        <w:rPr>
          <w:sz w:val="28"/>
          <w:szCs w:val="28"/>
        </w:rPr>
        <w:lastRenderedPageBreak/>
        <w:t>Bernanke's May 22 testimony in Congress that suggested a taper was coming. As a result, U.S. Treasury rates rose, particularly for</w:t>
      </w:r>
      <w:r w:rsidR="00014E0A" w:rsidRPr="00014E0A">
        <w:t xml:space="preserve"> </w:t>
      </w:r>
      <w:r w:rsidR="00014E0A" w:rsidRPr="00014E0A">
        <w:rPr>
          <w:sz w:val="28"/>
          <w:szCs w:val="28"/>
        </w:rPr>
        <w:t>longer-maturity securities; within the next six weeks, the yield on ten-year Treasuries will rise by 100 basis points.</w:t>
      </w:r>
      <w:r w:rsidR="006B3157" w:rsidRPr="006B3157">
        <w:t xml:space="preserve"> </w:t>
      </w:r>
      <w:r w:rsidR="006B3157" w:rsidRPr="006B3157">
        <w:rPr>
          <w:sz w:val="28"/>
          <w:szCs w:val="28"/>
        </w:rPr>
        <w:t>A loan's sensitivity to fed funds increases does not seem to be impacted by its quality or riskiness, in contrast to loan term. We assess the impact of quality by contrasting sixty-month hybrid adjustable-rate mortgages (HELOCs) with high loan-to-value (LTV) ratios with lower LTV ratios, which are deemed to be less hazardous.</w:t>
      </w:r>
    </w:p>
    <w:p w14:paraId="3D524977" w14:textId="77777777" w:rsidR="006B3157" w:rsidRPr="006B3157" w:rsidRDefault="006B3157" w:rsidP="006B3157">
      <w:pPr>
        <w:rPr>
          <w:sz w:val="28"/>
          <w:szCs w:val="28"/>
        </w:rPr>
      </w:pPr>
    </w:p>
    <w:p w14:paraId="04DFA8F6" w14:textId="55C7438F" w:rsidR="00051ABE" w:rsidRPr="006C6608" w:rsidRDefault="006B3157" w:rsidP="006B3157">
      <w:pPr>
        <w:rPr>
          <w:b/>
          <w:bCs/>
          <w:sz w:val="28"/>
          <w:szCs w:val="28"/>
        </w:rPr>
      </w:pPr>
      <w:r w:rsidRPr="006B3157">
        <w:rPr>
          <w:sz w:val="28"/>
          <w:szCs w:val="28"/>
        </w:rPr>
        <w:t>As can be seen in the figure below, target rate hikes have a comparable effect on loans with varying LTV ratios. The advertised interest rate hikes for these loans generally correlate to increases in the yield on sixty-month Treasuries, indicating that credit quality is not a significant factor in influencing how interest rates react to unexpected target rate changes. Moreover, we see that in reaction to the unexpected shift and the taper tantrum</w:t>
      </w:r>
      <w:r w:rsidR="006C6608">
        <w:rPr>
          <w:b/>
          <w:bCs/>
          <w:sz w:val="28"/>
          <w:szCs w:val="28"/>
        </w:rPr>
        <w:t xml:space="preserve"> </w:t>
      </w:r>
      <w:r w:rsidR="006C6608">
        <w:rPr>
          <w:b/>
          <w:bCs/>
          <w:sz w:val="28"/>
          <w:szCs w:val="28"/>
        </w:rPr>
        <w:br/>
        <w:t>(</w:t>
      </w:r>
      <w:r w:rsidR="006C6608" w:rsidRPr="006C6608">
        <w:rPr>
          <w:b/>
          <w:bCs/>
          <w:sz w:val="28"/>
          <w:szCs w:val="28"/>
        </w:rPr>
        <w:t>Nina Boyarchenko et al., 2015)</w:t>
      </w:r>
    </w:p>
    <w:p w14:paraId="2550E3F5" w14:textId="77777777" w:rsidR="00501AE6" w:rsidRDefault="00501AE6" w:rsidP="006B3157">
      <w:pPr>
        <w:rPr>
          <w:sz w:val="28"/>
          <w:szCs w:val="28"/>
        </w:rPr>
      </w:pPr>
    </w:p>
    <w:p w14:paraId="235C5AB1" w14:textId="3BD47BF8" w:rsidR="00051ABE" w:rsidRDefault="00501AE6" w:rsidP="007E6004">
      <w:pPr>
        <w:rPr>
          <w:sz w:val="28"/>
          <w:szCs w:val="28"/>
        </w:rPr>
      </w:pPr>
      <w:r>
        <w:rPr>
          <w:noProof/>
          <w:sz w:val="28"/>
          <w:szCs w:val="28"/>
        </w:rPr>
        <w:drawing>
          <wp:inline distT="0" distB="0" distL="0" distR="0" wp14:anchorId="380102A4" wp14:editId="5DE52BF7">
            <wp:extent cx="4381500" cy="3876675"/>
            <wp:effectExtent l="0" t="0" r="0" b="9525"/>
            <wp:docPr id="128103691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81500" cy="3876675"/>
                    </a:xfrm>
                    <a:prstGeom prst="rect">
                      <a:avLst/>
                    </a:prstGeom>
                    <a:noFill/>
                  </pic:spPr>
                </pic:pic>
              </a:graphicData>
            </a:graphic>
          </wp:inline>
        </w:drawing>
      </w:r>
    </w:p>
    <w:p w14:paraId="67868CE8" w14:textId="77777777" w:rsidR="00051ABE" w:rsidRDefault="00051ABE" w:rsidP="007E6004">
      <w:pPr>
        <w:rPr>
          <w:sz w:val="28"/>
          <w:szCs w:val="28"/>
        </w:rPr>
      </w:pPr>
    </w:p>
    <w:p w14:paraId="1F50433F" w14:textId="77777777" w:rsidR="00051ABE" w:rsidRDefault="00051ABE" w:rsidP="007E6004">
      <w:pPr>
        <w:rPr>
          <w:sz w:val="28"/>
          <w:szCs w:val="28"/>
        </w:rPr>
      </w:pPr>
    </w:p>
    <w:p w14:paraId="117A9F21" w14:textId="77777777" w:rsidR="00051ABE" w:rsidRDefault="00051ABE" w:rsidP="007E6004">
      <w:pPr>
        <w:rPr>
          <w:sz w:val="28"/>
          <w:szCs w:val="28"/>
        </w:rPr>
      </w:pPr>
    </w:p>
    <w:p w14:paraId="120A665F" w14:textId="77777777" w:rsidR="002B694E" w:rsidRDefault="002B694E" w:rsidP="007E6004">
      <w:pPr>
        <w:rPr>
          <w:sz w:val="28"/>
          <w:szCs w:val="28"/>
        </w:rPr>
      </w:pPr>
    </w:p>
    <w:p w14:paraId="641258BE" w14:textId="77777777" w:rsidR="002B694E" w:rsidRDefault="002B694E" w:rsidP="002B694E">
      <w:pPr>
        <w:widowControl w:val="0"/>
        <w:autoSpaceDE w:val="0"/>
        <w:autoSpaceDN w:val="0"/>
        <w:adjustRightInd w:val="0"/>
        <w:spacing w:after="0" w:line="480" w:lineRule="auto"/>
        <w:jc w:val="center"/>
        <w:rPr>
          <w:rFonts w:ascii="Times New Roman" w:hAnsi="Times New Roman" w:cs="Times New Roman"/>
          <w:b/>
          <w:bCs/>
          <w:kern w:val="0"/>
          <w:sz w:val="24"/>
          <w:szCs w:val="24"/>
          <w:lang w:val="en-US"/>
        </w:rPr>
      </w:pPr>
      <w:r>
        <w:rPr>
          <w:rFonts w:ascii="Times New Roman" w:hAnsi="Times New Roman" w:cs="Times New Roman"/>
          <w:b/>
          <w:bCs/>
          <w:kern w:val="0"/>
          <w:sz w:val="24"/>
          <w:szCs w:val="24"/>
          <w:lang w:val="en-US"/>
        </w:rPr>
        <w:t>References</w:t>
      </w:r>
    </w:p>
    <w:p w14:paraId="2EE36012" w14:textId="77777777" w:rsidR="002B694E" w:rsidRDefault="002B694E" w:rsidP="002B694E">
      <w:pPr>
        <w:widowControl w:val="0"/>
        <w:autoSpaceDE w:val="0"/>
        <w:autoSpaceDN w:val="0"/>
        <w:adjustRightInd w:val="0"/>
        <w:spacing w:after="0" w:line="48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CFI Team. (2023). </w:t>
      </w:r>
      <w:r>
        <w:rPr>
          <w:rFonts w:ascii="Times New Roman" w:hAnsi="Times New Roman" w:cs="Times New Roman"/>
          <w:i/>
          <w:iCs/>
          <w:kern w:val="0"/>
          <w:sz w:val="24"/>
          <w:szCs w:val="24"/>
          <w:lang w:val="en-US"/>
        </w:rPr>
        <w:t>Options: Calls and Puts</w:t>
      </w:r>
      <w:r>
        <w:rPr>
          <w:rFonts w:ascii="Times New Roman" w:hAnsi="Times New Roman" w:cs="Times New Roman"/>
          <w:kern w:val="0"/>
          <w:sz w:val="24"/>
          <w:szCs w:val="24"/>
          <w:lang w:val="en-US"/>
        </w:rPr>
        <w:t xml:space="preserve">. Corporate Finance Institute. </w:t>
      </w:r>
      <w:hyperlink r:id="rId20" w:history="1">
        <w:r>
          <w:rPr>
            <w:rFonts w:ascii="Times New Roman" w:hAnsi="Times New Roman" w:cs="Times New Roman"/>
            <w:kern w:val="0"/>
            <w:sz w:val="24"/>
            <w:szCs w:val="24"/>
            <w:lang w:val="en-US"/>
          </w:rPr>
          <w:t>https://corporatefinanceinstitute.com/resources/derivatives/options-calls-and-puts/</w:t>
        </w:r>
      </w:hyperlink>
    </w:p>
    <w:p w14:paraId="63E94D5B" w14:textId="77777777" w:rsidR="002B694E" w:rsidRDefault="002B694E" w:rsidP="002B694E">
      <w:pPr>
        <w:widowControl w:val="0"/>
        <w:autoSpaceDE w:val="0"/>
        <w:autoSpaceDN w:val="0"/>
        <w:adjustRightInd w:val="0"/>
        <w:spacing w:after="0" w:line="48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CFI team. (n.d.). </w:t>
      </w:r>
      <w:r>
        <w:rPr>
          <w:rFonts w:ascii="Times New Roman" w:hAnsi="Times New Roman" w:cs="Times New Roman"/>
          <w:i/>
          <w:iCs/>
          <w:kern w:val="0"/>
          <w:sz w:val="24"/>
          <w:szCs w:val="24"/>
          <w:lang w:val="en-US"/>
        </w:rPr>
        <w:t>CAGR</w:t>
      </w:r>
      <w:r>
        <w:rPr>
          <w:rFonts w:ascii="Times New Roman" w:hAnsi="Times New Roman" w:cs="Times New Roman"/>
          <w:kern w:val="0"/>
          <w:sz w:val="24"/>
          <w:szCs w:val="24"/>
          <w:lang w:val="en-US"/>
        </w:rPr>
        <w:t xml:space="preserve">. Corporate Finance Institute. </w:t>
      </w:r>
      <w:hyperlink r:id="rId21" w:history="1">
        <w:r>
          <w:rPr>
            <w:rFonts w:ascii="Times New Roman" w:hAnsi="Times New Roman" w:cs="Times New Roman"/>
            <w:kern w:val="0"/>
            <w:sz w:val="24"/>
            <w:szCs w:val="24"/>
            <w:lang w:val="en-US"/>
          </w:rPr>
          <w:t>https://corporatefinanceinstitute.com/resources/valuation/what-is-cagr/</w:t>
        </w:r>
      </w:hyperlink>
    </w:p>
    <w:p w14:paraId="08498C74" w14:textId="77777777" w:rsidR="002B694E" w:rsidRDefault="002B694E" w:rsidP="002B694E">
      <w:pPr>
        <w:widowControl w:val="0"/>
        <w:autoSpaceDE w:val="0"/>
        <w:autoSpaceDN w:val="0"/>
        <w:adjustRightInd w:val="0"/>
        <w:spacing w:after="0" w:line="48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CFI TEAM . (n.d.). </w:t>
      </w:r>
      <w:r>
        <w:rPr>
          <w:rFonts w:ascii="Times New Roman" w:hAnsi="Times New Roman" w:cs="Times New Roman"/>
          <w:i/>
          <w:iCs/>
          <w:kern w:val="0"/>
          <w:sz w:val="24"/>
          <w:szCs w:val="24"/>
          <w:lang w:val="en-US"/>
        </w:rPr>
        <w:t>Call Option</w:t>
      </w:r>
      <w:r>
        <w:rPr>
          <w:rFonts w:ascii="Times New Roman" w:hAnsi="Times New Roman" w:cs="Times New Roman"/>
          <w:kern w:val="0"/>
          <w:sz w:val="24"/>
          <w:szCs w:val="24"/>
          <w:lang w:val="en-US"/>
        </w:rPr>
        <w:t xml:space="preserve">. Corporate Finance Institute. </w:t>
      </w:r>
      <w:hyperlink r:id="rId22" w:history="1">
        <w:r>
          <w:rPr>
            <w:rFonts w:ascii="Times New Roman" w:hAnsi="Times New Roman" w:cs="Times New Roman"/>
            <w:kern w:val="0"/>
            <w:sz w:val="24"/>
            <w:szCs w:val="24"/>
            <w:lang w:val="en-US"/>
          </w:rPr>
          <w:t>https://corporatefinanceinstitute.com/resources/derivatives/call-option/</w:t>
        </w:r>
      </w:hyperlink>
    </w:p>
    <w:p w14:paraId="089E034E" w14:textId="77777777" w:rsidR="002B694E" w:rsidRDefault="002B694E" w:rsidP="002B694E">
      <w:pPr>
        <w:widowControl w:val="0"/>
        <w:autoSpaceDE w:val="0"/>
        <w:autoSpaceDN w:val="0"/>
        <w:adjustRightInd w:val="0"/>
        <w:spacing w:after="0" w:line="48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Dudovskiy, J. (2016, August 24). </w:t>
      </w:r>
      <w:r>
        <w:rPr>
          <w:rFonts w:ascii="Times New Roman" w:hAnsi="Times New Roman" w:cs="Times New Roman"/>
          <w:i/>
          <w:iCs/>
          <w:kern w:val="0"/>
          <w:sz w:val="24"/>
          <w:szCs w:val="24"/>
          <w:lang w:val="en-US"/>
        </w:rPr>
        <w:t>Hilton Hotels Segmentation, Targeting and Positioning</w:t>
      </w:r>
      <w:r>
        <w:rPr>
          <w:rFonts w:ascii="Times New Roman" w:hAnsi="Times New Roman" w:cs="Times New Roman"/>
          <w:kern w:val="0"/>
          <w:sz w:val="24"/>
          <w:szCs w:val="24"/>
          <w:lang w:val="en-US"/>
        </w:rPr>
        <w:t xml:space="preserve">. Research-Methodology. </w:t>
      </w:r>
      <w:hyperlink r:id="rId23" w:history="1">
        <w:r>
          <w:rPr>
            <w:rFonts w:ascii="Times New Roman" w:hAnsi="Times New Roman" w:cs="Times New Roman"/>
            <w:kern w:val="0"/>
            <w:sz w:val="24"/>
            <w:szCs w:val="24"/>
            <w:lang w:val="en-US"/>
          </w:rPr>
          <w:t>https://research-methodology.net/hilton-hotels-segmentation/#:~:text=A%20set%20of%20variables%20used</w:t>
        </w:r>
      </w:hyperlink>
    </w:p>
    <w:p w14:paraId="55549C2B" w14:textId="77777777" w:rsidR="005812DC" w:rsidRDefault="002B694E" w:rsidP="002B694E">
      <w:pPr>
        <w:widowControl w:val="0"/>
        <w:autoSpaceDE w:val="0"/>
        <w:autoSpaceDN w:val="0"/>
        <w:adjustRightInd w:val="0"/>
        <w:spacing w:after="0" w:line="48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Forbes. (n.d.). </w:t>
      </w:r>
      <w:r>
        <w:rPr>
          <w:rFonts w:ascii="Times New Roman" w:hAnsi="Times New Roman" w:cs="Times New Roman"/>
          <w:i/>
          <w:iCs/>
          <w:kern w:val="0"/>
          <w:sz w:val="24"/>
          <w:szCs w:val="24"/>
          <w:lang w:val="en-US"/>
        </w:rPr>
        <w:t>Hilton Worldwide Holdings | HLT Stock Price, Company Overview &amp; News</w:t>
      </w:r>
      <w:r>
        <w:rPr>
          <w:rFonts w:ascii="Times New Roman" w:hAnsi="Times New Roman" w:cs="Times New Roman"/>
          <w:kern w:val="0"/>
          <w:sz w:val="24"/>
          <w:szCs w:val="24"/>
          <w:lang w:val="en-US"/>
        </w:rPr>
        <w:t>. Forbes. Retrieved April 15, 2024, from</w:t>
      </w:r>
    </w:p>
    <w:p w14:paraId="30F16D8D" w14:textId="40E61230" w:rsidR="002B694E" w:rsidRDefault="002B694E" w:rsidP="002B694E">
      <w:pPr>
        <w:widowControl w:val="0"/>
        <w:autoSpaceDE w:val="0"/>
        <w:autoSpaceDN w:val="0"/>
        <w:adjustRightInd w:val="0"/>
        <w:spacing w:after="0" w:line="48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 </w:t>
      </w:r>
      <w:hyperlink r:id="rId24" w:history="1">
        <w:r>
          <w:rPr>
            <w:rFonts w:ascii="Times New Roman" w:hAnsi="Times New Roman" w:cs="Times New Roman"/>
            <w:kern w:val="0"/>
            <w:sz w:val="24"/>
            <w:szCs w:val="24"/>
            <w:lang w:val="en-US"/>
          </w:rPr>
          <w:t>https://www.forbes.com/companies/hilton-worldwide-holdings/?sh=1c6927e339df</w:t>
        </w:r>
      </w:hyperlink>
    </w:p>
    <w:p w14:paraId="2BBA3A90" w14:textId="77777777" w:rsidR="005812DC" w:rsidRDefault="005812DC" w:rsidP="005812DC">
      <w:pPr>
        <w:widowControl w:val="0"/>
        <w:autoSpaceDE w:val="0"/>
        <w:autoSpaceDN w:val="0"/>
        <w:adjustRightInd w:val="0"/>
        <w:spacing w:after="0" w:line="480" w:lineRule="auto"/>
        <w:rPr>
          <w:rFonts w:ascii="Times New Roman" w:hAnsi="Times New Roman" w:cs="Times New Roman"/>
          <w:kern w:val="0"/>
          <w:sz w:val="24"/>
          <w:szCs w:val="24"/>
          <w:lang w:val="en-US"/>
        </w:rPr>
      </w:pPr>
    </w:p>
    <w:p w14:paraId="39048620" w14:textId="77777777" w:rsidR="002B694E" w:rsidRDefault="002B694E" w:rsidP="002B694E">
      <w:pPr>
        <w:widowControl w:val="0"/>
        <w:autoSpaceDE w:val="0"/>
        <w:autoSpaceDN w:val="0"/>
        <w:adjustRightInd w:val="0"/>
        <w:spacing w:after="0" w:line="48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HILTON. (n.d.). </w:t>
      </w:r>
      <w:r>
        <w:rPr>
          <w:rFonts w:ascii="Times New Roman" w:hAnsi="Times New Roman" w:cs="Times New Roman"/>
          <w:i/>
          <w:iCs/>
          <w:kern w:val="0"/>
          <w:sz w:val="24"/>
          <w:szCs w:val="24"/>
          <w:lang w:val="en-US"/>
        </w:rPr>
        <w:t>Stock Chart</w:t>
      </w:r>
      <w:r>
        <w:rPr>
          <w:rFonts w:ascii="Times New Roman" w:hAnsi="Times New Roman" w:cs="Times New Roman"/>
          <w:kern w:val="0"/>
          <w:sz w:val="24"/>
          <w:szCs w:val="24"/>
          <w:lang w:val="en-US"/>
        </w:rPr>
        <w:t xml:space="preserve">. Ir.hilton.com. </w:t>
      </w:r>
      <w:hyperlink r:id="rId25" w:history="1">
        <w:r>
          <w:rPr>
            <w:rFonts w:ascii="Times New Roman" w:hAnsi="Times New Roman" w:cs="Times New Roman"/>
            <w:kern w:val="0"/>
            <w:sz w:val="24"/>
            <w:szCs w:val="24"/>
            <w:lang w:val="en-US"/>
          </w:rPr>
          <w:t>https://ir.hilton.com/stock-information/stock-chart</w:t>
        </w:r>
      </w:hyperlink>
    </w:p>
    <w:p w14:paraId="5E8E3937" w14:textId="77777777" w:rsidR="005812DC" w:rsidRDefault="002B694E" w:rsidP="002B694E">
      <w:pPr>
        <w:widowControl w:val="0"/>
        <w:autoSpaceDE w:val="0"/>
        <w:autoSpaceDN w:val="0"/>
        <w:adjustRightInd w:val="0"/>
        <w:spacing w:after="0" w:line="48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Kimberly Amadeo . (2022, March 24). </w:t>
      </w:r>
      <w:r>
        <w:rPr>
          <w:rFonts w:ascii="Times New Roman" w:hAnsi="Times New Roman" w:cs="Times New Roman"/>
          <w:i/>
          <w:iCs/>
          <w:kern w:val="0"/>
          <w:sz w:val="24"/>
          <w:szCs w:val="24"/>
          <w:lang w:val="en-US"/>
        </w:rPr>
        <w:t>How the 10-Year Treasury Note Guides All Other Interest Rates</w:t>
      </w:r>
      <w:r>
        <w:rPr>
          <w:rFonts w:ascii="Times New Roman" w:hAnsi="Times New Roman" w:cs="Times New Roman"/>
          <w:kern w:val="0"/>
          <w:sz w:val="24"/>
          <w:szCs w:val="24"/>
          <w:lang w:val="en-US"/>
        </w:rPr>
        <w:t xml:space="preserve">. The Balance. </w:t>
      </w:r>
    </w:p>
    <w:p w14:paraId="7D9A5389" w14:textId="4A4497A7" w:rsidR="002B694E" w:rsidRDefault="005812DC" w:rsidP="002B694E">
      <w:pPr>
        <w:widowControl w:val="0"/>
        <w:autoSpaceDE w:val="0"/>
        <w:autoSpaceDN w:val="0"/>
        <w:adjustRightInd w:val="0"/>
        <w:spacing w:after="0" w:line="480" w:lineRule="auto"/>
        <w:ind w:left="720" w:hanging="720"/>
        <w:rPr>
          <w:rFonts w:ascii="Times New Roman" w:hAnsi="Times New Roman" w:cs="Times New Roman"/>
          <w:kern w:val="0"/>
          <w:sz w:val="24"/>
          <w:szCs w:val="24"/>
          <w:lang w:val="en-US"/>
        </w:rPr>
      </w:pPr>
      <w:hyperlink r:id="rId26" w:history="1">
        <w:r w:rsidRPr="00D229D9">
          <w:rPr>
            <w:rStyle w:val="Hyperlink"/>
            <w:rFonts w:ascii="Times New Roman" w:hAnsi="Times New Roman" w:cs="Times New Roman"/>
            <w:kern w:val="0"/>
            <w:sz w:val="24"/>
            <w:szCs w:val="24"/>
            <w:lang w:val="en-US"/>
          </w:rPr>
          <w:t>https://www.thebalancemoney.com/10-year-treasury-note-3305795</w:t>
        </w:r>
      </w:hyperlink>
    </w:p>
    <w:p w14:paraId="11544D1F" w14:textId="77777777" w:rsidR="005812DC" w:rsidRDefault="002B694E" w:rsidP="005812DC">
      <w:pPr>
        <w:widowControl w:val="0"/>
        <w:autoSpaceDE w:val="0"/>
        <w:autoSpaceDN w:val="0"/>
        <w:adjustRightInd w:val="0"/>
        <w:spacing w:after="0" w:line="48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Luenendonk, M. (2015, January 4). </w:t>
      </w:r>
      <w:r>
        <w:rPr>
          <w:rFonts w:ascii="Times New Roman" w:hAnsi="Times New Roman" w:cs="Times New Roman"/>
          <w:i/>
          <w:iCs/>
          <w:kern w:val="0"/>
          <w:sz w:val="24"/>
          <w:szCs w:val="24"/>
          <w:lang w:val="en-US"/>
        </w:rPr>
        <w:t>Business Model of Hilton Hotels</w:t>
      </w:r>
      <w:r>
        <w:rPr>
          <w:rFonts w:ascii="Times New Roman" w:hAnsi="Times New Roman" w:cs="Times New Roman"/>
          <w:kern w:val="0"/>
          <w:sz w:val="24"/>
          <w:szCs w:val="24"/>
          <w:lang w:val="en-US"/>
        </w:rPr>
        <w:t xml:space="preserve">. Cleverism. </w:t>
      </w:r>
    </w:p>
    <w:p w14:paraId="35F93F0F" w14:textId="755C54C7" w:rsidR="005812DC" w:rsidRDefault="005812DC" w:rsidP="005812DC">
      <w:pPr>
        <w:widowControl w:val="0"/>
        <w:autoSpaceDE w:val="0"/>
        <w:autoSpaceDN w:val="0"/>
        <w:adjustRightInd w:val="0"/>
        <w:spacing w:after="0" w:line="480" w:lineRule="auto"/>
        <w:ind w:left="720" w:hanging="720"/>
        <w:rPr>
          <w:rFonts w:ascii="Times New Roman" w:hAnsi="Times New Roman" w:cs="Times New Roman"/>
          <w:kern w:val="0"/>
          <w:sz w:val="24"/>
          <w:szCs w:val="24"/>
          <w:lang w:val="en-US"/>
        </w:rPr>
      </w:pPr>
      <w:hyperlink r:id="rId27" w:history="1">
        <w:r w:rsidRPr="00D229D9">
          <w:rPr>
            <w:rStyle w:val="Hyperlink"/>
            <w:rFonts w:ascii="Times New Roman" w:hAnsi="Times New Roman" w:cs="Times New Roman"/>
            <w:kern w:val="0"/>
            <w:sz w:val="24"/>
            <w:szCs w:val="24"/>
            <w:lang w:val="en-US"/>
          </w:rPr>
          <w:t>https://cleverism.com/business-model-hilton-hotels/</w:t>
        </w:r>
      </w:hyperlink>
    </w:p>
    <w:p w14:paraId="0BCCB0D1" w14:textId="77777777" w:rsidR="005812DC" w:rsidRDefault="002B694E" w:rsidP="002B694E">
      <w:pPr>
        <w:widowControl w:val="0"/>
        <w:autoSpaceDE w:val="0"/>
        <w:autoSpaceDN w:val="0"/>
        <w:adjustRightInd w:val="0"/>
        <w:spacing w:after="0" w:line="48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Mohamed, S., &amp; Chenyi, N. (2023). </w:t>
      </w:r>
      <w:r>
        <w:rPr>
          <w:rFonts w:ascii="Times New Roman" w:hAnsi="Times New Roman" w:cs="Times New Roman"/>
          <w:i/>
          <w:iCs/>
          <w:kern w:val="0"/>
          <w:sz w:val="24"/>
          <w:szCs w:val="24"/>
          <w:lang w:val="en-US"/>
        </w:rPr>
        <w:t xml:space="preserve">The Impact of IPO underpricing on long term </w:t>
      </w:r>
      <w:r>
        <w:rPr>
          <w:rFonts w:ascii="Times New Roman" w:hAnsi="Times New Roman" w:cs="Times New Roman"/>
          <w:i/>
          <w:iCs/>
          <w:kern w:val="0"/>
          <w:sz w:val="24"/>
          <w:szCs w:val="24"/>
          <w:lang w:val="en-US"/>
        </w:rPr>
        <w:lastRenderedPageBreak/>
        <w:t>performance of stocks Comparative Analysis of the Swedish and United Kingdom Stock Markets</w:t>
      </w:r>
      <w:r>
        <w:rPr>
          <w:rFonts w:ascii="Times New Roman" w:hAnsi="Times New Roman" w:cs="Times New Roman"/>
          <w:kern w:val="0"/>
          <w:sz w:val="24"/>
          <w:szCs w:val="24"/>
          <w:lang w:val="en-US"/>
        </w:rPr>
        <w:t>.</w:t>
      </w:r>
    </w:p>
    <w:p w14:paraId="6AAE5A45" w14:textId="3BAEEDD0" w:rsidR="002B694E" w:rsidRDefault="005812DC" w:rsidP="002B694E">
      <w:pPr>
        <w:widowControl w:val="0"/>
        <w:autoSpaceDE w:val="0"/>
        <w:autoSpaceDN w:val="0"/>
        <w:adjustRightInd w:val="0"/>
        <w:spacing w:after="0" w:line="480" w:lineRule="auto"/>
        <w:ind w:left="720" w:hanging="720"/>
        <w:rPr>
          <w:rFonts w:ascii="Times New Roman" w:hAnsi="Times New Roman" w:cs="Times New Roman"/>
          <w:kern w:val="0"/>
          <w:sz w:val="24"/>
          <w:szCs w:val="24"/>
          <w:lang w:val="en-US"/>
        </w:rPr>
      </w:pPr>
      <w:hyperlink r:id="rId28" w:history="1">
        <w:r w:rsidRPr="00D229D9">
          <w:rPr>
            <w:rStyle w:val="Hyperlink"/>
            <w:rFonts w:ascii="Times New Roman" w:hAnsi="Times New Roman" w:cs="Times New Roman"/>
            <w:kern w:val="0"/>
            <w:sz w:val="24"/>
            <w:szCs w:val="24"/>
            <w:lang w:val="en-US"/>
          </w:rPr>
          <w:t>https://umu.diva-portal.org/smash/get/diva2:1810929/FULLTEXT01.pdf</w:t>
        </w:r>
      </w:hyperlink>
    </w:p>
    <w:p w14:paraId="3DCA0500" w14:textId="154FB92F" w:rsidR="002B694E" w:rsidRDefault="002B694E" w:rsidP="005812DC">
      <w:pPr>
        <w:widowControl w:val="0"/>
        <w:autoSpaceDE w:val="0"/>
        <w:autoSpaceDN w:val="0"/>
        <w:adjustRightInd w:val="0"/>
        <w:spacing w:after="0" w:line="48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Netcials. (n.d.). </w:t>
      </w:r>
      <w:r>
        <w:rPr>
          <w:rFonts w:ascii="Times New Roman" w:hAnsi="Times New Roman" w:cs="Times New Roman"/>
          <w:i/>
          <w:iCs/>
          <w:kern w:val="0"/>
          <w:sz w:val="24"/>
          <w:szCs w:val="24"/>
          <w:lang w:val="en-US"/>
        </w:rPr>
        <w:t>Hilton Worldwide Holdings Inc (HLT) Stock 10 Year History</w:t>
      </w:r>
      <w:r>
        <w:rPr>
          <w:rFonts w:ascii="Times New Roman" w:hAnsi="Times New Roman" w:cs="Times New Roman"/>
          <w:kern w:val="0"/>
          <w:sz w:val="24"/>
          <w:szCs w:val="24"/>
          <w:lang w:val="en-US"/>
        </w:rPr>
        <w:t xml:space="preserve">. Netcials. </w:t>
      </w:r>
      <w:hyperlink r:id="rId29" w:history="1">
        <w:r w:rsidR="005812DC" w:rsidRPr="00D229D9">
          <w:rPr>
            <w:rStyle w:val="Hyperlink"/>
            <w:rFonts w:ascii="Times New Roman" w:hAnsi="Times New Roman" w:cs="Times New Roman"/>
            <w:kern w:val="0"/>
            <w:sz w:val="24"/>
            <w:szCs w:val="24"/>
            <w:lang w:val="en-US"/>
          </w:rPr>
          <w:t>https://www.netcials.com/stock-10-year-history-nyse/HLT-Hilton-Worldwide-Holdings-Inc/</w:t>
        </w:r>
      </w:hyperlink>
    </w:p>
    <w:p w14:paraId="0A2E951D" w14:textId="77777777" w:rsidR="002B694E" w:rsidRDefault="002B694E" w:rsidP="002B694E">
      <w:pPr>
        <w:widowControl w:val="0"/>
        <w:autoSpaceDE w:val="0"/>
        <w:autoSpaceDN w:val="0"/>
        <w:adjustRightInd w:val="0"/>
        <w:spacing w:after="0" w:line="48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Nina Boyarchenko, Matthew Plosser, &amp; Sooji Kim. (2015, December 21). </w:t>
      </w:r>
      <w:r>
        <w:rPr>
          <w:rFonts w:ascii="Times New Roman" w:hAnsi="Times New Roman" w:cs="Times New Roman"/>
          <w:i/>
          <w:iCs/>
          <w:kern w:val="0"/>
          <w:sz w:val="24"/>
          <w:szCs w:val="24"/>
          <w:lang w:val="en-US"/>
        </w:rPr>
        <w:t>The Effect of Fed Funds Rate Hikes on Consumer Borrowing Costs</w:t>
      </w:r>
      <w:r>
        <w:rPr>
          <w:rFonts w:ascii="Times New Roman" w:hAnsi="Times New Roman" w:cs="Times New Roman"/>
          <w:kern w:val="0"/>
          <w:sz w:val="24"/>
          <w:szCs w:val="24"/>
          <w:lang w:val="en-US"/>
        </w:rPr>
        <w:t xml:space="preserve">. Liberty Street Economics. </w:t>
      </w:r>
      <w:hyperlink r:id="rId30" w:history="1">
        <w:r>
          <w:rPr>
            <w:rFonts w:ascii="Times New Roman" w:hAnsi="Times New Roman" w:cs="Times New Roman"/>
            <w:kern w:val="0"/>
            <w:sz w:val="24"/>
            <w:szCs w:val="24"/>
            <w:lang w:val="en-US"/>
          </w:rPr>
          <w:t>https://libertystreeteconomics.newyorkfed.org/2015/12/the-effect-of-fed-funds-rate-hikes-on-consumer-borrowing-costs/</w:t>
        </w:r>
      </w:hyperlink>
    </w:p>
    <w:p w14:paraId="381B3148" w14:textId="77777777" w:rsidR="002B694E" w:rsidRDefault="002B694E" w:rsidP="002B694E">
      <w:pPr>
        <w:widowControl w:val="0"/>
        <w:autoSpaceDE w:val="0"/>
        <w:autoSpaceDN w:val="0"/>
        <w:adjustRightInd w:val="0"/>
        <w:spacing w:after="0" w:line="48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stock Analysis. (n.d.). </w:t>
      </w:r>
      <w:r>
        <w:rPr>
          <w:rFonts w:ascii="Times New Roman" w:hAnsi="Times New Roman" w:cs="Times New Roman"/>
          <w:i/>
          <w:iCs/>
          <w:kern w:val="0"/>
          <w:sz w:val="24"/>
          <w:szCs w:val="24"/>
          <w:lang w:val="en-US"/>
        </w:rPr>
        <w:t>Hilton Worldwide Holdings Inc. (HLT) Company Profile &amp; Overview</w:t>
      </w:r>
      <w:r>
        <w:rPr>
          <w:rFonts w:ascii="Times New Roman" w:hAnsi="Times New Roman" w:cs="Times New Roman"/>
          <w:kern w:val="0"/>
          <w:sz w:val="24"/>
          <w:szCs w:val="24"/>
          <w:lang w:val="en-US"/>
        </w:rPr>
        <w:t xml:space="preserve">. Stock Analysis. Retrieved April 19, 2024, from </w:t>
      </w:r>
      <w:hyperlink r:id="rId31" w:history="1">
        <w:r>
          <w:rPr>
            <w:rFonts w:ascii="Times New Roman" w:hAnsi="Times New Roman" w:cs="Times New Roman"/>
            <w:kern w:val="0"/>
            <w:sz w:val="24"/>
            <w:szCs w:val="24"/>
            <w:lang w:val="en-US"/>
          </w:rPr>
          <w:t>https://stockanalysis.com/stocks/hlt/company/</w:t>
        </w:r>
      </w:hyperlink>
    </w:p>
    <w:p w14:paraId="063E7665" w14:textId="77777777" w:rsidR="002B694E" w:rsidRDefault="002B694E" w:rsidP="002B694E">
      <w:pPr>
        <w:widowControl w:val="0"/>
        <w:autoSpaceDE w:val="0"/>
        <w:autoSpaceDN w:val="0"/>
        <w:adjustRightInd w:val="0"/>
        <w:spacing w:after="0" w:line="48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The Economic Times. (2019). </w:t>
      </w:r>
      <w:r>
        <w:rPr>
          <w:rFonts w:ascii="Times New Roman" w:hAnsi="Times New Roman" w:cs="Times New Roman"/>
          <w:i/>
          <w:iCs/>
          <w:kern w:val="0"/>
          <w:sz w:val="24"/>
          <w:szCs w:val="24"/>
          <w:lang w:val="en-US"/>
        </w:rPr>
        <w:t>What is Sharpe Ratio? Definition of Sharpe Ratio, Sharpe Ratio Meaning - The Economic Times</w:t>
      </w:r>
      <w:r>
        <w:rPr>
          <w:rFonts w:ascii="Times New Roman" w:hAnsi="Times New Roman" w:cs="Times New Roman"/>
          <w:kern w:val="0"/>
          <w:sz w:val="24"/>
          <w:szCs w:val="24"/>
          <w:lang w:val="en-US"/>
        </w:rPr>
        <w:t xml:space="preserve">. The Economic Times. </w:t>
      </w:r>
      <w:hyperlink r:id="rId32" w:history="1">
        <w:r>
          <w:rPr>
            <w:rFonts w:ascii="Times New Roman" w:hAnsi="Times New Roman" w:cs="Times New Roman"/>
            <w:kern w:val="0"/>
            <w:sz w:val="24"/>
            <w:szCs w:val="24"/>
            <w:lang w:val="en-US"/>
          </w:rPr>
          <w:t>https://economictimes.indiatimes.com/definition/Sharpe-Ratio</w:t>
        </w:r>
      </w:hyperlink>
    </w:p>
    <w:p w14:paraId="2550AF00" w14:textId="77777777" w:rsidR="002B694E" w:rsidRDefault="002B694E" w:rsidP="002B694E">
      <w:pPr>
        <w:widowControl w:val="0"/>
        <w:autoSpaceDE w:val="0"/>
        <w:autoSpaceDN w:val="0"/>
        <w:adjustRightInd w:val="0"/>
        <w:spacing w:after="0" w:line="48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Washington, D. (2023). </w:t>
      </w:r>
      <w:r>
        <w:rPr>
          <w:rFonts w:ascii="Times New Roman" w:hAnsi="Times New Roman" w:cs="Times New Roman"/>
          <w:i/>
          <w:iCs/>
          <w:kern w:val="0"/>
          <w:sz w:val="24"/>
          <w:szCs w:val="24"/>
          <w:lang w:val="en-US"/>
        </w:rPr>
        <w:t xml:space="preserve">UNITED STATES SECURITIES AND EXCHANGE COMMISSION Form 10-K (Mark One) </w:t>
      </w:r>
      <w:r>
        <w:rPr>
          <w:rFonts w:ascii="Segoe UI Symbol" w:hAnsi="Segoe UI Symbol" w:cs="Segoe UI Symbol"/>
          <w:i/>
          <w:iCs/>
          <w:kern w:val="0"/>
          <w:sz w:val="24"/>
          <w:szCs w:val="24"/>
          <w:lang w:val="en-US"/>
        </w:rPr>
        <w:t>☒</w:t>
      </w:r>
      <w:r>
        <w:rPr>
          <w:rFonts w:ascii="Times New Roman" w:hAnsi="Times New Roman" w:cs="Times New Roman"/>
          <w:i/>
          <w:iCs/>
          <w:kern w:val="0"/>
          <w:sz w:val="24"/>
          <w:szCs w:val="24"/>
          <w:lang w:val="en-US"/>
        </w:rPr>
        <w:t xml:space="preserve"> ANNUAL REPORT PURSUANT TO SECTION 13 OR 15(d) OF THE SECURITIES EXCHANGE ACT OF 1934</w:t>
      </w:r>
      <w:r>
        <w:rPr>
          <w:rFonts w:ascii="Times New Roman" w:hAnsi="Times New Roman" w:cs="Times New Roman"/>
          <w:kern w:val="0"/>
          <w:sz w:val="24"/>
          <w:szCs w:val="24"/>
          <w:lang w:val="en-US"/>
        </w:rPr>
        <w:t xml:space="preserve">. </w:t>
      </w:r>
      <w:hyperlink r:id="rId33" w:history="1">
        <w:r>
          <w:rPr>
            <w:rFonts w:ascii="Times New Roman" w:hAnsi="Times New Roman" w:cs="Times New Roman"/>
            <w:kern w:val="0"/>
            <w:sz w:val="24"/>
            <w:szCs w:val="24"/>
            <w:lang w:val="en-US"/>
          </w:rPr>
          <w:t>https://stories-editor.hilton.com/wp-content/uploads/2023/04/HILTON-WORLDWIDE-INC_10K_2023_V1.pdf</w:t>
        </w:r>
      </w:hyperlink>
    </w:p>
    <w:p w14:paraId="23565038" w14:textId="79E9F817" w:rsidR="002B694E" w:rsidRDefault="002B694E" w:rsidP="002B694E">
      <w:pPr>
        <w:widowControl w:val="0"/>
        <w:autoSpaceDE w:val="0"/>
        <w:autoSpaceDN w:val="0"/>
        <w:adjustRightInd w:val="0"/>
        <w:spacing w:after="0" w:line="480" w:lineRule="auto"/>
        <w:ind w:left="720" w:hanging="720"/>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What is Treynor Ratio? Definition of Treynor Ratio, Treynor Ratio Meaning - The Economic Times. (2019). </w:t>
      </w:r>
      <w:r>
        <w:rPr>
          <w:rFonts w:ascii="Times New Roman" w:hAnsi="Times New Roman" w:cs="Times New Roman"/>
          <w:i/>
          <w:iCs/>
          <w:kern w:val="0"/>
          <w:sz w:val="24"/>
          <w:szCs w:val="24"/>
          <w:lang w:val="en-US"/>
        </w:rPr>
        <w:t>What is Treynor Ratio? Definition of Treynor Ratio, Treynor Ratio Meaning - The Economic Times</w:t>
      </w:r>
      <w:r>
        <w:rPr>
          <w:rFonts w:ascii="Times New Roman" w:hAnsi="Times New Roman" w:cs="Times New Roman"/>
          <w:kern w:val="0"/>
          <w:sz w:val="24"/>
          <w:szCs w:val="24"/>
          <w:lang w:val="en-US"/>
        </w:rPr>
        <w:t xml:space="preserve">. The Economic Times. </w:t>
      </w:r>
      <w:r w:rsidR="005812DC" w:rsidRPr="005812DC">
        <w:rPr>
          <w:rFonts w:ascii="Times New Roman" w:hAnsi="Times New Roman" w:cs="Times New Roman"/>
          <w:kern w:val="0"/>
          <w:sz w:val="24"/>
          <w:szCs w:val="24"/>
          <w:lang w:val="en-US"/>
        </w:rPr>
        <w:t xml:space="preserve">YAHOO FINANCE . (2023, December 11). Hilton Marks a Decade of Growth Since Initial Public Offering. </w:t>
      </w:r>
      <w:r w:rsidR="005812DC" w:rsidRPr="005812DC">
        <w:rPr>
          <w:rFonts w:ascii="Times New Roman" w:hAnsi="Times New Roman" w:cs="Times New Roman"/>
          <w:kern w:val="0"/>
          <w:sz w:val="24"/>
          <w:szCs w:val="24"/>
          <w:lang w:val="en-US"/>
        </w:rPr>
        <w:lastRenderedPageBreak/>
        <w:t>Yahoo Finance. https://u</w:t>
      </w:r>
      <w:r w:rsidR="005812DC">
        <w:rPr>
          <w:rFonts w:ascii="Times New Roman" w:hAnsi="Times New Roman" w:cs="Times New Roman"/>
          <w:kern w:val="0"/>
          <w:sz w:val="24"/>
          <w:szCs w:val="24"/>
          <w:lang w:val="en-US"/>
        </w:rPr>
        <w:t>K</w:t>
      </w:r>
      <w:r w:rsidR="005812DC" w:rsidRPr="005812DC">
        <w:rPr>
          <w:rFonts w:ascii="Times New Roman" w:hAnsi="Times New Roman" w:cs="Times New Roman"/>
          <w:kern w:val="0"/>
          <w:sz w:val="24"/>
          <w:szCs w:val="24"/>
          <w:lang w:val="en-US"/>
        </w:rPr>
        <w:t>.finance.yahoo.com/news/hilton-marks-decade-growth-since-130000698.html</w:t>
      </w:r>
      <w:hyperlink r:id="rId34" w:history="1">
        <w:r>
          <w:rPr>
            <w:rFonts w:ascii="Times New Roman" w:hAnsi="Times New Roman" w:cs="Times New Roman"/>
            <w:kern w:val="0"/>
            <w:sz w:val="24"/>
            <w:szCs w:val="24"/>
            <w:lang w:val="en-US"/>
          </w:rPr>
          <w:t>https://economictimes.indiatimes.com/definition/treynor-ratio</w:t>
        </w:r>
      </w:hyperlink>
    </w:p>
    <w:p w14:paraId="00C89634" w14:textId="77777777" w:rsidR="005812DC" w:rsidRDefault="005812DC" w:rsidP="002B694E">
      <w:pPr>
        <w:widowControl w:val="0"/>
        <w:autoSpaceDE w:val="0"/>
        <w:autoSpaceDN w:val="0"/>
        <w:adjustRightInd w:val="0"/>
        <w:spacing w:after="0" w:line="480" w:lineRule="auto"/>
        <w:ind w:left="720" w:hanging="720"/>
        <w:rPr>
          <w:rFonts w:ascii="Times New Roman" w:hAnsi="Times New Roman" w:cs="Times New Roman"/>
          <w:kern w:val="0"/>
          <w:sz w:val="24"/>
          <w:szCs w:val="24"/>
          <w:lang w:val="en-US"/>
        </w:rPr>
      </w:pPr>
    </w:p>
    <w:p w14:paraId="670FCC02" w14:textId="77777777" w:rsidR="002B694E" w:rsidRDefault="002B694E" w:rsidP="007E6004">
      <w:pPr>
        <w:rPr>
          <w:sz w:val="28"/>
          <w:szCs w:val="28"/>
        </w:rPr>
      </w:pPr>
    </w:p>
    <w:p w14:paraId="352FE446" w14:textId="77777777" w:rsidR="00051ABE" w:rsidRDefault="00051ABE" w:rsidP="007E6004">
      <w:pPr>
        <w:rPr>
          <w:sz w:val="28"/>
          <w:szCs w:val="28"/>
        </w:rPr>
      </w:pPr>
    </w:p>
    <w:p w14:paraId="1FC671A4" w14:textId="77777777" w:rsidR="00051ABE" w:rsidRDefault="00051ABE" w:rsidP="007E6004">
      <w:pPr>
        <w:rPr>
          <w:sz w:val="28"/>
          <w:szCs w:val="28"/>
        </w:rPr>
      </w:pPr>
    </w:p>
    <w:p w14:paraId="47EE7A40" w14:textId="77777777" w:rsidR="00051ABE" w:rsidRDefault="00051ABE" w:rsidP="007E6004">
      <w:pPr>
        <w:rPr>
          <w:sz w:val="28"/>
          <w:szCs w:val="28"/>
        </w:rPr>
      </w:pPr>
    </w:p>
    <w:p w14:paraId="59750232" w14:textId="77777777" w:rsidR="00051ABE" w:rsidRDefault="00051ABE" w:rsidP="007E6004">
      <w:pPr>
        <w:rPr>
          <w:sz w:val="28"/>
          <w:szCs w:val="28"/>
        </w:rPr>
      </w:pPr>
    </w:p>
    <w:p w14:paraId="15F029FC" w14:textId="77777777" w:rsidR="00051ABE" w:rsidRDefault="00051ABE" w:rsidP="007E6004">
      <w:pPr>
        <w:rPr>
          <w:sz w:val="28"/>
          <w:szCs w:val="28"/>
        </w:rPr>
      </w:pPr>
    </w:p>
    <w:p w14:paraId="18EDA356" w14:textId="77777777" w:rsidR="00051ABE" w:rsidRDefault="00051ABE" w:rsidP="007E6004">
      <w:pPr>
        <w:rPr>
          <w:sz w:val="28"/>
          <w:szCs w:val="28"/>
        </w:rPr>
      </w:pPr>
    </w:p>
    <w:p w14:paraId="63D9F887" w14:textId="77777777" w:rsidR="00051ABE" w:rsidRDefault="00051ABE" w:rsidP="007E6004">
      <w:pPr>
        <w:rPr>
          <w:sz w:val="28"/>
          <w:szCs w:val="28"/>
        </w:rPr>
      </w:pPr>
    </w:p>
    <w:p w14:paraId="03193242" w14:textId="2E4B6822" w:rsidR="00244E6D" w:rsidRPr="00244E6D" w:rsidRDefault="00244E6D" w:rsidP="00244E6D">
      <w:pPr>
        <w:rPr>
          <w:sz w:val="28"/>
          <w:szCs w:val="28"/>
        </w:rPr>
      </w:pPr>
      <w:r w:rsidRPr="00244E6D">
        <w:rPr>
          <w:sz w:val="28"/>
          <w:szCs w:val="28"/>
        </w:rPr>
        <w:tab/>
      </w:r>
    </w:p>
    <w:p w14:paraId="162F53C5" w14:textId="30EE1D8F" w:rsidR="00051ABE" w:rsidRDefault="00244E6D" w:rsidP="007D2E51">
      <w:pPr>
        <w:rPr>
          <w:sz w:val="28"/>
          <w:szCs w:val="28"/>
        </w:rPr>
      </w:pPr>
      <w:r w:rsidRPr="00244E6D">
        <w:rPr>
          <w:sz w:val="28"/>
          <w:szCs w:val="28"/>
        </w:rPr>
        <w:tab/>
      </w:r>
      <w:r w:rsidR="004A761E">
        <w:rPr>
          <w:sz w:val="28"/>
          <w:szCs w:val="28"/>
        </w:rPr>
        <w:t xml:space="preserve"> </w:t>
      </w:r>
    </w:p>
    <w:p w14:paraId="071F0E1A" w14:textId="77777777" w:rsidR="00051ABE" w:rsidRDefault="00051ABE" w:rsidP="007E6004">
      <w:pPr>
        <w:rPr>
          <w:sz w:val="28"/>
          <w:szCs w:val="28"/>
        </w:rPr>
      </w:pPr>
    </w:p>
    <w:p w14:paraId="5DB8E2D1" w14:textId="77777777" w:rsidR="00051ABE" w:rsidRDefault="00051ABE" w:rsidP="007E6004">
      <w:pPr>
        <w:rPr>
          <w:sz w:val="28"/>
          <w:szCs w:val="28"/>
        </w:rPr>
      </w:pPr>
    </w:p>
    <w:p w14:paraId="406F4A44" w14:textId="77777777" w:rsidR="00051ABE" w:rsidRDefault="00051ABE" w:rsidP="007E6004">
      <w:pPr>
        <w:rPr>
          <w:sz w:val="28"/>
          <w:szCs w:val="28"/>
        </w:rPr>
      </w:pPr>
    </w:p>
    <w:p w14:paraId="53D46F9E" w14:textId="77777777" w:rsidR="00051ABE" w:rsidRDefault="00051ABE" w:rsidP="007E6004">
      <w:pPr>
        <w:rPr>
          <w:sz w:val="28"/>
          <w:szCs w:val="28"/>
        </w:rPr>
      </w:pPr>
    </w:p>
    <w:p w14:paraId="5D0EDD3A" w14:textId="77777777" w:rsidR="00051ABE" w:rsidRDefault="00051ABE" w:rsidP="007E6004">
      <w:pPr>
        <w:rPr>
          <w:sz w:val="28"/>
          <w:szCs w:val="28"/>
        </w:rPr>
      </w:pPr>
    </w:p>
    <w:p w14:paraId="125BD76C" w14:textId="77777777" w:rsidR="00051ABE" w:rsidRDefault="00051ABE" w:rsidP="007E6004">
      <w:pPr>
        <w:rPr>
          <w:sz w:val="28"/>
          <w:szCs w:val="28"/>
        </w:rPr>
      </w:pPr>
    </w:p>
    <w:p w14:paraId="664B938D" w14:textId="77777777" w:rsidR="007E6004" w:rsidRPr="007E6004" w:rsidRDefault="007E6004" w:rsidP="007E6004">
      <w:pPr>
        <w:rPr>
          <w:sz w:val="28"/>
          <w:szCs w:val="28"/>
        </w:rPr>
      </w:pPr>
    </w:p>
    <w:p w14:paraId="4C1C61C3" w14:textId="77777777" w:rsidR="007E6004" w:rsidRPr="007E6004" w:rsidRDefault="007E6004" w:rsidP="007E6004">
      <w:pPr>
        <w:rPr>
          <w:sz w:val="28"/>
          <w:szCs w:val="28"/>
        </w:rPr>
      </w:pPr>
    </w:p>
    <w:p w14:paraId="4DF7CCC3" w14:textId="77777777" w:rsidR="007E6004" w:rsidRPr="007E6004" w:rsidRDefault="007E6004" w:rsidP="007E6004">
      <w:pPr>
        <w:rPr>
          <w:sz w:val="28"/>
          <w:szCs w:val="28"/>
        </w:rPr>
      </w:pPr>
    </w:p>
    <w:p w14:paraId="13D6AB71" w14:textId="77777777" w:rsidR="007E6004" w:rsidRDefault="007E6004" w:rsidP="007E6004">
      <w:pPr>
        <w:rPr>
          <w:sz w:val="28"/>
          <w:szCs w:val="28"/>
        </w:rPr>
      </w:pPr>
    </w:p>
    <w:p w14:paraId="7E3AFB0A" w14:textId="37BDBD86" w:rsidR="007E6004" w:rsidRDefault="007E6004" w:rsidP="007E6004">
      <w:pPr>
        <w:tabs>
          <w:tab w:val="left" w:pos="3576"/>
        </w:tabs>
        <w:rPr>
          <w:sz w:val="28"/>
          <w:szCs w:val="28"/>
        </w:rPr>
      </w:pPr>
      <w:r>
        <w:rPr>
          <w:sz w:val="28"/>
          <w:szCs w:val="28"/>
        </w:rPr>
        <w:tab/>
      </w:r>
    </w:p>
    <w:p w14:paraId="316CC357" w14:textId="77777777" w:rsidR="007E6004" w:rsidRDefault="007E6004" w:rsidP="007E6004">
      <w:pPr>
        <w:tabs>
          <w:tab w:val="left" w:pos="3576"/>
        </w:tabs>
        <w:rPr>
          <w:sz w:val="28"/>
          <w:szCs w:val="28"/>
        </w:rPr>
      </w:pPr>
    </w:p>
    <w:p w14:paraId="5FB959EF" w14:textId="77777777" w:rsidR="007E6004" w:rsidRDefault="007E6004" w:rsidP="007E6004">
      <w:pPr>
        <w:tabs>
          <w:tab w:val="left" w:pos="3576"/>
        </w:tabs>
        <w:rPr>
          <w:sz w:val="28"/>
          <w:szCs w:val="28"/>
        </w:rPr>
      </w:pPr>
    </w:p>
    <w:p w14:paraId="1CDE5C54" w14:textId="77777777" w:rsidR="007E6004" w:rsidRDefault="007E6004" w:rsidP="007E6004">
      <w:pPr>
        <w:tabs>
          <w:tab w:val="left" w:pos="3576"/>
        </w:tabs>
        <w:rPr>
          <w:sz w:val="28"/>
          <w:szCs w:val="28"/>
        </w:rPr>
      </w:pPr>
    </w:p>
    <w:p w14:paraId="2C6FE64F" w14:textId="77777777" w:rsidR="007E6004" w:rsidRDefault="007E6004" w:rsidP="007E6004">
      <w:pPr>
        <w:tabs>
          <w:tab w:val="left" w:pos="3576"/>
        </w:tabs>
        <w:rPr>
          <w:sz w:val="28"/>
          <w:szCs w:val="28"/>
        </w:rPr>
      </w:pPr>
    </w:p>
    <w:p w14:paraId="36A1144A" w14:textId="77777777" w:rsidR="007E6004" w:rsidRDefault="007E6004" w:rsidP="007E6004">
      <w:pPr>
        <w:tabs>
          <w:tab w:val="left" w:pos="3576"/>
        </w:tabs>
        <w:rPr>
          <w:sz w:val="28"/>
          <w:szCs w:val="28"/>
        </w:rPr>
      </w:pPr>
    </w:p>
    <w:p w14:paraId="3CD42D96" w14:textId="77777777" w:rsidR="007E6004" w:rsidRDefault="007E6004" w:rsidP="007E6004">
      <w:pPr>
        <w:tabs>
          <w:tab w:val="left" w:pos="3576"/>
        </w:tabs>
        <w:rPr>
          <w:sz w:val="28"/>
          <w:szCs w:val="28"/>
        </w:rPr>
      </w:pPr>
    </w:p>
    <w:p w14:paraId="2FB8ED3E" w14:textId="77777777" w:rsidR="007E6004" w:rsidRDefault="007E6004" w:rsidP="007E6004">
      <w:pPr>
        <w:tabs>
          <w:tab w:val="left" w:pos="3576"/>
        </w:tabs>
        <w:rPr>
          <w:sz w:val="28"/>
          <w:szCs w:val="28"/>
        </w:rPr>
      </w:pPr>
    </w:p>
    <w:p w14:paraId="0C053D58" w14:textId="77777777" w:rsidR="007E6004" w:rsidRDefault="007E6004" w:rsidP="007E6004">
      <w:pPr>
        <w:tabs>
          <w:tab w:val="left" w:pos="3576"/>
        </w:tabs>
        <w:rPr>
          <w:sz w:val="28"/>
          <w:szCs w:val="28"/>
        </w:rPr>
      </w:pPr>
    </w:p>
    <w:p w14:paraId="1A7A58D1" w14:textId="77777777" w:rsidR="007E6004" w:rsidRDefault="007E6004" w:rsidP="007E6004">
      <w:pPr>
        <w:tabs>
          <w:tab w:val="left" w:pos="3576"/>
        </w:tabs>
        <w:rPr>
          <w:sz w:val="28"/>
          <w:szCs w:val="28"/>
        </w:rPr>
      </w:pPr>
    </w:p>
    <w:p w14:paraId="4812E7C3" w14:textId="77777777" w:rsidR="007E6004" w:rsidRDefault="007E6004" w:rsidP="007E6004">
      <w:pPr>
        <w:tabs>
          <w:tab w:val="left" w:pos="3576"/>
        </w:tabs>
        <w:rPr>
          <w:sz w:val="28"/>
          <w:szCs w:val="28"/>
        </w:rPr>
      </w:pPr>
    </w:p>
    <w:p w14:paraId="1CCE4A44" w14:textId="77777777" w:rsidR="007E6004" w:rsidRDefault="007E6004" w:rsidP="007E6004">
      <w:pPr>
        <w:tabs>
          <w:tab w:val="left" w:pos="3576"/>
        </w:tabs>
        <w:rPr>
          <w:sz w:val="28"/>
          <w:szCs w:val="28"/>
        </w:rPr>
      </w:pPr>
    </w:p>
    <w:p w14:paraId="78B9E5AC" w14:textId="77777777" w:rsidR="007E6004" w:rsidRDefault="007E6004" w:rsidP="007E6004">
      <w:pPr>
        <w:tabs>
          <w:tab w:val="left" w:pos="3576"/>
        </w:tabs>
        <w:rPr>
          <w:sz w:val="28"/>
          <w:szCs w:val="28"/>
        </w:rPr>
      </w:pPr>
    </w:p>
    <w:p w14:paraId="1D02E88C" w14:textId="77777777" w:rsidR="007E6004" w:rsidRDefault="007E6004" w:rsidP="007E6004">
      <w:pPr>
        <w:tabs>
          <w:tab w:val="left" w:pos="3576"/>
        </w:tabs>
        <w:rPr>
          <w:sz w:val="28"/>
          <w:szCs w:val="28"/>
        </w:rPr>
      </w:pPr>
    </w:p>
    <w:p w14:paraId="7EF0026A" w14:textId="77777777" w:rsidR="007E6004" w:rsidRDefault="007E6004" w:rsidP="007E6004">
      <w:pPr>
        <w:tabs>
          <w:tab w:val="left" w:pos="3576"/>
        </w:tabs>
        <w:rPr>
          <w:sz w:val="28"/>
          <w:szCs w:val="28"/>
        </w:rPr>
      </w:pPr>
    </w:p>
    <w:p w14:paraId="166BB752" w14:textId="77777777" w:rsidR="007E6004" w:rsidRDefault="007E6004" w:rsidP="007E6004">
      <w:pPr>
        <w:tabs>
          <w:tab w:val="left" w:pos="3576"/>
        </w:tabs>
        <w:rPr>
          <w:sz w:val="28"/>
          <w:szCs w:val="28"/>
        </w:rPr>
      </w:pPr>
    </w:p>
    <w:p w14:paraId="539A2C89" w14:textId="77777777" w:rsidR="007E6004" w:rsidRDefault="007E6004" w:rsidP="007E6004">
      <w:pPr>
        <w:tabs>
          <w:tab w:val="left" w:pos="3576"/>
        </w:tabs>
        <w:rPr>
          <w:sz w:val="28"/>
          <w:szCs w:val="28"/>
        </w:rPr>
      </w:pPr>
    </w:p>
    <w:p w14:paraId="380A3AA0" w14:textId="77777777" w:rsidR="007E6004" w:rsidRDefault="007E6004" w:rsidP="007E6004">
      <w:pPr>
        <w:tabs>
          <w:tab w:val="left" w:pos="3576"/>
        </w:tabs>
        <w:rPr>
          <w:sz w:val="28"/>
          <w:szCs w:val="28"/>
        </w:rPr>
      </w:pPr>
    </w:p>
    <w:p w14:paraId="40A732F2" w14:textId="77777777" w:rsidR="007E6004" w:rsidRDefault="007E6004" w:rsidP="007E6004">
      <w:pPr>
        <w:tabs>
          <w:tab w:val="left" w:pos="3576"/>
        </w:tabs>
        <w:rPr>
          <w:sz w:val="28"/>
          <w:szCs w:val="28"/>
        </w:rPr>
      </w:pPr>
    </w:p>
    <w:p w14:paraId="36EBED16" w14:textId="77777777" w:rsidR="007E6004" w:rsidRDefault="007E6004" w:rsidP="007E6004">
      <w:pPr>
        <w:tabs>
          <w:tab w:val="left" w:pos="3576"/>
        </w:tabs>
        <w:rPr>
          <w:sz w:val="28"/>
          <w:szCs w:val="28"/>
        </w:rPr>
      </w:pPr>
    </w:p>
    <w:p w14:paraId="12A1DA22" w14:textId="77777777" w:rsidR="007E6004" w:rsidRPr="007E6004" w:rsidRDefault="007E6004" w:rsidP="007E6004">
      <w:pPr>
        <w:rPr>
          <w:sz w:val="28"/>
          <w:szCs w:val="28"/>
        </w:rPr>
      </w:pPr>
    </w:p>
    <w:p w14:paraId="5CAE3E73" w14:textId="77777777" w:rsidR="007E6004" w:rsidRPr="007E6004" w:rsidRDefault="007E6004" w:rsidP="007E6004">
      <w:pPr>
        <w:rPr>
          <w:sz w:val="28"/>
          <w:szCs w:val="28"/>
        </w:rPr>
      </w:pPr>
    </w:p>
    <w:p w14:paraId="18F554DB" w14:textId="77777777" w:rsidR="007E6004" w:rsidRPr="007E6004" w:rsidRDefault="007E6004" w:rsidP="007E6004">
      <w:pPr>
        <w:rPr>
          <w:sz w:val="28"/>
          <w:szCs w:val="28"/>
        </w:rPr>
      </w:pPr>
    </w:p>
    <w:p w14:paraId="2034CD3A" w14:textId="77777777" w:rsidR="007E6004" w:rsidRDefault="007E6004" w:rsidP="007E6004">
      <w:pPr>
        <w:rPr>
          <w:sz w:val="28"/>
          <w:szCs w:val="28"/>
        </w:rPr>
      </w:pPr>
    </w:p>
    <w:p w14:paraId="5AC30508" w14:textId="06A4F8CC" w:rsidR="007E6004" w:rsidRDefault="007E6004" w:rsidP="007E6004">
      <w:pPr>
        <w:tabs>
          <w:tab w:val="left" w:pos="3288"/>
        </w:tabs>
        <w:rPr>
          <w:sz w:val="28"/>
          <w:szCs w:val="28"/>
        </w:rPr>
      </w:pPr>
      <w:r>
        <w:rPr>
          <w:sz w:val="28"/>
          <w:szCs w:val="28"/>
        </w:rPr>
        <w:tab/>
      </w:r>
    </w:p>
    <w:p w14:paraId="72C8FD5E" w14:textId="77777777" w:rsidR="007E6004" w:rsidRDefault="007E6004" w:rsidP="007E6004">
      <w:pPr>
        <w:tabs>
          <w:tab w:val="left" w:pos="3288"/>
        </w:tabs>
        <w:rPr>
          <w:sz w:val="28"/>
          <w:szCs w:val="28"/>
        </w:rPr>
      </w:pPr>
    </w:p>
    <w:p w14:paraId="3A54FBD8" w14:textId="77777777" w:rsidR="007E6004" w:rsidRDefault="007E6004" w:rsidP="007E6004">
      <w:pPr>
        <w:tabs>
          <w:tab w:val="left" w:pos="3288"/>
        </w:tabs>
        <w:rPr>
          <w:sz w:val="28"/>
          <w:szCs w:val="28"/>
        </w:rPr>
      </w:pPr>
    </w:p>
    <w:p w14:paraId="7D06D416" w14:textId="77777777" w:rsidR="007E6004" w:rsidRDefault="007E6004" w:rsidP="007E6004">
      <w:pPr>
        <w:tabs>
          <w:tab w:val="left" w:pos="3288"/>
        </w:tabs>
        <w:rPr>
          <w:sz w:val="28"/>
          <w:szCs w:val="28"/>
        </w:rPr>
      </w:pPr>
    </w:p>
    <w:p w14:paraId="3D1CB4D8" w14:textId="77777777" w:rsidR="007E6004" w:rsidRDefault="007E6004" w:rsidP="007E6004">
      <w:pPr>
        <w:tabs>
          <w:tab w:val="left" w:pos="3288"/>
        </w:tabs>
        <w:rPr>
          <w:sz w:val="28"/>
          <w:szCs w:val="28"/>
        </w:rPr>
      </w:pPr>
    </w:p>
    <w:p w14:paraId="28717DD0" w14:textId="77777777" w:rsidR="007E6004" w:rsidRDefault="007E6004" w:rsidP="007E6004">
      <w:pPr>
        <w:tabs>
          <w:tab w:val="left" w:pos="3288"/>
        </w:tabs>
        <w:rPr>
          <w:sz w:val="28"/>
          <w:szCs w:val="28"/>
        </w:rPr>
      </w:pPr>
    </w:p>
    <w:p w14:paraId="4F422257" w14:textId="77777777" w:rsidR="007E6004" w:rsidRDefault="007E6004" w:rsidP="007E6004">
      <w:pPr>
        <w:tabs>
          <w:tab w:val="left" w:pos="3288"/>
        </w:tabs>
        <w:rPr>
          <w:sz w:val="28"/>
          <w:szCs w:val="28"/>
        </w:rPr>
      </w:pPr>
    </w:p>
    <w:p w14:paraId="392999F9" w14:textId="77777777" w:rsidR="007E6004" w:rsidRDefault="007E6004" w:rsidP="007E6004">
      <w:pPr>
        <w:tabs>
          <w:tab w:val="left" w:pos="3288"/>
        </w:tabs>
        <w:rPr>
          <w:sz w:val="28"/>
          <w:szCs w:val="28"/>
        </w:rPr>
      </w:pPr>
    </w:p>
    <w:p w14:paraId="2AFB1180" w14:textId="77777777" w:rsidR="007E6004" w:rsidRDefault="007E6004" w:rsidP="007E6004">
      <w:pPr>
        <w:tabs>
          <w:tab w:val="left" w:pos="3288"/>
        </w:tabs>
        <w:rPr>
          <w:sz w:val="28"/>
          <w:szCs w:val="28"/>
        </w:rPr>
      </w:pPr>
    </w:p>
    <w:p w14:paraId="003B408D" w14:textId="77777777" w:rsidR="007E6004" w:rsidRDefault="007E6004" w:rsidP="007E6004">
      <w:pPr>
        <w:tabs>
          <w:tab w:val="left" w:pos="3288"/>
        </w:tabs>
        <w:rPr>
          <w:sz w:val="28"/>
          <w:szCs w:val="28"/>
        </w:rPr>
      </w:pPr>
    </w:p>
    <w:p w14:paraId="2602C77B" w14:textId="77777777" w:rsidR="007E6004" w:rsidRDefault="007E6004" w:rsidP="007E6004">
      <w:pPr>
        <w:tabs>
          <w:tab w:val="left" w:pos="3288"/>
        </w:tabs>
        <w:rPr>
          <w:sz w:val="28"/>
          <w:szCs w:val="28"/>
        </w:rPr>
      </w:pPr>
    </w:p>
    <w:p w14:paraId="77DFD201" w14:textId="77777777" w:rsidR="007E6004" w:rsidRDefault="007E6004" w:rsidP="007E6004">
      <w:pPr>
        <w:tabs>
          <w:tab w:val="left" w:pos="3288"/>
        </w:tabs>
        <w:rPr>
          <w:sz w:val="28"/>
          <w:szCs w:val="28"/>
        </w:rPr>
      </w:pPr>
    </w:p>
    <w:sectPr w:rsidR="007E6004" w:rsidSect="00002776">
      <w:pgSz w:w="11906" w:h="16838"/>
      <w:pgMar w:top="1440" w:right="1440" w:bottom="1440" w:left="144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B30D23" w14:textId="77777777" w:rsidR="00002776" w:rsidRDefault="00002776" w:rsidP="004361AB">
      <w:pPr>
        <w:spacing w:after="0" w:line="240" w:lineRule="auto"/>
      </w:pPr>
      <w:r>
        <w:separator/>
      </w:r>
    </w:p>
  </w:endnote>
  <w:endnote w:type="continuationSeparator" w:id="0">
    <w:p w14:paraId="16281E1D" w14:textId="77777777" w:rsidR="00002776" w:rsidRDefault="00002776" w:rsidP="004361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553D00" w14:textId="77777777" w:rsidR="00002776" w:rsidRDefault="00002776" w:rsidP="004361AB">
      <w:pPr>
        <w:spacing w:after="0" w:line="240" w:lineRule="auto"/>
      </w:pPr>
      <w:r>
        <w:separator/>
      </w:r>
    </w:p>
  </w:footnote>
  <w:footnote w:type="continuationSeparator" w:id="0">
    <w:p w14:paraId="70A8F87C" w14:textId="77777777" w:rsidR="00002776" w:rsidRDefault="00002776" w:rsidP="004361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D22854"/>
    <w:multiLevelType w:val="hybridMultilevel"/>
    <w:tmpl w:val="7688A3A0"/>
    <w:lvl w:ilvl="0" w:tplc="3024511E">
      <w:start w:val="1"/>
      <w:numFmt w:val="decimal"/>
      <w:lvlText w:val="%1)"/>
      <w:lvlJc w:val="left"/>
      <w:pPr>
        <w:ind w:left="732" w:hanging="372"/>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2215D55"/>
    <w:multiLevelType w:val="hybridMultilevel"/>
    <w:tmpl w:val="E1F65AF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2422AF1"/>
    <w:multiLevelType w:val="hybridMultilevel"/>
    <w:tmpl w:val="E2B8720E"/>
    <w:lvl w:ilvl="0" w:tplc="CC44F3F0">
      <w:start w:val="1"/>
      <w:numFmt w:val="decimal"/>
      <w:lvlText w:val="%1)"/>
      <w:lvlJc w:val="left"/>
      <w:pPr>
        <w:ind w:left="372" w:hanging="372"/>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16cid:durableId="443889838">
    <w:abstractNumId w:val="0"/>
  </w:num>
  <w:num w:numId="2" w16cid:durableId="1853954735">
    <w:abstractNumId w:val="2"/>
  </w:num>
  <w:num w:numId="3" w16cid:durableId="6363753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3FA4"/>
    <w:rsid w:val="00002776"/>
    <w:rsid w:val="00004349"/>
    <w:rsid w:val="00013EF2"/>
    <w:rsid w:val="00014E0A"/>
    <w:rsid w:val="00016FC2"/>
    <w:rsid w:val="00044940"/>
    <w:rsid w:val="00051252"/>
    <w:rsid w:val="00051ABE"/>
    <w:rsid w:val="000574E3"/>
    <w:rsid w:val="000634D3"/>
    <w:rsid w:val="00080144"/>
    <w:rsid w:val="00082763"/>
    <w:rsid w:val="00086AFC"/>
    <w:rsid w:val="000A04FA"/>
    <w:rsid w:val="000A48D3"/>
    <w:rsid w:val="000B1E00"/>
    <w:rsid w:val="000F7A99"/>
    <w:rsid w:val="001144D4"/>
    <w:rsid w:val="0012002B"/>
    <w:rsid w:val="001224DC"/>
    <w:rsid w:val="00123B6C"/>
    <w:rsid w:val="0012520D"/>
    <w:rsid w:val="001320A0"/>
    <w:rsid w:val="001407AD"/>
    <w:rsid w:val="00150FDF"/>
    <w:rsid w:val="0015416D"/>
    <w:rsid w:val="001547D8"/>
    <w:rsid w:val="00177219"/>
    <w:rsid w:val="00190C86"/>
    <w:rsid w:val="001A29C1"/>
    <w:rsid w:val="001A4C72"/>
    <w:rsid w:val="001B2E6B"/>
    <w:rsid w:val="001B5B5D"/>
    <w:rsid w:val="001C54F1"/>
    <w:rsid w:val="001C59F4"/>
    <w:rsid w:val="001E0846"/>
    <w:rsid w:val="001E666A"/>
    <w:rsid w:val="001F60F7"/>
    <w:rsid w:val="00202B8B"/>
    <w:rsid w:val="002063F0"/>
    <w:rsid w:val="00221FB5"/>
    <w:rsid w:val="0022503A"/>
    <w:rsid w:val="00227090"/>
    <w:rsid w:val="00234CCB"/>
    <w:rsid w:val="002364D5"/>
    <w:rsid w:val="00244E6D"/>
    <w:rsid w:val="00255672"/>
    <w:rsid w:val="00257617"/>
    <w:rsid w:val="00262C43"/>
    <w:rsid w:val="00273A3D"/>
    <w:rsid w:val="00283695"/>
    <w:rsid w:val="00292E3A"/>
    <w:rsid w:val="002B1616"/>
    <w:rsid w:val="002B694E"/>
    <w:rsid w:val="002C2FEB"/>
    <w:rsid w:val="002D70FE"/>
    <w:rsid w:val="002E5137"/>
    <w:rsid w:val="00315594"/>
    <w:rsid w:val="00332F40"/>
    <w:rsid w:val="003441BA"/>
    <w:rsid w:val="003447CD"/>
    <w:rsid w:val="003705B6"/>
    <w:rsid w:val="00381A06"/>
    <w:rsid w:val="00395A8A"/>
    <w:rsid w:val="003A3424"/>
    <w:rsid w:val="003B0B86"/>
    <w:rsid w:val="003B1E04"/>
    <w:rsid w:val="003B3D28"/>
    <w:rsid w:val="003B6099"/>
    <w:rsid w:val="003C2DCA"/>
    <w:rsid w:val="003C5726"/>
    <w:rsid w:val="003D2C4A"/>
    <w:rsid w:val="003E34DF"/>
    <w:rsid w:val="003E755F"/>
    <w:rsid w:val="003F17DE"/>
    <w:rsid w:val="003F5F42"/>
    <w:rsid w:val="0040275F"/>
    <w:rsid w:val="00421D14"/>
    <w:rsid w:val="00431B32"/>
    <w:rsid w:val="00434E2F"/>
    <w:rsid w:val="004361AB"/>
    <w:rsid w:val="00452B5C"/>
    <w:rsid w:val="00454755"/>
    <w:rsid w:val="00471793"/>
    <w:rsid w:val="0047725A"/>
    <w:rsid w:val="00493DDC"/>
    <w:rsid w:val="004A02ED"/>
    <w:rsid w:val="004A0D61"/>
    <w:rsid w:val="004A3D39"/>
    <w:rsid w:val="004A47FA"/>
    <w:rsid w:val="004A5C9B"/>
    <w:rsid w:val="004A761E"/>
    <w:rsid w:val="004C7587"/>
    <w:rsid w:val="004D18A1"/>
    <w:rsid w:val="004F18A5"/>
    <w:rsid w:val="00501AE6"/>
    <w:rsid w:val="00503A7C"/>
    <w:rsid w:val="00521998"/>
    <w:rsid w:val="005265C2"/>
    <w:rsid w:val="00543F74"/>
    <w:rsid w:val="005553CD"/>
    <w:rsid w:val="0055649B"/>
    <w:rsid w:val="0056058B"/>
    <w:rsid w:val="00561813"/>
    <w:rsid w:val="005638D8"/>
    <w:rsid w:val="005708A9"/>
    <w:rsid w:val="005812DC"/>
    <w:rsid w:val="005A413E"/>
    <w:rsid w:val="005A69D0"/>
    <w:rsid w:val="005B44A2"/>
    <w:rsid w:val="005C28F6"/>
    <w:rsid w:val="005C71F8"/>
    <w:rsid w:val="005D32DB"/>
    <w:rsid w:val="005E546D"/>
    <w:rsid w:val="005F13D0"/>
    <w:rsid w:val="00605DBF"/>
    <w:rsid w:val="00606A6B"/>
    <w:rsid w:val="006312D7"/>
    <w:rsid w:val="006327D1"/>
    <w:rsid w:val="00637DDD"/>
    <w:rsid w:val="0065470F"/>
    <w:rsid w:val="00661394"/>
    <w:rsid w:val="00661C94"/>
    <w:rsid w:val="0066570A"/>
    <w:rsid w:val="006A11D8"/>
    <w:rsid w:val="006B2E50"/>
    <w:rsid w:val="006B30DB"/>
    <w:rsid w:val="006B3157"/>
    <w:rsid w:val="006B40BE"/>
    <w:rsid w:val="006C0827"/>
    <w:rsid w:val="006C6608"/>
    <w:rsid w:val="006D5D71"/>
    <w:rsid w:val="006D63AD"/>
    <w:rsid w:val="006E1DFB"/>
    <w:rsid w:val="006E66C2"/>
    <w:rsid w:val="006F0934"/>
    <w:rsid w:val="00702E7B"/>
    <w:rsid w:val="00707634"/>
    <w:rsid w:val="00707A71"/>
    <w:rsid w:val="00744B5C"/>
    <w:rsid w:val="00747D50"/>
    <w:rsid w:val="00756857"/>
    <w:rsid w:val="00765F12"/>
    <w:rsid w:val="00790ACA"/>
    <w:rsid w:val="007922D9"/>
    <w:rsid w:val="007974B6"/>
    <w:rsid w:val="007A474C"/>
    <w:rsid w:val="007D2E51"/>
    <w:rsid w:val="007E6004"/>
    <w:rsid w:val="007E7DF4"/>
    <w:rsid w:val="008013B4"/>
    <w:rsid w:val="00802E8B"/>
    <w:rsid w:val="00803624"/>
    <w:rsid w:val="00804216"/>
    <w:rsid w:val="0081261A"/>
    <w:rsid w:val="008166BF"/>
    <w:rsid w:val="008405A1"/>
    <w:rsid w:val="00845308"/>
    <w:rsid w:val="00860CDB"/>
    <w:rsid w:val="008636D8"/>
    <w:rsid w:val="00867BF7"/>
    <w:rsid w:val="00885A0C"/>
    <w:rsid w:val="008A6F94"/>
    <w:rsid w:val="008C4FB8"/>
    <w:rsid w:val="008E2F8E"/>
    <w:rsid w:val="008E4CD0"/>
    <w:rsid w:val="008E5128"/>
    <w:rsid w:val="00907C64"/>
    <w:rsid w:val="00912246"/>
    <w:rsid w:val="00964258"/>
    <w:rsid w:val="00992A96"/>
    <w:rsid w:val="00995BA2"/>
    <w:rsid w:val="009C1FA2"/>
    <w:rsid w:val="009C5287"/>
    <w:rsid w:val="009D077E"/>
    <w:rsid w:val="009D290C"/>
    <w:rsid w:val="009D7DA4"/>
    <w:rsid w:val="00A35528"/>
    <w:rsid w:val="00A37D81"/>
    <w:rsid w:val="00A404D7"/>
    <w:rsid w:val="00A54524"/>
    <w:rsid w:val="00AA166E"/>
    <w:rsid w:val="00AC2360"/>
    <w:rsid w:val="00AC388A"/>
    <w:rsid w:val="00AD59B9"/>
    <w:rsid w:val="00AE0A4B"/>
    <w:rsid w:val="00AE4833"/>
    <w:rsid w:val="00AF0693"/>
    <w:rsid w:val="00AF1085"/>
    <w:rsid w:val="00B13B78"/>
    <w:rsid w:val="00B17503"/>
    <w:rsid w:val="00B2395C"/>
    <w:rsid w:val="00B27DCF"/>
    <w:rsid w:val="00B32DC3"/>
    <w:rsid w:val="00B44CAB"/>
    <w:rsid w:val="00B459A6"/>
    <w:rsid w:val="00B51AC9"/>
    <w:rsid w:val="00B56A50"/>
    <w:rsid w:val="00B91208"/>
    <w:rsid w:val="00BA023F"/>
    <w:rsid w:val="00BC4035"/>
    <w:rsid w:val="00BC547C"/>
    <w:rsid w:val="00BE2F72"/>
    <w:rsid w:val="00BF17B5"/>
    <w:rsid w:val="00C07C30"/>
    <w:rsid w:val="00C14FC4"/>
    <w:rsid w:val="00C23BFF"/>
    <w:rsid w:val="00C31BFE"/>
    <w:rsid w:val="00C351F4"/>
    <w:rsid w:val="00C7000F"/>
    <w:rsid w:val="00C75365"/>
    <w:rsid w:val="00CA2FFE"/>
    <w:rsid w:val="00CA7161"/>
    <w:rsid w:val="00CC51EC"/>
    <w:rsid w:val="00CC5737"/>
    <w:rsid w:val="00CC5F53"/>
    <w:rsid w:val="00CC69D6"/>
    <w:rsid w:val="00CD69A5"/>
    <w:rsid w:val="00CE03E7"/>
    <w:rsid w:val="00CE42C8"/>
    <w:rsid w:val="00D114BA"/>
    <w:rsid w:val="00D138DE"/>
    <w:rsid w:val="00D20659"/>
    <w:rsid w:val="00D22DB8"/>
    <w:rsid w:val="00D23FA4"/>
    <w:rsid w:val="00D24EDF"/>
    <w:rsid w:val="00D26A67"/>
    <w:rsid w:val="00D26AE3"/>
    <w:rsid w:val="00D36255"/>
    <w:rsid w:val="00D47AA9"/>
    <w:rsid w:val="00D53BDB"/>
    <w:rsid w:val="00D668FF"/>
    <w:rsid w:val="00D70F10"/>
    <w:rsid w:val="00D821D4"/>
    <w:rsid w:val="00D8284F"/>
    <w:rsid w:val="00D8717E"/>
    <w:rsid w:val="00D94AD1"/>
    <w:rsid w:val="00D96F02"/>
    <w:rsid w:val="00DA39A5"/>
    <w:rsid w:val="00DA73F8"/>
    <w:rsid w:val="00DC0CD3"/>
    <w:rsid w:val="00DD2757"/>
    <w:rsid w:val="00DD2AE0"/>
    <w:rsid w:val="00DE2300"/>
    <w:rsid w:val="00DF0392"/>
    <w:rsid w:val="00DF7159"/>
    <w:rsid w:val="00E27575"/>
    <w:rsid w:val="00E36529"/>
    <w:rsid w:val="00E43BEC"/>
    <w:rsid w:val="00E47E36"/>
    <w:rsid w:val="00E5160E"/>
    <w:rsid w:val="00E5255D"/>
    <w:rsid w:val="00E55991"/>
    <w:rsid w:val="00E779CE"/>
    <w:rsid w:val="00E93663"/>
    <w:rsid w:val="00E94EF0"/>
    <w:rsid w:val="00EA1AE6"/>
    <w:rsid w:val="00EA4BD3"/>
    <w:rsid w:val="00EB0F82"/>
    <w:rsid w:val="00EC2E82"/>
    <w:rsid w:val="00EC7BB7"/>
    <w:rsid w:val="00F04847"/>
    <w:rsid w:val="00F064C0"/>
    <w:rsid w:val="00F12B6E"/>
    <w:rsid w:val="00F1480E"/>
    <w:rsid w:val="00F161F4"/>
    <w:rsid w:val="00F169D3"/>
    <w:rsid w:val="00F21DD5"/>
    <w:rsid w:val="00F23105"/>
    <w:rsid w:val="00F24E8F"/>
    <w:rsid w:val="00F4667C"/>
    <w:rsid w:val="00F47252"/>
    <w:rsid w:val="00F608EF"/>
    <w:rsid w:val="00F64014"/>
    <w:rsid w:val="00F71166"/>
    <w:rsid w:val="00F84B3F"/>
    <w:rsid w:val="00F85D22"/>
    <w:rsid w:val="00FB7270"/>
    <w:rsid w:val="00FB7995"/>
    <w:rsid w:val="00FE57BD"/>
    <w:rsid w:val="00FF2D6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F5C08"/>
  <w15:chartTrackingRefBased/>
  <w15:docId w15:val="{0A96CDB1-9FE8-499D-87A3-262A56FB6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73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A02E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A02E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A02E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6F02"/>
    <w:pPr>
      <w:ind w:left="720"/>
      <w:contextualSpacing/>
    </w:pPr>
  </w:style>
  <w:style w:type="paragraph" w:styleId="Header">
    <w:name w:val="header"/>
    <w:basedOn w:val="Normal"/>
    <w:link w:val="HeaderChar"/>
    <w:uiPriority w:val="99"/>
    <w:unhideWhenUsed/>
    <w:rsid w:val="004361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61AB"/>
  </w:style>
  <w:style w:type="paragraph" w:styleId="Footer">
    <w:name w:val="footer"/>
    <w:basedOn w:val="Normal"/>
    <w:link w:val="FooterChar"/>
    <w:uiPriority w:val="99"/>
    <w:unhideWhenUsed/>
    <w:rsid w:val="004361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61AB"/>
  </w:style>
  <w:style w:type="paragraph" w:styleId="Subtitle">
    <w:name w:val="Subtitle"/>
    <w:basedOn w:val="Normal"/>
    <w:next w:val="Normal"/>
    <w:link w:val="SubtitleChar"/>
    <w:uiPriority w:val="11"/>
    <w:qFormat/>
    <w:rsid w:val="004361A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361AB"/>
    <w:rPr>
      <w:rFonts w:eastAsiaTheme="minorEastAsia"/>
      <w:color w:val="5A5A5A" w:themeColor="text1" w:themeTint="A5"/>
      <w:spacing w:val="15"/>
    </w:rPr>
  </w:style>
  <w:style w:type="character" w:styleId="Hyperlink">
    <w:name w:val="Hyperlink"/>
    <w:basedOn w:val="DefaultParagraphFont"/>
    <w:uiPriority w:val="99"/>
    <w:unhideWhenUsed/>
    <w:rsid w:val="00B13B78"/>
    <w:rPr>
      <w:color w:val="0563C1" w:themeColor="hyperlink"/>
      <w:u w:val="single"/>
    </w:rPr>
  </w:style>
  <w:style w:type="character" w:styleId="UnresolvedMention">
    <w:name w:val="Unresolved Mention"/>
    <w:basedOn w:val="DefaultParagraphFont"/>
    <w:uiPriority w:val="99"/>
    <w:semiHidden/>
    <w:unhideWhenUsed/>
    <w:rsid w:val="00B13B78"/>
    <w:rPr>
      <w:color w:val="605E5C"/>
      <w:shd w:val="clear" w:color="auto" w:fill="E1DFDD"/>
    </w:rPr>
  </w:style>
  <w:style w:type="character" w:customStyle="1" w:styleId="Heading1Char">
    <w:name w:val="Heading 1 Char"/>
    <w:basedOn w:val="DefaultParagraphFont"/>
    <w:link w:val="Heading1"/>
    <w:uiPriority w:val="9"/>
    <w:rsid w:val="00DA73F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A73F8"/>
    <w:pPr>
      <w:outlineLvl w:val="9"/>
    </w:pPr>
    <w:rPr>
      <w:kern w:val="0"/>
      <w:lang w:eastAsia="en-IN"/>
      <w14:ligatures w14:val="none"/>
    </w:rPr>
  </w:style>
  <w:style w:type="paragraph" w:styleId="TOC2">
    <w:name w:val="toc 2"/>
    <w:basedOn w:val="Normal"/>
    <w:next w:val="Normal"/>
    <w:autoRedefine/>
    <w:uiPriority w:val="39"/>
    <w:unhideWhenUsed/>
    <w:rsid w:val="009D7DA4"/>
    <w:pPr>
      <w:spacing w:after="100"/>
      <w:ind w:left="220"/>
    </w:pPr>
    <w:rPr>
      <w:rFonts w:eastAsiaTheme="minorEastAsia" w:cs="Times New Roman"/>
      <w:kern w:val="0"/>
      <w:lang w:eastAsia="en-IN"/>
      <w14:ligatures w14:val="none"/>
    </w:rPr>
  </w:style>
  <w:style w:type="paragraph" w:styleId="TOC1">
    <w:name w:val="toc 1"/>
    <w:basedOn w:val="Normal"/>
    <w:next w:val="Normal"/>
    <w:autoRedefine/>
    <w:uiPriority w:val="39"/>
    <w:unhideWhenUsed/>
    <w:rsid w:val="009D7DA4"/>
    <w:pPr>
      <w:spacing w:after="100"/>
    </w:pPr>
    <w:rPr>
      <w:rFonts w:eastAsiaTheme="minorEastAsia" w:cs="Times New Roman"/>
      <w:kern w:val="0"/>
      <w:lang w:eastAsia="en-IN"/>
      <w14:ligatures w14:val="none"/>
    </w:rPr>
  </w:style>
  <w:style w:type="paragraph" w:styleId="TOC3">
    <w:name w:val="toc 3"/>
    <w:basedOn w:val="Normal"/>
    <w:next w:val="Normal"/>
    <w:autoRedefine/>
    <w:uiPriority w:val="39"/>
    <w:unhideWhenUsed/>
    <w:rsid w:val="009D7DA4"/>
    <w:pPr>
      <w:spacing w:after="100"/>
      <w:ind w:left="440"/>
    </w:pPr>
    <w:rPr>
      <w:rFonts w:eastAsiaTheme="minorEastAsia" w:cs="Times New Roman"/>
      <w:kern w:val="0"/>
      <w:lang w:eastAsia="en-IN"/>
      <w14:ligatures w14:val="none"/>
    </w:rPr>
  </w:style>
  <w:style w:type="paragraph" w:styleId="NoSpacing">
    <w:name w:val="No Spacing"/>
    <w:uiPriority w:val="1"/>
    <w:qFormat/>
    <w:rsid w:val="004A02ED"/>
    <w:pPr>
      <w:spacing w:after="0" w:line="240" w:lineRule="auto"/>
    </w:pPr>
  </w:style>
  <w:style w:type="character" w:customStyle="1" w:styleId="Heading2Char">
    <w:name w:val="Heading 2 Char"/>
    <w:basedOn w:val="DefaultParagraphFont"/>
    <w:link w:val="Heading2"/>
    <w:uiPriority w:val="9"/>
    <w:rsid w:val="004A02E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A02E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4A02ED"/>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6744514">
      <w:bodyDiv w:val="1"/>
      <w:marLeft w:val="0"/>
      <w:marRight w:val="0"/>
      <w:marTop w:val="0"/>
      <w:marBottom w:val="0"/>
      <w:divBdr>
        <w:top w:val="none" w:sz="0" w:space="0" w:color="auto"/>
        <w:left w:val="none" w:sz="0" w:space="0" w:color="auto"/>
        <w:bottom w:val="none" w:sz="0" w:space="0" w:color="auto"/>
        <w:right w:val="none" w:sz="0" w:space="0" w:color="auto"/>
      </w:divBdr>
    </w:div>
    <w:div w:id="1725324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4.xml"/><Relationship Id="rId18" Type="http://schemas.openxmlformats.org/officeDocument/2006/relationships/image" Target="media/image7.png"/><Relationship Id="rId26" Type="http://schemas.openxmlformats.org/officeDocument/2006/relationships/hyperlink" Target="https://www.thebalancemoney.com/10-year-treasury-note-3305795" TargetMode="External"/><Relationship Id="rId3" Type="http://schemas.openxmlformats.org/officeDocument/2006/relationships/styles" Target="styles.xml"/><Relationship Id="rId21" Type="http://schemas.openxmlformats.org/officeDocument/2006/relationships/hyperlink" Target="https://corporatefinanceinstitute.com/resources/valuation/what-is-cagr/" TargetMode="External"/><Relationship Id="rId34" Type="http://schemas.openxmlformats.org/officeDocument/2006/relationships/hyperlink" Target="https://economictimes.indiatimes.com/definition/treynor-ratio" TargetMode="Externa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image" Target="media/image6.jpeg"/><Relationship Id="rId25" Type="http://schemas.openxmlformats.org/officeDocument/2006/relationships/hyperlink" Target="https://ir.hilton.com/stock-information/stock-chart" TargetMode="External"/><Relationship Id="rId33" Type="http://schemas.openxmlformats.org/officeDocument/2006/relationships/hyperlink" Target="https://stories-editor.hilton.com/wp-content/uploads/2023/04/HILTON-WORLDWIDE-INC_10K_2023_V1.pdf" TargetMode="External"/><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hyperlink" Target="https://corporatefinanceinstitute.com/resources/derivatives/options-calls-and-puts/" TargetMode="External"/><Relationship Id="rId29" Type="http://schemas.openxmlformats.org/officeDocument/2006/relationships/hyperlink" Target="https://www.netcials.com/stock-10-year-history-nyse/HLT-Hilton-Worldwide-Holdings-Inc/"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hyperlink" Target="https://www.forbes.com/companies/hilton-worldwide-holdings/?sh=1c6927e339df" TargetMode="External"/><Relationship Id="rId32" Type="http://schemas.openxmlformats.org/officeDocument/2006/relationships/hyperlink" Target="https://economictimes.indiatimes.com/definition/Sharpe-Ratio" TargetMode="External"/><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hyperlink" Target="https://research-methodology.net/hilton-hotels-segmentation/#:~:text=A%20set%20of%20variables%20used" TargetMode="External"/><Relationship Id="rId28" Type="http://schemas.openxmlformats.org/officeDocument/2006/relationships/hyperlink" Target="https://umu.diva-portal.org/smash/get/diva2:1810929/FULLTEXT01.pdf" TargetMode="External"/><Relationship Id="rId36"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image" Target="media/image8.png"/><Relationship Id="rId31" Type="http://schemas.openxmlformats.org/officeDocument/2006/relationships/hyperlink" Target="https://stockanalysis.com/stocks/hlt/company/"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3.jpeg"/><Relationship Id="rId22" Type="http://schemas.openxmlformats.org/officeDocument/2006/relationships/hyperlink" Target="https://corporatefinanceinstitute.com/resources/derivatives/call-option/" TargetMode="External"/><Relationship Id="rId27" Type="http://schemas.openxmlformats.org/officeDocument/2006/relationships/hyperlink" Target="https://cleverism.com/business-model-hilton-hotels/" TargetMode="External"/><Relationship Id="rId30" Type="http://schemas.openxmlformats.org/officeDocument/2006/relationships/hyperlink" Target="https://libertystreeteconomics.newyorkfed.org/2015/12/the-effect-of-fed-funds-rate-hikes-on-consumer-borrowing-costs/" TargetMode="External"/><Relationship Id="rId35" Type="http://schemas.openxmlformats.org/officeDocument/2006/relationships/fontTable" Target="fontTable.xml"/><Relationship Id="rId8" Type="http://schemas.openxmlformats.org/officeDocument/2006/relationships/image" Target="media/image1.jp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30535166155078E-2"/>
          <c:y val="0.27342221426867097"/>
          <c:w val="0.90694648338449224"/>
          <c:h val="0.64998574988732472"/>
        </c:manualLayout>
      </c:layout>
      <c:lineChart>
        <c:grouping val="standard"/>
        <c:varyColors val="0"/>
        <c:ser>
          <c:idx val="0"/>
          <c:order val="0"/>
          <c:tx>
            <c:strRef>
              <c:f>Sheet1!$B$1</c:f>
              <c:strCache>
                <c:ptCount val="1"/>
                <c:pt idx="0">
                  <c:v>HILTON WORLDWIDE SHARE PERFORMANCE </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Sheet1!$A$2:$A$12</c:f>
              <c:numCache>
                <c:formatCode>General</c:formatCode>
                <c:ptCount val="11"/>
                <c:pt idx="0">
                  <c:v>2014</c:v>
                </c:pt>
                <c:pt idx="1">
                  <c:v>2015</c:v>
                </c:pt>
                <c:pt idx="2">
                  <c:v>2016</c:v>
                </c:pt>
                <c:pt idx="3">
                  <c:v>2017</c:v>
                </c:pt>
                <c:pt idx="4">
                  <c:v>2018</c:v>
                </c:pt>
                <c:pt idx="5">
                  <c:v>2019</c:v>
                </c:pt>
                <c:pt idx="6">
                  <c:v>2020</c:v>
                </c:pt>
                <c:pt idx="7">
                  <c:v>2021</c:v>
                </c:pt>
                <c:pt idx="8">
                  <c:v>2022</c:v>
                </c:pt>
                <c:pt idx="9">
                  <c:v>2023</c:v>
                </c:pt>
              </c:numCache>
            </c:numRef>
          </c:cat>
          <c:val>
            <c:numRef>
              <c:f>Sheet1!$B$2:$B$12</c:f>
              <c:numCache>
                <c:formatCode>General</c:formatCode>
                <c:ptCount val="11"/>
                <c:pt idx="0">
                  <c:v>50.4</c:v>
                </c:pt>
                <c:pt idx="1">
                  <c:v>42.91</c:v>
                </c:pt>
                <c:pt idx="2">
                  <c:v>51.26</c:v>
                </c:pt>
                <c:pt idx="3">
                  <c:v>76.010002</c:v>
                </c:pt>
                <c:pt idx="4">
                  <c:v>65.639999000000003</c:v>
                </c:pt>
                <c:pt idx="5">
                  <c:v>102.760002</c:v>
                </c:pt>
                <c:pt idx="6">
                  <c:v>101.33000199999999</c:v>
                </c:pt>
                <c:pt idx="7">
                  <c:v>129.88000500000001</c:v>
                </c:pt>
                <c:pt idx="8">
                  <c:v>123.739998</c:v>
                </c:pt>
                <c:pt idx="9">
                  <c:v>182.02</c:v>
                </c:pt>
              </c:numCache>
            </c:numRef>
          </c:val>
          <c:smooth val="0"/>
          <c:extLst>
            <c:ext xmlns:c16="http://schemas.microsoft.com/office/drawing/2014/chart" uri="{C3380CC4-5D6E-409C-BE32-E72D297353CC}">
              <c16:uniqueId val="{00000000-8992-4C95-98E7-4BC25147C78B}"/>
            </c:ext>
          </c:extLst>
        </c:ser>
        <c:dLbls>
          <c:showLegendKey val="0"/>
          <c:showVal val="0"/>
          <c:showCatName val="0"/>
          <c:showSerName val="0"/>
          <c:showPercent val="0"/>
          <c:showBubbleSize val="0"/>
        </c:dLbls>
        <c:marker val="1"/>
        <c:smooth val="0"/>
        <c:axId val="1019930175"/>
        <c:axId val="1019930655"/>
      </c:lineChart>
      <c:catAx>
        <c:axId val="10199301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9930655"/>
        <c:crosses val="autoZero"/>
        <c:auto val="1"/>
        <c:lblAlgn val="ctr"/>
        <c:lblOffset val="100"/>
        <c:noMultiLvlLbl val="0"/>
      </c:catAx>
      <c:valAx>
        <c:axId val="10199306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993017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CALCULATED CAGR </c:v>
                </c:pt>
              </c:strCache>
            </c:strRef>
          </c:tx>
          <c:spPr>
            <a:solidFill>
              <a:schemeClr val="accent1"/>
            </a:solidFill>
            <a:ln>
              <a:noFill/>
            </a:ln>
            <a:effectLst/>
          </c:spPr>
          <c:invertIfNegative val="0"/>
          <c:cat>
            <c:strRef>
              <c:f>Sheet1!$A$2</c:f>
              <c:strCache>
                <c:ptCount val="1"/>
                <c:pt idx="0">
                  <c:v>CAGR</c:v>
                </c:pt>
              </c:strCache>
            </c:strRef>
          </c:cat>
          <c:val>
            <c:numRef>
              <c:f>Sheet1!$B$2</c:f>
              <c:numCache>
                <c:formatCode>General</c:formatCode>
                <c:ptCount val="1"/>
                <c:pt idx="0">
                  <c:v>1.504921E-3</c:v>
                </c:pt>
              </c:numCache>
            </c:numRef>
          </c:val>
          <c:extLst>
            <c:ext xmlns:c16="http://schemas.microsoft.com/office/drawing/2014/chart" uri="{C3380CC4-5D6E-409C-BE32-E72D297353CC}">
              <c16:uniqueId val="{00000000-6B12-4EF1-BE70-64FC042C6141}"/>
            </c:ext>
          </c:extLst>
        </c:ser>
        <c:dLbls>
          <c:showLegendKey val="0"/>
          <c:showVal val="0"/>
          <c:showCatName val="0"/>
          <c:showSerName val="0"/>
          <c:showPercent val="0"/>
          <c:showBubbleSize val="0"/>
        </c:dLbls>
        <c:gapWidth val="219"/>
        <c:overlap val="-27"/>
        <c:axId val="958094319"/>
        <c:axId val="958099119"/>
      </c:barChart>
      <c:catAx>
        <c:axId val="95809431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8099119"/>
        <c:crosses val="autoZero"/>
        <c:auto val="1"/>
        <c:lblAlgn val="ctr"/>
        <c:lblOffset val="100"/>
        <c:noMultiLvlLbl val="0"/>
      </c:catAx>
      <c:valAx>
        <c:axId val="95809911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809431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SHARPE RATIO</c:v>
                </c:pt>
              </c:strCache>
            </c:strRef>
          </c:tx>
          <c:spPr>
            <a:solidFill>
              <a:schemeClr val="accent1"/>
            </a:solidFill>
            <a:ln>
              <a:noFill/>
            </a:ln>
            <a:effectLst/>
          </c:spPr>
          <c:invertIfNegative val="0"/>
          <c:cat>
            <c:strRef>
              <c:f>Sheet1!$A$2</c:f>
              <c:strCache>
                <c:ptCount val="1"/>
                <c:pt idx="0">
                  <c:v>Sharpe Ratio</c:v>
                </c:pt>
              </c:strCache>
            </c:strRef>
          </c:cat>
          <c:val>
            <c:numRef>
              <c:f>Sheet1!$B$2</c:f>
              <c:numCache>
                <c:formatCode>General</c:formatCode>
                <c:ptCount val="1"/>
                <c:pt idx="0">
                  <c:v>29.78</c:v>
                </c:pt>
              </c:numCache>
            </c:numRef>
          </c:val>
          <c:extLst>
            <c:ext xmlns:c16="http://schemas.microsoft.com/office/drawing/2014/chart" uri="{C3380CC4-5D6E-409C-BE32-E72D297353CC}">
              <c16:uniqueId val="{00000000-2A71-4ACF-8638-45E5E5ACAEE6}"/>
            </c:ext>
          </c:extLst>
        </c:ser>
        <c:dLbls>
          <c:showLegendKey val="0"/>
          <c:showVal val="0"/>
          <c:showCatName val="0"/>
          <c:showSerName val="0"/>
          <c:showPercent val="0"/>
          <c:showBubbleSize val="0"/>
        </c:dLbls>
        <c:gapWidth val="219"/>
        <c:overlap val="-27"/>
        <c:axId val="603766352"/>
        <c:axId val="603779792"/>
      </c:barChart>
      <c:catAx>
        <c:axId val="6037663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3779792"/>
        <c:crosses val="autoZero"/>
        <c:auto val="1"/>
        <c:lblAlgn val="ctr"/>
        <c:lblOffset val="100"/>
        <c:noMultiLvlLbl val="0"/>
      </c:catAx>
      <c:valAx>
        <c:axId val="6037797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37663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TREYNOR INDEX</c:v>
                </c:pt>
              </c:strCache>
            </c:strRef>
          </c:tx>
          <c:spPr>
            <a:solidFill>
              <a:schemeClr val="accent1"/>
            </a:solidFill>
            <a:ln>
              <a:noFill/>
            </a:ln>
            <a:effectLst/>
          </c:spPr>
          <c:invertIfNegative val="0"/>
          <c:cat>
            <c:strRef>
              <c:f>Sheet1!$A$2</c:f>
              <c:strCache>
                <c:ptCount val="1"/>
                <c:pt idx="0">
                  <c:v>TREYNOR</c:v>
                </c:pt>
              </c:strCache>
            </c:strRef>
          </c:cat>
          <c:val>
            <c:numRef>
              <c:f>Sheet1!$B$2</c:f>
              <c:numCache>
                <c:formatCode>General</c:formatCode>
                <c:ptCount val="1"/>
                <c:pt idx="0">
                  <c:v>0.330452739</c:v>
                </c:pt>
              </c:numCache>
            </c:numRef>
          </c:val>
          <c:extLst>
            <c:ext xmlns:c16="http://schemas.microsoft.com/office/drawing/2014/chart" uri="{C3380CC4-5D6E-409C-BE32-E72D297353CC}">
              <c16:uniqueId val="{00000000-F30C-41C1-BD32-AB2F1231ACB0}"/>
            </c:ext>
          </c:extLst>
        </c:ser>
        <c:dLbls>
          <c:showLegendKey val="0"/>
          <c:showVal val="0"/>
          <c:showCatName val="0"/>
          <c:showSerName val="0"/>
          <c:showPercent val="0"/>
          <c:showBubbleSize val="0"/>
        </c:dLbls>
        <c:gapWidth val="219"/>
        <c:overlap val="-27"/>
        <c:axId val="603740912"/>
        <c:axId val="603755312"/>
      </c:barChart>
      <c:catAx>
        <c:axId val="6037409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3755312"/>
        <c:crosses val="autoZero"/>
        <c:auto val="1"/>
        <c:lblAlgn val="ctr"/>
        <c:lblOffset val="100"/>
        <c:noMultiLvlLbl val="0"/>
      </c:catAx>
      <c:valAx>
        <c:axId val="6037553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37409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F0914B-63B4-44A5-A1EF-63BB93EFCB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2309</TotalTime>
  <Pages>29</Pages>
  <Words>5766</Words>
  <Characters>32869</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Amisha Setiyar</dc:creator>
  <cp:keywords/>
  <dc:description/>
  <cp:lastModifiedBy>Amisha Setiyar</cp:lastModifiedBy>
  <cp:revision>262</cp:revision>
  <dcterms:created xsi:type="dcterms:W3CDTF">2024-04-10T19:08:00Z</dcterms:created>
  <dcterms:modified xsi:type="dcterms:W3CDTF">2024-04-30T11:41:00Z</dcterms:modified>
</cp:coreProperties>
</file>