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A20DAC">
      <w:pPr>
        <w:keepNext w:val="0"/>
        <w:keepLines w:val="0"/>
        <w:pageBreakBefore w:val="0"/>
        <w:widowControl w:val="0"/>
        <w:numPr>
          <w:ilvl w:val="0"/>
          <w:numId w:val="0"/>
        </w:numPr>
        <w:kinsoku/>
        <w:wordWrap/>
        <w:overflowPunct/>
        <w:topLinePunct w:val="0"/>
        <w:autoSpaceDE/>
        <w:autoSpaceDN/>
        <w:bidi w:val="0"/>
        <w:adjustRightInd/>
        <w:snapToGrid/>
        <w:spacing w:after="157" w:afterLines="50" w:line="240" w:lineRule="auto"/>
        <w:jc w:val="left"/>
        <w:textAlignment w:val="auto"/>
        <w:rPr>
          <w:rFonts w:hint="default" w:ascii="Times New Roman" w:hAnsi="Times New Roman" w:cs="Times New Roman" w:eastAsiaTheme="minorEastAsia"/>
          <w:b w:val="0"/>
          <w:bCs w:val="0"/>
          <w:i w:val="0"/>
          <w:iCs w:val="0"/>
          <w:sz w:val="24"/>
          <w:szCs w:val="24"/>
          <w:highlight w:val="none"/>
          <w:lang w:eastAsia="zh-CN"/>
        </w:rPr>
      </w:pPr>
      <w:r>
        <w:rPr>
          <w:rFonts w:hint="default" w:ascii="Times New Roman" w:hAnsi="Times New Roman" w:cs="Times New Roman"/>
          <w:b w:val="0"/>
          <w:bCs w:val="0"/>
          <w:i w:val="0"/>
          <w:iCs w:val="0"/>
          <w:sz w:val="22"/>
          <w:szCs w:val="22"/>
          <w:highlight w:val="none"/>
          <w:lang w:val="en-US" w:eastAsia="zh-CN"/>
        </w:rPr>
        <w:t xml:space="preserve">Name: Doudou Hao </w:t>
      </w:r>
      <w:r>
        <w:rPr>
          <w:rFonts w:hint="default" w:ascii="Times New Roman" w:hAnsi="Times New Roman" w:cs="Times New Roman"/>
          <w:b w:val="0"/>
          <w:bCs w:val="0"/>
          <w:i w:val="0"/>
          <w:iCs w:val="0"/>
          <w:sz w:val="22"/>
          <w:szCs w:val="22"/>
          <w:highlight w:val="none"/>
          <w:lang w:val="en-US" w:eastAsia="zh-CN"/>
        </w:rPr>
        <w:t xml:space="preserve">   </w:t>
      </w:r>
      <w:r>
        <w:rPr>
          <w:rFonts w:hint="default" w:ascii="Times New Roman" w:hAnsi="Times New Roman" w:cs="Times New Roman"/>
          <w:b w:val="0"/>
          <w:bCs w:val="0"/>
          <w:i w:val="0"/>
          <w:iCs w:val="0"/>
          <w:sz w:val="22"/>
          <w:szCs w:val="22"/>
          <w:highlight w:val="none"/>
          <w:lang w:val="en-US" w:eastAsia="zh-CN"/>
        </w:rPr>
        <w:t xml:space="preserve"> </w:t>
      </w:r>
      <w:r>
        <w:rPr>
          <w:rFonts w:hint="default" w:ascii="Times New Roman" w:hAnsi="Times New Roman" w:cs="Times New Roman"/>
          <w:b w:val="0"/>
          <w:bCs w:val="0"/>
          <w:i w:val="0"/>
          <w:iCs w:val="0"/>
          <w:sz w:val="22"/>
          <w:szCs w:val="22"/>
          <w:highlight w:val="none"/>
          <w:lang w:val="en-US" w:eastAsia="zh-CN"/>
        </w:rPr>
        <w:t xml:space="preserve">      </w:t>
      </w:r>
      <w:r>
        <w:rPr>
          <w:rFonts w:hint="default" w:ascii="Times New Roman" w:hAnsi="Times New Roman" w:cs="Times New Roman"/>
          <w:b w:val="0"/>
          <w:bCs w:val="0"/>
          <w:i w:val="0"/>
          <w:iCs w:val="0"/>
          <w:sz w:val="22"/>
          <w:szCs w:val="22"/>
          <w:highlight w:val="none"/>
          <w:lang w:val="en-US" w:eastAsia="zh-CN"/>
        </w:rPr>
        <w:t xml:space="preserve">                           </w:t>
      </w:r>
      <w:r>
        <w:rPr>
          <w:rFonts w:hint="eastAsia" w:ascii="Times New Roman" w:hAnsi="Times New Roman" w:cs="Times New Roman"/>
          <w:b w:val="0"/>
          <w:bCs w:val="0"/>
          <w:i w:val="0"/>
          <w:iCs w:val="0"/>
          <w:sz w:val="22"/>
          <w:szCs w:val="22"/>
          <w:highlight w:val="none"/>
          <w:lang w:val="en-US" w:eastAsia="zh-CN"/>
        </w:rPr>
        <w:t xml:space="preserve">  </w:t>
      </w:r>
      <w:r>
        <w:rPr>
          <w:rFonts w:hint="default" w:ascii="Times New Roman" w:hAnsi="Times New Roman" w:cs="Times New Roman"/>
          <w:b w:val="0"/>
          <w:bCs w:val="0"/>
          <w:i w:val="0"/>
          <w:iCs w:val="0"/>
          <w:sz w:val="22"/>
          <w:szCs w:val="22"/>
          <w:highlight w:val="none"/>
          <w:lang w:val="en-US" w:eastAsia="zh-CN"/>
        </w:rPr>
        <w:t xml:space="preserve">   </w:t>
      </w:r>
      <w:r>
        <w:rPr>
          <w:rFonts w:hint="default" w:ascii="Times New Roman" w:hAnsi="Times New Roman" w:cs="Times New Roman"/>
          <w:b w:val="0"/>
          <w:bCs w:val="0"/>
          <w:i w:val="0"/>
          <w:iCs w:val="0"/>
          <w:sz w:val="22"/>
          <w:szCs w:val="22"/>
          <w:highlight w:val="none"/>
          <w:lang w:val="en-US" w:eastAsia="zh-CN"/>
        </w:rPr>
        <w:t>Student ID:2323431</w:t>
      </w:r>
    </w:p>
    <w:p w14:paraId="566BBE1F">
      <w:pPr>
        <w:keepNext w:val="0"/>
        <w:keepLines w:val="0"/>
        <w:pageBreakBefore w:val="0"/>
        <w:widowControl w:val="0"/>
        <w:numPr>
          <w:ilvl w:val="0"/>
          <w:numId w:val="0"/>
        </w:numPr>
        <w:kinsoku/>
        <w:wordWrap/>
        <w:overflowPunct/>
        <w:topLinePunct w:val="0"/>
        <w:autoSpaceDE/>
        <w:autoSpaceDN/>
        <w:bidi w:val="0"/>
        <w:adjustRightInd/>
        <w:snapToGrid/>
        <w:spacing w:after="157" w:afterLines="50" w:line="240" w:lineRule="auto"/>
        <w:jc w:val="both"/>
        <w:textAlignment w:val="auto"/>
        <w:rPr>
          <w:rFonts w:hint="default" w:ascii="Times New Roman Bold Italic" w:hAnsi="Times New Roman Bold Italic" w:cs="Times New Roman Bold Italic" w:eastAsiaTheme="minorEastAsia"/>
          <w:b/>
          <w:bCs/>
          <w:i/>
          <w:iCs/>
          <w:sz w:val="24"/>
          <w:szCs w:val="24"/>
          <w:highlight w:val="none"/>
          <w:lang w:eastAsia="zh-CN"/>
        </w:rPr>
      </w:pPr>
      <w:r>
        <w:rPr>
          <w:rFonts w:hint="default" w:ascii="Times New Roman Bold Italic" w:hAnsi="Times New Roman Bold Italic" w:cs="Times New Roman Bold Italic"/>
          <w:b/>
          <w:bCs/>
          <w:i/>
          <w:iCs/>
          <w:sz w:val="24"/>
          <w:szCs w:val="24"/>
          <w:highlight w:val="none"/>
          <w:lang w:val="en-US" w:eastAsia="zh-CN"/>
        </w:rPr>
        <w:t xml:space="preserve">Question: </w:t>
      </w:r>
      <w:r>
        <w:rPr>
          <w:rFonts w:hint="default" w:ascii="Times New Roman Bold Italic" w:hAnsi="Times New Roman Bold Italic" w:cs="Times New Roman Bold Italic" w:eastAsiaTheme="minorEastAsia"/>
          <w:b/>
          <w:bCs/>
          <w:i/>
          <w:iCs/>
          <w:sz w:val="24"/>
          <w:szCs w:val="24"/>
          <w:highlight w:val="none"/>
          <w:lang w:eastAsia="zh-CN"/>
        </w:rPr>
        <w:t>Discuss the themes of repression and escape in the short stories '</w:t>
      </w:r>
      <w:r>
        <w:rPr>
          <w:rFonts w:hint="eastAsia" w:ascii="Times New Roman Bold Italic" w:hAnsi="Times New Roman Bold Italic" w:cs="Times New Roman Bold Italic"/>
          <w:b/>
          <w:bCs/>
          <w:i/>
          <w:iCs/>
          <w:sz w:val="24"/>
          <w:szCs w:val="24"/>
          <w:highlight w:val="none"/>
          <w:lang w:eastAsia="zh-CN"/>
        </w:rPr>
        <w:t>The Yellow Wallpaper</w:t>
      </w:r>
      <w:r>
        <w:rPr>
          <w:rFonts w:hint="default" w:ascii="Times New Roman Bold Italic" w:hAnsi="Times New Roman Bold Italic" w:cs="Times New Roman Bold Italic" w:eastAsiaTheme="minorEastAsia"/>
          <w:b/>
          <w:bCs/>
          <w:i/>
          <w:iCs/>
          <w:sz w:val="24"/>
          <w:szCs w:val="24"/>
          <w:highlight w:val="none"/>
          <w:lang w:eastAsia="zh-CN"/>
        </w:rPr>
        <w:t>' (Charlotte Perkins Gilman) and '</w:t>
      </w:r>
      <w:r>
        <w:rPr>
          <w:rFonts w:hint="eastAsia" w:ascii="Times New Roman Bold Italic" w:hAnsi="Times New Roman Bold Italic" w:cs="Times New Roman Bold Italic"/>
          <w:b/>
          <w:bCs/>
          <w:i/>
          <w:iCs/>
          <w:sz w:val="24"/>
          <w:szCs w:val="24"/>
          <w:highlight w:val="none"/>
          <w:lang w:eastAsia="zh-CN"/>
        </w:rPr>
        <w:t>The Tiredness of Rosabel</w:t>
      </w:r>
      <w:r>
        <w:rPr>
          <w:rFonts w:hint="default" w:ascii="Times New Roman Bold Italic" w:hAnsi="Times New Roman Bold Italic" w:cs="Times New Roman Bold Italic" w:eastAsiaTheme="minorEastAsia"/>
          <w:b/>
          <w:bCs/>
          <w:i/>
          <w:iCs/>
          <w:sz w:val="24"/>
          <w:szCs w:val="24"/>
          <w:highlight w:val="none"/>
          <w:lang w:eastAsia="zh-CN"/>
        </w:rPr>
        <w:t>' (Katherine Mansfield)? How do these themes relate to a feminist literary perspective?</w:t>
      </w:r>
    </w:p>
    <w:p w14:paraId="0D3B25A5">
      <w:pPr>
        <w:keepNext w:val="0"/>
        <w:keepLines w:val="0"/>
        <w:pageBreakBefore w:val="0"/>
        <w:widowControl w:val="0"/>
        <w:numPr>
          <w:ilvl w:val="0"/>
          <w:numId w:val="0"/>
        </w:numPr>
        <w:kinsoku/>
        <w:wordWrap/>
        <w:overflowPunct/>
        <w:topLinePunct w:val="0"/>
        <w:autoSpaceDE/>
        <w:autoSpaceDN/>
        <w:bidi w:val="0"/>
        <w:adjustRightInd/>
        <w:snapToGrid/>
        <w:spacing w:after="157" w:afterLines="50" w:line="240" w:lineRule="auto"/>
        <w:textAlignment w:val="auto"/>
        <w:rPr>
          <w:rFonts w:hint="default" w:ascii="Times New Roman Bold" w:hAnsi="Times New Roman Bold" w:cs="Times New Roman Bold" w:eastAsiaTheme="minorEastAsia"/>
          <w:b/>
          <w:bCs/>
          <w:i w:val="0"/>
          <w:iCs w:val="0"/>
          <w:sz w:val="28"/>
          <w:szCs w:val="28"/>
          <w:highlight w:val="none"/>
          <w:lang w:eastAsia="zh-CN"/>
        </w:rPr>
      </w:pPr>
      <w:r>
        <w:rPr>
          <w:rFonts w:hint="default" w:ascii="Times New Roman Bold" w:hAnsi="Times New Roman Bold" w:cs="Times New Roman Bold" w:eastAsiaTheme="minorEastAsia"/>
          <w:b/>
          <w:bCs/>
          <w:i w:val="0"/>
          <w:iCs w:val="0"/>
          <w:sz w:val="28"/>
          <w:szCs w:val="28"/>
          <w:highlight w:val="none"/>
          <w:lang w:eastAsia="zh-CN"/>
        </w:rPr>
        <w:t>Repression and Resistance</w:t>
      </w:r>
      <w:bookmarkStart w:id="0" w:name="_GoBack"/>
      <w:bookmarkEnd w:id="0"/>
      <w:r>
        <w:rPr>
          <w:rFonts w:hint="default" w:ascii="Times New Roman Bold" w:hAnsi="Times New Roman Bold" w:cs="Times New Roman Bold" w:eastAsiaTheme="minorEastAsia"/>
          <w:b/>
          <w:bCs/>
          <w:i w:val="0"/>
          <w:iCs w:val="0"/>
          <w:sz w:val="28"/>
          <w:szCs w:val="28"/>
          <w:highlight w:val="none"/>
          <w:lang w:eastAsia="zh-CN"/>
        </w:rPr>
        <w:t>: A Feminist Analysis of Patriarchal Oppression in The Yellow Wallpaper and The Tiredness of Rosabel</w:t>
      </w:r>
    </w:p>
    <w:p w14:paraId="1332DFF3">
      <w:pPr>
        <w:keepNext w:val="0"/>
        <w:keepLines w:val="0"/>
        <w:pageBreakBefore w:val="0"/>
        <w:widowControl w:val="0"/>
        <w:numPr>
          <w:ilvl w:val="0"/>
          <w:numId w:val="1"/>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b/>
          <w:bCs/>
          <w:sz w:val="24"/>
          <w:szCs w:val="24"/>
          <w:highlight w:val="none"/>
        </w:rPr>
      </w:pPr>
      <w:r>
        <w:rPr>
          <w:rFonts w:hint="default" w:ascii="Times New Roman Regular" w:hAnsi="Times New Roman Regular" w:cs="Times New Roman Regular"/>
          <w:b/>
          <w:bCs/>
          <w:sz w:val="24"/>
          <w:szCs w:val="24"/>
          <w:highlight w:val="none"/>
        </w:rPr>
        <w:t xml:space="preserve">Introduction </w:t>
      </w:r>
    </w:p>
    <w:p w14:paraId="134E5CAC">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 xml:space="preserve">The themes of repression and escape in Charlotte Perkins Gilman’s </w:t>
      </w:r>
      <w:r>
        <w:rPr>
          <w:rFonts w:hint="eastAsia" w:ascii="Times New Roman Regular" w:hAnsi="Times New Roman Regular" w:cs="Times New Roman Regular"/>
          <w:i/>
          <w:sz w:val="24"/>
          <w:szCs w:val="24"/>
          <w:highlight w:val="none"/>
          <w:lang w:eastAsia="zh-CN"/>
        </w:rPr>
        <w:t>The Yellow Wallpaper</w:t>
      </w:r>
      <w:r>
        <w:rPr>
          <w:rFonts w:hint="default" w:ascii="Times New Roman Regular" w:hAnsi="Times New Roman Regular" w:cs="Times New Roman Regular"/>
          <w:sz w:val="24"/>
          <w:szCs w:val="24"/>
          <w:highlight w:val="none"/>
        </w:rPr>
        <w:t xml:space="preserve"> and Katherine Mansfield’s </w:t>
      </w:r>
      <w:r>
        <w:rPr>
          <w:rFonts w:hint="eastAsia" w:ascii="Times New Roman Regular" w:hAnsi="Times New Roman Regular" w:cs="Times New Roman Regular"/>
          <w:i/>
          <w:sz w:val="24"/>
          <w:szCs w:val="24"/>
          <w:highlight w:val="none"/>
          <w:lang w:eastAsia="zh-CN"/>
        </w:rPr>
        <w:t>The Tiredness of Rosabel</w:t>
      </w:r>
      <w:r>
        <w:rPr>
          <w:rFonts w:hint="default" w:ascii="Times New Roman Regular" w:hAnsi="Times New Roman Regular" w:cs="Times New Roman Regular"/>
          <w:sz w:val="24"/>
          <w:szCs w:val="24"/>
          <w:highlight w:val="none"/>
        </w:rPr>
        <w:t xml:space="preserve"> reveal the profound impact of patriarchal systems on women’s autonomy, identity, and agency. These short stories, written during pivotal moments in feminist history, critique the societal constraints placed on women and highlight their varied responses to systemic oppression. Through vivid symbolism and poignant narratives, Gilman and Mansfield explore how women navigate and resist the confines of gendered expectations.</w:t>
      </w:r>
    </w:p>
    <w:p w14:paraId="1D76720D">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This essay examines the themes of repression and escape in both stories through the lens of feminist literary criticism, focusing on how these narratives reflect and critique the social and cultural norms of their time. By analyzing the protagonists’ struggles, symbolic representations, and forms of resistance, the essay highlights the broader feminist implications of these works and their enduring relevance to discussions of gender equality and intersectionality.</w:t>
      </w:r>
    </w:p>
    <w:p w14:paraId="12A1BFA1">
      <w:pPr>
        <w:keepNext w:val="0"/>
        <w:keepLines w:val="0"/>
        <w:pageBreakBefore w:val="0"/>
        <w:widowControl w:val="0"/>
        <w:numPr>
          <w:ilvl w:val="0"/>
          <w:numId w:val="1"/>
        </w:numPr>
        <w:kinsoku/>
        <w:wordWrap/>
        <w:overflowPunct/>
        <w:topLinePunct w:val="0"/>
        <w:autoSpaceDE/>
        <w:autoSpaceDN/>
        <w:bidi w:val="0"/>
        <w:adjustRightInd/>
        <w:snapToGrid/>
        <w:spacing w:after="157" w:afterLines="50" w:line="360" w:lineRule="auto"/>
        <w:ind w:left="0" w:leftChars="0" w:firstLine="0" w:firstLineChars="0"/>
        <w:textAlignment w:val="auto"/>
        <w:rPr>
          <w:rFonts w:hint="default" w:ascii="Times New Roman Regular" w:hAnsi="Times New Roman Regular" w:cs="Times New Roman Regular"/>
          <w:b/>
          <w:bCs/>
          <w:sz w:val="24"/>
          <w:szCs w:val="24"/>
          <w:highlight w:val="none"/>
        </w:rPr>
      </w:pPr>
      <w:r>
        <w:rPr>
          <w:rFonts w:hint="default" w:ascii="Times New Roman Regular" w:hAnsi="Times New Roman Regular" w:cs="Times New Roman Regular"/>
          <w:b/>
          <w:bCs/>
          <w:sz w:val="24"/>
          <w:szCs w:val="24"/>
          <w:highlight w:val="none"/>
        </w:rPr>
        <w:t xml:space="preserve">Repression in </w:t>
      </w:r>
      <w:r>
        <w:rPr>
          <w:rFonts w:hint="eastAsia" w:ascii="Times New Roman Regular" w:hAnsi="Times New Roman Regular" w:cs="Times New Roman Regular"/>
          <w:b/>
          <w:bCs/>
          <w:i/>
          <w:sz w:val="24"/>
          <w:szCs w:val="24"/>
          <w:highlight w:val="none"/>
          <w:lang w:eastAsia="zh-CN"/>
        </w:rPr>
        <w:t>The Yellow Wallpaper</w:t>
      </w:r>
      <w:r>
        <w:rPr>
          <w:rFonts w:hint="default" w:ascii="Times New Roman Regular" w:hAnsi="Times New Roman Regular" w:cs="Times New Roman Regular"/>
          <w:b/>
          <w:bCs/>
          <w:sz w:val="24"/>
          <w:szCs w:val="24"/>
          <w:highlight w:val="none"/>
        </w:rPr>
        <w:t xml:space="preserve"> and </w:t>
      </w:r>
      <w:r>
        <w:rPr>
          <w:rFonts w:hint="eastAsia" w:ascii="Times New Roman Regular" w:hAnsi="Times New Roman Regular" w:cs="Times New Roman Regular"/>
          <w:b/>
          <w:bCs/>
          <w:i/>
          <w:sz w:val="24"/>
          <w:szCs w:val="24"/>
          <w:highlight w:val="none"/>
          <w:lang w:eastAsia="zh-CN"/>
        </w:rPr>
        <w:t>The Tiredness of Rosabel</w:t>
      </w:r>
    </w:p>
    <w:p w14:paraId="280DBB67">
      <w:pPr>
        <w:keepNext w:val="0"/>
        <w:keepLines w:val="0"/>
        <w:pageBreakBefore w:val="0"/>
        <w:widowControl w:val="0"/>
        <w:numPr>
          <w:ilvl w:val="0"/>
          <w:numId w:val="0"/>
        </w:numPr>
        <w:kinsoku/>
        <w:wordWrap/>
        <w:overflowPunct/>
        <w:topLinePunct w:val="0"/>
        <w:autoSpaceDE/>
        <w:autoSpaceDN/>
        <w:bidi w:val="0"/>
        <w:adjustRightInd/>
        <w:snapToGrid/>
        <w:spacing w:after="157" w:afterLines="50" w:line="360" w:lineRule="auto"/>
        <w:ind w:leftChars="0"/>
        <w:textAlignment w:val="auto"/>
        <w:rPr>
          <w:rFonts w:hint="default" w:ascii="Times New Roman Bold" w:hAnsi="Times New Roman Bold" w:cs="Times New Roman Bold"/>
          <w:b/>
          <w:bCs/>
          <w:sz w:val="24"/>
          <w:szCs w:val="24"/>
          <w:highlight w:val="none"/>
        </w:rPr>
      </w:pPr>
      <w:r>
        <w:rPr>
          <w:rFonts w:hint="default" w:ascii="Times New Roman Bold" w:hAnsi="Times New Roman Bold" w:cs="Times New Roman Bold"/>
          <w:b/>
          <w:bCs/>
          <w:sz w:val="24"/>
          <w:szCs w:val="24"/>
          <w:highlight w:val="none"/>
          <w:lang w:val="en-US" w:eastAsia="zh-CN"/>
        </w:rPr>
        <w:t xml:space="preserve">2.1 </w:t>
      </w:r>
      <w:r>
        <w:rPr>
          <w:rFonts w:hint="default" w:ascii="Times New Roman Bold" w:hAnsi="Times New Roman Bold" w:cs="Times New Roman Bold"/>
          <w:b/>
          <w:bCs/>
          <w:sz w:val="24"/>
          <w:szCs w:val="24"/>
          <w:highlight w:val="none"/>
        </w:rPr>
        <w:t xml:space="preserve">Forms of Repression:  </w:t>
      </w:r>
    </w:p>
    <w:p w14:paraId="5A03EB22">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 xml:space="preserve">Repression in </w:t>
      </w:r>
      <w:r>
        <w:rPr>
          <w:rFonts w:hint="eastAsia" w:ascii="Times New Roman Regular" w:hAnsi="Times New Roman Regular" w:cs="Times New Roman Regular"/>
          <w:i/>
          <w:sz w:val="24"/>
          <w:szCs w:val="24"/>
          <w:highlight w:val="none"/>
          <w:lang w:eastAsia="zh-CN"/>
        </w:rPr>
        <w:t>The Yellow Wallpaper</w:t>
      </w:r>
      <w:r>
        <w:rPr>
          <w:rFonts w:hint="default" w:ascii="Times New Roman Regular" w:hAnsi="Times New Roman Regular" w:cs="Times New Roman Regular"/>
          <w:sz w:val="24"/>
          <w:szCs w:val="24"/>
          <w:highlight w:val="none"/>
        </w:rPr>
        <w:t xml:space="preserve"> and </w:t>
      </w:r>
      <w:r>
        <w:rPr>
          <w:rFonts w:hint="eastAsia" w:ascii="Times New Roman Regular" w:hAnsi="Times New Roman Regular" w:cs="Times New Roman Regular"/>
          <w:i/>
          <w:sz w:val="24"/>
          <w:szCs w:val="24"/>
          <w:highlight w:val="none"/>
          <w:lang w:eastAsia="zh-CN"/>
        </w:rPr>
        <w:t>The Tiredness of Rosabel</w:t>
      </w:r>
      <w:r>
        <w:rPr>
          <w:rFonts w:hint="default" w:ascii="Times New Roman Regular" w:hAnsi="Times New Roman Regular" w:cs="Times New Roman Regular"/>
          <w:sz w:val="24"/>
          <w:szCs w:val="24"/>
          <w:highlight w:val="none"/>
        </w:rPr>
        <w:t xml:space="preserve"> manifests in distinct yet interconnected ways, reflecting the multifaceted nature of patriarchal control. Both stories explore how societal structures deny women autonomy, creativity, and agency, though they do so through different lenses</w:t>
      </w:r>
      <w:r>
        <w:rPr>
          <w:rFonts w:hint="default" w:ascii="Times New Roman Regular" w:hAnsi="Times New Roman Regular" w:cs="Times New Roman Regular"/>
          <w:sz w:val="24"/>
          <w:szCs w:val="24"/>
          <w:highlight w:val="none"/>
          <w:lang w:val="en-US"/>
        </w:rPr>
        <w:t xml:space="preserve"> - </w:t>
      </w:r>
      <w:r>
        <w:rPr>
          <w:rFonts w:hint="default" w:ascii="Times New Roman Regular" w:hAnsi="Times New Roman Regular" w:cs="Times New Roman Regular"/>
          <w:sz w:val="24"/>
          <w:szCs w:val="24"/>
          <w:highlight w:val="none"/>
        </w:rPr>
        <w:t xml:space="preserve">medical and marital in </w:t>
      </w:r>
      <w:r>
        <w:rPr>
          <w:rFonts w:hint="eastAsia" w:ascii="Times New Roman Regular" w:hAnsi="Times New Roman Regular" w:cs="Times New Roman Regular"/>
          <w:i/>
          <w:sz w:val="24"/>
          <w:szCs w:val="24"/>
          <w:highlight w:val="none"/>
          <w:lang w:eastAsia="zh-CN"/>
        </w:rPr>
        <w:t>The Yellow Wallpaper</w:t>
      </w:r>
      <w:r>
        <w:rPr>
          <w:rFonts w:hint="default" w:ascii="Times New Roman Regular" w:hAnsi="Times New Roman Regular" w:cs="Times New Roman Regular"/>
          <w:sz w:val="24"/>
          <w:szCs w:val="24"/>
          <w:highlight w:val="none"/>
        </w:rPr>
        <w:t xml:space="preserve">, and economic and class-based in </w:t>
      </w:r>
      <w:r>
        <w:rPr>
          <w:rFonts w:hint="eastAsia" w:ascii="Times New Roman Regular" w:hAnsi="Times New Roman Regular" w:cs="Times New Roman Regular"/>
          <w:i/>
          <w:sz w:val="24"/>
          <w:szCs w:val="24"/>
          <w:highlight w:val="none"/>
          <w:lang w:eastAsia="zh-CN"/>
        </w:rPr>
        <w:t>The Tiredness of Rosabel</w:t>
      </w:r>
      <w:r>
        <w:rPr>
          <w:rFonts w:hint="default" w:ascii="Times New Roman Regular" w:hAnsi="Times New Roman Regular" w:cs="Times New Roman Regular"/>
          <w:sz w:val="24"/>
          <w:szCs w:val="24"/>
          <w:highlight w:val="none"/>
        </w:rPr>
        <w:t>. These depictions underscore the systemic limitations imposed on women’s roles during the late 19th and early 20th centuries.</w:t>
      </w:r>
    </w:p>
    <w:p w14:paraId="5B4A11BB">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eastAsia" w:ascii="Times New Roman Regular" w:hAnsi="Times New Roman Regular" w:cs="Times New Roman Regular" w:eastAsiaTheme="minorEastAsia"/>
          <w:b/>
          <w:bCs/>
          <w:sz w:val="24"/>
          <w:szCs w:val="24"/>
          <w:highlight w:val="none"/>
          <w:lang w:eastAsia="zh-CN"/>
        </w:rPr>
      </w:pPr>
      <w:r>
        <w:rPr>
          <w:rFonts w:hint="default" w:ascii="Times New Roman Regular" w:hAnsi="Times New Roman Regular" w:cs="Times New Roman Regular"/>
          <w:b/>
          <w:bCs/>
          <w:sz w:val="24"/>
          <w:szCs w:val="24"/>
          <w:highlight w:val="none"/>
          <w:lang w:val="en-US"/>
        </w:rPr>
        <w:t xml:space="preserve">2.1.1 </w:t>
      </w:r>
      <w:r>
        <w:rPr>
          <w:rFonts w:hint="default" w:ascii="Times New Roman Regular" w:hAnsi="Times New Roman Regular" w:cs="Times New Roman Regular"/>
          <w:b/>
          <w:bCs/>
          <w:sz w:val="24"/>
          <w:szCs w:val="24"/>
          <w:highlight w:val="none"/>
        </w:rPr>
        <w:t xml:space="preserve">Repression in </w:t>
      </w:r>
      <w:r>
        <w:rPr>
          <w:rFonts w:hint="eastAsia" w:ascii="Times New Roman Regular" w:hAnsi="Times New Roman Regular" w:cs="Times New Roman Regular"/>
          <w:b/>
          <w:bCs/>
          <w:i/>
          <w:sz w:val="24"/>
          <w:szCs w:val="24"/>
          <w:highlight w:val="none"/>
          <w:lang w:eastAsia="zh-CN"/>
        </w:rPr>
        <w:t>The Yellow Wallpaper</w:t>
      </w:r>
    </w:p>
    <w:p w14:paraId="55C6BB40">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 xml:space="preserve">Charlotte Perkins Gilman’s </w:t>
      </w:r>
      <w:r>
        <w:rPr>
          <w:rFonts w:hint="eastAsia" w:ascii="Times New Roman Regular" w:hAnsi="Times New Roman Regular" w:cs="Times New Roman Regular"/>
          <w:i/>
          <w:sz w:val="24"/>
          <w:szCs w:val="24"/>
          <w:highlight w:val="none"/>
          <w:lang w:eastAsia="zh-CN"/>
        </w:rPr>
        <w:t>The Yellow Wallpaper</w:t>
      </w:r>
      <w:r>
        <w:rPr>
          <w:rFonts w:hint="eastAsia" w:ascii="Times New Roman Regular" w:hAnsi="Times New Roman Regular" w:cs="Times New Roman Regular"/>
          <w:i/>
          <w:sz w:val="24"/>
          <w:szCs w:val="24"/>
          <w:highlight w:val="none"/>
          <w:lang w:val="en-US" w:eastAsia="zh-CN"/>
        </w:rPr>
        <w:t xml:space="preserve"> </w:t>
      </w:r>
      <w:r>
        <w:rPr>
          <w:rFonts w:hint="default" w:ascii="Times New Roman Regular" w:hAnsi="Times New Roman Regular" w:cs="Times New Roman Regular"/>
          <w:sz w:val="24"/>
          <w:szCs w:val="24"/>
          <w:highlight w:val="none"/>
        </w:rPr>
        <w:t>sharply critiques the medical and marital frameworks that oppressed women in the 19th century. The protagonist is subjected to the “rest cure,” a treatment popularized by Dr. Silas Weir Mitchell, which demanded that women avoid intellectual or creative endeavors. This approach was rooted in the widespread belief that women’s mental health issues arose from their presumed physical and emotional frailty</w:t>
      </w:r>
      <w:r>
        <w:rPr>
          <w:rFonts w:hint="default" w:ascii="Times New Roman Regular" w:hAnsi="Times New Roman Regular" w:cs="Times New Roman Regular"/>
          <w:sz w:val="24"/>
          <w:szCs w:val="24"/>
          <w:highlight w:val="none"/>
          <w:lang w:val="en-US"/>
        </w:rPr>
        <w:t xml:space="preserve"> (Treichler, 1984, p. 65)</w:t>
      </w:r>
      <w:r>
        <w:rPr>
          <w:rFonts w:hint="default" w:ascii="Times New Roman Regular" w:hAnsi="Times New Roman Regular" w:cs="Times New Roman Regular"/>
          <w:sz w:val="24"/>
          <w:szCs w:val="24"/>
          <w:highlight w:val="none"/>
        </w:rPr>
        <w:t>.</w:t>
      </w:r>
      <w:r>
        <w:rPr>
          <w:rFonts w:hint="default" w:ascii="Times New Roman Regular" w:hAnsi="Times New Roman Regular" w:cs="Times New Roman Regular"/>
          <w:sz w:val="24"/>
          <w:szCs w:val="24"/>
          <w:highlight w:val="none"/>
        </w:rPr>
        <w:t xml:space="preserve"> John, the narrator’s husband and doctor, exemplifies this paternalistic dominance, strictly enforcing the rest cure while stripping her of autonomy. His control over every aspect of her treatment, daily activities, and even her thoughts reflects the broader societal notion that men were inherently better equipped to determine what was best for women.</w:t>
      </w:r>
    </w:p>
    <w:p w14:paraId="5E01C618">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The narrator’s isolation in the nursery</w:t>
      </w:r>
      <w:r>
        <w:rPr>
          <w:rFonts w:hint="default" w:ascii="Times New Roman Regular" w:hAnsi="Times New Roman Regular" w:cs="Times New Roman Regular"/>
          <w:sz w:val="24"/>
          <w:szCs w:val="24"/>
          <w:highlight w:val="none"/>
          <w:lang w:val="en-US"/>
        </w:rPr>
        <w:t xml:space="preserve"> - </w:t>
      </w:r>
      <w:r>
        <w:rPr>
          <w:rFonts w:hint="default" w:ascii="Times New Roman Regular" w:hAnsi="Times New Roman Regular" w:cs="Times New Roman Regular"/>
          <w:sz w:val="24"/>
          <w:szCs w:val="24"/>
          <w:highlight w:val="none"/>
        </w:rPr>
        <w:t>a space that symbolically infantilizes her</w:t>
      </w:r>
      <w:r>
        <w:rPr>
          <w:rFonts w:hint="default" w:ascii="Times New Roman Regular" w:hAnsi="Times New Roman Regular" w:cs="Times New Roman Regular"/>
          <w:sz w:val="24"/>
          <w:szCs w:val="24"/>
          <w:highlight w:val="none"/>
          <w:lang w:val="en-US"/>
        </w:rPr>
        <w:t xml:space="preserve"> - </w:t>
      </w:r>
      <w:r>
        <w:rPr>
          <w:rFonts w:hint="default" w:ascii="Times New Roman Regular" w:hAnsi="Times New Roman Regular" w:cs="Times New Roman Regular"/>
          <w:sz w:val="24"/>
          <w:szCs w:val="24"/>
          <w:highlight w:val="none"/>
        </w:rPr>
        <w:t xml:space="preserve">demonstrates how patriarchal systems diminished women to dependent, childlike roles. Her efforts to resist, such as her wish to write or enjoy outdoor activities, are dismissed as irrational and potentially damaging. John’s repeated declarations of love and concern obscure his control over her, highlighting the subtle but pervasive nature of repression within relationships that appear caring. As Sandra Gilbert and Susan Gubar observe in </w:t>
      </w:r>
      <w:r>
        <w:rPr>
          <w:rFonts w:hint="default" w:ascii="Times New Roman Italic" w:hAnsi="Times New Roman Italic" w:cs="Times New Roman Italic"/>
          <w:i/>
          <w:iCs/>
          <w:sz w:val="24"/>
          <w:szCs w:val="24"/>
          <w:highlight w:val="none"/>
        </w:rPr>
        <w:t>The Madwoman in the Attic</w:t>
      </w:r>
      <w:r>
        <w:rPr>
          <w:rFonts w:hint="default" w:ascii="Times New Roman Regular" w:hAnsi="Times New Roman Regular" w:cs="Times New Roman Regular"/>
          <w:sz w:val="24"/>
          <w:szCs w:val="24"/>
          <w:highlight w:val="none"/>
        </w:rPr>
        <w:t>, such repression frequently takes the form of silencing women’s voices, relegating them to the position of passive spectators in their own lives</w:t>
      </w:r>
      <w:r>
        <w:rPr>
          <w:rFonts w:hint="default" w:ascii="Times New Roman Regular" w:hAnsi="Times New Roman Regular" w:cs="Times New Roman Regular"/>
          <w:sz w:val="24"/>
          <w:szCs w:val="24"/>
          <w:highlight w:val="none"/>
        </w:rPr>
        <w:t xml:space="preserve"> (Gilbert and Gubar, 1979, p. 89).</w:t>
      </w:r>
    </w:p>
    <w:p w14:paraId="4755677F">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The wallpaper emerges as a powerful symbol of repression, with its chaotic patterns reflecting the narrator’s deteriorating mental state. Her increasing fixation on it signifies an unconscious rebellion against the restrictive forces surrounding her. The figure she envisions trapped within the wallpaper serves as a metaphor for her own entrapment, transforming the room into a symbolic psychological prison.</w:t>
      </w:r>
    </w:p>
    <w:p w14:paraId="3AB02BB2">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eastAsia" w:ascii="Times New Roman Regular" w:hAnsi="Times New Roman Regular" w:cs="Times New Roman Regular" w:eastAsiaTheme="minorEastAsia"/>
          <w:b/>
          <w:bCs/>
          <w:sz w:val="24"/>
          <w:szCs w:val="24"/>
          <w:highlight w:val="none"/>
          <w:lang w:eastAsia="zh-CN"/>
        </w:rPr>
      </w:pPr>
      <w:r>
        <w:rPr>
          <w:rFonts w:hint="default" w:ascii="Times New Roman Regular" w:hAnsi="Times New Roman Regular" w:cs="Times New Roman Regular"/>
          <w:b/>
          <w:bCs/>
          <w:sz w:val="24"/>
          <w:szCs w:val="24"/>
          <w:highlight w:val="none"/>
          <w:lang w:val="en-US"/>
        </w:rPr>
        <w:t xml:space="preserve">2.1.2 </w:t>
      </w:r>
      <w:r>
        <w:rPr>
          <w:rFonts w:hint="default" w:ascii="Times New Roman Regular" w:hAnsi="Times New Roman Regular" w:cs="Times New Roman Regular"/>
          <w:b/>
          <w:bCs/>
          <w:sz w:val="24"/>
          <w:szCs w:val="24"/>
          <w:highlight w:val="none"/>
        </w:rPr>
        <w:t xml:space="preserve">Repression in </w:t>
      </w:r>
      <w:r>
        <w:rPr>
          <w:rFonts w:hint="eastAsia" w:ascii="Times New Roman Regular" w:hAnsi="Times New Roman Regular" w:cs="Times New Roman Regular"/>
          <w:b/>
          <w:bCs/>
          <w:i/>
          <w:sz w:val="24"/>
          <w:szCs w:val="24"/>
          <w:highlight w:val="none"/>
          <w:lang w:eastAsia="zh-CN"/>
        </w:rPr>
        <w:t>The Tiredness of Rosabel</w:t>
      </w:r>
    </w:p>
    <w:p w14:paraId="7E33C3AF">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In Katherine Mansfield’s</w:t>
      </w:r>
      <w:r>
        <w:rPr>
          <w:rFonts w:hint="eastAsia" w:ascii="Times New Roman Regular" w:hAnsi="Times New Roman Regular" w:cs="Times New Roman Regular"/>
          <w:sz w:val="24"/>
          <w:szCs w:val="24"/>
          <w:highlight w:val="none"/>
          <w:lang w:val="en-US" w:eastAsia="zh-CN"/>
        </w:rPr>
        <w:t xml:space="preserve"> </w:t>
      </w:r>
      <w:r>
        <w:rPr>
          <w:rFonts w:hint="eastAsia" w:ascii="Times New Roman Italic" w:hAnsi="Times New Roman Italic" w:cs="Times New Roman Italic"/>
          <w:i/>
          <w:iCs/>
          <w:sz w:val="24"/>
          <w:szCs w:val="24"/>
          <w:highlight w:val="none"/>
          <w:lang w:eastAsia="zh-CN"/>
        </w:rPr>
        <w:t>The Tiredness of Rosabel</w:t>
      </w:r>
      <w:r>
        <w:rPr>
          <w:rFonts w:hint="default" w:ascii="Times New Roman Regular" w:hAnsi="Times New Roman Regular" w:cs="Times New Roman Regular"/>
          <w:sz w:val="24"/>
          <w:szCs w:val="24"/>
          <w:highlight w:val="none"/>
        </w:rPr>
        <w:t>, repression stems from class and economic structures that restrict the protagonist’s opportunities and undermine her sense of self-worth. Rosabel, a working-class milliner’s assistant, leads a monotonous life dictated by financial insecurity and societal invisibility. Although her labor is essential for her survival, it is undervalued and dehumanizing, leaving her drained both physically and emotionally. The title itself underscores her fatigue, symbolizing the cumulative burden of systemic oppression she endures.</w:t>
      </w:r>
    </w:p>
    <w:p w14:paraId="5554BFEF">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 xml:space="preserve">Unlike the explicit paternalism depicted in </w:t>
      </w:r>
      <w:r>
        <w:rPr>
          <w:rFonts w:hint="eastAsia" w:ascii="Times New Roman Italic" w:hAnsi="Times New Roman Italic" w:cs="Times New Roman Italic"/>
          <w:i/>
          <w:iCs/>
          <w:sz w:val="24"/>
          <w:szCs w:val="24"/>
          <w:highlight w:val="none"/>
          <w:lang w:eastAsia="zh-CN"/>
        </w:rPr>
        <w:t>The Yellow Wallpaper</w:t>
      </w:r>
      <w:r>
        <w:rPr>
          <w:rFonts w:hint="default" w:ascii="Times New Roman Regular" w:hAnsi="Times New Roman Regular" w:cs="Times New Roman Regular"/>
          <w:sz w:val="24"/>
          <w:szCs w:val="24"/>
          <w:highlight w:val="none"/>
        </w:rPr>
        <w:t xml:space="preserve">, repression in </w:t>
      </w:r>
      <w:r>
        <w:rPr>
          <w:rFonts w:hint="eastAsia" w:ascii="Times New Roman Italic" w:hAnsi="Times New Roman Italic" w:cs="Times New Roman Italic"/>
          <w:i/>
          <w:iCs/>
          <w:sz w:val="24"/>
          <w:szCs w:val="24"/>
          <w:highlight w:val="none"/>
          <w:lang w:eastAsia="zh-CN"/>
        </w:rPr>
        <w:t>The Tiredness of Rosabel</w:t>
      </w:r>
      <w:r>
        <w:rPr>
          <w:rFonts w:hint="default" w:ascii="Times New Roman Regular" w:hAnsi="Times New Roman Regular" w:cs="Times New Roman Regular"/>
          <w:sz w:val="24"/>
          <w:szCs w:val="24"/>
          <w:highlight w:val="none"/>
        </w:rPr>
        <w:t xml:space="preserve"> operates more subtly, taking shape through societal expectations and Rosabel’s internalized sense of inadequacy. Her interactions with customers, especially the wealthy woman who views her dismissively, emphasize the rigid class hierarchies that dominate her existence. These moments of condescension and exclusion reinforce Rosabel’s marginalization, constantly reminding her of her perceived inferiority and her exclusion from the comfort and privilege enjoyed by her affluent clients.</w:t>
      </w:r>
    </w:p>
    <w:p w14:paraId="1A2FB32D">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Mansfield’s depiction of Rosabel’s surroundings</w:t>
      </w:r>
      <w:r>
        <w:rPr>
          <w:rFonts w:hint="eastAsia" w:ascii="Times New Roman Regular" w:hAnsi="Times New Roman Regular" w:cs="Times New Roman Regular"/>
          <w:sz w:val="24"/>
          <w:szCs w:val="24"/>
          <w:highlight w:val="none"/>
          <w:lang w:val="en-US" w:eastAsia="zh-CN"/>
        </w:rPr>
        <w:t xml:space="preserve"> -</w:t>
      </w:r>
      <w:r>
        <w:rPr>
          <w:rFonts w:hint="default" w:ascii="Times New Roman Regular" w:hAnsi="Times New Roman Regular" w:cs="Times New Roman Regular"/>
          <w:sz w:val="24"/>
          <w:szCs w:val="24"/>
          <w:highlight w:val="none"/>
        </w:rPr>
        <w:t>a bleak cityscape and a constraining workspace</w:t>
      </w:r>
      <w:r>
        <w:rPr>
          <w:rFonts w:hint="eastAsia" w:ascii="Times New Roman Regular" w:hAnsi="Times New Roman Regular" w:cs="Times New Roman Regular"/>
          <w:sz w:val="24"/>
          <w:szCs w:val="24"/>
          <w:highlight w:val="none"/>
          <w:lang w:val="en-US" w:eastAsia="zh-CN"/>
        </w:rPr>
        <w:t xml:space="preserve">- </w:t>
      </w:r>
      <w:r>
        <w:rPr>
          <w:rFonts w:hint="default" w:ascii="Times New Roman Regular" w:hAnsi="Times New Roman Regular" w:cs="Times New Roman Regular"/>
          <w:sz w:val="24"/>
          <w:szCs w:val="24"/>
          <w:highlight w:val="none"/>
        </w:rPr>
        <w:t xml:space="preserve">serves as a reflection of her limited agency. The scarce opportunities available to her highlight the prevailing societal beliefs about the roles and abilities of working-class women. In contrast to the narrator of </w:t>
      </w:r>
      <w:r>
        <w:rPr>
          <w:rFonts w:hint="eastAsia" w:ascii="Times New Roman Italic" w:hAnsi="Times New Roman Italic" w:cs="Times New Roman Italic"/>
          <w:i/>
          <w:iCs/>
          <w:sz w:val="24"/>
          <w:szCs w:val="24"/>
          <w:highlight w:val="none"/>
          <w:lang w:eastAsia="zh-CN"/>
        </w:rPr>
        <w:t>The Yellow Wallpaper</w:t>
      </w:r>
      <w:r>
        <w:rPr>
          <w:rFonts w:hint="default" w:ascii="Times New Roman Regular" w:hAnsi="Times New Roman Regular" w:cs="Times New Roman Regular"/>
          <w:sz w:val="24"/>
          <w:szCs w:val="24"/>
          <w:highlight w:val="none"/>
        </w:rPr>
        <w:t>, Rosabel’s confinement is not enforced by a singular authority figure but is instead the result of intersecting forces, including gender, class, and economic inequality, which collectively restrict her autonomy and aspirations.</w:t>
      </w:r>
    </w:p>
    <w:p w14:paraId="0D427EC3">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b/>
          <w:bCs/>
          <w:sz w:val="24"/>
          <w:szCs w:val="24"/>
          <w:highlight w:val="none"/>
          <w:lang w:val="en-US"/>
        </w:rPr>
      </w:pPr>
      <w:r>
        <w:rPr>
          <w:rFonts w:hint="default" w:ascii="Times New Roman Regular" w:hAnsi="Times New Roman Regular" w:cs="Times New Roman Regular"/>
          <w:b/>
          <w:bCs/>
          <w:sz w:val="24"/>
          <w:szCs w:val="24"/>
          <w:highlight w:val="none"/>
          <w:lang w:val="en-US"/>
        </w:rPr>
        <w:t>2.1.3 Comparison</w:t>
      </w:r>
    </w:p>
    <w:p w14:paraId="145F2ADA">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eastAsia" w:ascii="Times New Roman" w:hAnsi="Times New Roman" w:cs="Times New Roman" w:eastAsiaTheme="minorEastAsia"/>
          <w:i w:val="0"/>
          <w:iCs w:val="0"/>
          <w:sz w:val="24"/>
          <w:szCs w:val="24"/>
          <w:highlight w:val="none"/>
          <w:lang w:eastAsia="zh-CN"/>
        </w:rPr>
      </w:pPr>
      <w:r>
        <w:rPr>
          <w:rFonts w:hint="default" w:ascii="Times New Roman Regular" w:hAnsi="Times New Roman Regular" w:cs="Times New Roman Regular"/>
          <w:sz w:val="24"/>
          <w:szCs w:val="24"/>
          <w:highlight w:val="none"/>
        </w:rPr>
        <w:t>While the forms of repression differ between the two stories, both protagonists are confined by systemic forces that deny them autonomy. In</w:t>
      </w:r>
      <w:r>
        <w:rPr>
          <w:rFonts w:hint="default" w:ascii="Times New Roman Italic" w:hAnsi="Times New Roman Italic" w:cs="Times New Roman Italic"/>
          <w:i/>
          <w:iCs/>
          <w:sz w:val="24"/>
          <w:szCs w:val="24"/>
          <w:highlight w:val="none"/>
        </w:rPr>
        <w:t xml:space="preserve"> </w:t>
      </w:r>
      <w:r>
        <w:rPr>
          <w:rFonts w:hint="eastAsia" w:ascii="Times New Roman Italic" w:hAnsi="Times New Roman Italic" w:cs="Times New Roman Italic"/>
          <w:i/>
          <w:iCs/>
          <w:sz w:val="24"/>
          <w:szCs w:val="24"/>
          <w:highlight w:val="none"/>
          <w:lang w:eastAsia="zh-CN"/>
        </w:rPr>
        <w:t>The Yellow Wallpaper</w:t>
      </w:r>
      <w:r>
        <w:rPr>
          <w:rFonts w:hint="default" w:ascii="Times New Roman Regular" w:hAnsi="Times New Roman Regular" w:cs="Times New Roman Regular"/>
          <w:sz w:val="24"/>
          <w:szCs w:val="24"/>
          <w:highlight w:val="none"/>
        </w:rPr>
        <w:t xml:space="preserve">, repression is </w:t>
      </w:r>
      <w:r>
        <w:rPr>
          <w:rFonts w:hint="default" w:ascii="Times New Roman Bold" w:hAnsi="Times New Roman Bold" w:cs="Times New Roman Bold"/>
          <w:b/>
          <w:bCs/>
          <w:sz w:val="24"/>
          <w:szCs w:val="24"/>
          <w:highlight w:val="none"/>
        </w:rPr>
        <w:t>institutional and paternalistic</w:t>
      </w:r>
      <w:r>
        <w:rPr>
          <w:rFonts w:hint="default" w:ascii="Times New Roman Regular" w:hAnsi="Times New Roman Regular" w:cs="Times New Roman Regular"/>
          <w:sz w:val="24"/>
          <w:szCs w:val="24"/>
          <w:highlight w:val="none"/>
        </w:rPr>
        <w:t xml:space="preserve">, rooted in medical and marital authority. The narrator’s confinement is both </w:t>
      </w:r>
      <w:r>
        <w:rPr>
          <w:rFonts w:hint="default" w:ascii="Times New Roman Bold" w:hAnsi="Times New Roman Bold" w:cs="Times New Roman Bold"/>
          <w:b/>
          <w:bCs/>
          <w:sz w:val="24"/>
          <w:szCs w:val="24"/>
          <w:highlight w:val="none"/>
        </w:rPr>
        <w:t>psychological and physical</w:t>
      </w:r>
      <w:r>
        <w:rPr>
          <w:rFonts w:hint="default" w:ascii="Times New Roman Regular" w:hAnsi="Times New Roman Regular" w:cs="Times New Roman Regular"/>
          <w:sz w:val="24"/>
          <w:szCs w:val="24"/>
          <w:highlight w:val="none"/>
        </w:rPr>
        <w:t xml:space="preserve">, as her creativity and independence are stifled under the guise of care. In contrast, </w:t>
      </w:r>
      <w:r>
        <w:rPr>
          <w:rFonts w:hint="eastAsia" w:ascii="Times New Roman Regular" w:hAnsi="Times New Roman Regular" w:cs="Times New Roman Regular"/>
          <w:i/>
          <w:sz w:val="24"/>
          <w:szCs w:val="24"/>
          <w:highlight w:val="none"/>
          <w:lang w:eastAsia="zh-CN"/>
        </w:rPr>
        <w:t>The Tiredness of Rosabel</w:t>
      </w:r>
      <w:r>
        <w:rPr>
          <w:rFonts w:hint="default" w:ascii="Times New Roman Italic" w:hAnsi="Times New Roman Italic" w:cs="Times New Roman Italic"/>
          <w:i/>
          <w:iCs/>
          <w:sz w:val="24"/>
          <w:szCs w:val="24"/>
          <w:highlight w:val="none"/>
        </w:rPr>
        <w:t xml:space="preserve"> </w:t>
      </w:r>
      <w:r>
        <w:rPr>
          <w:rFonts w:hint="default" w:ascii="Times New Roman Regular" w:hAnsi="Times New Roman Regular" w:cs="Times New Roman Regular"/>
          <w:sz w:val="24"/>
          <w:szCs w:val="24"/>
          <w:highlight w:val="none"/>
        </w:rPr>
        <w:t xml:space="preserve">focuses on the subtle yet pervasive effects of </w:t>
      </w:r>
      <w:r>
        <w:rPr>
          <w:rFonts w:hint="default" w:ascii="Times New Roman Bold" w:hAnsi="Times New Roman Bold" w:cs="Times New Roman Bold"/>
          <w:b/>
          <w:bCs/>
          <w:sz w:val="24"/>
          <w:szCs w:val="24"/>
          <w:highlight w:val="none"/>
        </w:rPr>
        <w:t>class and economic hierarchies</w:t>
      </w:r>
      <w:r>
        <w:rPr>
          <w:rFonts w:hint="default" w:ascii="Times New Roman Regular" w:hAnsi="Times New Roman Regular" w:cs="Times New Roman Regular"/>
          <w:sz w:val="24"/>
          <w:szCs w:val="24"/>
          <w:highlight w:val="none"/>
        </w:rPr>
        <w:t xml:space="preserve"> on women’s lives. Rosabel’s repression is less explicit but no less impactful, shaping her self-image and curbing her aspirations</w:t>
      </w:r>
      <w:r>
        <w:rPr>
          <w:rFonts w:hint="eastAsia" w:ascii="Times New Roman Regular" w:hAnsi="Times New Roman Regular" w:cs="Times New Roman Regular"/>
          <w:sz w:val="24"/>
          <w:szCs w:val="24"/>
          <w:highlight w:val="none"/>
          <w:lang w:eastAsia="zh-CN"/>
        </w:rPr>
        <w:t>。</w:t>
      </w:r>
    </w:p>
    <w:p w14:paraId="0A2F7663">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lang w:val="en-US" w:eastAsia="zh-CN"/>
        </w:rPr>
      </w:pPr>
      <w:r>
        <w:rPr>
          <w:rFonts w:hint="default" w:ascii="Times New Roman Regular" w:hAnsi="Times New Roman Regular" w:cs="Times New Roman Regular"/>
          <w:sz w:val="24"/>
          <w:szCs w:val="24"/>
          <w:highlight w:val="none"/>
          <w:lang w:val="en-US" w:eastAsia="zh-CN"/>
        </w:rPr>
        <w:t>Both stories unveil how the societal norms of their respective eras sustained these forms of repression. Gilman’s critique of the “rest cure” confronts the widespread medicalization of women’s dissent, questioning the authority of patriarchal medicine. Meanwhile, Mansfield’s depiction of Rosabel explores the intersection of class and gender in early 20th-century Britain, shedding light on the compounded barriers faced by working-class women. Collectively, these narratives illuminate the complex and multifaceted nature of patriarchal oppression and its profound effects on women’s autonomy and sense of self.</w:t>
      </w:r>
    </w:p>
    <w:p w14:paraId="0509E0AA">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b/>
          <w:bCs/>
          <w:sz w:val="24"/>
          <w:szCs w:val="24"/>
          <w:highlight w:val="none"/>
        </w:rPr>
      </w:pPr>
      <w:r>
        <w:rPr>
          <w:rFonts w:hint="default" w:ascii="Times New Roman Regular" w:hAnsi="Times New Roman Regular" w:cs="Times New Roman Regular"/>
          <w:b/>
          <w:bCs/>
          <w:sz w:val="24"/>
          <w:szCs w:val="24"/>
          <w:highlight w:val="none"/>
          <w:lang w:val="en-US" w:eastAsia="zh-CN"/>
        </w:rPr>
        <w:t xml:space="preserve">2.2 </w:t>
      </w:r>
      <w:r>
        <w:rPr>
          <w:rFonts w:hint="default" w:ascii="Times New Roman Regular" w:hAnsi="Times New Roman Regular" w:cs="Times New Roman Regular"/>
          <w:b/>
          <w:bCs/>
          <w:sz w:val="24"/>
          <w:szCs w:val="24"/>
          <w:highlight w:val="none"/>
        </w:rPr>
        <w:t xml:space="preserve">Symbolism and Feminist Critique :  </w:t>
      </w:r>
    </w:p>
    <w:p w14:paraId="01574C48">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 xml:space="preserve">The use of symbolism in </w:t>
      </w:r>
      <w:r>
        <w:rPr>
          <w:rFonts w:hint="eastAsia" w:ascii="Times New Roman Regular" w:hAnsi="Times New Roman Regular" w:cs="Times New Roman Regular"/>
          <w:i/>
          <w:sz w:val="24"/>
          <w:szCs w:val="24"/>
          <w:highlight w:val="none"/>
          <w:lang w:eastAsia="zh-CN"/>
        </w:rPr>
        <w:t>The Yellow Wallpaper</w:t>
      </w:r>
      <w:r>
        <w:rPr>
          <w:rFonts w:hint="default" w:ascii="Times New Roman Regular" w:hAnsi="Times New Roman Regular" w:cs="Times New Roman Regular"/>
          <w:sz w:val="24"/>
          <w:szCs w:val="24"/>
          <w:highlight w:val="none"/>
        </w:rPr>
        <w:t xml:space="preserve"> and </w:t>
      </w:r>
      <w:r>
        <w:rPr>
          <w:rFonts w:hint="eastAsia" w:ascii="Times New Roman Regular" w:hAnsi="Times New Roman Regular" w:cs="Times New Roman Regular"/>
          <w:i/>
          <w:sz w:val="24"/>
          <w:szCs w:val="24"/>
          <w:highlight w:val="none"/>
          <w:lang w:eastAsia="zh-CN"/>
        </w:rPr>
        <w:t>The Tiredness of Rosabel</w:t>
      </w:r>
      <w:r>
        <w:rPr>
          <w:rFonts w:hint="default" w:ascii="Times New Roman Regular" w:hAnsi="Times New Roman Regular" w:cs="Times New Roman Regular"/>
          <w:sz w:val="24"/>
          <w:szCs w:val="24"/>
          <w:highlight w:val="none"/>
        </w:rPr>
        <w:t xml:space="preserve"> serves as a critique of patriarchal systems, exposing the pervasive forces of repression. Both authors utilize vivid imagery to shed light on societal constraints and their impact on women. In </w:t>
      </w:r>
      <w:r>
        <w:rPr>
          <w:rFonts w:hint="eastAsia" w:ascii="Times New Roman Regular" w:hAnsi="Times New Roman Regular" w:cs="Times New Roman Regular"/>
          <w:i/>
          <w:sz w:val="24"/>
          <w:szCs w:val="24"/>
          <w:highlight w:val="none"/>
          <w:lang w:eastAsia="zh-CN"/>
        </w:rPr>
        <w:t>The Yellow Wallpaper</w:t>
      </w:r>
      <w:r>
        <w:rPr>
          <w:rFonts w:hint="default" w:ascii="Times New Roman Regular" w:hAnsi="Times New Roman Regular" w:cs="Times New Roman Regular"/>
          <w:sz w:val="24"/>
          <w:szCs w:val="24"/>
          <w:highlight w:val="none"/>
        </w:rPr>
        <w:t xml:space="preserve">, the chaotic patterns of the wallpaper represent the oppressive structures that confine the narrator, paralleling her mental decline and her subconscious resistance to patriarchal authority. The figure she perceives as trapped within the wallpaper becomes a metaphor for her own entrapment. As feminist scholars Gilbert and Gubar suggest in </w:t>
      </w:r>
      <w:r>
        <w:rPr>
          <w:rFonts w:hint="default" w:ascii="Times New Roman Italic" w:hAnsi="Times New Roman Italic" w:cs="Times New Roman Italic"/>
          <w:i/>
          <w:iCs/>
          <w:sz w:val="24"/>
          <w:szCs w:val="24"/>
          <w:highlight w:val="none"/>
        </w:rPr>
        <w:t>The Madwoman in the Attic</w:t>
      </w:r>
      <w:r>
        <w:rPr>
          <w:rFonts w:hint="default" w:ascii="Times New Roman Regular" w:hAnsi="Times New Roman Regular" w:cs="Times New Roman Regular"/>
          <w:sz w:val="24"/>
          <w:szCs w:val="24"/>
          <w:highlight w:val="none"/>
        </w:rPr>
        <w:t>, this reflects the ways in which women’s creativity and autonomy are suppressed by societal norms (Gilbert and Gubar, 1979, p. 89).</w:t>
      </w:r>
    </w:p>
    <w:p w14:paraId="4B92FBA9">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 xml:space="preserve">Similarly, in </w:t>
      </w:r>
      <w:r>
        <w:rPr>
          <w:rFonts w:hint="eastAsia" w:ascii="Times New Roman Regular" w:hAnsi="Times New Roman Regular" w:cs="Times New Roman Regular"/>
          <w:i/>
          <w:sz w:val="24"/>
          <w:szCs w:val="24"/>
          <w:highlight w:val="none"/>
          <w:lang w:eastAsia="zh-CN"/>
        </w:rPr>
        <w:t>The Tiredness of Rosabel</w:t>
      </w:r>
      <w:r>
        <w:rPr>
          <w:rFonts w:hint="default" w:ascii="Times New Roman Regular" w:hAnsi="Times New Roman Regular" w:cs="Times New Roman Regular"/>
          <w:sz w:val="24"/>
          <w:szCs w:val="24"/>
          <w:highlight w:val="none"/>
        </w:rPr>
        <w:t>, fatigue serves as a powerful symbol of the physical and emotional strain imposed by systemic oppression. Rosabel’s exhaustion signifies more than the physical strain of her labor; it embodies the compounded impact of societal disregard and the marginalization she faces due to her class. Her daydreams provide a fleeting escape from these burdens, highlighting the intersectional dimensions of her repression. This aligns with the theories of bell hooks, who underscores the compounded impact of gender and class oppression, demonstrating how these intersecting systems of inequality shape the experiences of marginalized women</w:t>
      </w:r>
      <w:r>
        <w:rPr>
          <w:rFonts w:hint="default" w:ascii="Times New Roman Regular" w:hAnsi="Times New Roman Regular" w:cs="Times New Roman Regular"/>
          <w:sz w:val="24"/>
          <w:szCs w:val="24"/>
          <w:highlight w:val="none"/>
          <w:lang w:val="en-US"/>
        </w:rPr>
        <w:t xml:space="preserve"> (Biana, 2020, p. 16)</w:t>
      </w:r>
      <w:r>
        <w:rPr>
          <w:rFonts w:hint="default" w:ascii="Times New Roman Regular" w:hAnsi="Times New Roman Regular" w:cs="Times New Roman Regular"/>
          <w:sz w:val="24"/>
          <w:szCs w:val="24"/>
          <w:highlight w:val="none"/>
        </w:rPr>
        <w:t>.</w:t>
      </w:r>
    </w:p>
    <w:p w14:paraId="64E384C2">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Although the forms of symbolism differ in focus and scope, both stories highlight the resilience and resistance of their protagonists. Gilman critiques the medical and domestic systems that confine women, exposing their dehumanizing effects, while Mansfield sheds light on the struggles of working-class women, emphasizing the intersection of gender and class oppression. Together, these narratives reveal how systemic repression operates through both symbolic and material constraints, illustrating the pervasive impact of patriarchal structures on women’s lives.</w:t>
      </w:r>
    </w:p>
    <w:p w14:paraId="73D44DFB">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b/>
          <w:bCs/>
          <w:sz w:val="24"/>
          <w:szCs w:val="24"/>
          <w:highlight w:val="none"/>
        </w:rPr>
      </w:pPr>
      <w:r>
        <w:rPr>
          <w:rFonts w:hint="default" w:ascii="Times New Roman Regular" w:hAnsi="Times New Roman Regular" w:cs="Times New Roman Regular"/>
          <w:b/>
          <w:bCs/>
          <w:sz w:val="24"/>
          <w:szCs w:val="24"/>
          <w:highlight w:val="none"/>
        </w:rPr>
        <w:t xml:space="preserve">3. Escape in </w:t>
      </w:r>
      <w:r>
        <w:rPr>
          <w:rFonts w:hint="eastAsia" w:ascii="Times New Roman Regular" w:hAnsi="Times New Roman Regular" w:cs="Times New Roman Regular"/>
          <w:b/>
          <w:bCs/>
          <w:i/>
          <w:sz w:val="24"/>
          <w:szCs w:val="24"/>
          <w:highlight w:val="none"/>
          <w:lang w:eastAsia="zh-CN"/>
        </w:rPr>
        <w:t>The Yellow Wallpaper</w:t>
      </w:r>
      <w:r>
        <w:rPr>
          <w:rFonts w:hint="default" w:ascii="Times New Roman Regular" w:hAnsi="Times New Roman Regular" w:cs="Times New Roman Regular"/>
          <w:b/>
          <w:bCs/>
          <w:sz w:val="24"/>
          <w:szCs w:val="24"/>
          <w:highlight w:val="none"/>
        </w:rPr>
        <w:t xml:space="preserve"> and </w:t>
      </w:r>
      <w:r>
        <w:rPr>
          <w:rFonts w:hint="eastAsia" w:ascii="Times New Roman Regular" w:hAnsi="Times New Roman Regular" w:cs="Times New Roman Regular"/>
          <w:b/>
          <w:bCs/>
          <w:i/>
          <w:sz w:val="24"/>
          <w:szCs w:val="24"/>
          <w:highlight w:val="none"/>
          <w:lang w:eastAsia="zh-CN"/>
        </w:rPr>
        <w:t>The Tiredness of Rosabel</w:t>
      </w:r>
      <w:r>
        <w:rPr>
          <w:rFonts w:hint="default" w:ascii="Times New Roman Regular" w:hAnsi="Times New Roman Regular" w:cs="Times New Roman Regular"/>
          <w:b/>
          <w:bCs/>
          <w:sz w:val="24"/>
          <w:szCs w:val="24"/>
          <w:highlight w:val="none"/>
        </w:rPr>
        <w:t xml:space="preserve">  </w:t>
      </w:r>
    </w:p>
    <w:p w14:paraId="45277DD1">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eastAsia" w:ascii="Times New Roman Bold" w:hAnsi="Times New Roman Bold" w:cs="Times New Roman Bold" w:eastAsiaTheme="minorEastAsia"/>
          <w:b/>
          <w:bCs/>
          <w:sz w:val="24"/>
          <w:szCs w:val="24"/>
          <w:highlight w:val="none"/>
          <w:lang w:eastAsia="zh-CN"/>
        </w:rPr>
      </w:pPr>
      <w:r>
        <w:rPr>
          <w:rFonts w:hint="default" w:ascii="Times New Roman Bold" w:hAnsi="Times New Roman Bold" w:cs="Times New Roman Bold"/>
          <w:b/>
          <w:bCs/>
          <w:sz w:val="24"/>
          <w:szCs w:val="24"/>
          <w:highlight w:val="none"/>
        </w:rPr>
        <w:t xml:space="preserve">3.1 Forms of Escape in </w:t>
      </w:r>
      <w:r>
        <w:rPr>
          <w:rFonts w:hint="eastAsia" w:ascii="Times New Roman Bold" w:hAnsi="Times New Roman Bold" w:cs="Times New Roman Bold"/>
          <w:b/>
          <w:bCs/>
          <w:i/>
          <w:sz w:val="24"/>
          <w:szCs w:val="24"/>
          <w:highlight w:val="none"/>
          <w:lang w:eastAsia="zh-CN"/>
        </w:rPr>
        <w:t>The Yellow Wallpaper</w:t>
      </w:r>
      <w:r>
        <w:rPr>
          <w:rFonts w:hint="default" w:ascii="Times New Roman Bold" w:hAnsi="Times New Roman Bold" w:cs="Times New Roman Bold"/>
          <w:b/>
          <w:bCs/>
          <w:sz w:val="24"/>
          <w:szCs w:val="24"/>
          <w:highlight w:val="none"/>
        </w:rPr>
        <w:t xml:space="preserve"> and </w:t>
      </w:r>
      <w:r>
        <w:rPr>
          <w:rFonts w:hint="eastAsia" w:ascii="Times New Roman Bold" w:hAnsi="Times New Roman Bold" w:cs="Times New Roman Bold"/>
          <w:b/>
          <w:bCs/>
          <w:i/>
          <w:sz w:val="24"/>
          <w:szCs w:val="24"/>
          <w:highlight w:val="none"/>
          <w:lang w:eastAsia="zh-CN"/>
        </w:rPr>
        <w:t>The Tiredness of Rosabel</w:t>
      </w:r>
    </w:p>
    <w:p w14:paraId="578245C6">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 xml:space="preserve">Escape in </w:t>
      </w:r>
      <w:r>
        <w:rPr>
          <w:rFonts w:hint="eastAsia" w:ascii="Times New Roman Italic" w:hAnsi="Times New Roman Italic" w:cs="Times New Roman Italic"/>
          <w:i/>
          <w:iCs/>
          <w:sz w:val="24"/>
          <w:szCs w:val="24"/>
          <w:highlight w:val="none"/>
          <w:lang w:eastAsia="zh-CN"/>
        </w:rPr>
        <w:t>The Yellow Wallpaper</w:t>
      </w:r>
      <w:r>
        <w:rPr>
          <w:rFonts w:hint="default" w:ascii="Times New Roman Regular" w:hAnsi="Times New Roman Regular" w:cs="Times New Roman Regular"/>
          <w:sz w:val="24"/>
          <w:szCs w:val="24"/>
          <w:highlight w:val="none"/>
        </w:rPr>
        <w:t xml:space="preserve"> and </w:t>
      </w:r>
      <w:r>
        <w:rPr>
          <w:rFonts w:hint="eastAsia" w:ascii="Times New Roman Italic" w:hAnsi="Times New Roman Italic" w:cs="Times New Roman Italic"/>
          <w:i/>
          <w:iCs/>
          <w:sz w:val="24"/>
          <w:szCs w:val="24"/>
          <w:highlight w:val="none"/>
          <w:lang w:eastAsia="zh-CN"/>
        </w:rPr>
        <w:t>The Tiredness of Rosabel</w:t>
      </w:r>
      <w:r>
        <w:rPr>
          <w:rFonts w:hint="default" w:ascii="Times New Roman Regular" w:hAnsi="Times New Roman Regular" w:cs="Times New Roman Regular"/>
          <w:sz w:val="24"/>
          <w:szCs w:val="24"/>
          <w:highlight w:val="none"/>
        </w:rPr>
        <w:t xml:space="preserve"> manifests in contrasting ways, reflecting the protagonists’ attempts to resist and endure their repression. In </w:t>
      </w:r>
      <w:r>
        <w:rPr>
          <w:rFonts w:hint="eastAsia" w:ascii="Times New Roman Italic" w:hAnsi="Times New Roman Italic" w:cs="Times New Roman Italic"/>
          <w:i/>
          <w:iCs/>
          <w:sz w:val="24"/>
          <w:szCs w:val="24"/>
          <w:highlight w:val="none"/>
          <w:lang w:eastAsia="zh-CN"/>
        </w:rPr>
        <w:t>The Yellow Wallpaper</w:t>
      </w:r>
      <w:r>
        <w:rPr>
          <w:rFonts w:hint="default" w:ascii="Times New Roman Regular" w:hAnsi="Times New Roman Regular" w:cs="Times New Roman Regular"/>
          <w:sz w:val="24"/>
          <w:szCs w:val="24"/>
          <w:highlight w:val="none"/>
        </w:rPr>
        <w:t xml:space="preserve">, the narrator pursues psychological liberation through her obsessive engagement with the wallpaper, while in </w:t>
      </w:r>
      <w:r>
        <w:rPr>
          <w:rFonts w:hint="eastAsia" w:ascii="Times New Roman Italic" w:hAnsi="Times New Roman Italic" w:cs="Times New Roman Italic"/>
          <w:i/>
          <w:iCs/>
          <w:sz w:val="24"/>
          <w:szCs w:val="24"/>
          <w:highlight w:val="none"/>
          <w:lang w:eastAsia="zh-CN"/>
        </w:rPr>
        <w:t>The Tiredness of Rosabel</w:t>
      </w:r>
      <w:r>
        <w:rPr>
          <w:rFonts w:hint="default" w:ascii="Times New Roman Regular" w:hAnsi="Times New Roman Regular" w:cs="Times New Roman Regular"/>
          <w:sz w:val="24"/>
          <w:szCs w:val="24"/>
          <w:highlight w:val="none"/>
        </w:rPr>
        <w:t>, Rosabel relies on imaginative fantasies to rise above her grim reality. Both stories reveal the inherent limitations of these forms of escape, underscoring the enduring and pervasive effects of systemic oppression on the lives of women.</w:t>
      </w:r>
    </w:p>
    <w:p w14:paraId="5785866F">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eastAsia" w:ascii="Times New Roman Bold" w:hAnsi="Times New Roman Bold" w:cs="Times New Roman Bold" w:eastAsiaTheme="minorEastAsia"/>
          <w:b/>
          <w:bCs/>
          <w:sz w:val="24"/>
          <w:szCs w:val="24"/>
          <w:highlight w:val="none"/>
          <w:lang w:eastAsia="zh-CN"/>
        </w:rPr>
      </w:pPr>
      <w:r>
        <w:rPr>
          <w:rFonts w:hint="default" w:ascii="Times New Roman Bold" w:hAnsi="Times New Roman Bold" w:cs="Times New Roman Bold"/>
          <w:b/>
          <w:bCs/>
          <w:sz w:val="24"/>
          <w:szCs w:val="24"/>
          <w:highlight w:val="none"/>
          <w:lang w:val="en-US" w:eastAsia="zh-CN"/>
        </w:rPr>
        <w:t xml:space="preserve">3.1.1 </w:t>
      </w:r>
      <w:r>
        <w:rPr>
          <w:rFonts w:hint="default" w:ascii="Times New Roman Bold" w:hAnsi="Times New Roman Bold" w:cs="Times New Roman Bold"/>
          <w:b/>
          <w:bCs/>
          <w:sz w:val="24"/>
          <w:szCs w:val="24"/>
          <w:highlight w:val="none"/>
        </w:rPr>
        <w:t xml:space="preserve">Escape in </w:t>
      </w:r>
      <w:r>
        <w:rPr>
          <w:rFonts w:hint="eastAsia" w:ascii="Times New Roman Bold" w:hAnsi="Times New Roman Bold" w:cs="Times New Roman Bold"/>
          <w:b/>
          <w:bCs/>
          <w:i/>
          <w:sz w:val="24"/>
          <w:szCs w:val="24"/>
          <w:highlight w:val="none"/>
          <w:lang w:eastAsia="zh-CN"/>
        </w:rPr>
        <w:t>The Yellow Wallpaper</w:t>
      </w:r>
    </w:p>
    <w:p w14:paraId="2A5F8AED">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 xml:space="preserve">The narrator’s escape in </w:t>
      </w:r>
      <w:r>
        <w:rPr>
          <w:rFonts w:hint="eastAsia" w:ascii="Times New Roman Italic" w:hAnsi="Times New Roman Italic" w:cs="Times New Roman Italic"/>
          <w:i/>
          <w:iCs/>
          <w:sz w:val="24"/>
          <w:szCs w:val="24"/>
          <w:highlight w:val="none"/>
          <w:lang w:eastAsia="zh-CN"/>
        </w:rPr>
        <w:t>The Yellow Wallpaper</w:t>
      </w:r>
      <w:r>
        <w:rPr>
          <w:rFonts w:hint="default" w:ascii="Times New Roman Italic" w:hAnsi="Times New Roman Italic" w:cs="Times New Roman Italic"/>
          <w:i/>
          <w:iCs/>
          <w:sz w:val="24"/>
          <w:szCs w:val="24"/>
          <w:highlight w:val="none"/>
        </w:rPr>
        <w:t xml:space="preserve"> </w:t>
      </w:r>
      <w:r>
        <w:rPr>
          <w:rFonts w:hint="default" w:ascii="Times New Roman Regular" w:hAnsi="Times New Roman Regular" w:cs="Times New Roman Regular"/>
          <w:sz w:val="24"/>
          <w:szCs w:val="24"/>
          <w:highlight w:val="none"/>
        </w:rPr>
        <w:t>is predominantly psychological, arising as a response to the restrictive “rest cure” and her profound lack of autonomy. Her fixation on the wallpaper serves as an outlet for her repressed creativity and a subtle assertion of her identity under the dominance of her husband. What initially seems like a trivial interest in the wallpaper transforms into an overwhelming obsession, symbolizing her escalating internal battle against the constraints of repression.</w:t>
      </w:r>
    </w:p>
    <w:p w14:paraId="145755AB">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The narrator’s effort to decode the chaotic patterns of the wallpaper symbolizes her struggle to understand and confront her confinement. Over time, the wallpaper evolves from a detestable object to a symbolic arena where she battles for her autonomy. The figure she envisions trapped within the wallpaper mirrors her own suppressed identity, and her resolve to “free” this figure becomes a powerful metaphor for her yearning to break free from the constraints of patriarchal dominance.</w:t>
      </w:r>
    </w:p>
    <w:p w14:paraId="1CDB92C1">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The story’s climax, where the narrator tears down the wallpaper, represents a pivotal moment of liberation. Yet, this escape is fraught with ambiguity. Her act of defiance not only challenges her husband’s authority but also reveals the devastating toll of prolonged repression. By descending into madness, the narrator’s escape underscores the severe consequences of resisting patriarchal constraints. From a feminist perspective, this outcome emphasizes the systemic obstacles that hinder women from attaining genuine autonomy, highlighting the urgent need for broader societal transformation to dismantle these barriers.</w:t>
      </w:r>
    </w:p>
    <w:p w14:paraId="2B681AF5">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eastAsia" w:ascii="Times New Roman Bold" w:hAnsi="Times New Roman Bold" w:cs="Times New Roman Bold" w:eastAsiaTheme="minorEastAsia"/>
          <w:b/>
          <w:bCs/>
          <w:sz w:val="24"/>
          <w:szCs w:val="24"/>
          <w:highlight w:val="none"/>
          <w:lang w:eastAsia="zh-CN"/>
        </w:rPr>
      </w:pPr>
      <w:r>
        <w:rPr>
          <w:rFonts w:hint="default" w:ascii="Times New Roman Bold" w:hAnsi="Times New Roman Bold" w:cs="Times New Roman Bold"/>
          <w:b/>
          <w:bCs/>
          <w:sz w:val="24"/>
          <w:szCs w:val="24"/>
          <w:highlight w:val="none"/>
          <w:lang w:val="en-US" w:eastAsia="zh-CN"/>
        </w:rPr>
        <w:t xml:space="preserve">3.1.2 </w:t>
      </w:r>
      <w:r>
        <w:rPr>
          <w:rFonts w:hint="default" w:ascii="Times New Roman Bold" w:hAnsi="Times New Roman Bold" w:cs="Times New Roman Bold"/>
          <w:b/>
          <w:bCs/>
          <w:sz w:val="24"/>
          <w:szCs w:val="24"/>
          <w:highlight w:val="none"/>
        </w:rPr>
        <w:t xml:space="preserve">Escape in </w:t>
      </w:r>
      <w:r>
        <w:rPr>
          <w:rFonts w:hint="eastAsia" w:ascii="Times New Roman Bold" w:hAnsi="Times New Roman Bold" w:cs="Times New Roman Bold"/>
          <w:b/>
          <w:bCs/>
          <w:i/>
          <w:sz w:val="24"/>
          <w:szCs w:val="24"/>
          <w:highlight w:val="none"/>
          <w:lang w:eastAsia="zh-CN"/>
        </w:rPr>
        <w:t>The Tiredness of Rosabel</w:t>
      </w:r>
    </w:p>
    <w:p w14:paraId="44EF4A2C">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 xml:space="preserve">In </w:t>
      </w:r>
      <w:r>
        <w:rPr>
          <w:rFonts w:hint="eastAsia" w:ascii="Times New Roman Italic" w:hAnsi="Times New Roman Italic" w:cs="Times New Roman Italic"/>
          <w:i/>
          <w:iCs/>
          <w:sz w:val="24"/>
          <w:szCs w:val="24"/>
          <w:highlight w:val="none"/>
          <w:lang w:eastAsia="zh-CN"/>
        </w:rPr>
        <w:t>The Tiredness of Rosabel</w:t>
      </w:r>
      <w:r>
        <w:rPr>
          <w:rFonts w:hint="default" w:ascii="Times New Roman Italic" w:hAnsi="Times New Roman Italic" w:cs="Times New Roman Italic"/>
          <w:i/>
          <w:iCs/>
          <w:sz w:val="24"/>
          <w:szCs w:val="24"/>
          <w:highlight w:val="none"/>
        </w:rPr>
        <w:t>,</w:t>
      </w:r>
      <w:r>
        <w:rPr>
          <w:rFonts w:hint="default" w:ascii="Times New Roman Regular" w:hAnsi="Times New Roman Regular" w:cs="Times New Roman Regular"/>
          <w:sz w:val="24"/>
          <w:szCs w:val="24"/>
          <w:highlight w:val="none"/>
        </w:rPr>
        <w:t xml:space="preserve"> escape is embodied through imaginative fantasy, providing Rosabel with a brief respite from her challenging reality. As a working-class woman, her life is dominated by economic struggles and societal invisibility. Through her daydreams, Rosabel envisions herself in a realm of beauty, wealth, and romance, creating a stark contrast to the monotony and hardships of her role as a milliner’s assistant.</w:t>
      </w:r>
    </w:p>
    <w:p w14:paraId="4806AF31">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Rosabel’s fantasies center on an idealized version of herself as a figure of desire and admiration. In one particularly vivid daydream, she envisions receiving a bouquet of violets, a symbol of her yearning for affection and validation. This romanticized image of herself embodies a life free from the weight of class and economic hardships, reflecting her deep-seated desire for self-worth and fulfillment that transcends the limitations of her present reality.</w:t>
      </w:r>
    </w:p>
    <w:p w14:paraId="394F5B8E">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However, Rosabel’s fantasies also expose the constraints of her escape. The idealized version of herself that she imagines is constructed around societal notions of femininity and success, indicating an internalization of the very norms that contribute to her oppression. While her daydreams offer a brief reprieve, they starkly highlight the gap between her aspirations and her lived reality, underscoring the systemic nature of her struggles. From a feminist perspective, Rosabel’s escape reflects both the resilience of her spirit and the significant challenges faced by working-class women in envisioning and striving for a better future.</w:t>
      </w:r>
    </w:p>
    <w:p w14:paraId="6D4A6E9C">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Bold" w:hAnsi="Times New Roman Bold" w:cs="Times New Roman Bold"/>
          <w:b/>
          <w:bCs/>
          <w:sz w:val="24"/>
          <w:szCs w:val="24"/>
          <w:highlight w:val="none"/>
        </w:rPr>
      </w:pPr>
      <w:r>
        <w:rPr>
          <w:rFonts w:hint="default" w:ascii="Times New Roman Bold" w:hAnsi="Times New Roman Bold" w:cs="Times New Roman Bold"/>
          <w:b/>
          <w:bCs/>
          <w:sz w:val="24"/>
          <w:szCs w:val="24"/>
          <w:highlight w:val="none"/>
          <w:lang w:val="en-US" w:eastAsia="zh-CN"/>
        </w:rPr>
        <w:t xml:space="preserve">3.1.3 </w:t>
      </w:r>
      <w:r>
        <w:rPr>
          <w:rFonts w:hint="default" w:ascii="Times New Roman Bold" w:hAnsi="Times New Roman Bold" w:cs="Times New Roman Bold"/>
          <w:b/>
          <w:bCs/>
          <w:sz w:val="24"/>
          <w:szCs w:val="24"/>
          <w:highlight w:val="none"/>
        </w:rPr>
        <w:t>Comparative Insights</w:t>
      </w:r>
    </w:p>
    <w:p w14:paraId="7459C46F">
      <w:pPr>
        <w:pStyle w:val="4"/>
        <w:keepNext w:val="0"/>
        <w:keepLines w:val="0"/>
        <w:widowControl/>
        <w:suppressLineNumbers w:val="0"/>
        <w:spacing w:line="360" w:lineRule="auto"/>
        <w:jc w:val="both"/>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eastAsiaTheme="minorEastAsia"/>
          <w:kern w:val="2"/>
          <w:sz w:val="24"/>
          <w:szCs w:val="24"/>
          <w:highlight w:val="none"/>
          <w:lang w:val="en-US" w:eastAsia="zh-CN" w:bidi="ar-SA"/>
        </w:rPr>
        <w:t xml:space="preserve">The modes of escape in </w:t>
      </w:r>
      <w:r>
        <w:rPr>
          <w:rFonts w:hint="eastAsia" w:ascii="Times New Roman Italic" w:hAnsi="Times New Roman Italic" w:cs="Times New Roman Italic"/>
          <w:i/>
          <w:iCs/>
          <w:kern w:val="2"/>
          <w:sz w:val="24"/>
          <w:szCs w:val="24"/>
          <w:highlight w:val="none"/>
          <w:lang w:val="en-US" w:eastAsia="zh-CN" w:bidi="ar-SA"/>
        </w:rPr>
        <w:t>The Yellow Wallpaper</w:t>
      </w:r>
      <w:r>
        <w:rPr>
          <w:rFonts w:hint="default" w:ascii="Times New Roman Regular" w:hAnsi="Times New Roman Regular" w:cs="Times New Roman Regular" w:eastAsiaTheme="minorEastAsia"/>
          <w:kern w:val="2"/>
          <w:sz w:val="24"/>
          <w:szCs w:val="24"/>
          <w:highlight w:val="none"/>
          <w:lang w:val="en-US" w:eastAsia="zh-CN" w:bidi="ar-SA"/>
        </w:rPr>
        <w:t xml:space="preserve"> and </w:t>
      </w:r>
      <w:r>
        <w:rPr>
          <w:rFonts w:hint="eastAsia" w:ascii="Times New Roman Italic" w:hAnsi="Times New Roman Italic" w:cs="Times New Roman Italic"/>
          <w:i/>
          <w:iCs/>
          <w:kern w:val="2"/>
          <w:sz w:val="24"/>
          <w:szCs w:val="24"/>
          <w:highlight w:val="none"/>
          <w:lang w:val="en-US" w:eastAsia="zh-CN" w:bidi="ar-SA"/>
        </w:rPr>
        <w:t>The Tiredness of Rosabel</w:t>
      </w:r>
      <w:r>
        <w:rPr>
          <w:rFonts w:hint="default" w:ascii="Times New Roman Regular" w:hAnsi="Times New Roman Regular" w:cs="Times New Roman Regular" w:eastAsiaTheme="minorEastAsia"/>
          <w:kern w:val="2"/>
          <w:sz w:val="24"/>
          <w:szCs w:val="24"/>
          <w:highlight w:val="none"/>
          <w:lang w:val="en-US" w:eastAsia="zh-CN" w:bidi="ar-SA"/>
        </w:rPr>
        <w:t xml:space="preserve"> differ in intensity and focus, yet both function as coping strategies in response to repression. In </w:t>
      </w:r>
      <w:r>
        <w:rPr>
          <w:rFonts w:hint="eastAsia" w:ascii="Times New Roman Italic" w:hAnsi="Times New Roman Italic" w:cs="Times New Roman Italic"/>
          <w:i/>
          <w:iCs/>
          <w:kern w:val="2"/>
          <w:sz w:val="24"/>
          <w:szCs w:val="24"/>
          <w:highlight w:val="none"/>
          <w:lang w:val="en-US" w:eastAsia="zh-CN" w:bidi="ar-SA"/>
        </w:rPr>
        <w:t>The Yellow Wallpaper</w:t>
      </w:r>
      <w:r>
        <w:rPr>
          <w:rFonts w:hint="default" w:ascii="Times New Roman Regular" w:hAnsi="Times New Roman Regular" w:cs="Times New Roman Regular" w:eastAsiaTheme="minorEastAsia"/>
          <w:kern w:val="2"/>
          <w:sz w:val="24"/>
          <w:szCs w:val="24"/>
          <w:highlight w:val="none"/>
          <w:lang w:val="en-US" w:eastAsia="zh-CN" w:bidi="ar-SA"/>
        </w:rPr>
        <w:t xml:space="preserve">, the escape is psychological and confrontational, with the narrator’s obsession with the wallpaper serving as a means of reclaiming her identity. Her eventual breakdown acts as both a critique of patriarchal systems and a stark illustration of the destructive consequences of repression. Conversely, in </w:t>
      </w:r>
      <w:r>
        <w:rPr>
          <w:rFonts w:hint="eastAsia" w:ascii="Times New Roman Regular" w:hAnsi="Times New Roman Regular" w:cs="Times New Roman Regular"/>
          <w:i/>
          <w:kern w:val="2"/>
          <w:sz w:val="24"/>
          <w:szCs w:val="24"/>
          <w:highlight w:val="none"/>
          <w:lang w:val="en-US" w:eastAsia="zh-CN" w:bidi="ar-SA"/>
        </w:rPr>
        <w:t>The Tiredness of Rosabel</w:t>
      </w:r>
      <w:r>
        <w:rPr>
          <w:rFonts w:hint="default" w:ascii="Times New Roman Regular" w:hAnsi="Times New Roman Regular" w:cs="Times New Roman Regular" w:eastAsiaTheme="minorEastAsia"/>
          <w:kern w:val="2"/>
          <w:sz w:val="24"/>
          <w:szCs w:val="24"/>
          <w:highlight w:val="none"/>
          <w:lang w:val="en-US" w:eastAsia="zh-CN" w:bidi="ar-SA"/>
        </w:rPr>
        <w:t xml:space="preserve">, escape takes the form of imaginative reflection, offering Rosabel a brief reprieve from her hardships. While the narrator in </w:t>
      </w:r>
      <w:r>
        <w:rPr>
          <w:rFonts w:hint="eastAsia" w:ascii="Times New Roman Regular" w:hAnsi="Times New Roman Regular" w:cs="Times New Roman Regular"/>
          <w:i/>
          <w:kern w:val="2"/>
          <w:sz w:val="24"/>
          <w:szCs w:val="24"/>
          <w:highlight w:val="none"/>
          <w:lang w:val="en-US" w:eastAsia="zh-CN" w:bidi="ar-SA"/>
        </w:rPr>
        <w:t>The Yellow Wallpaper</w:t>
      </w:r>
      <w:r>
        <w:rPr>
          <w:rFonts w:hint="default" w:ascii="Times New Roman Regular" w:hAnsi="Times New Roman Regular" w:cs="Times New Roman Regular" w:eastAsiaTheme="minorEastAsia"/>
          <w:kern w:val="2"/>
          <w:sz w:val="24"/>
          <w:szCs w:val="24"/>
          <w:highlight w:val="none"/>
          <w:lang w:val="en-US" w:eastAsia="zh-CN" w:bidi="ar-SA"/>
        </w:rPr>
        <w:t xml:space="preserve"> challenges her oppression through a bold, albeit devastating, act of resistance, Rosabel’s fantasies are quieter and more constrained, reflecting the limitations imposed by her socioeconomic reality.</w:t>
      </w:r>
    </w:p>
    <w:p w14:paraId="41011E41">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 xml:space="preserve">Both stories underscore the inherent limitations of escape as a means of addressing systemic oppression. The narrator’s descent into madness in </w:t>
      </w:r>
      <w:r>
        <w:rPr>
          <w:rFonts w:hint="eastAsia" w:ascii="Times New Roman Regular" w:hAnsi="Times New Roman Regular" w:cs="Times New Roman Regular"/>
          <w:i/>
          <w:sz w:val="24"/>
          <w:szCs w:val="24"/>
          <w:highlight w:val="none"/>
          <w:lang w:eastAsia="zh-CN"/>
        </w:rPr>
        <w:t>The Yellow Wallpaper</w:t>
      </w:r>
      <w:r>
        <w:rPr>
          <w:rFonts w:hint="default" w:ascii="Times New Roman Regular" w:hAnsi="Times New Roman Regular" w:cs="Times New Roman Regular"/>
          <w:sz w:val="24"/>
          <w:szCs w:val="24"/>
          <w:highlight w:val="none"/>
        </w:rPr>
        <w:t xml:space="preserve"> and the fleeting relief provided by Rosabel’s fantasies in </w:t>
      </w:r>
      <w:r>
        <w:rPr>
          <w:rFonts w:hint="eastAsia" w:ascii="Times New Roman Regular" w:hAnsi="Times New Roman Regular" w:cs="Times New Roman Regular"/>
          <w:i/>
          <w:sz w:val="24"/>
          <w:szCs w:val="24"/>
          <w:highlight w:val="none"/>
          <w:lang w:eastAsia="zh-CN"/>
        </w:rPr>
        <w:t>The Tiredness of Rosabel</w:t>
      </w:r>
      <w:r>
        <w:rPr>
          <w:rFonts w:hint="default" w:ascii="Times New Roman Regular" w:hAnsi="Times New Roman Regular" w:cs="Times New Roman Regular"/>
          <w:sz w:val="24"/>
          <w:szCs w:val="24"/>
          <w:highlight w:val="none"/>
        </w:rPr>
        <w:t xml:space="preserve"> reveal the persistent societal barriers that hinder women from attaining true and lasting liberation. These narratives highlight the urgent need for structural transformation, as the protagonists’ attempts to escape are ultimately constrained by the very forces that repress them.</w:t>
      </w:r>
    </w:p>
    <w:p w14:paraId="699ABD11">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Bold" w:hAnsi="Times New Roman Bold" w:cs="Times New Roman Bold"/>
          <w:b/>
          <w:bCs/>
          <w:sz w:val="24"/>
          <w:szCs w:val="24"/>
          <w:highlight w:val="none"/>
        </w:rPr>
      </w:pPr>
      <w:r>
        <w:rPr>
          <w:rFonts w:hint="default" w:ascii="Times New Roman Bold" w:hAnsi="Times New Roman Bold" w:cs="Times New Roman Bold"/>
          <w:b/>
          <w:bCs/>
          <w:sz w:val="24"/>
          <w:szCs w:val="24"/>
          <w:highlight w:val="none"/>
          <w:lang w:val="en-US" w:eastAsia="zh-CN"/>
        </w:rPr>
        <w:t xml:space="preserve">3.2 </w:t>
      </w:r>
      <w:r>
        <w:rPr>
          <w:rFonts w:hint="default" w:ascii="Times New Roman Bold" w:hAnsi="Times New Roman Bold" w:cs="Times New Roman Bold"/>
          <w:b/>
          <w:bCs/>
          <w:sz w:val="24"/>
          <w:szCs w:val="24"/>
          <w:highlight w:val="none"/>
        </w:rPr>
        <w:t xml:space="preserve">Feminist Implications of Escape :  </w:t>
      </w:r>
    </w:p>
    <w:p w14:paraId="2169B601">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From a feminist perspective, the contrasting modes of escape in the two stories reflect the varied ways women navigate and challenge patriarchal systems. The narrator’s psychological defiance in</w:t>
      </w:r>
      <w:r>
        <w:rPr>
          <w:rFonts w:hint="default" w:ascii="Times New Roman Italic" w:hAnsi="Times New Roman Italic" w:cs="Times New Roman Italic"/>
          <w:i/>
          <w:iCs/>
          <w:sz w:val="24"/>
          <w:szCs w:val="24"/>
          <w:highlight w:val="none"/>
        </w:rPr>
        <w:t xml:space="preserve"> </w:t>
      </w:r>
      <w:r>
        <w:rPr>
          <w:rFonts w:hint="eastAsia" w:ascii="Times New Roman Italic" w:hAnsi="Times New Roman Italic" w:cs="Times New Roman Italic"/>
          <w:i/>
          <w:iCs/>
          <w:sz w:val="24"/>
          <w:szCs w:val="24"/>
          <w:highlight w:val="none"/>
          <w:lang w:eastAsia="zh-CN"/>
        </w:rPr>
        <w:t>The Yellow Wallpaper</w:t>
      </w:r>
      <w:r>
        <w:rPr>
          <w:rFonts w:hint="default" w:ascii="Times New Roman Regular" w:hAnsi="Times New Roman Regular" w:cs="Times New Roman Regular"/>
          <w:sz w:val="24"/>
          <w:szCs w:val="24"/>
          <w:highlight w:val="none"/>
        </w:rPr>
        <w:t xml:space="preserve"> resonates with feminist critiques of medical and marital dominance, disputing the notion that women’s dissent stems from pathology. In contrast, Rosabel’s imaginative escape in </w:t>
      </w:r>
      <w:r>
        <w:rPr>
          <w:rFonts w:hint="eastAsia" w:ascii="Times New Roman Italic" w:hAnsi="Times New Roman Italic" w:cs="Times New Roman Italic"/>
          <w:i/>
          <w:iCs/>
          <w:sz w:val="24"/>
          <w:szCs w:val="24"/>
          <w:highlight w:val="none"/>
          <w:lang w:eastAsia="zh-CN"/>
        </w:rPr>
        <w:t>The Tiredness of Rosabel</w:t>
      </w:r>
      <w:r>
        <w:rPr>
          <w:rFonts w:hint="default" w:ascii="Times New Roman Italic" w:hAnsi="Times New Roman Italic" w:cs="Times New Roman Italic"/>
          <w:i/>
          <w:iCs/>
          <w:sz w:val="24"/>
          <w:szCs w:val="24"/>
          <w:highlight w:val="none"/>
        </w:rPr>
        <w:t xml:space="preserve"> </w:t>
      </w:r>
      <w:r>
        <w:rPr>
          <w:rFonts w:hint="default" w:ascii="Times New Roman Regular" w:hAnsi="Times New Roman Regular" w:cs="Times New Roman Regular"/>
          <w:sz w:val="24"/>
          <w:szCs w:val="24"/>
          <w:highlight w:val="none"/>
        </w:rPr>
        <w:t>underscores the intersectional aspects of repression, illustrating how the interplay of class and gender shapes women’s experiences of agency and their strategies of resistance. Together, these forms of escape reveal the complex and multifaceted nature of women’s responses to systemic oppression.</w:t>
      </w:r>
    </w:p>
    <w:p w14:paraId="7BD11643">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eastAsia" w:ascii="Times New Roman Regular" w:hAnsi="Times New Roman Regular" w:cs="Times New Roman Regular"/>
          <w:sz w:val="24"/>
          <w:szCs w:val="24"/>
          <w:highlight w:val="none"/>
          <w:lang w:val="en-US" w:eastAsia="zh-CN"/>
        </w:rPr>
        <w:t xml:space="preserve">For </w:t>
      </w:r>
      <w:r>
        <w:rPr>
          <w:rFonts w:hint="default" w:ascii="Times New Roman Regular" w:hAnsi="Times New Roman Regular" w:cs="Times New Roman Regular"/>
          <w:sz w:val="24"/>
          <w:szCs w:val="24"/>
          <w:highlight w:val="none"/>
          <w:lang w:val="en-US" w:eastAsia="zh-CN"/>
        </w:rPr>
        <w:t>a b</w:t>
      </w:r>
      <w:r>
        <w:rPr>
          <w:rFonts w:hint="default" w:ascii="Times New Roman Regular" w:hAnsi="Times New Roman Regular" w:cs="Times New Roman Regular"/>
          <w:sz w:val="24"/>
          <w:szCs w:val="24"/>
          <w:highlight w:val="none"/>
        </w:rPr>
        <w:t xml:space="preserve">roader </w:t>
      </w:r>
      <w:r>
        <w:rPr>
          <w:rFonts w:hint="default" w:ascii="Times New Roman Regular" w:hAnsi="Times New Roman Regular" w:cs="Times New Roman Regular"/>
          <w:sz w:val="24"/>
          <w:szCs w:val="24"/>
          <w:highlight w:val="none"/>
          <w:lang w:val="en-US"/>
        </w:rPr>
        <w:t>f</w:t>
      </w:r>
      <w:r>
        <w:rPr>
          <w:rFonts w:hint="default" w:ascii="Times New Roman Regular" w:hAnsi="Times New Roman Regular" w:cs="Times New Roman Regular"/>
          <w:sz w:val="24"/>
          <w:szCs w:val="24"/>
          <w:highlight w:val="none"/>
        </w:rPr>
        <w:t xml:space="preserve">eminist </w:t>
      </w:r>
      <w:r>
        <w:rPr>
          <w:rFonts w:hint="default" w:ascii="Times New Roman Regular" w:hAnsi="Times New Roman Regular" w:cs="Times New Roman Regular"/>
          <w:sz w:val="24"/>
          <w:szCs w:val="24"/>
          <w:highlight w:val="none"/>
          <w:lang w:val="en-US"/>
        </w:rPr>
        <w:t>i</w:t>
      </w:r>
      <w:r>
        <w:rPr>
          <w:rFonts w:hint="default" w:ascii="Times New Roman Regular" w:hAnsi="Times New Roman Regular" w:cs="Times New Roman Regular"/>
          <w:sz w:val="24"/>
          <w:szCs w:val="24"/>
          <w:highlight w:val="none"/>
        </w:rPr>
        <w:t>mplication</w:t>
      </w:r>
      <w:r>
        <w:rPr>
          <w:rFonts w:hint="default" w:ascii="Times New Roman Regular" w:hAnsi="Times New Roman Regular" w:cs="Times New Roman Regular"/>
          <w:sz w:val="24"/>
          <w:szCs w:val="24"/>
          <w:highlight w:val="none"/>
          <w:lang w:val="en-US"/>
        </w:rPr>
        <w:t>, t</w:t>
      </w:r>
      <w:r>
        <w:rPr>
          <w:rFonts w:hint="default" w:ascii="Times New Roman Regular" w:hAnsi="Times New Roman Regular" w:cs="Times New Roman Regular"/>
          <w:sz w:val="24"/>
          <w:szCs w:val="24"/>
          <w:highlight w:val="none"/>
        </w:rPr>
        <w:t xml:space="preserve">he forms of escape depicted in these stories resonate with broader feminist concerns about autonomy, creativity, and resilience. The narrator’s descent into madness in </w:t>
      </w:r>
      <w:r>
        <w:rPr>
          <w:rFonts w:hint="eastAsia" w:ascii="Times New Roman Regular" w:hAnsi="Times New Roman Regular" w:cs="Times New Roman Regular"/>
          <w:i/>
          <w:sz w:val="24"/>
          <w:szCs w:val="24"/>
          <w:highlight w:val="none"/>
          <w:lang w:eastAsia="zh-CN"/>
        </w:rPr>
        <w:t>The Yellow Wallpaper</w:t>
      </w:r>
      <w:r>
        <w:rPr>
          <w:rFonts w:hint="default" w:ascii="Times New Roman Regular" w:hAnsi="Times New Roman Regular" w:cs="Times New Roman Regular"/>
          <w:sz w:val="24"/>
          <w:szCs w:val="24"/>
          <w:highlight w:val="none"/>
        </w:rPr>
        <w:t xml:space="preserve"> critiques the medicalization of women’s dissent and the silencing of their voices, while Rosabel’s fantasies in </w:t>
      </w:r>
      <w:r>
        <w:rPr>
          <w:rFonts w:hint="eastAsia" w:ascii="Times New Roman Regular" w:hAnsi="Times New Roman Regular" w:cs="Times New Roman Regular"/>
          <w:i/>
          <w:sz w:val="24"/>
          <w:szCs w:val="24"/>
          <w:highlight w:val="none"/>
          <w:lang w:eastAsia="zh-CN"/>
        </w:rPr>
        <w:t>The Tiredness of Rosabel</w:t>
      </w:r>
      <w:r>
        <w:rPr>
          <w:rFonts w:hint="default" w:ascii="Times New Roman Regular" w:hAnsi="Times New Roman Regular" w:cs="Times New Roman Regular"/>
          <w:sz w:val="24"/>
          <w:szCs w:val="24"/>
          <w:highlight w:val="none"/>
        </w:rPr>
        <w:t xml:space="preserve"> reflect the societal constraints imposed on working-class women. Both stories challenge the notion that women’s oppression is natural or inevitable, emphasizing instead the systemic forces that deny them freedom and fulfillment.</w:t>
      </w:r>
    </w:p>
    <w:p w14:paraId="702DAD7C">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 xml:space="preserve">Moreover, these narratives highlight the importance of recognizing the diversity of women’s experiences within feminist discourse. The narrator of </w:t>
      </w:r>
      <w:r>
        <w:rPr>
          <w:rFonts w:hint="eastAsia" w:ascii="Times New Roman Regular" w:hAnsi="Times New Roman Regular" w:cs="Times New Roman Regular"/>
          <w:i/>
          <w:sz w:val="24"/>
          <w:szCs w:val="24"/>
          <w:highlight w:val="none"/>
          <w:lang w:eastAsia="zh-CN"/>
        </w:rPr>
        <w:t>The Yellow Wallpaper</w:t>
      </w:r>
      <w:r>
        <w:rPr>
          <w:rFonts w:hint="default" w:ascii="Times New Roman Regular" w:hAnsi="Times New Roman Regular" w:cs="Times New Roman Regular"/>
          <w:sz w:val="24"/>
          <w:szCs w:val="24"/>
          <w:highlight w:val="none"/>
        </w:rPr>
        <w:t xml:space="preserve"> represents the struggles of middle-class women confined by domestic and medical norms, while Rosabel embodies the challenges faced by working-class women navigatin</w:t>
      </w:r>
      <w:r>
        <w:rPr>
          <w:rFonts w:hint="default" w:ascii="Times New Roman Regular" w:hAnsi="Times New Roman Regular" w:cs="Times New Roman Regular"/>
          <w:sz w:val="28"/>
          <w:szCs w:val="28"/>
          <w:highlight w:val="none"/>
        </w:rPr>
        <w:t xml:space="preserve">g economic and social hierarchies. Together, these stories provide a nuanced critique </w:t>
      </w:r>
      <w:r>
        <w:rPr>
          <w:rFonts w:hint="default" w:ascii="Times New Roman Regular" w:hAnsi="Times New Roman Regular" w:cs="Times New Roman Regular"/>
          <w:sz w:val="24"/>
          <w:szCs w:val="24"/>
          <w:highlight w:val="none"/>
        </w:rPr>
        <w:t>of patriarchal systems, illustrating the varied ways in which women resist and endure.</w:t>
      </w:r>
    </w:p>
    <w:p w14:paraId="6A132713">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b w:val="0"/>
          <w:bCs w:val="0"/>
          <w:sz w:val="24"/>
          <w:szCs w:val="24"/>
          <w:highlight w:val="none"/>
        </w:rPr>
      </w:pPr>
      <w:r>
        <w:rPr>
          <w:rFonts w:hint="default" w:ascii="Times New Roman Regular" w:hAnsi="Times New Roman Regular" w:cs="Times New Roman Regular"/>
          <w:b w:val="0"/>
          <w:bCs w:val="0"/>
          <w:sz w:val="24"/>
          <w:szCs w:val="24"/>
          <w:highlight w:val="none"/>
        </w:rPr>
        <w:t xml:space="preserve">Escape in </w:t>
      </w:r>
      <w:r>
        <w:rPr>
          <w:rFonts w:hint="eastAsia" w:ascii="Times New Roman Regular" w:hAnsi="Times New Roman Regular" w:cs="Times New Roman Regular"/>
          <w:b w:val="0"/>
          <w:bCs w:val="0"/>
          <w:i/>
          <w:sz w:val="24"/>
          <w:szCs w:val="24"/>
          <w:highlight w:val="none"/>
          <w:lang w:eastAsia="zh-CN"/>
        </w:rPr>
        <w:t>The Yellow Wallpaper</w:t>
      </w:r>
      <w:r>
        <w:rPr>
          <w:rFonts w:hint="default" w:ascii="Times New Roman Regular" w:hAnsi="Times New Roman Regular" w:cs="Times New Roman Regular"/>
          <w:b w:val="0"/>
          <w:bCs w:val="0"/>
          <w:sz w:val="24"/>
          <w:szCs w:val="24"/>
          <w:highlight w:val="none"/>
        </w:rPr>
        <w:t xml:space="preserve"> and </w:t>
      </w:r>
      <w:r>
        <w:rPr>
          <w:rFonts w:hint="eastAsia" w:ascii="Times New Roman Regular" w:hAnsi="Times New Roman Regular" w:cs="Times New Roman Regular"/>
          <w:b w:val="0"/>
          <w:bCs w:val="0"/>
          <w:i/>
          <w:sz w:val="24"/>
          <w:szCs w:val="24"/>
          <w:highlight w:val="none"/>
          <w:lang w:eastAsia="zh-CN"/>
        </w:rPr>
        <w:t>The Tiredness of Rosabel</w:t>
      </w:r>
      <w:r>
        <w:rPr>
          <w:rFonts w:hint="default" w:ascii="Times New Roman Regular" w:hAnsi="Times New Roman Regular" w:cs="Times New Roman Regular"/>
          <w:b w:val="0"/>
          <w:bCs w:val="0"/>
          <w:sz w:val="24"/>
          <w:szCs w:val="24"/>
          <w:highlight w:val="none"/>
        </w:rPr>
        <w:t xml:space="preserve"> illustrates women’s resistance to systemic oppression while revealing the limitations of individual liberation. In </w:t>
      </w:r>
      <w:r>
        <w:rPr>
          <w:rFonts w:hint="eastAsia" w:ascii="Times New Roman Regular" w:hAnsi="Times New Roman Regular" w:cs="Times New Roman Regular"/>
          <w:b w:val="0"/>
          <w:bCs w:val="0"/>
          <w:i/>
          <w:sz w:val="24"/>
          <w:szCs w:val="24"/>
          <w:highlight w:val="none"/>
          <w:lang w:eastAsia="zh-CN"/>
        </w:rPr>
        <w:t>The Yellow Wallpaper</w:t>
      </w:r>
      <w:r>
        <w:rPr>
          <w:rFonts w:hint="default" w:ascii="Times New Roman Regular" w:hAnsi="Times New Roman Regular" w:cs="Times New Roman Regular"/>
          <w:b w:val="0"/>
          <w:bCs w:val="0"/>
          <w:sz w:val="24"/>
          <w:szCs w:val="24"/>
          <w:highlight w:val="none"/>
        </w:rPr>
        <w:t>, the narrator’s psychological rebellion against the “rest cure” serves as a critique of medicalized repression. Her obsession with the wallpaper becomes an outlet for suppressed creativity and agency. By tearing down the wallpaper, she symbolically confronts patriarchal authority, though at the cost of her mental stability. This aligns with Simone de Beauvoir’s assertion in</w:t>
      </w:r>
      <w:r>
        <w:rPr>
          <w:rFonts w:hint="default" w:ascii="Times New Roman Italic" w:hAnsi="Times New Roman Italic" w:cs="Times New Roman Italic"/>
          <w:b w:val="0"/>
          <w:bCs w:val="0"/>
          <w:i/>
          <w:iCs/>
          <w:sz w:val="24"/>
          <w:szCs w:val="24"/>
          <w:highlight w:val="none"/>
        </w:rPr>
        <w:t xml:space="preserve"> The Second Sex</w:t>
      </w:r>
      <w:r>
        <w:rPr>
          <w:rFonts w:hint="default" w:ascii="Times New Roman Regular" w:hAnsi="Times New Roman Regular" w:cs="Times New Roman Regular"/>
          <w:b w:val="0"/>
          <w:bCs w:val="0"/>
          <w:sz w:val="24"/>
          <w:szCs w:val="24"/>
          <w:highlight w:val="none"/>
        </w:rPr>
        <w:t xml:space="preserve"> that systemic change is necessary to free women from the confines of patriarchal roles.</w:t>
      </w:r>
    </w:p>
    <w:p w14:paraId="7A678BF1">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b w:val="0"/>
          <w:bCs w:val="0"/>
          <w:sz w:val="24"/>
          <w:szCs w:val="24"/>
          <w:highlight w:val="none"/>
        </w:rPr>
      </w:pPr>
      <w:r>
        <w:rPr>
          <w:rFonts w:hint="default" w:ascii="Times New Roman Regular" w:hAnsi="Times New Roman Regular" w:cs="Times New Roman Regular"/>
          <w:b w:val="0"/>
          <w:bCs w:val="0"/>
          <w:sz w:val="24"/>
          <w:szCs w:val="24"/>
          <w:highlight w:val="none"/>
        </w:rPr>
        <w:t xml:space="preserve">In </w:t>
      </w:r>
      <w:r>
        <w:rPr>
          <w:rFonts w:hint="eastAsia" w:ascii="Times New Roman Regular" w:hAnsi="Times New Roman Regular" w:cs="Times New Roman Regular"/>
          <w:b w:val="0"/>
          <w:bCs w:val="0"/>
          <w:i/>
          <w:sz w:val="24"/>
          <w:szCs w:val="24"/>
          <w:highlight w:val="none"/>
          <w:lang w:eastAsia="zh-CN"/>
        </w:rPr>
        <w:t>The Tiredness of Rosabel</w:t>
      </w:r>
      <w:r>
        <w:rPr>
          <w:rFonts w:hint="default" w:ascii="Times New Roman Regular" w:hAnsi="Times New Roman Regular" w:cs="Times New Roman Regular"/>
          <w:b w:val="0"/>
          <w:bCs w:val="0"/>
          <w:sz w:val="24"/>
          <w:szCs w:val="24"/>
          <w:highlight w:val="none"/>
        </w:rPr>
        <w:t>, escape is quieter, taking the form of daydreams that momentarily transcend her bleak reality. Rosabel’s fantasies of wealth and admiration reflect her desire for autonomy and recognition, but they are shaped by societal ideals that emphasize femininity and social status. Her escape highlights the intersectional barriers she faces, echoing hooks’ intersectional critique of class and gender as interwoven forces of oppression.</w:t>
      </w:r>
    </w:p>
    <w:p w14:paraId="37637AD1">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b w:val="0"/>
          <w:bCs w:val="0"/>
          <w:sz w:val="24"/>
          <w:szCs w:val="24"/>
          <w:highlight w:val="none"/>
        </w:rPr>
      </w:pPr>
      <w:r>
        <w:rPr>
          <w:rFonts w:hint="default" w:ascii="Times New Roman Regular" w:hAnsi="Times New Roman Regular" w:cs="Times New Roman Regular"/>
          <w:b w:val="0"/>
          <w:bCs w:val="0"/>
          <w:sz w:val="24"/>
          <w:szCs w:val="24"/>
          <w:highlight w:val="none"/>
        </w:rPr>
        <w:t>These forms of escape underscore the resilience of both protagonists while critiquing the systemic structures that render true liberation unattainable. The narrator’s dramatic rebellion and Rosabel’s imaginative resistance reveal the pervasive limitations of individual escape within patriarchal systems.</w:t>
      </w:r>
    </w:p>
    <w:p w14:paraId="31F5597C">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Bold" w:hAnsi="Times New Roman Bold" w:cs="Times New Roman Bold"/>
          <w:b/>
          <w:bCs/>
          <w:sz w:val="24"/>
          <w:szCs w:val="24"/>
          <w:highlight w:val="none"/>
        </w:rPr>
      </w:pPr>
      <w:r>
        <w:rPr>
          <w:rFonts w:hint="default" w:ascii="Times New Roman Bold" w:hAnsi="Times New Roman Bold" w:cs="Times New Roman Bold"/>
          <w:b/>
          <w:bCs/>
          <w:sz w:val="24"/>
          <w:szCs w:val="24"/>
          <w:highlight w:val="none"/>
        </w:rPr>
        <w:t>4. Feminist Insights: Broader Theoretical Perspectives and Historical Contexts</w:t>
      </w:r>
    </w:p>
    <w:p w14:paraId="0243D7FB">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 xml:space="preserve">The themes of repression and escape in  in </w:t>
      </w:r>
      <w:r>
        <w:rPr>
          <w:rFonts w:hint="eastAsia" w:ascii="Times New Roman Regular" w:hAnsi="Times New Roman Regular" w:cs="Times New Roman Regular"/>
          <w:i/>
          <w:sz w:val="24"/>
          <w:szCs w:val="24"/>
          <w:highlight w:val="none"/>
          <w:lang w:eastAsia="zh-CN"/>
        </w:rPr>
        <w:t>The Yellow Wallpaper</w:t>
      </w:r>
      <w:r>
        <w:rPr>
          <w:rFonts w:hint="default" w:ascii="Times New Roman Regular" w:hAnsi="Times New Roman Regular" w:cs="Times New Roman Regular"/>
          <w:sz w:val="24"/>
          <w:szCs w:val="24"/>
          <w:highlight w:val="none"/>
        </w:rPr>
        <w:t xml:space="preserve"> and </w:t>
      </w:r>
      <w:r>
        <w:rPr>
          <w:rFonts w:hint="eastAsia" w:ascii="Times New Roman Regular" w:hAnsi="Times New Roman Regular" w:cs="Times New Roman Regular"/>
          <w:i/>
          <w:sz w:val="24"/>
          <w:szCs w:val="24"/>
          <w:highlight w:val="none"/>
          <w:lang w:eastAsia="zh-CN"/>
        </w:rPr>
        <w:t>The Tiredness of Rosabel</w:t>
      </w:r>
      <w:r>
        <w:rPr>
          <w:rFonts w:hint="default" w:ascii="Times New Roman Regular" w:hAnsi="Times New Roman Regular" w:cs="Times New Roman Regular"/>
          <w:sz w:val="24"/>
          <w:szCs w:val="24"/>
          <w:highlight w:val="none"/>
        </w:rPr>
        <w:t xml:space="preserve"> highlight the societal and cultural dynamics that shaped women’s lives during the late 19th and early 20th centuries. These stories critique the patriarchal systems that constrained women, while simultaneously engaging with broader feminist discussions on autonomy, mental health, class, and intersectionality. By contextualizing these narratives within their feminist and historical frameworks, this section examines their theoretical foundations and ongoing significance in addressing gendered oppression and systemic inequality.</w:t>
      </w:r>
    </w:p>
    <w:p w14:paraId="07DD9ED4">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Bold" w:hAnsi="Times New Roman Bold" w:cs="Times New Roman Bold"/>
          <w:b/>
          <w:bCs/>
          <w:sz w:val="24"/>
          <w:szCs w:val="24"/>
          <w:highlight w:val="none"/>
        </w:rPr>
      </w:pPr>
      <w:r>
        <w:rPr>
          <w:rFonts w:hint="default" w:ascii="Times New Roman Bold" w:hAnsi="Times New Roman Bold" w:cs="Times New Roman Bold"/>
          <w:b/>
          <w:bCs/>
          <w:sz w:val="24"/>
          <w:szCs w:val="24"/>
          <w:highlight w:val="none"/>
        </w:rPr>
        <w:t>4.1 Historical Context and Evolution of Feminist Critique</w:t>
      </w:r>
    </w:p>
    <w:p w14:paraId="1AA69036">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 xml:space="preserve">Both stories originate from periods of significant social and cultural shifts concerning women’s rights and roles. Written in 1892, Charlotte Perkins Gilman’s </w:t>
      </w:r>
      <w:r>
        <w:rPr>
          <w:rFonts w:hint="eastAsia" w:ascii="Times New Roman Regular" w:hAnsi="Times New Roman Regular" w:cs="Times New Roman Regular"/>
          <w:i/>
          <w:sz w:val="24"/>
          <w:szCs w:val="24"/>
          <w:highlight w:val="none"/>
          <w:lang w:eastAsia="zh-CN"/>
        </w:rPr>
        <w:t>The Yellow Wallpaper</w:t>
      </w:r>
      <w:r>
        <w:rPr>
          <w:rFonts w:hint="default" w:ascii="Times New Roman Regular" w:hAnsi="Times New Roman Regular" w:cs="Times New Roman Regular"/>
          <w:sz w:val="24"/>
          <w:szCs w:val="24"/>
          <w:highlight w:val="none"/>
        </w:rPr>
        <w:t xml:space="preserve"> reflects the late 19th-century medical and societal practices that often pathologized women’s dissent. The “rest cure,” a prominent example, enforced passivity as a remedy for women’s perceived fragility, serving as both an assertion of paternalistic control and a mechanism to reinforce domestic roles. Gilman’s critique addresses these oppressive practices, aligning with the first-wave feminist movement’s advocacy for autonomy and intellectual freedom. Her narrative challenges the pervasive belief that women’s mental health struggles stemmed from innate inferiority or deviations from traditional gender norms.</w:t>
      </w:r>
    </w:p>
    <w:p w14:paraId="2E700F16">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 xml:space="preserve">In contrast, Katherine Mansfield’s </w:t>
      </w:r>
      <w:r>
        <w:rPr>
          <w:rFonts w:hint="eastAsia" w:ascii="Times New Roman Regular" w:hAnsi="Times New Roman Regular" w:cs="Times New Roman Regular"/>
          <w:i/>
          <w:sz w:val="24"/>
          <w:szCs w:val="24"/>
          <w:highlight w:val="none"/>
          <w:lang w:eastAsia="zh-CN"/>
        </w:rPr>
        <w:t>The Tiredness of Rosabel</w:t>
      </w:r>
      <w:r>
        <w:rPr>
          <w:rFonts w:hint="default" w:ascii="Times New Roman Regular" w:hAnsi="Times New Roman Regular" w:cs="Times New Roman Regular"/>
          <w:sz w:val="24"/>
          <w:szCs w:val="24"/>
          <w:highlight w:val="none"/>
        </w:rPr>
        <w:t xml:space="preserve">, published in 1908, explores the intersection of class and gender, focusing on the economic and social constraints faced by working-class women in early 20th-century Britain. The story critiques societal norms that diminished the value of women’s labor and perpetuated rigid class divisions. Though less explicitly feminist than </w:t>
      </w:r>
      <w:r>
        <w:rPr>
          <w:rFonts w:hint="eastAsia" w:ascii="Times New Roman Regular" w:hAnsi="Times New Roman Regular" w:cs="Times New Roman Regular"/>
          <w:i/>
          <w:sz w:val="24"/>
          <w:szCs w:val="24"/>
          <w:highlight w:val="none"/>
          <w:lang w:eastAsia="zh-CN"/>
        </w:rPr>
        <w:t>The Yellow Wallpaper</w:t>
      </w:r>
      <w:r>
        <w:rPr>
          <w:rFonts w:hint="default" w:ascii="Times New Roman Regular" w:hAnsi="Times New Roman Regular" w:cs="Times New Roman Regular"/>
          <w:sz w:val="24"/>
          <w:szCs w:val="24"/>
          <w:highlight w:val="none"/>
        </w:rPr>
        <w:t>, Mansfield’s narrative sheds light on the systemic marginalization of women like Rosabel, whose oppression is shaped by the dual forces of gender and socioeconomic inequality. These historical contexts offer rich ground for examining the feminist implications embedded in both texts.</w:t>
      </w:r>
    </w:p>
    <w:p w14:paraId="485A766D">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Bold" w:hAnsi="Times New Roman Bold" w:cs="Times New Roman Bold"/>
          <w:b/>
          <w:bCs/>
          <w:sz w:val="24"/>
          <w:szCs w:val="24"/>
          <w:highlight w:val="none"/>
        </w:rPr>
      </w:pPr>
      <w:r>
        <w:rPr>
          <w:rFonts w:hint="default" w:ascii="Times New Roman Bold" w:hAnsi="Times New Roman Bold" w:cs="Times New Roman Bold"/>
          <w:b/>
          <w:bCs/>
          <w:sz w:val="24"/>
          <w:szCs w:val="24"/>
          <w:highlight w:val="none"/>
        </w:rPr>
        <w:t>4.2 Theoretical Perspectives on Repression and Escape</w:t>
      </w:r>
    </w:p>
    <w:p w14:paraId="54336E03">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 xml:space="preserve">From a feminist theoretical perspective, </w:t>
      </w:r>
      <w:r>
        <w:rPr>
          <w:rFonts w:hint="eastAsia" w:ascii="Times New Roman Regular" w:hAnsi="Times New Roman Regular" w:cs="Times New Roman Regular"/>
          <w:i/>
          <w:sz w:val="24"/>
          <w:szCs w:val="24"/>
          <w:highlight w:val="none"/>
          <w:lang w:eastAsia="zh-CN"/>
        </w:rPr>
        <w:t>The Yellow Wallpaper</w:t>
      </w:r>
      <w:r>
        <w:rPr>
          <w:rFonts w:hint="default" w:ascii="Times New Roman Regular" w:hAnsi="Times New Roman Regular" w:cs="Times New Roman Regular"/>
          <w:sz w:val="24"/>
          <w:szCs w:val="24"/>
          <w:highlight w:val="none"/>
        </w:rPr>
        <w:t xml:space="preserve"> and </w:t>
      </w:r>
      <w:r>
        <w:rPr>
          <w:rFonts w:hint="eastAsia" w:ascii="Times New Roman Regular" w:hAnsi="Times New Roman Regular" w:cs="Times New Roman Regular"/>
          <w:i/>
          <w:sz w:val="24"/>
          <w:szCs w:val="24"/>
          <w:highlight w:val="none"/>
          <w:lang w:eastAsia="zh-CN"/>
        </w:rPr>
        <w:t>The Tiredness of Rosabel</w:t>
      </w:r>
      <w:r>
        <w:rPr>
          <w:rFonts w:hint="default" w:ascii="Times New Roman Regular" w:hAnsi="Times New Roman Regular" w:cs="Times New Roman Regular"/>
          <w:sz w:val="24"/>
          <w:szCs w:val="24"/>
          <w:highlight w:val="none"/>
          <w:lang w:val="en-US" w:eastAsia="zh-CN"/>
        </w:rPr>
        <w:t xml:space="preserve"> </w:t>
      </w:r>
      <w:r>
        <w:rPr>
          <w:rFonts w:hint="default" w:ascii="Times New Roman Regular" w:hAnsi="Times New Roman Regular" w:cs="Times New Roman Regular"/>
          <w:sz w:val="24"/>
          <w:szCs w:val="24"/>
          <w:highlight w:val="none"/>
        </w:rPr>
        <w:t>provide complementary critiques of patriarchal systems. Gilman’s work aligns with Simone de Beauvoir’s concept of “the Other,” as articulated in The Second Sex, which positions women as subordinate, defined primarily through their relationships with men</w:t>
      </w:r>
      <w:r>
        <w:rPr>
          <w:rFonts w:hint="default" w:ascii="Times New Roman Regular" w:hAnsi="Times New Roman Regular" w:cs="Times New Roman Regular"/>
          <w:sz w:val="24"/>
          <w:szCs w:val="24"/>
          <w:highlight w:val="none"/>
        </w:rPr>
        <w:t>(de Beauvoir, 1989, p. 26).</w:t>
      </w:r>
      <w:r>
        <w:rPr>
          <w:rFonts w:hint="default" w:ascii="Times New Roman Regular" w:hAnsi="Times New Roman Regular" w:cs="Times New Roman Regular"/>
          <w:sz w:val="24"/>
          <w:szCs w:val="24"/>
          <w:highlight w:val="none"/>
        </w:rPr>
        <w:t xml:space="preserve"> In </w:t>
      </w:r>
      <w:r>
        <w:rPr>
          <w:rFonts w:hint="eastAsia" w:ascii="Times New Roman Regular" w:hAnsi="Times New Roman Regular" w:cs="Times New Roman Regular"/>
          <w:i/>
          <w:sz w:val="24"/>
          <w:szCs w:val="24"/>
          <w:highlight w:val="none"/>
          <w:lang w:eastAsia="zh-CN"/>
        </w:rPr>
        <w:t>The Yellow Wallpaper</w:t>
      </w:r>
      <w:r>
        <w:rPr>
          <w:rFonts w:hint="default" w:ascii="Times New Roman Regular" w:hAnsi="Times New Roman Regular" w:cs="Times New Roman Regular"/>
          <w:sz w:val="24"/>
          <w:szCs w:val="24"/>
          <w:highlight w:val="none"/>
        </w:rPr>
        <w:t>, the narrator embodies this dynamic, her identity shaped by the paternalistic authority of her husband, John. His dominance over her medical treatment, daily activities, and even her thoughts illustrates the pervasive reach of patriarchal control. Her confinement to the nursery</w:t>
      </w:r>
      <w:r>
        <w:rPr>
          <w:rFonts w:hint="eastAsia" w:ascii="Times New Roman Regular" w:hAnsi="Times New Roman Regular" w:cs="Times New Roman Regular"/>
          <w:sz w:val="24"/>
          <w:szCs w:val="24"/>
          <w:highlight w:val="none"/>
          <w:lang w:val="en-US" w:eastAsia="zh-CN"/>
        </w:rPr>
        <w:t xml:space="preserve"> -</w:t>
      </w:r>
      <w:r>
        <w:rPr>
          <w:rFonts w:hint="default" w:ascii="Times New Roman Regular" w:hAnsi="Times New Roman Regular" w:cs="Times New Roman Regular"/>
          <w:sz w:val="24"/>
          <w:szCs w:val="24"/>
          <w:highlight w:val="none"/>
        </w:rPr>
        <w:t>a space symbolizing infantilization</w:t>
      </w:r>
      <w:r>
        <w:rPr>
          <w:rFonts w:hint="eastAsia" w:ascii="Times New Roman Regular" w:hAnsi="Times New Roman Regular" w:cs="Times New Roman Regular"/>
          <w:sz w:val="24"/>
          <w:szCs w:val="24"/>
          <w:highlight w:val="none"/>
          <w:lang w:val="en-US" w:eastAsia="zh-CN"/>
        </w:rPr>
        <w:t xml:space="preserve">- </w:t>
      </w:r>
      <w:r>
        <w:rPr>
          <w:rFonts w:hint="default" w:ascii="Times New Roman Regular" w:hAnsi="Times New Roman Regular" w:cs="Times New Roman Regular"/>
          <w:sz w:val="24"/>
          <w:szCs w:val="24"/>
          <w:highlight w:val="none"/>
        </w:rPr>
        <w:t>further reflects societal structures that systematically deny women agency and independence.</w:t>
      </w:r>
    </w:p>
    <w:p w14:paraId="2DAA2807">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 xml:space="preserve">Mansfield’s depiction of Rosabel resonates with intersectional feminist theories, particularly those articulated by bell hooks and Kimberlé Crenshaw, which explore the interconnected impact of gender, class, and race on women’s lives. Unlike the narrator in </w:t>
      </w:r>
      <w:r>
        <w:rPr>
          <w:rFonts w:hint="eastAsia" w:ascii="Times New Roman Italic" w:hAnsi="Times New Roman Italic" w:cs="Times New Roman Italic"/>
          <w:i/>
          <w:iCs/>
          <w:sz w:val="24"/>
          <w:szCs w:val="24"/>
          <w:highlight w:val="none"/>
          <w:lang w:eastAsia="zh-CN"/>
        </w:rPr>
        <w:t>The Yellow Wallpaper</w:t>
      </w:r>
      <w:r>
        <w:rPr>
          <w:rFonts w:hint="default" w:ascii="Times New Roman Regular" w:hAnsi="Times New Roman Regular" w:cs="Times New Roman Regular"/>
          <w:sz w:val="24"/>
          <w:szCs w:val="24"/>
          <w:highlight w:val="none"/>
        </w:rPr>
        <w:t>, Rosabel’s repression is not imposed by a single authority figure but emerges from the intersecting forces of systemic inequality. Her profound exhaustion reflects the compounded effects of economic insecurity and social invisibility, illustrating how class-based oppression amplifies gendered constraints. By centering the experiences of a working-class protagonist, Mansfield expands feminist discourse to address the voices of economically marginalized women, demonstrating the varied and multifaceted ways in which patriarchal systems operate.</w:t>
      </w:r>
    </w:p>
    <w:p w14:paraId="32CC37B5">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Bold" w:hAnsi="Times New Roman Bold" w:cs="Times New Roman Bold"/>
          <w:b/>
          <w:bCs/>
          <w:sz w:val="24"/>
          <w:szCs w:val="24"/>
          <w:highlight w:val="none"/>
        </w:rPr>
      </w:pPr>
      <w:r>
        <w:rPr>
          <w:rFonts w:hint="default" w:ascii="Times New Roman Bold" w:hAnsi="Times New Roman Bold" w:cs="Times New Roman Bold"/>
          <w:b/>
          <w:bCs/>
          <w:sz w:val="24"/>
          <w:szCs w:val="24"/>
          <w:highlight w:val="none"/>
        </w:rPr>
        <w:t>4.3 Symbolism as Feminist Resistance</w:t>
      </w:r>
    </w:p>
    <w:p w14:paraId="3C874F6B">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The symbolic elements in both stories enhance their feminist critiques by vividly portraying the psychological and emotional toll of repression. In</w:t>
      </w:r>
      <w:r>
        <w:rPr>
          <w:rFonts w:hint="default" w:ascii="Times New Roman Regular" w:hAnsi="Times New Roman Regular" w:cs="Times New Roman Regular"/>
          <w:sz w:val="24"/>
          <w:szCs w:val="24"/>
          <w:highlight w:val="none"/>
          <w:lang w:val="en-US" w:eastAsia="zh-CN"/>
        </w:rPr>
        <w:t xml:space="preserve"> </w:t>
      </w:r>
      <w:r>
        <w:rPr>
          <w:rFonts w:hint="eastAsia" w:ascii="Times New Roman Regular" w:hAnsi="Times New Roman Regular" w:cs="Times New Roman Regular"/>
          <w:i/>
          <w:sz w:val="24"/>
          <w:szCs w:val="24"/>
          <w:highlight w:val="none"/>
          <w:lang w:eastAsia="zh-CN"/>
        </w:rPr>
        <w:t>The Yellow Wallpaper</w:t>
      </w:r>
      <w:r>
        <w:rPr>
          <w:rFonts w:hint="default" w:ascii="Times New Roman Regular" w:hAnsi="Times New Roman Regular" w:cs="Times New Roman Regular"/>
          <w:sz w:val="24"/>
          <w:szCs w:val="24"/>
          <w:highlight w:val="none"/>
        </w:rPr>
        <w:t>, the chaotic patterns of the wallpaper symbolize the narrator’s entrapment within the domestic sphere and the rigid societal norms that confine her. Her growing obsession with the wallpaper turns it into a locus of resistance, enabling her to channel her repressed creativity and assert her identity. The figure she envisions trapped behind the wallpaper mirrors her own fight for freedom, transforming the room into a powerful symbolic battleground for autonomy and self-liberation.</w:t>
      </w:r>
    </w:p>
    <w:p w14:paraId="6BE3DAE9">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 xml:space="preserve">Feminist scholars like Sandra Gilbert and Susan Gubar, in The Madwoman in the Attic, view the narrator’s breakdown in </w:t>
      </w:r>
      <w:r>
        <w:rPr>
          <w:rFonts w:hint="eastAsia" w:ascii="Times New Roman Regular" w:hAnsi="Times New Roman Regular" w:cs="Times New Roman Regular"/>
          <w:i/>
          <w:sz w:val="24"/>
          <w:szCs w:val="24"/>
          <w:highlight w:val="none"/>
          <w:lang w:eastAsia="zh-CN"/>
        </w:rPr>
        <w:t>The Yellow Wallpaper</w:t>
      </w:r>
      <w:r>
        <w:rPr>
          <w:rFonts w:hint="default" w:ascii="Times New Roman Regular" w:hAnsi="Times New Roman Regular" w:cs="Times New Roman Regular"/>
          <w:sz w:val="24"/>
          <w:szCs w:val="24"/>
          <w:highlight w:val="none"/>
        </w:rPr>
        <w:t xml:space="preserve"> as a subversive act that reclaims her agency. By destroying the wallpaper and rejecting her husband’s authority, the narrator symbolically dismantles the oppressive structures confining her. Although this act culminates in madness, it challenges the patriarchal systems that suppress women’s autonomy. The story critiques the medicalization of women’s dissent—a practice designed to silence and control them—and advocates for the acknowledgment of women’s intellectual and creative capacities as essential to their liberation.</w:t>
      </w:r>
    </w:p>
    <w:p w14:paraId="6657D344">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 xml:space="preserve">In </w:t>
      </w:r>
      <w:r>
        <w:rPr>
          <w:rFonts w:hint="eastAsia" w:ascii="Times New Roman Regular" w:hAnsi="Times New Roman Regular" w:cs="Times New Roman Regular"/>
          <w:i/>
          <w:sz w:val="24"/>
          <w:szCs w:val="24"/>
          <w:highlight w:val="none"/>
          <w:lang w:eastAsia="zh-CN"/>
        </w:rPr>
        <w:t>The Tiredness of Rosabel</w:t>
      </w:r>
      <w:r>
        <w:rPr>
          <w:rFonts w:hint="default" w:ascii="Times New Roman Regular" w:hAnsi="Times New Roman Regular" w:cs="Times New Roman Regular"/>
          <w:sz w:val="24"/>
          <w:szCs w:val="24"/>
          <w:highlight w:val="none"/>
        </w:rPr>
        <w:t>, symbolism functions differently but remains equally potent. Rosabel’s exhaustion symbolizes the physical and emotional strain of systemic oppression, while her daydreams provide a symbolic escape from her restrictive reality. Her fantasies of wealth and romance reveal her aspirations for a better life but simultaneously underscore the internalization of societal norms that prioritize women’s worth based on their appearance and social status. This duality aligns with hooks’ concept of the “internalization of oppression,” where marginalized individuals adopt the values of the dominant culture as a means of psychological survival. Mansfield’s subtle critique exposes how these internalized ideals confine Rosabel, limiting her ability to imagine a future of genuine emancipation.</w:t>
      </w:r>
    </w:p>
    <w:p w14:paraId="19EE2FE5">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Bold" w:hAnsi="Times New Roman Bold" w:cs="Times New Roman Bold"/>
          <w:b/>
          <w:bCs/>
          <w:sz w:val="24"/>
          <w:szCs w:val="24"/>
          <w:highlight w:val="none"/>
        </w:rPr>
      </w:pPr>
      <w:r>
        <w:rPr>
          <w:rFonts w:hint="default" w:ascii="Times New Roman Bold" w:hAnsi="Times New Roman Bold" w:cs="Times New Roman Bold"/>
          <w:b/>
          <w:bCs/>
          <w:sz w:val="24"/>
          <w:szCs w:val="24"/>
          <w:highlight w:val="none"/>
        </w:rPr>
        <w:t>4.4 Feminist Implications of Escape</w:t>
      </w:r>
    </w:p>
    <w:p w14:paraId="73F8D566">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lang w:val="en-US" w:eastAsia="zh-CN"/>
        </w:rPr>
      </w:pPr>
      <w:r>
        <w:rPr>
          <w:rFonts w:hint="default" w:ascii="Times New Roman Regular" w:hAnsi="Times New Roman Regular" w:cs="Times New Roman Regular"/>
          <w:sz w:val="24"/>
          <w:szCs w:val="24"/>
          <w:highlight w:val="none"/>
          <w:lang w:val="en-US" w:eastAsia="zh-CN"/>
        </w:rPr>
        <w:t xml:space="preserve">The contrasting forms of escape in the two stories highlight the resilience of their protagonists while underscoring the limitations of individual resistance. In </w:t>
      </w:r>
      <w:r>
        <w:rPr>
          <w:rFonts w:hint="eastAsia" w:ascii="Times New Roman Regular" w:hAnsi="Times New Roman Regular" w:cs="Times New Roman Regular"/>
          <w:i/>
          <w:sz w:val="24"/>
          <w:szCs w:val="24"/>
          <w:highlight w:val="none"/>
          <w:lang w:val="en-US" w:eastAsia="zh-CN"/>
        </w:rPr>
        <w:t>The Yellow Wallpaper</w:t>
      </w:r>
      <w:r>
        <w:rPr>
          <w:rFonts w:hint="default" w:ascii="Times New Roman Regular" w:hAnsi="Times New Roman Regular" w:cs="Times New Roman Regular"/>
          <w:sz w:val="24"/>
          <w:szCs w:val="24"/>
          <w:highlight w:val="none"/>
          <w:lang w:val="en-US" w:eastAsia="zh-CN"/>
        </w:rPr>
        <w:t>, the narrator’s psychological rebellion directly challenges the authority of her husband and the medical establishment. Her act of tearing down the wallpaper symbolically dismantles the oppressive structures that confine her. However, her descent into madness reveals the profound and destructive impact of systemic repression, emphasizing the necessity of collective action and structural change to achieve genuine liberation. Through the narrator’s breakdown, Gilman critiques the societal tendency to dismiss women’s autonomy and mental health, advocating for a more inclusive, compassionate, and equitable acknowledgment of women’s lived experiences.</w:t>
      </w:r>
    </w:p>
    <w:p w14:paraId="2F4C2063">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 xml:space="preserve">In </w:t>
      </w:r>
      <w:r>
        <w:rPr>
          <w:rFonts w:hint="eastAsia" w:ascii="Times New Roman Regular" w:hAnsi="Times New Roman Regular" w:cs="Times New Roman Regular"/>
          <w:i/>
          <w:sz w:val="24"/>
          <w:szCs w:val="24"/>
          <w:highlight w:val="none"/>
          <w:lang w:eastAsia="zh-CN"/>
        </w:rPr>
        <w:t>The Tiredness of Rosabel</w:t>
      </w:r>
      <w:r>
        <w:rPr>
          <w:rFonts w:hint="default" w:ascii="Times New Roman Regular" w:hAnsi="Times New Roman Regular" w:cs="Times New Roman Regular"/>
          <w:sz w:val="24"/>
          <w:szCs w:val="24"/>
          <w:highlight w:val="none"/>
        </w:rPr>
        <w:t xml:space="preserve">, escape takes the form of imagination rather than confrontation. Rosabel’s daydreams offer a brief reprieve from her difficult reality, allowing her to picture herself as a figure of beauty and admiration. However, these fantasies are shaped by societal norms that perpetuate her marginalization, underscoring the limitations of her agency within a patriarchal and classist framework. Mansfield’s narrative celebrates the resilience of working-class women while critiquing the systemic forces that stifle their aspirations. Rosabel’s subdued defiance stands in contrast to the narrator’s dramatic rebellion in </w:t>
      </w:r>
      <w:r>
        <w:rPr>
          <w:rFonts w:hint="eastAsia" w:ascii="Times New Roman Regular" w:hAnsi="Times New Roman Regular" w:cs="Times New Roman Regular"/>
          <w:i/>
          <w:sz w:val="24"/>
          <w:szCs w:val="24"/>
          <w:highlight w:val="none"/>
          <w:lang w:eastAsia="zh-CN"/>
        </w:rPr>
        <w:t>The Yellow Wallpaper</w:t>
      </w:r>
      <w:r>
        <w:rPr>
          <w:rFonts w:hint="default" w:ascii="Times New Roman Regular" w:hAnsi="Times New Roman Regular" w:cs="Times New Roman Regular"/>
          <w:sz w:val="24"/>
          <w:szCs w:val="24"/>
          <w:highlight w:val="none"/>
        </w:rPr>
        <w:t>, illustrating the diverse ways women navigate and resist the oppression they face.</w:t>
      </w:r>
    </w:p>
    <w:p w14:paraId="088A3F3E">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Bold" w:hAnsi="Times New Roman Bold" w:cs="Times New Roman Bold"/>
          <w:b/>
          <w:bCs/>
          <w:sz w:val="24"/>
          <w:szCs w:val="24"/>
          <w:highlight w:val="none"/>
        </w:rPr>
      </w:pPr>
      <w:r>
        <w:rPr>
          <w:rFonts w:hint="default" w:ascii="Times New Roman Bold" w:hAnsi="Times New Roman Bold" w:cs="Times New Roman Bold"/>
          <w:b/>
          <w:bCs/>
          <w:sz w:val="24"/>
          <w:szCs w:val="24"/>
          <w:highlight w:val="none"/>
        </w:rPr>
        <w:t>4.5 Broader Implications for Feminist Discourse</w:t>
      </w:r>
    </w:p>
    <w:p w14:paraId="1DA9AB6F">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The feminist insights presented in these stories transcend their historical settings, contributing meaningfully to contemporary discussions on autonomy, intersectionality, and systemic transformation. Gilman’s critique of the rest cure and the silencing of women’s voices continues to resonate in debates on mental health and gender inequality. The narrator’s battle for intellectual and creative freedom challenges the persistent devaluation of women’s contributions in male-dominated spheres, underscoring the importance of structural changes that acknowledge and empower women’s agency. These narratives remain vital in addressing ongoing struggles for equality and inclusivity.</w:t>
      </w:r>
    </w:p>
    <w:p w14:paraId="7864F4F2">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 xml:space="preserve">Mansfield’s </w:t>
      </w:r>
      <w:r>
        <w:rPr>
          <w:rFonts w:hint="eastAsia" w:ascii="Times New Roman Regular" w:hAnsi="Times New Roman Regular" w:cs="Times New Roman Regular"/>
          <w:i/>
          <w:sz w:val="24"/>
          <w:szCs w:val="24"/>
          <w:highlight w:val="none"/>
          <w:lang w:eastAsia="zh-CN"/>
        </w:rPr>
        <w:t>The Tiredness of Rosabel</w:t>
      </w:r>
      <w:r>
        <w:rPr>
          <w:rFonts w:hint="default" w:ascii="Times New Roman Regular" w:hAnsi="Times New Roman Regular" w:cs="Times New Roman Regular"/>
          <w:sz w:val="24"/>
          <w:szCs w:val="24"/>
          <w:highlight w:val="none"/>
        </w:rPr>
        <w:t xml:space="preserve"> provides an early examination of intersectional oppression, highlighting how the interplay of class and gender shapes women’s lives. By focusing on the challenges faced by a working-class protagonist, Mansfield expands feminist discourse to encompass the impacts of economic inequality and labor exploitation. Her critique emphasizes the necessity of acknowledging the diverse experiences of women and addressing the structural barriers that sustain systemic inequality, underscoring the need for an inclusive approach to feminist advocacy.</w:t>
      </w:r>
    </w:p>
    <w:p w14:paraId="213F2025">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Together, these narratives underscore the lasting significance of feminist critiques of patriarchy, providing profound insights into the varied experiences of women and the urgent need for systemic change. They encourage readers to reflect on how historical examinations of gender and class oppression can shape and strengthen contemporary feminist movements. By doing so, these stories highlight the persistent struggle for equality and liberation, reinforcing the importance of addressing the structural forces that continue to perpetuate inequality.</w:t>
      </w:r>
    </w:p>
    <w:p w14:paraId="01CDFDBF">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Bold" w:hAnsi="Times New Roman Bold" w:cs="Times New Roman Bold"/>
          <w:b/>
          <w:bCs/>
          <w:sz w:val="24"/>
          <w:szCs w:val="24"/>
          <w:highlight w:val="none"/>
        </w:rPr>
      </w:pPr>
      <w:r>
        <w:rPr>
          <w:rFonts w:hint="default" w:ascii="Times New Roman Bold" w:hAnsi="Times New Roman Bold" w:cs="Times New Roman Bold"/>
          <w:b/>
          <w:bCs/>
          <w:sz w:val="24"/>
          <w:szCs w:val="24"/>
          <w:highlight w:val="none"/>
        </w:rPr>
        <w:t xml:space="preserve">5. Conclusion </w:t>
      </w:r>
    </w:p>
    <w:p w14:paraId="5E2D64F6">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 xml:space="preserve">The exploration of repression and escape in </w:t>
      </w:r>
      <w:r>
        <w:rPr>
          <w:rFonts w:hint="eastAsia" w:ascii="Times New Roman Regular" w:hAnsi="Times New Roman Regular" w:cs="Times New Roman Regular"/>
          <w:i/>
          <w:sz w:val="24"/>
          <w:szCs w:val="24"/>
          <w:highlight w:val="none"/>
          <w:lang w:eastAsia="zh-CN"/>
        </w:rPr>
        <w:t>The Yellow Wallpaper</w:t>
      </w:r>
      <w:r>
        <w:rPr>
          <w:rFonts w:hint="default" w:ascii="Times New Roman Regular" w:hAnsi="Times New Roman Regular" w:cs="Times New Roman Regular"/>
          <w:sz w:val="24"/>
          <w:szCs w:val="24"/>
          <w:highlight w:val="none"/>
        </w:rPr>
        <w:t xml:space="preserve"> and </w:t>
      </w:r>
      <w:r>
        <w:rPr>
          <w:rFonts w:hint="eastAsia" w:ascii="Times New Roman Regular" w:hAnsi="Times New Roman Regular" w:cs="Times New Roman Regular"/>
          <w:i/>
          <w:sz w:val="24"/>
          <w:szCs w:val="24"/>
          <w:highlight w:val="none"/>
          <w:lang w:eastAsia="zh-CN"/>
        </w:rPr>
        <w:t>The Tiredness of Rosabel</w:t>
      </w:r>
      <w:r>
        <w:rPr>
          <w:rFonts w:hint="default" w:ascii="Times New Roman Regular" w:hAnsi="Times New Roman Regular" w:cs="Times New Roman Regular"/>
          <w:sz w:val="24"/>
          <w:szCs w:val="24"/>
          <w:highlight w:val="none"/>
        </w:rPr>
        <w:t xml:space="preserve"> demonstrates the pervasive impact of patriarchal systems and the varied ways women resist and endure. Gilman critiques the medical and domestic control of middle-class women, while Mansfield illuminates the intersectional struggles of working-class women, showcasing the diversity of women’s experiences under systemic oppression. Both stories emphasize the ambivalence of escape, portraying it as a form of resistance limited by societal constraints.</w:t>
      </w:r>
    </w:p>
    <w:p w14:paraId="5FAA5660">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Regular" w:hAnsi="Times New Roman Regular" w:cs="Times New Roman Regular"/>
          <w:sz w:val="24"/>
          <w:szCs w:val="24"/>
          <w:highlight w:val="none"/>
        </w:rPr>
        <w:t xml:space="preserve">These narratives remain relevant to feminist discourse, offering insights into the historical roots of gender inequality and the enduring need for systemic change. By challenging societal norms and advocating for women’s autonomy, </w:t>
      </w:r>
      <w:r>
        <w:rPr>
          <w:rFonts w:hint="eastAsia" w:ascii="Times New Roman Regular" w:hAnsi="Times New Roman Regular" w:cs="Times New Roman Regular"/>
          <w:i/>
          <w:sz w:val="24"/>
          <w:szCs w:val="24"/>
          <w:highlight w:val="none"/>
          <w:lang w:eastAsia="zh-CN"/>
        </w:rPr>
        <w:t>The Yellow Wallpaper</w:t>
      </w:r>
      <w:r>
        <w:rPr>
          <w:rFonts w:hint="default" w:ascii="Times New Roman Regular" w:hAnsi="Times New Roman Regular" w:cs="Times New Roman Regular"/>
          <w:sz w:val="24"/>
          <w:szCs w:val="24"/>
          <w:highlight w:val="none"/>
        </w:rPr>
        <w:t xml:space="preserve"> and </w:t>
      </w:r>
      <w:r>
        <w:rPr>
          <w:rFonts w:hint="eastAsia" w:ascii="Times New Roman Regular" w:hAnsi="Times New Roman Regular" w:cs="Times New Roman Regular"/>
          <w:i/>
          <w:sz w:val="24"/>
          <w:szCs w:val="24"/>
          <w:highlight w:val="none"/>
          <w:lang w:eastAsia="zh-CN"/>
        </w:rPr>
        <w:t>The Tiredness of Rosabel</w:t>
      </w:r>
      <w:r>
        <w:rPr>
          <w:rFonts w:hint="default" w:ascii="Times New Roman Regular" w:hAnsi="Times New Roman Regular" w:cs="Times New Roman Regular"/>
          <w:sz w:val="24"/>
          <w:szCs w:val="24"/>
          <w:highlight w:val="none"/>
        </w:rPr>
        <w:t xml:space="preserve"> continue to inspire discussions about gender, class, and agency within feminist literature and beyond.</w:t>
      </w:r>
    </w:p>
    <w:p w14:paraId="6FEA6F0C">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p>
    <w:p w14:paraId="0223D05F">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p>
    <w:p w14:paraId="347B02E8">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p>
    <w:p w14:paraId="0DAB7C1B">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p>
    <w:p w14:paraId="67B29BB5">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p>
    <w:p w14:paraId="15A47A03">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p>
    <w:p w14:paraId="223C7100">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p>
    <w:p w14:paraId="4C50E33F">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p>
    <w:p w14:paraId="4D900267">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p>
    <w:p w14:paraId="29F7CC97">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p>
    <w:p w14:paraId="09BD1352">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p>
    <w:p w14:paraId="293A3D02">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p>
    <w:p w14:paraId="13F8A0B1">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p>
    <w:p w14:paraId="69E2AF04">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p>
    <w:p w14:paraId="22325BF6">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r>
        <w:rPr>
          <w:rFonts w:hint="default" w:ascii="Times New Roman Bold" w:hAnsi="Times New Roman Bold" w:cs="Times New Roman Bold"/>
          <w:b/>
          <w:bCs/>
          <w:sz w:val="24"/>
          <w:szCs w:val="24"/>
          <w:highlight w:val="none"/>
          <w:lang w:val="en-US" w:eastAsia="zh-CN"/>
        </w:rPr>
        <w:t>Reference list:</w:t>
      </w:r>
    </w:p>
    <w:p w14:paraId="2542866B">
      <w:pPr>
        <w:keepNext w:val="0"/>
        <w:keepLines w:val="0"/>
        <w:pageBreakBefore w:val="0"/>
        <w:widowControl w:val="0"/>
        <w:kinsoku/>
        <w:wordWrap/>
        <w:overflowPunct/>
        <w:topLinePunct w:val="0"/>
        <w:autoSpaceDE/>
        <w:autoSpaceDN/>
        <w:bidi w:val="0"/>
        <w:adjustRightInd/>
        <w:snapToGrid/>
        <w:spacing w:after="157" w:afterLines="50" w:line="240" w:lineRule="auto"/>
        <w:textAlignment w:val="auto"/>
        <w:rPr>
          <w:rFonts w:hint="default" w:ascii="Times New Roman Regular" w:hAnsi="Times New Roman Regular" w:cs="Times New Roman Regular"/>
          <w:sz w:val="22"/>
          <w:szCs w:val="22"/>
          <w:highlight w:val="none"/>
        </w:rPr>
      </w:pPr>
      <w:r>
        <w:rPr>
          <w:rFonts w:hint="default" w:ascii="Times New Roman Regular" w:hAnsi="Times New Roman Regular" w:cs="Times New Roman Regular"/>
          <w:sz w:val="22"/>
          <w:szCs w:val="22"/>
          <w:highlight w:val="none"/>
        </w:rPr>
        <w:t xml:space="preserve">Biana, H.T. (2020) ‘Extending bell hooks' Feminist Theory’, </w:t>
      </w:r>
      <w:r>
        <w:rPr>
          <w:rFonts w:hint="default" w:ascii="Times New Roman Italic" w:hAnsi="Times New Roman Italic" w:cs="Times New Roman Italic"/>
          <w:i/>
          <w:iCs/>
          <w:sz w:val="22"/>
          <w:szCs w:val="22"/>
          <w:highlight w:val="none"/>
        </w:rPr>
        <w:t>Journal of International Women’s Studies</w:t>
      </w:r>
      <w:r>
        <w:rPr>
          <w:rFonts w:hint="default" w:ascii="Times New Roman Regular" w:hAnsi="Times New Roman Regular" w:cs="Times New Roman Regular"/>
          <w:sz w:val="22"/>
          <w:szCs w:val="22"/>
          <w:highlight w:val="none"/>
        </w:rPr>
        <w:t>, 21(1), pp. 14–28.</w:t>
      </w:r>
    </w:p>
    <w:p w14:paraId="29BF4D71">
      <w:pPr>
        <w:keepNext w:val="0"/>
        <w:keepLines w:val="0"/>
        <w:pageBreakBefore w:val="0"/>
        <w:widowControl w:val="0"/>
        <w:kinsoku/>
        <w:wordWrap/>
        <w:overflowPunct/>
        <w:topLinePunct w:val="0"/>
        <w:autoSpaceDE/>
        <w:autoSpaceDN/>
        <w:bidi w:val="0"/>
        <w:adjustRightInd/>
        <w:snapToGrid/>
        <w:spacing w:after="157" w:afterLines="50" w:line="240" w:lineRule="auto"/>
        <w:textAlignment w:val="auto"/>
        <w:rPr>
          <w:rFonts w:hint="default" w:ascii="Times New Roman Regular" w:hAnsi="Times New Roman Regular" w:cs="Times New Roman Regular"/>
          <w:sz w:val="22"/>
          <w:szCs w:val="22"/>
          <w:highlight w:val="none"/>
        </w:rPr>
      </w:pPr>
      <w:r>
        <w:rPr>
          <w:rFonts w:hint="default" w:ascii="Times New Roman Regular" w:hAnsi="Times New Roman Regular" w:cs="Times New Roman Regular"/>
          <w:sz w:val="22"/>
          <w:szCs w:val="22"/>
          <w:highlight w:val="none"/>
        </w:rPr>
        <w:t>de Beauvoir, S. (1989) The Second Sex. Translated by H.M. Parshley. London: Vintage Books.</w:t>
      </w:r>
    </w:p>
    <w:p w14:paraId="3C0EBCA8">
      <w:pPr>
        <w:keepNext w:val="0"/>
        <w:keepLines w:val="0"/>
        <w:pageBreakBefore w:val="0"/>
        <w:widowControl w:val="0"/>
        <w:kinsoku/>
        <w:wordWrap/>
        <w:overflowPunct/>
        <w:topLinePunct w:val="0"/>
        <w:autoSpaceDE/>
        <w:autoSpaceDN/>
        <w:bidi w:val="0"/>
        <w:adjustRightInd/>
        <w:snapToGrid/>
        <w:spacing w:after="157" w:afterLines="50" w:line="240" w:lineRule="auto"/>
        <w:textAlignment w:val="auto"/>
        <w:rPr>
          <w:rFonts w:hint="default" w:ascii="Times New Roman Regular" w:hAnsi="Times New Roman Regular" w:cs="Times New Roman Regular"/>
          <w:sz w:val="22"/>
          <w:szCs w:val="22"/>
          <w:highlight w:val="none"/>
        </w:rPr>
      </w:pPr>
      <w:r>
        <w:rPr>
          <w:rFonts w:hint="default" w:ascii="Times New Roman Regular" w:hAnsi="Times New Roman Regular" w:cs="Times New Roman Regular"/>
          <w:sz w:val="22"/>
          <w:szCs w:val="22"/>
          <w:highlight w:val="none"/>
        </w:rPr>
        <w:t xml:space="preserve">Gilbert, S. and Gubar, S. (1979) </w:t>
      </w:r>
      <w:r>
        <w:rPr>
          <w:rFonts w:hint="default" w:ascii="Times New Roman Italic" w:hAnsi="Times New Roman Italic" w:cs="Times New Roman Italic"/>
          <w:i/>
          <w:iCs/>
          <w:sz w:val="22"/>
          <w:szCs w:val="22"/>
          <w:highlight w:val="none"/>
        </w:rPr>
        <w:t>The Madwoman in the Attic: The Woman Writer and the Nineteenth-Century Literary Imagination</w:t>
      </w:r>
      <w:r>
        <w:rPr>
          <w:rFonts w:hint="default" w:ascii="Times New Roman Regular" w:hAnsi="Times New Roman Regular" w:cs="Times New Roman Regular"/>
          <w:sz w:val="22"/>
          <w:szCs w:val="22"/>
          <w:highlight w:val="none"/>
        </w:rPr>
        <w:t>. New Haven: Yale University Press.</w:t>
      </w:r>
    </w:p>
    <w:p w14:paraId="09D8D243">
      <w:pPr>
        <w:keepNext w:val="0"/>
        <w:keepLines w:val="0"/>
        <w:pageBreakBefore w:val="0"/>
        <w:widowControl w:val="0"/>
        <w:kinsoku/>
        <w:wordWrap/>
        <w:overflowPunct/>
        <w:topLinePunct w:val="0"/>
        <w:autoSpaceDE/>
        <w:autoSpaceDN/>
        <w:bidi w:val="0"/>
        <w:adjustRightInd/>
        <w:snapToGrid/>
        <w:spacing w:after="157" w:afterLines="50" w:line="240" w:lineRule="auto"/>
        <w:textAlignment w:val="auto"/>
        <w:rPr>
          <w:rFonts w:hint="default" w:ascii="Times New Roman Regular" w:hAnsi="Times New Roman Regular" w:cs="Times New Roman Regular"/>
          <w:sz w:val="22"/>
          <w:szCs w:val="22"/>
          <w:highlight w:val="none"/>
        </w:rPr>
      </w:pPr>
      <w:r>
        <w:rPr>
          <w:rFonts w:hint="default" w:ascii="Times New Roman Regular" w:hAnsi="Times New Roman Regular" w:cs="Times New Roman Regular"/>
          <w:sz w:val="22"/>
          <w:szCs w:val="22"/>
          <w:highlight w:val="none"/>
        </w:rPr>
        <w:t xml:space="preserve">Treichler, P.A. (1984) ‘Escaping the Sentence: Diagnosis and Discourse in “The Yellow Wallpaper”’, </w:t>
      </w:r>
      <w:r>
        <w:rPr>
          <w:rFonts w:hint="default" w:ascii="Times New Roman Italic" w:hAnsi="Times New Roman Italic" w:cs="Times New Roman Italic"/>
          <w:i/>
          <w:iCs/>
          <w:sz w:val="22"/>
          <w:szCs w:val="22"/>
          <w:highlight w:val="none"/>
        </w:rPr>
        <w:t>Tulsa Studies in Women’s Literature</w:t>
      </w:r>
      <w:r>
        <w:rPr>
          <w:rFonts w:hint="default" w:ascii="Times New Roman Regular" w:hAnsi="Times New Roman Regular" w:cs="Times New Roman Regular"/>
          <w:sz w:val="22"/>
          <w:szCs w:val="22"/>
          <w:highlight w:val="none"/>
        </w:rPr>
        <w:t xml:space="preserve">, 3(1/2), pp. 61–77. </w:t>
      </w:r>
    </w:p>
    <w:p w14:paraId="4772EB42">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default" w:ascii="Times New Roman Regular" w:hAnsi="Times New Roman Regular" w:cs="Times New Roman Regular"/>
          <w:sz w:val="24"/>
          <w:szCs w:val="24"/>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Times New Roman Bold Italic">
    <w:panose1 w:val="02020503050405090304"/>
    <w:charset w:val="00"/>
    <w:family w:val="auto"/>
    <w:pitch w:val="default"/>
    <w:sig w:usb0="E0000AFF" w:usb1="00007843" w:usb2="00000001" w:usb3="00000000" w:csb0="400001BF" w:csb1="DFF70000"/>
  </w:font>
  <w:font w:name="Times New Roman Regular">
    <w:panose1 w:val="02020503050405090304"/>
    <w:charset w:val="00"/>
    <w:family w:val="auto"/>
    <w:pitch w:val="default"/>
    <w:sig w:usb0="E0000AFF" w:usb1="00007843" w:usb2="00000001" w:usb3="00000000" w:csb0="400001BF" w:csb1="DFF70000"/>
  </w:font>
  <w:font w:name="Times New Roman Bold">
    <w:panose1 w:val="02020503050405090304"/>
    <w:charset w:val="00"/>
    <w:family w:val="auto"/>
    <w:pitch w:val="default"/>
    <w:sig w:usb0="E0000AFF" w:usb1="00007843" w:usb2="00000001" w:usb3="00000000" w:csb0="400001BF" w:csb1="DFF70000"/>
  </w:font>
  <w:font w:name="Times New Roman Italic">
    <w:panose1 w:val="02020503050405090304"/>
    <w:charset w:val="00"/>
    <w:family w:val="auto"/>
    <w:pitch w:val="default"/>
    <w:sig w:usb0="E0000AFF" w:usb1="00007843" w:usb2="00000001" w:usb3="00000000" w:csb0="400001BF" w:csb1="DFF7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Symbol">
    <w:altName w:val="Kingsoft Sign"/>
    <w:panose1 w:val="00000000000000000000"/>
    <w:charset w:val="00"/>
    <w:family w:val="auto"/>
    <w:pitch w:val="default"/>
    <w:sig w:usb0="00000000" w:usb1="00000000" w:usb2="00000000" w:usb3="00000000" w:csb0="00000000" w:csb1="00000000"/>
  </w:font>
  <w:font w:name="宋体-简">
    <w:panose1 w:val="02010800040101010101"/>
    <w:charset w:val="86"/>
    <w:family w:val="auto"/>
    <w:pitch w:val="default"/>
    <w:sig w:usb0="00000001" w:usb1="080F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1BE6F2"/>
    <w:multiLevelType w:val="singleLevel"/>
    <w:tmpl w:val="B91BE6F2"/>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YzZDZhM2U5M2ZiYTRlNjI1NjVjMjM4ZWFiODhiODMifQ=="/>
  </w:docVars>
  <w:rsids>
    <w:rsidRoot w:val="69FFA9D1"/>
    <w:rsid w:val="0F1D61E5"/>
    <w:rsid w:val="5FD53C23"/>
    <w:rsid w:val="69FFA9D1"/>
    <w:rsid w:val="8FDB47E3"/>
    <w:rsid w:val="F9FF23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Emphasis"/>
    <w:basedOn w:val="6"/>
    <w:qFormat/>
    <w:uiPriority w:val="0"/>
    <w:rPr>
      <w: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8</TotalTime>
  <ScaleCrop>false</ScaleCrop>
  <LinksUpToDate>false</LinksUpToDate>
  <CharactersWithSpaces>0</CharactersWithSpaces>
  <Application>WPS Office_6.11.0.8885_F1E327BC-269C-435d-A152-05C5408002CA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2025-01-16T07:49:00Z</dcterms:created>
  <dc:creator>郝豆豆</dc:creator>
  <cp:lastModifiedBy>郝豆豆</cp:lastModifiedBy>
  <dcterms:modified xsi:type="dcterms:W3CDTF">2025-01-20T19:24:26Z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2052-6.11.0.8885</vt:lpwstr>
  </property>
  <property fmtid="{D5CDD505-2E9C-101B-9397-08002B2CF9AE}" pid="3" name="ICV">
    <vt:lpwstr>EC61FA32874BF0E16A328E678FA01D14_43</vt:lpwstr>
  </property>
</Properties>
</file>