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p>
    <w:p w14:paraId="58D27D51" w14:textId="1C492CAD" w:rsidR="00D2187B" w:rsidRDefault="00D946ED" w:rsidP="00D946ED">
      <w:pPr>
        <w:spacing w:after="160" w:line="259" w:lineRule="auto"/>
        <w:jc w:val="center"/>
        <w:rPr>
          <w:rFonts w:ascii="Verdana" w:hAnsi="Verdana"/>
          <w:b/>
          <w:caps/>
          <w:sz w:val="18"/>
          <w:szCs w:val="18"/>
        </w:rPr>
      </w:pPr>
      <w:r>
        <w:rPr>
          <w:rFonts w:ascii="Verdana" w:hAnsi="Verdana"/>
          <w:b/>
          <w:i/>
          <w:sz w:val="44"/>
        </w:rPr>
        <w:t xml:space="preserve">Financial Leasing Report. </w:t>
      </w:r>
    </w:p>
    <w:p w14:paraId="1E1E79F9" w14:textId="2DCAF9A1" w:rsidR="00D2187B" w:rsidRDefault="000A10AA" w:rsidP="00D2187B">
      <w:pPr>
        <w:spacing w:after="160" w:line="259" w:lineRule="auto"/>
        <w:jc w:val="center"/>
        <w:rPr>
          <w:rFonts w:ascii="Verdana" w:hAnsi="Verdana"/>
          <w:b/>
          <w:caps/>
          <w:sz w:val="18"/>
          <w:szCs w:val="18"/>
        </w:rPr>
      </w:pPr>
      <w:r>
        <w:rPr>
          <w:noProof/>
          <w:lang w:val="en-US"/>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439A24C5" w:rsidR="00D2187B" w:rsidRPr="002A1AD3" w:rsidRDefault="00D946ED" w:rsidP="002A1AD3">
      <w:pPr>
        <w:spacing w:after="160" w:line="259" w:lineRule="auto"/>
        <w:jc w:val="center"/>
        <w:rPr>
          <w:rFonts w:ascii="Verdana" w:hAnsi="Verdana"/>
          <w:b/>
          <w:sz w:val="44"/>
        </w:rPr>
      </w:pPr>
      <w:r>
        <w:rPr>
          <w:rFonts w:ascii="Verdana" w:hAnsi="Verdana"/>
          <w:b/>
          <w:sz w:val="44"/>
        </w:rPr>
        <w:t>December</w:t>
      </w:r>
      <w:r w:rsidR="000A10AA">
        <w:rPr>
          <w:rFonts w:ascii="Verdana" w:hAnsi="Verdana"/>
          <w:b/>
          <w:sz w:val="44"/>
        </w:rPr>
        <w:t xml:space="preserve"> 201</w:t>
      </w:r>
      <w:r w:rsidR="007B2D4A">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02E70F6B" w:rsidR="00D2187B"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D946ED">
        <w:rPr>
          <w:rFonts w:ascii="Verdana" w:hAnsi="Verdana"/>
          <w:b/>
          <w:caps/>
          <w:color w:val="FF0000"/>
          <w:sz w:val="18"/>
          <w:szCs w:val="18"/>
        </w:rPr>
        <w:t xml:space="preserve">Financial reporting </w:t>
      </w:r>
    </w:p>
    <w:p w14:paraId="1387AD83" w14:textId="50F83E00" w:rsidR="00D2187B" w:rsidRDefault="00D2187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D946ED" w:rsidRPr="00D946ED">
        <w:rPr>
          <w:rFonts w:ascii="Verdana" w:hAnsi="Verdana"/>
          <w:b/>
          <w:caps/>
          <w:color w:val="FF0000"/>
          <w:sz w:val="18"/>
          <w:szCs w:val="18"/>
        </w:rPr>
        <w:t>Jay Doherty-Stewart</w:t>
      </w:r>
    </w:p>
    <w:p w14:paraId="571833C2" w14:textId="0FBF4569" w:rsidR="001D1483"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D946ED">
        <w:rPr>
          <w:rFonts w:ascii="Verdana" w:hAnsi="Verdana"/>
          <w:b/>
          <w:caps/>
          <w:color w:val="FF0000"/>
          <w:sz w:val="18"/>
          <w:szCs w:val="18"/>
        </w:rPr>
        <w:t>170</w:t>
      </w:r>
      <w:r w:rsidR="00FA6085">
        <w:rPr>
          <w:rFonts w:ascii="Verdana" w:hAnsi="Verdana"/>
          <w:b/>
          <w:caps/>
          <w:color w:val="FF0000"/>
          <w:sz w:val="18"/>
          <w:szCs w:val="18"/>
        </w:rPr>
        <w:t>2614</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pPr>
    </w:p>
    <w:sdt>
      <w:sdtPr>
        <w:rPr>
          <w:rFonts w:ascii="Calibri" w:eastAsiaTheme="minorHAnsi" w:hAnsi="Calibri" w:cs="Calibri"/>
          <w:b w:val="0"/>
          <w:bCs w:val="0"/>
          <w:color w:val="auto"/>
          <w:sz w:val="22"/>
          <w:szCs w:val="22"/>
          <w:lang w:val="en-GB"/>
        </w:rPr>
        <w:id w:val="-1504501001"/>
        <w:docPartObj>
          <w:docPartGallery w:val="Table of Contents"/>
          <w:docPartUnique/>
        </w:docPartObj>
      </w:sdtPr>
      <w:sdtEndPr>
        <w:rPr>
          <w:noProof/>
        </w:rPr>
      </w:sdtEndPr>
      <w:sdtContent>
        <w:p w14:paraId="37452DE4" w14:textId="1A33E021" w:rsidR="00E51437" w:rsidRDefault="00E51437">
          <w:pPr>
            <w:pStyle w:val="TOCHeading"/>
          </w:pPr>
          <w:r>
            <w:t>Table of Contents</w:t>
          </w:r>
        </w:p>
        <w:p w14:paraId="265BD528" w14:textId="77777777" w:rsidR="00391BE0" w:rsidRDefault="00E51437">
          <w:pPr>
            <w:pStyle w:val="TOC1"/>
            <w:tabs>
              <w:tab w:val="left" w:pos="440"/>
              <w:tab w:val="right" w:leader="dot" w:pos="9016"/>
            </w:tabs>
            <w:rPr>
              <w:rFonts w:eastAsiaTheme="minorEastAsia" w:cstheme="minorBidi"/>
              <w:b w:val="0"/>
              <w:bCs w:val="0"/>
              <w:noProof/>
              <w:lang w:val="en-US"/>
            </w:rPr>
          </w:pPr>
          <w:r>
            <w:rPr>
              <w:b w:val="0"/>
              <w:bCs w:val="0"/>
            </w:rPr>
            <w:fldChar w:fldCharType="begin"/>
          </w:r>
          <w:r>
            <w:instrText xml:space="preserve"> TOC \o "1-3" \h \z \u </w:instrText>
          </w:r>
          <w:r>
            <w:rPr>
              <w:b w:val="0"/>
              <w:bCs w:val="0"/>
            </w:rPr>
            <w:fldChar w:fldCharType="separate"/>
          </w:r>
          <w:hyperlink w:anchor="_Toc531901676" w:history="1">
            <w:r w:rsidR="00391BE0" w:rsidRPr="00A4591A">
              <w:rPr>
                <w:rStyle w:val="Hyperlink"/>
                <w:rFonts w:eastAsia="Times New Roman" w:cs="Arial"/>
                <w:noProof/>
              </w:rPr>
              <w:t>1.</w:t>
            </w:r>
            <w:r w:rsidR="00391BE0">
              <w:rPr>
                <w:rFonts w:eastAsiaTheme="minorEastAsia" w:cstheme="minorBidi"/>
                <w:b w:val="0"/>
                <w:bCs w:val="0"/>
                <w:noProof/>
                <w:lang w:val="en-US"/>
              </w:rPr>
              <w:tab/>
            </w:r>
            <w:r w:rsidR="00391BE0" w:rsidRPr="00A4591A">
              <w:rPr>
                <w:rStyle w:val="Hyperlink"/>
                <w:rFonts w:eastAsia="Times New Roman" w:cs="Arial"/>
                <w:noProof/>
              </w:rPr>
              <w:t>Executive Summary</w:t>
            </w:r>
            <w:r w:rsidR="00391BE0">
              <w:rPr>
                <w:noProof/>
                <w:webHidden/>
              </w:rPr>
              <w:tab/>
            </w:r>
            <w:r w:rsidR="00391BE0">
              <w:rPr>
                <w:noProof/>
                <w:webHidden/>
              </w:rPr>
              <w:fldChar w:fldCharType="begin"/>
            </w:r>
            <w:r w:rsidR="00391BE0">
              <w:rPr>
                <w:noProof/>
                <w:webHidden/>
              </w:rPr>
              <w:instrText xml:space="preserve"> PAGEREF _Toc531901676 \h </w:instrText>
            </w:r>
            <w:r w:rsidR="00391BE0">
              <w:rPr>
                <w:noProof/>
                <w:webHidden/>
              </w:rPr>
            </w:r>
            <w:r w:rsidR="00391BE0">
              <w:rPr>
                <w:noProof/>
                <w:webHidden/>
              </w:rPr>
              <w:fldChar w:fldCharType="separate"/>
            </w:r>
            <w:r w:rsidR="00391BE0">
              <w:rPr>
                <w:noProof/>
                <w:webHidden/>
              </w:rPr>
              <w:t>2</w:t>
            </w:r>
            <w:r w:rsidR="00391BE0">
              <w:rPr>
                <w:noProof/>
                <w:webHidden/>
              </w:rPr>
              <w:fldChar w:fldCharType="end"/>
            </w:r>
          </w:hyperlink>
        </w:p>
        <w:p w14:paraId="2C0D1F99" w14:textId="77777777" w:rsidR="00391BE0" w:rsidRDefault="004B4359">
          <w:pPr>
            <w:pStyle w:val="TOC1"/>
            <w:tabs>
              <w:tab w:val="left" w:pos="440"/>
              <w:tab w:val="right" w:leader="dot" w:pos="9016"/>
            </w:tabs>
            <w:rPr>
              <w:rFonts w:eastAsiaTheme="minorEastAsia" w:cstheme="minorBidi"/>
              <w:b w:val="0"/>
              <w:bCs w:val="0"/>
              <w:noProof/>
              <w:lang w:val="en-US"/>
            </w:rPr>
          </w:pPr>
          <w:hyperlink w:anchor="_Toc531901677" w:history="1">
            <w:r w:rsidR="00391BE0" w:rsidRPr="00A4591A">
              <w:rPr>
                <w:rStyle w:val="Hyperlink"/>
                <w:rFonts w:eastAsia="Times New Roman" w:cs="Arial"/>
                <w:noProof/>
              </w:rPr>
              <w:t>2.</w:t>
            </w:r>
            <w:r w:rsidR="00391BE0">
              <w:rPr>
                <w:rFonts w:eastAsiaTheme="minorEastAsia" w:cstheme="minorBidi"/>
                <w:b w:val="0"/>
                <w:bCs w:val="0"/>
                <w:noProof/>
                <w:lang w:val="en-US"/>
              </w:rPr>
              <w:tab/>
            </w:r>
            <w:r w:rsidR="00391BE0" w:rsidRPr="00A4591A">
              <w:rPr>
                <w:rStyle w:val="Hyperlink"/>
                <w:rFonts w:eastAsia="Times New Roman" w:cs="Arial"/>
                <w:noProof/>
              </w:rPr>
              <w:t>Introduction</w:t>
            </w:r>
            <w:r w:rsidR="00391BE0">
              <w:rPr>
                <w:noProof/>
                <w:webHidden/>
              </w:rPr>
              <w:tab/>
            </w:r>
            <w:r w:rsidR="00391BE0">
              <w:rPr>
                <w:noProof/>
                <w:webHidden/>
              </w:rPr>
              <w:fldChar w:fldCharType="begin"/>
            </w:r>
            <w:r w:rsidR="00391BE0">
              <w:rPr>
                <w:noProof/>
                <w:webHidden/>
              </w:rPr>
              <w:instrText xml:space="preserve"> PAGEREF _Toc531901677 \h </w:instrText>
            </w:r>
            <w:r w:rsidR="00391BE0">
              <w:rPr>
                <w:noProof/>
                <w:webHidden/>
              </w:rPr>
            </w:r>
            <w:r w:rsidR="00391BE0">
              <w:rPr>
                <w:noProof/>
                <w:webHidden/>
              </w:rPr>
              <w:fldChar w:fldCharType="separate"/>
            </w:r>
            <w:r w:rsidR="00391BE0">
              <w:rPr>
                <w:noProof/>
                <w:webHidden/>
              </w:rPr>
              <w:t>2</w:t>
            </w:r>
            <w:r w:rsidR="00391BE0">
              <w:rPr>
                <w:noProof/>
                <w:webHidden/>
              </w:rPr>
              <w:fldChar w:fldCharType="end"/>
            </w:r>
          </w:hyperlink>
        </w:p>
        <w:p w14:paraId="0E81EFAD" w14:textId="77777777" w:rsidR="00391BE0" w:rsidRDefault="004B4359">
          <w:pPr>
            <w:pStyle w:val="TOC1"/>
            <w:tabs>
              <w:tab w:val="left" w:pos="440"/>
              <w:tab w:val="right" w:leader="dot" w:pos="9016"/>
            </w:tabs>
            <w:rPr>
              <w:rFonts w:eastAsiaTheme="minorEastAsia" w:cstheme="minorBidi"/>
              <w:b w:val="0"/>
              <w:bCs w:val="0"/>
              <w:noProof/>
              <w:lang w:val="en-US"/>
            </w:rPr>
          </w:pPr>
          <w:hyperlink w:anchor="_Toc531901678" w:history="1">
            <w:r w:rsidR="00391BE0" w:rsidRPr="00A4591A">
              <w:rPr>
                <w:rStyle w:val="Hyperlink"/>
                <w:rFonts w:eastAsia="Times New Roman" w:cs="Arial"/>
                <w:noProof/>
              </w:rPr>
              <w:t>3.</w:t>
            </w:r>
            <w:r w:rsidR="00391BE0">
              <w:rPr>
                <w:rFonts w:eastAsiaTheme="minorEastAsia" w:cstheme="minorBidi"/>
                <w:b w:val="0"/>
                <w:bCs w:val="0"/>
                <w:noProof/>
                <w:lang w:val="en-US"/>
              </w:rPr>
              <w:tab/>
            </w:r>
            <w:r w:rsidR="00391BE0" w:rsidRPr="00A4591A">
              <w:rPr>
                <w:rStyle w:val="Hyperlink"/>
                <w:rFonts w:eastAsia="Times New Roman" w:cs="Arial"/>
                <w:noProof/>
              </w:rPr>
              <w:t>The Way in Which Leases are Accounted for in FRS 102.</w:t>
            </w:r>
            <w:r w:rsidR="00391BE0">
              <w:rPr>
                <w:noProof/>
                <w:webHidden/>
              </w:rPr>
              <w:tab/>
            </w:r>
            <w:r w:rsidR="00391BE0">
              <w:rPr>
                <w:noProof/>
                <w:webHidden/>
              </w:rPr>
              <w:fldChar w:fldCharType="begin"/>
            </w:r>
            <w:r w:rsidR="00391BE0">
              <w:rPr>
                <w:noProof/>
                <w:webHidden/>
              </w:rPr>
              <w:instrText xml:space="preserve"> PAGEREF _Toc531901678 \h </w:instrText>
            </w:r>
            <w:r w:rsidR="00391BE0">
              <w:rPr>
                <w:noProof/>
                <w:webHidden/>
              </w:rPr>
            </w:r>
            <w:r w:rsidR="00391BE0">
              <w:rPr>
                <w:noProof/>
                <w:webHidden/>
              </w:rPr>
              <w:fldChar w:fldCharType="separate"/>
            </w:r>
            <w:r w:rsidR="00391BE0">
              <w:rPr>
                <w:noProof/>
                <w:webHidden/>
              </w:rPr>
              <w:t>3</w:t>
            </w:r>
            <w:r w:rsidR="00391BE0">
              <w:rPr>
                <w:noProof/>
                <w:webHidden/>
              </w:rPr>
              <w:fldChar w:fldCharType="end"/>
            </w:r>
          </w:hyperlink>
        </w:p>
        <w:p w14:paraId="29D47114" w14:textId="77777777" w:rsidR="00391BE0" w:rsidRDefault="004B4359">
          <w:pPr>
            <w:pStyle w:val="TOC1"/>
            <w:tabs>
              <w:tab w:val="left" w:pos="440"/>
              <w:tab w:val="right" w:leader="dot" w:pos="9016"/>
            </w:tabs>
            <w:rPr>
              <w:rFonts w:eastAsiaTheme="minorEastAsia" w:cstheme="minorBidi"/>
              <w:b w:val="0"/>
              <w:bCs w:val="0"/>
              <w:noProof/>
              <w:lang w:val="en-US"/>
            </w:rPr>
          </w:pPr>
          <w:hyperlink w:anchor="_Toc531901679" w:history="1">
            <w:r w:rsidR="00391BE0" w:rsidRPr="00A4591A">
              <w:rPr>
                <w:rStyle w:val="Hyperlink"/>
                <w:noProof/>
              </w:rPr>
              <w:t>4.</w:t>
            </w:r>
            <w:r w:rsidR="00391BE0">
              <w:rPr>
                <w:rFonts w:eastAsiaTheme="minorEastAsia" w:cstheme="minorBidi"/>
                <w:b w:val="0"/>
                <w:bCs w:val="0"/>
                <w:noProof/>
                <w:lang w:val="en-US"/>
              </w:rPr>
              <w:tab/>
            </w:r>
            <w:r w:rsidR="00391BE0" w:rsidRPr="00A4591A">
              <w:rPr>
                <w:rStyle w:val="Hyperlink"/>
                <w:noProof/>
              </w:rPr>
              <w:t>Criticism of the Approach Adopted By The Current Accounting Standard.</w:t>
            </w:r>
            <w:r w:rsidR="00391BE0">
              <w:rPr>
                <w:noProof/>
                <w:webHidden/>
              </w:rPr>
              <w:tab/>
            </w:r>
            <w:r w:rsidR="00391BE0">
              <w:rPr>
                <w:noProof/>
                <w:webHidden/>
              </w:rPr>
              <w:fldChar w:fldCharType="begin"/>
            </w:r>
            <w:r w:rsidR="00391BE0">
              <w:rPr>
                <w:noProof/>
                <w:webHidden/>
              </w:rPr>
              <w:instrText xml:space="preserve"> PAGEREF _Toc531901679 \h </w:instrText>
            </w:r>
            <w:r w:rsidR="00391BE0">
              <w:rPr>
                <w:noProof/>
                <w:webHidden/>
              </w:rPr>
            </w:r>
            <w:r w:rsidR="00391BE0">
              <w:rPr>
                <w:noProof/>
                <w:webHidden/>
              </w:rPr>
              <w:fldChar w:fldCharType="separate"/>
            </w:r>
            <w:r w:rsidR="00391BE0">
              <w:rPr>
                <w:noProof/>
                <w:webHidden/>
              </w:rPr>
              <w:t>3</w:t>
            </w:r>
            <w:r w:rsidR="00391BE0">
              <w:rPr>
                <w:noProof/>
                <w:webHidden/>
              </w:rPr>
              <w:fldChar w:fldCharType="end"/>
            </w:r>
          </w:hyperlink>
        </w:p>
        <w:p w14:paraId="5602CCB4" w14:textId="77777777" w:rsidR="00391BE0" w:rsidRDefault="004B4359">
          <w:pPr>
            <w:pStyle w:val="TOC1"/>
            <w:tabs>
              <w:tab w:val="left" w:pos="440"/>
              <w:tab w:val="right" w:leader="dot" w:pos="9016"/>
            </w:tabs>
            <w:rPr>
              <w:rFonts w:eastAsiaTheme="minorEastAsia" w:cstheme="minorBidi"/>
              <w:b w:val="0"/>
              <w:bCs w:val="0"/>
              <w:noProof/>
              <w:lang w:val="en-US"/>
            </w:rPr>
          </w:pPr>
          <w:hyperlink w:anchor="_Toc531901680" w:history="1">
            <w:r w:rsidR="00391BE0" w:rsidRPr="00A4591A">
              <w:rPr>
                <w:rStyle w:val="Hyperlink"/>
                <w:rFonts w:eastAsia="Times New Roman" w:cs="Arial"/>
                <w:noProof/>
              </w:rPr>
              <w:t>5.</w:t>
            </w:r>
            <w:r w:rsidR="00391BE0">
              <w:rPr>
                <w:rFonts w:eastAsiaTheme="minorEastAsia" w:cstheme="minorBidi"/>
                <w:b w:val="0"/>
                <w:bCs w:val="0"/>
                <w:noProof/>
                <w:lang w:val="en-US"/>
              </w:rPr>
              <w:tab/>
            </w:r>
            <w:r w:rsidR="00391BE0" w:rsidRPr="00A4591A">
              <w:rPr>
                <w:rStyle w:val="Hyperlink"/>
                <w:rFonts w:eastAsia="Times New Roman" w:cs="Arial"/>
                <w:noProof/>
              </w:rPr>
              <w:t>Conclusion</w:t>
            </w:r>
            <w:r w:rsidR="00391BE0">
              <w:rPr>
                <w:noProof/>
                <w:webHidden/>
              </w:rPr>
              <w:tab/>
            </w:r>
            <w:r w:rsidR="00391BE0">
              <w:rPr>
                <w:noProof/>
                <w:webHidden/>
              </w:rPr>
              <w:fldChar w:fldCharType="begin"/>
            </w:r>
            <w:r w:rsidR="00391BE0">
              <w:rPr>
                <w:noProof/>
                <w:webHidden/>
              </w:rPr>
              <w:instrText xml:space="preserve"> PAGEREF _Toc531901680 \h </w:instrText>
            </w:r>
            <w:r w:rsidR="00391BE0">
              <w:rPr>
                <w:noProof/>
                <w:webHidden/>
              </w:rPr>
            </w:r>
            <w:r w:rsidR="00391BE0">
              <w:rPr>
                <w:noProof/>
                <w:webHidden/>
              </w:rPr>
              <w:fldChar w:fldCharType="separate"/>
            </w:r>
            <w:r w:rsidR="00391BE0">
              <w:rPr>
                <w:noProof/>
                <w:webHidden/>
              </w:rPr>
              <w:t>5</w:t>
            </w:r>
            <w:r w:rsidR="00391BE0">
              <w:rPr>
                <w:noProof/>
                <w:webHidden/>
              </w:rPr>
              <w:fldChar w:fldCharType="end"/>
            </w:r>
          </w:hyperlink>
        </w:p>
        <w:p w14:paraId="4473F752" w14:textId="77777777" w:rsidR="00391BE0" w:rsidRDefault="004B4359">
          <w:pPr>
            <w:pStyle w:val="TOC1"/>
            <w:tabs>
              <w:tab w:val="left" w:pos="440"/>
              <w:tab w:val="right" w:leader="dot" w:pos="9016"/>
            </w:tabs>
            <w:rPr>
              <w:rFonts w:eastAsiaTheme="minorEastAsia" w:cstheme="minorBidi"/>
              <w:b w:val="0"/>
              <w:bCs w:val="0"/>
              <w:noProof/>
              <w:lang w:val="en-US"/>
            </w:rPr>
          </w:pPr>
          <w:hyperlink w:anchor="_Toc531901681" w:history="1">
            <w:r w:rsidR="00391BE0" w:rsidRPr="00A4591A">
              <w:rPr>
                <w:rStyle w:val="Hyperlink"/>
                <w:rFonts w:eastAsia="Times New Roman" w:cs="Arial"/>
                <w:noProof/>
              </w:rPr>
              <w:t>6.</w:t>
            </w:r>
            <w:r w:rsidR="00391BE0">
              <w:rPr>
                <w:rFonts w:eastAsiaTheme="minorEastAsia" w:cstheme="minorBidi"/>
                <w:b w:val="0"/>
                <w:bCs w:val="0"/>
                <w:noProof/>
                <w:lang w:val="en-US"/>
              </w:rPr>
              <w:tab/>
            </w:r>
            <w:r w:rsidR="00391BE0" w:rsidRPr="00A4591A">
              <w:rPr>
                <w:rStyle w:val="Hyperlink"/>
                <w:rFonts w:eastAsia="Times New Roman" w:cs="Arial"/>
                <w:noProof/>
              </w:rPr>
              <w:t>References</w:t>
            </w:r>
            <w:r w:rsidR="00391BE0">
              <w:rPr>
                <w:noProof/>
                <w:webHidden/>
              </w:rPr>
              <w:tab/>
            </w:r>
            <w:r w:rsidR="00391BE0">
              <w:rPr>
                <w:noProof/>
                <w:webHidden/>
              </w:rPr>
              <w:fldChar w:fldCharType="begin"/>
            </w:r>
            <w:r w:rsidR="00391BE0">
              <w:rPr>
                <w:noProof/>
                <w:webHidden/>
              </w:rPr>
              <w:instrText xml:space="preserve"> PAGEREF _Toc531901681 \h </w:instrText>
            </w:r>
            <w:r w:rsidR="00391BE0">
              <w:rPr>
                <w:noProof/>
                <w:webHidden/>
              </w:rPr>
            </w:r>
            <w:r w:rsidR="00391BE0">
              <w:rPr>
                <w:noProof/>
                <w:webHidden/>
              </w:rPr>
              <w:fldChar w:fldCharType="separate"/>
            </w:r>
            <w:r w:rsidR="00391BE0">
              <w:rPr>
                <w:noProof/>
                <w:webHidden/>
              </w:rPr>
              <w:t>5</w:t>
            </w:r>
            <w:r w:rsidR="00391BE0">
              <w:rPr>
                <w:noProof/>
                <w:webHidden/>
              </w:rPr>
              <w:fldChar w:fldCharType="end"/>
            </w:r>
          </w:hyperlink>
        </w:p>
        <w:p w14:paraId="73FE6130" w14:textId="1CC705BD" w:rsidR="00E51437" w:rsidRDefault="00E51437">
          <w:r>
            <w:rPr>
              <w:b/>
              <w:bCs/>
              <w:noProof/>
            </w:rPr>
            <w:fldChar w:fldCharType="end"/>
          </w:r>
        </w:p>
      </w:sdtContent>
    </w:sdt>
    <w:p w14:paraId="4759A750" w14:textId="4586E829" w:rsidR="009B20F4" w:rsidRPr="008B0864" w:rsidRDefault="009B20F4" w:rsidP="00E07A49">
      <w:pPr>
        <w:pStyle w:val="TableofFigures"/>
        <w:tabs>
          <w:tab w:val="right" w:leader="dot" w:pos="9016"/>
        </w:tabs>
        <w:spacing w:line="360" w:lineRule="auto"/>
        <w:rPr>
          <w:rFonts w:ascii="Verdana" w:hAnsi="Verdana"/>
          <w:sz w:val="18"/>
          <w:szCs w:val="18"/>
        </w:rPr>
      </w:pPr>
    </w:p>
    <w:p w14:paraId="06732B3D" w14:textId="0B4E822E" w:rsidR="00E67E94" w:rsidRDefault="00E67E9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0" w:name="_Toc531901676"/>
      <w:bookmarkStart w:id="1" w:name="_Toc419303684"/>
      <w:bookmarkStart w:id="2" w:name="_Toc510020282"/>
      <w:r>
        <w:rPr>
          <w:rFonts w:eastAsia="Times New Roman" w:cs="Arial"/>
          <w:bCs/>
          <w:szCs w:val="20"/>
        </w:rPr>
        <w:t>Executive Summary</w:t>
      </w:r>
      <w:bookmarkEnd w:id="0"/>
      <w:r>
        <w:rPr>
          <w:rFonts w:eastAsia="Times New Roman" w:cs="Arial"/>
          <w:bCs/>
          <w:szCs w:val="20"/>
        </w:rPr>
        <w:t xml:space="preserve"> </w:t>
      </w:r>
    </w:p>
    <w:p w14:paraId="5FB49A15" w14:textId="1E2A5CB6" w:rsidR="00E82E13" w:rsidRDefault="00E82E13" w:rsidP="00E82E13">
      <w:r>
        <w:t>During this publication, I will discuss the ways in which leases are currently differentiated and accounted for with accordance to FRS 102. I will also differentiate between both operating leases and finance leases, as well as explaining how they are accounted for in the financial statements.</w:t>
      </w:r>
    </w:p>
    <w:p w14:paraId="5A33637E" w14:textId="4541104E" w:rsidR="00E82E13" w:rsidRPr="00E82E13" w:rsidRDefault="00E82E13" w:rsidP="00E82E13">
      <w:r>
        <w:t xml:space="preserve">I will also discuss the criticisms of the current accounting standard and consider which treatments have been included in IFRS 16 and discuss how this will impact financial statements of companies. </w:t>
      </w:r>
    </w:p>
    <w:p w14:paraId="3DE2249D" w14:textId="77777777" w:rsidR="00F25F74" w:rsidRPr="00F25F74" w:rsidRDefault="00F25F74" w:rsidP="00F25F74"/>
    <w:p w14:paraId="02FA05B9" w14:textId="4DDADF61" w:rsidR="009B20F4"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3" w:name="_Toc531901677"/>
      <w:r w:rsidRPr="0043085E">
        <w:rPr>
          <w:rFonts w:eastAsia="Times New Roman" w:cs="Arial"/>
          <w:bCs/>
          <w:szCs w:val="20"/>
        </w:rPr>
        <w:t>Introduction</w:t>
      </w:r>
      <w:bookmarkEnd w:id="1"/>
      <w:bookmarkEnd w:id="2"/>
      <w:bookmarkEnd w:id="3"/>
    </w:p>
    <w:p w14:paraId="5701D845" w14:textId="09D32D11" w:rsidR="00981A91" w:rsidRPr="00E82E13" w:rsidRDefault="00981A91" w:rsidP="00981A91">
      <w:pPr>
        <w:ind w:firstLine="720"/>
      </w:pPr>
      <w:r>
        <w:t>During this publication, I will discuss the ways in which leases are currently differentiated and accounted for with accordance to FRS 102. I will also differentiate between both operating leases and finance leases, as well as explaining how they are accounted for in the financial statements.</w:t>
      </w:r>
      <w:r>
        <w:t xml:space="preserve"> </w:t>
      </w:r>
      <w:r>
        <w:t xml:space="preserve">I will also discuss the criticisms of the current accounting standard and consider which treatments have been included in IFRS 16 and discuss how this will impact financial statements of companies. </w:t>
      </w:r>
    </w:p>
    <w:p w14:paraId="4F1BCAFA" w14:textId="6462E00C" w:rsidR="00FA6085" w:rsidRDefault="00FA6085" w:rsidP="001B73F7">
      <w:r>
        <w:t xml:space="preserve">The FRS 102 is the Financial Reporting Standard which is applicable in all parts across the United Kingdom as well as in the Republic of Ireland. It replaces all of the UK’s reporting standards. </w:t>
      </w:r>
      <w:sdt>
        <w:sdtPr>
          <w:id w:val="-1933034933"/>
          <w:citation/>
        </w:sdtPr>
        <w:sdtEndPr/>
        <w:sdtContent>
          <w:r>
            <w:fldChar w:fldCharType="begin"/>
          </w:r>
          <w:r>
            <w:instrText xml:space="preserve"> CITATION ICA13 \l 2057 </w:instrText>
          </w:r>
          <w:r>
            <w:fldChar w:fldCharType="separate"/>
          </w:r>
          <w:r w:rsidR="00981A91" w:rsidRPr="00981A91">
            <w:rPr>
              <w:noProof/>
            </w:rPr>
            <w:t>(ICAEW, 2013)</w:t>
          </w:r>
          <w:r>
            <w:fldChar w:fldCharType="end"/>
          </w:r>
        </w:sdtContent>
      </w:sdt>
      <w:r>
        <w:t>. The change in the lease now means that all leases are accounted for in the same way. Accounting for leases is covered in the accounting standard FRS 102, section 20. Most of the amendments are not compulsory until accounting periods which begin either on or after 1</w:t>
      </w:r>
      <w:r w:rsidRPr="00FA6085">
        <w:rPr>
          <w:vertAlign w:val="superscript"/>
        </w:rPr>
        <w:t>st</w:t>
      </w:r>
      <w:r>
        <w:t xml:space="preserve"> January 2019. However, it is advised for companies to adapt earlier on. </w:t>
      </w:r>
      <w:sdt>
        <w:sdtPr>
          <w:id w:val="-112215407"/>
          <w:citation/>
        </w:sdtPr>
        <w:sdtEndPr/>
        <w:sdtContent>
          <w:r>
            <w:fldChar w:fldCharType="begin"/>
          </w:r>
          <w:r>
            <w:instrText xml:space="preserve"> CITATION Nig171 \l 2057 </w:instrText>
          </w:r>
          <w:r>
            <w:fldChar w:fldCharType="separate"/>
          </w:r>
          <w:r w:rsidR="00981A91" w:rsidRPr="00981A91">
            <w:rPr>
              <w:noProof/>
            </w:rPr>
            <w:t>(Sleigh-Johnson, 2017)</w:t>
          </w:r>
          <w:r>
            <w:fldChar w:fldCharType="end"/>
          </w:r>
        </w:sdtContent>
      </w:sdt>
    </w:p>
    <w:p w14:paraId="4CBA2A47" w14:textId="0E4C570C" w:rsidR="009B20F4" w:rsidRDefault="00FA6085" w:rsidP="001B73F7">
      <w:r>
        <w:br w:type="page"/>
      </w:r>
    </w:p>
    <w:p w14:paraId="56DFDB63" w14:textId="518997D9" w:rsidR="0011351A" w:rsidRPr="00E04669" w:rsidRDefault="00391BE0" w:rsidP="00E04669">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4" w:name="_Toc531901678"/>
      <w:r>
        <w:rPr>
          <w:rFonts w:eastAsia="Times New Roman" w:cs="Arial"/>
          <w:bCs/>
          <w:szCs w:val="20"/>
        </w:rPr>
        <w:lastRenderedPageBreak/>
        <w:t>The Way in Which Leases are A</w:t>
      </w:r>
      <w:r w:rsidR="00FA6085">
        <w:rPr>
          <w:rFonts w:eastAsia="Times New Roman" w:cs="Arial"/>
          <w:bCs/>
          <w:szCs w:val="20"/>
        </w:rPr>
        <w:t>ccounted</w:t>
      </w:r>
      <w:r>
        <w:rPr>
          <w:rFonts w:eastAsia="Times New Roman" w:cs="Arial"/>
          <w:bCs/>
          <w:szCs w:val="20"/>
        </w:rPr>
        <w:t xml:space="preserve"> for in FRS</w:t>
      </w:r>
      <w:r w:rsidR="00FA6085">
        <w:rPr>
          <w:rFonts w:eastAsia="Times New Roman" w:cs="Arial"/>
          <w:bCs/>
          <w:szCs w:val="20"/>
        </w:rPr>
        <w:t xml:space="preserve"> 102.</w:t>
      </w:r>
      <w:bookmarkEnd w:id="4"/>
    </w:p>
    <w:p w14:paraId="01B6B328" w14:textId="70782F0C" w:rsidR="00AA1B44" w:rsidRDefault="00AA1B44" w:rsidP="001B73F7">
      <w:r w:rsidRPr="00AA1B44">
        <w:t xml:space="preserve">In section 20 of FRS 102, the classification of a lease is still similar to how it was in </w:t>
      </w:r>
      <w:r>
        <w:t>SSAP</w:t>
      </w:r>
      <w:r w:rsidRPr="00AA1B44">
        <w:t xml:space="preserve">21. FRS 102 also requires a full disclosure of the total minimum lease commitment for the future rather than an annual lease commitment which was required under the UK GAAP. The method of determination whether a lease is either a financing lease, or operating lease is decided based on the substance of the agreement. In simple terms, it looks at who has both the risks and rewards of the ownership. </w:t>
      </w:r>
      <w:sdt>
        <w:sdtPr>
          <w:id w:val="1420987064"/>
          <w:citation/>
        </w:sdtPr>
        <w:sdtEndPr/>
        <w:sdtContent>
          <w:r w:rsidRPr="00AA1B44">
            <w:fldChar w:fldCharType="begin"/>
          </w:r>
          <w:r w:rsidRPr="00AA1B44">
            <w:instrText xml:space="preserve"> CITATION Ste16 \l 2057 </w:instrText>
          </w:r>
          <w:r w:rsidRPr="00AA1B44">
            <w:fldChar w:fldCharType="separate"/>
          </w:r>
          <w:r w:rsidR="00981A91" w:rsidRPr="00981A91">
            <w:rPr>
              <w:noProof/>
            </w:rPr>
            <w:t>(Collings, 2016)</w:t>
          </w:r>
          <w:r w:rsidRPr="00AA1B44">
            <w:fldChar w:fldCharType="end"/>
          </w:r>
        </w:sdtContent>
      </w:sdt>
      <w:r w:rsidRPr="00AA1B44">
        <w:t xml:space="preserve">. A finance lease is a means of providing finance which usually, the leasing company buys the asset for a user and then rents it to them for a specific period which is agreed. A finance lease is known as a lease that transfers. </w:t>
      </w:r>
      <w:sdt>
        <w:sdtPr>
          <w:id w:val="1796872985"/>
          <w:citation/>
        </w:sdtPr>
        <w:sdtEndPr/>
        <w:sdtContent>
          <w:r w:rsidRPr="00AA1B44">
            <w:fldChar w:fldCharType="begin"/>
          </w:r>
          <w:r w:rsidRPr="00AA1B44">
            <w:instrText xml:space="preserve"> CITATION Cat13 \l 2057 </w:instrText>
          </w:r>
          <w:r w:rsidRPr="00AA1B44">
            <w:fldChar w:fldCharType="separate"/>
          </w:r>
          <w:r w:rsidR="00981A91" w:rsidRPr="00981A91">
            <w:rPr>
              <w:noProof/>
            </w:rPr>
            <w:t>(Dawson, 2013)</w:t>
          </w:r>
          <w:r w:rsidRPr="00AA1B44">
            <w:fldChar w:fldCharType="end"/>
          </w:r>
        </w:sdtContent>
      </w:sdt>
      <w:r w:rsidRPr="00AA1B44">
        <w:t xml:space="preserve">. </w:t>
      </w:r>
    </w:p>
    <w:p w14:paraId="751CCF2D" w14:textId="1F3A8470" w:rsidR="00AA1B44" w:rsidRDefault="00AA1B44" w:rsidP="001B73F7">
      <w:r w:rsidRPr="00AA1B44">
        <w:t xml:space="preserve">Finance leases on the balance sheet recognizes the right of use of an asset and the lease liability which is originally measured at the current value of the lease payments. The income statement for finance leases identify the interest expense which comes with the lease liability and repayment of the asset. These totals are not necessary to be presented on a separate line for each, and are presented in a way which is consistent in regard to how the other interest expenses and depreciation or repayments of the other assets. </w:t>
      </w:r>
      <w:sdt>
        <w:sdtPr>
          <w:id w:val="-550312783"/>
          <w:citation/>
        </w:sdtPr>
        <w:sdtEndPr/>
        <w:sdtContent>
          <w:r w:rsidRPr="00AA1B44">
            <w:fldChar w:fldCharType="begin"/>
          </w:r>
          <w:r w:rsidRPr="00AA1B44">
            <w:instrText xml:space="preserve"> CITATION Cen17 \l 2057 </w:instrText>
          </w:r>
          <w:r w:rsidRPr="00AA1B44">
            <w:fldChar w:fldCharType="separate"/>
          </w:r>
          <w:r w:rsidR="00981A91" w:rsidRPr="00981A91">
            <w:rPr>
              <w:noProof/>
            </w:rPr>
            <w:t>(Centre for Audit Quality , 2017 )</w:t>
          </w:r>
          <w:r w:rsidRPr="00AA1B44">
            <w:fldChar w:fldCharType="end"/>
          </w:r>
        </w:sdtContent>
      </w:sdt>
      <w:r w:rsidRPr="00AA1B44">
        <w:t xml:space="preserve"> </w:t>
      </w:r>
    </w:p>
    <w:p w14:paraId="0A1A48A0" w14:textId="2C3EDA82" w:rsidR="00AA1B44" w:rsidRDefault="00AA1B44" w:rsidP="001B73F7">
      <w:r w:rsidRPr="00AA1B44">
        <w:t xml:space="preserve">On the other hand, an operating lease does not transfer all of the risks nor the rewards of ownership to the lessee. It usually runs for less than the full life of the asset and at the end of the lease period have a residual value which is the resale value of the asset. </w:t>
      </w:r>
      <w:sdt>
        <w:sdtPr>
          <w:id w:val="430788675"/>
          <w:citation/>
        </w:sdtPr>
        <w:sdtEndPr/>
        <w:sdtContent>
          <w:r w:rsidRPr="00AA1B44">
            <w:fldChar w:fldCharType="begin"/>
          </w:r>
          <w:r w:rsidRPr="00AA1B44">
            <w:instrText xml:space="preserve"> CITATION Cat13 \l 2057 </w:instrText>
          </w:r>
          <w:r w:rsidRPr="00AA1B44">
            <w:fldChar w:fldCharType="separate"/>
          </w:r>
          <w:r w:rsidR="00981A91" w:rsidRPr="00981A91">
            <w:rPr>
              <w:noProof/>
            </w:rPr>
            <w:t>(Dawson, 2013)</w:t>
          </w:r>
          <w:r w:rsidRPr="00AA1B44">
            <w:fldChar w:fldCharType="end"/>
          </w:r>
        </w:sdtContent>
      </w:sdt>
      <w:r w:rsidRPr="00AA1B44">
        <w:t>.</w:t>
      </w:r>
    </w:p>
    <w:p w14:paraId="566BCE37" w14:textId="77777777" w:rsidR="00AA1B44" w:rsidRDefault="00AA1B44" w:rsidP="001B73F7">
      <w:r w:rsidRPr="00AA1B44">
        <w:t xml:space="preserve">When accounting for an operating lease, it is assumed that the lessor owns the asset which is leased and that the lessee uses the asset for a specific period of time. Taking the ownership and usage into consideration, the accounting treatment of an operating lease is described by the lessee and lessor. </w:t>
      </w:r>
    </w:p>
    <w:p w14:paraId="22331F5D" w14:textId="022F4A8D" w:rsidR="00AA1B44" w:rsidRPr="00AA1B44" w:rsidRDefault="00AA1B44" w:rsidP="001B73F7">
      <w:r w:rsidRPr="00AA1B44">
        <w:t xml:space="preserve">Operating leases are accounted for on the balance sheet recognizes the use of an asset and a lease liability which is measured at the present value of the current lease payments. On the income statement, operating leases recognize a single cost, which is calculated so that the overall cost of the lease is allocated over the leasing term, usually over a straight-line basis. This expense is included in the income from ongoing operations. On the statement of cash flows, all cash payments are classified within different operating activities. </w:t>
      </w:r>
      <w:sdt>
        <w:sdtPr>
          <w:id w:val="57055042"/>
          <w:citation/>
        </w:sdtPr>
        <w:sdtEndPr/>
        <w:sdtContent>
          <w:r w:rsidRPr="00AA1B44">
            <w:fldChar w:fldCharType="begin"/>
          </w:r>
          <w:r w:rsidRPr="00AA1B44">
            <w:instrText xml:space="preserve"> CITATION Ste10 \l 2057 </w:instrText>
          </w:r>
          <w:r w:rsidRPr="00AA1B44">
            <w:fldChar w:fldCharType="separate"/>
          </w:r>
          <w:r w:rsidR="00981A91" w:rsidRPr="00981A91">
            <w:rPr>
              <w:noProof/>
            </w:rPr>
            <w:t>(Collings, 2010)</w:t>
          </w:r>
          <w:r w:rsidRPr="00AA1B44">
            <w:fldChar w:fldCharType="end"/>
          </w:r>
        </w:sdtContent>
      </w:sdt>
      <w:r w:rsidRPr="00AA1B44">
        <w:t>`</w:t>
      </w:r>
    </w:p>
    <w:p w14:paraId="3F3CC27F" w14:textId="77777777" w:rsidR="00E06E84" w:rsidRPr="00811B3F" w:rsidRDefault="00E06E84" w:rsidP="00DF1E05">
      <w:pPr>
        <w:pStyle w:val="NormalIndent"/>
        <w:spacing w:line="480" w:lineRule="auto"/>
        <w:ind w:left="0"/>
        <w:rPr>
          <w:b/>
          <w:color w:val="FF0000"/>
        </w:rPr>
      </w:pPr>
    </w:p>
    <w:p w14:paraId="129D06B9" w14:textId="71189F37" w:rsidR="006A168F" w:rsidRDefault="006A168F" w:rsidP="009B20F4">
      <w:pPr>
        <w:pStyle w:val="NormalIndent"/>
        <w:spacing w:line="480" w:lineRule="auto"/>
        <w:rPr>
          <w:b/>
          <w:color w:val="FF0000"/>
        </w:rPr>
      </w:pPr>
    </w:p>
    <w:p w14:paraId="38F7A91A" w14:textId="060B9C2D" w:rsidR="006A168F" w:rsidRDefault="00E67E94" w:rsidP="00E04669">
      <w:pPr>
        <w:pStyle w:val="Heading1"/>
        <w:keepNext/>
        <w:numPr>
          <w:ilvl w:val="0"/>
          <w:numId w:val="1"/>
        </w:numPr>
        <w:tabs>
          <w:tab w:val="num" w:pos="0"/>
          <w:tab w:val="num" w:pos="851"/>
        </w:tabs>
        <w:spacing w:after="0" w:line="480" w:lineRule="auto"/>
        <w:ind w:left="851" w:hanging="851"/>
        <w:contextualSpacing w:val="0"/>
        <w:rPr>
          <w:szCs w:val="32"/>
        </w:rPr>
      </w:pPr>
      <w:bookmarkStart w:id="5" w:name="_Toc531901679"/>
      <w:r>
        <w:rPr>
          <w:szCs w:val="32"/>
        </w:rPr>
        <w:t>Criticism of the Approach Adopted By The C</w:t>
      </w:r>
      <w:r w:rsidR="00DF1E05" w:rsidRPr="00E51437">
        <w:rPr>
          <w:szCs w:val="32"/>
        </w:rPr>
        <w:t>urrent</w:t>
      </w:r>
      <w:r>
        <w:rPr>
          <w:szCs w:val="32"/>
        </w:rPr>
        <w:t xml:space="preserve"> Accounting S</w:t>
      </w:r>
      <w:r w:rsidR="00DF1E05" w:rsidRPr="00E51437">
        <w:rPr>
          <w:szCs w:val="32"/>
        </w:rPr>
        <w:t>tandard</w:t>
      </w:r>
      <w:r w:rsidR="00AA1B44">
        <w:rPr>
          <w:szCs w:val="32"/>
        </w:rPr>
        <w:t>.</w:t>
      </w:r>
      <w:bookmarkEnd w:id="5"/>
    </w:p>
    <w:p w14:paraId="2565691D" w14:textId="36B8F5DD" w:rsidR="00AA1B44" w:rsidRDefault="00981A91" w:rsidP="00AA1B44">
      <w:r>
        <w:t>The International Accounting Standards board published the new accounting standard, IFRS 16 in January 2016, which were then effective for any financial periods which began either on or after January 1</w:t>
      </w:r>
      <w:r w:rsidRPr="00981A91">
        <w:rPr>
          <w:vertAlign w:val="superscript"/>
        </w:rPr>
        <w:t>st</w:t>
      </w:r>
      <w:r>
        <w:t xml:space="preserve"> 2019. Majority of modern day businesses now use rentals and/or leasing as a method to be able to gain access to assets, meaning that they will be affected by the new standard coming into practice. The IFRS 16 now excludes almost all of the balance sheet accounts for lessees and redefine any financial metrics which include the gearing ratio and EBITDA</w:t>
      </w:r>
      <w:sdt>
        <w:sdtPr>
          <w:id w:val="-481776907"/>
          <w:citation/>
        </w:sdtPr>
        <w:sdtContent>
          <w:r>
            <w:fldChar w:fldCharType="begin"/>
          </w:r>
          <w:r>
            <w:instrText xml:space="preserve">CITATION PWC \l 2057 </w:instrText>
          </w:r>
          <w:r>
            <w:fldChar w:fldCharType="separate"/>
          </w:r>
          <w:r>
            <w:rPr>
              <w:noProof/>
            </w:rPr>
            <w:t xml:space="preserve"> </w:t>
          </w:r>
          <w:r w:rsidRPr="00981A91">
            <w:rPr>
              <w:noProof/>
            </w:rPr>
            <w:t>(PWC, 2016 )</w:t>
          </w:r>
          <w:r>
            <w:fldChar w:fldCharType="end"/>
          </w:r>
        </w:sdtContent>
      </w:sdt>
      <w:r>
        <w:t xml:space="preserve">. </w:t>
      </w:r>
    </w:p>
    <w:p w14:paraId="497A1E80" w14:textId="46295848" w:rsidR="00981A91" w:rsidRPr="00AA1B44" w:rsidRDefault="00981A91" w:rsidP="00AA1B44">
      <w:r>
        <w:tab/>
        <w:t xml:space="preserve">The new accounting standard known as IFRS 16 can potentially cause some real problems for companies which must abide by it, due to the huge changes created in the accounting for leases. The </w:t>
      </w:r>
      <w:r>
        <w:lastRenderedPageBreak/>
        <w:t xml:space="preserve">new leases will then bring what is called the operating leases off the ‘off-balance sheet’ and place them onto the balance sheet, through showing both the assets and the liabilities which are related to those leases. </w:t>
      </w:r>
    </w:p>
    <w:p w14:paraId="4DA2705D" w14:textId="77777777" w:rsidR="00944684" w:rsidRDefault="00944684" w:rsidP="004D4A74">
      <w:pPr>
        <w:pStyle w:val="Heading1"/>
        <w:keepNext/>
        <w:numPr>
          <w:ilvl w:val="0"/>
          <w:numId w:val="0"/>
        </w:numPr>
        <w:spacing w:after="0" w:line="480" w:lineRule="auto"/>
        <w:ind w:left="851"/>
        <w:contextualSpacing w:val="0"/>
        <w:rPr>
          <w:rFonts w:eastAsia="Times New Roman" w:cs="Arial"/>
          <w:bCs/>
          <w:szCs w:val="20"/>
        </w:rPr>
      </w:pPr>
      <w:bookmarkStart w:id="6" w:name="_Toc305165507"/>
    </w:p>
    <w:p w14:paraId="0651CD03" w14:textId="77777777" w:rsidR="004D4A74" w:rsidRDefault="004D4A74" w:rsidP="004D4A74"/>
    <w:p w14:paraId="0B329B73" w14:textId="77777777" w:rsidR="004D4A74" w:rsidRPr="004D4A74" w:rsidRDefault="004D4A74" w:rsidP="004D4A74">
      <w:pPr>
        <w:sectPr w:rsidR="004D4A74" w:rsidRPr="004D4A74" w:rsidSect="00BD2D16">
          <w:headerReference w:type="default" r:id="rId15"/>
          <w:headerReference w:type="first" r:id="rId16"/>
          <w:pgSz w:w="11906" w:h="16838"/>
          <w:pgMar w:top="1440" w:right="1440" w:bottom="1440" w:left="1440" w:header="567" w:footer="567" w:gutter="0"/>
          <w:cols w:space="708"/>
          <w:titlePg/>
          <w:docGrid w:linePitch="360"/>
        </w:sectPr>
      </w:pPr>
    </w:p>
    <w:p w14:paraId="5957E30C" w14:textId="2969E6A7" w:rsidR="004D4A74" w:rsidRDefault="004D4A7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7" w:name="_Toc531901680"/>
      <w:bookmarkStart w:id="8" w:name="_Toc510020290"/>
      <w:r>
        <w:rPr>
          <w:rFonts w:eastAsia="Times New Roman" w:cs="Arial"/>
          <w:bCs/>
          <w:szCs w:val="20"/>
        </w:rPr>
        <w:lastRenderedPageBreak/>
        <w:t>Conclusion</w:t>
      </w:r>
      <w:bookmarkEnd w:id="7"/>
    </w:p>
    <w:p w14:paraId="242D3A3F" w14:textId="77777777" w:rsidR="00E67E95" w:rsidRDefault="00E67E95" w:rsidP="001B73F7">
      <w:r w:rsidRPr="00E67E95">
        <w:t xml:space="preserve">In conclusion, the adoption of the new FRS 102 treatment will lead to a change in the numbers in a business’s set of accounts, including the balance sheet and income statement. FRS 102 has now changed the criteria for different assets and liabilities, the basis on which these are measured and the treatments of both gains and losses when they are compared to the current UK GAAP. </w:t>
      </w:r>
    </w:p>
    <w:p w14:paraId="2639C437" w14:textId="403A2332" w:rsidR="00E67E95" w:rsidRDefault="00E67E95" w:rsidP="001B73F7">
      <w:r>
        <w:t>In the basic financial instruments, which include debtors, creditors and simple bank loans. These are measured no</w:t>
      </w:r>
      <w:r w:rsidR="00981A91">
        <w:t>/</w:t>
      </w:r>
      <w:r>
        <w:t xml:space="preserve">w under FRS 102 and mostly repaid costs, which specific types being measured at either the cost or fair value. However, any receivables and payables which are identified as current assets or current liabilities, will be then measured at undiscounted amounts of cash expected to either be paid or received. Other financial instruments include things such as foreign exchange, any forward contracts and loans with simple terms. These are all measured using fair value with each balance sheet date with the movements recognised in the profit or loss. Under the UK GAAP, many of these instruments wouldn’t have been enclosed but is now permitted under the new leasing of FRS 102. </w:t>
      </w:r>
      <w:sdt>
        <w:sdtPr>
          <w:id w:val="2033295234"/>
          <w:citation/>
        </w:sdtPr>
        <w:sdtEndPr/>
        <w:sdtContent>
          <w:r>
            <w:fldChar w:fldCharType="begin"/>
          </w:r>
          <w:r>
            <w:instrText xml:space="preserve"> CITATION Gra13 \l 2057 </w:instrText>
          </w:r>
          <w:r>
            <w:fldChar w:fldCharType="separate"/>
          </w:r>
          <w:r w:rsidR="00981A91" w:rsidRPr="00981A91">
            <w:rPr>
              <w:noProof/>
            </w:rPr>
            <w:t>(Grant Thornton LLP , 2013)</w:t>
          </w:r>
          <w:r>
            <w:fldChar w:fldCharType="end"/>
          </w:r>
        </w:sdtContent>
      </w:sdt>
    </w:p>
    <w:p w14:paraId="29C275C8" w14:textId="68343CD1" w:rsidR="00E67E95" w:rsidRPr="001B73F7" w:rsidRDefault="00E67E95" w:rsidP="001B73F7">
      <w:pPr>
        <w:jc w:val="both"/>
        <w:rPr>
          <w:sz w:val="24"/>
          <w:szCs w:val="32"/>
          <w:lang w:val="en-US"/>
        </w:rPr>
      </w:pPr>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9" w:name="_Toc531901681"/>
      <w:r w:rsidRPr="00F73B35">
        <w:rPr>
          <w:rFonts w:eastAsia="Times New Roman" w:cs="Arial"/>
          <w:bCs/>
          <w:szCs w:val="20"/>
        </w:rPr>
        <w:t>References</w:t>
      </w:r>
      <w:bookmarkEnd w:id="6"/>
      <w:bookmarkEnd w:id="8"/>
      <w:bookmarkEnd w:id="9"/>
    </w:p>
    <w:sdt>
      <w:sdtPr>
        <w:id w:val="111145805"/>
        <w:bibliography/>
      </w:sdtPr>
      <w:sdtEndPr/>
      <w:sdtContent>
        <w:p w14:paraId="5E8745F2" w14:textId="77777777" w:rsidR="00981A91" w:rsidRDefault="001B73F7" w:rsidP="00981A91">
          <w:pPr>
            <w:pStyle w:val="Bibliography"/>
            <w:rPr>
              <w:noProof/>
              <w:sz w:val="24"/>
              <w:szCs w:val="24"/>
            </w:rPr>
          </w:pPr>
          <w:r>
            <w:fldChar w:fldCharType="begin"/>
          </w:r>
          <w:r>
            <w:instrText xml:space="preserve"> BIBLIOGRAPHY </w:instrText>
          </w:r>
          <w:r>
            <w:fldChar w:fldCharType="separate"/>
          </w:r>
          <w:r w:rsidR="00981A91">
            <w:rPr>
              <w:noProof/>
            </w:rPr>
            <w:t xml:space="preserve">Centre for Audit Quality , 2017 . </w:t>
          </w:r>
          <w:r w:rsidR="00981A91">
            <w:rPr>
              <w:i/>
              <w:iCs/>
              <w:noProof/>
            </w:rPr>
            <w:t xml:space="preserve">The New Leases Accounting Standard. </w:t>
          </w:r>
          <w:r w:rsidR="00981A91">
            <w:rPr>
              <w:noProof/>
            </w:rPr>
            <w:t xml:space="preserve">[Online] </w:t>
          </w:r>
          <w:r w:rsidR="00981A91">
            <w:rPr>
              <w:noProof/>
            </w:rPr>
            <w:br/>
            <w:t xml:space="preserve">Available at: </w:t>
          </w:r>
          <w:r w:rsidR="00981A91">
            <w:rPr>
              <w:noProof/>
              <w:u w:val="single"/>
            </w:rPr>
            <w:t>https://www.thecaq.org/sites/default/files/caq_preparing_for_new_leases_accounting_standard_2018-04.pdf</w:t>
          </w:r>
          <w:r w:rsidR="00981A91">
            <w:rPr>
              <w:noProof/>
            </w:rPr>
            <w:br/>
            <w:t>[Accessed 4 December 2018 ].</w:t>
          </w:r>
        </w:p>
        <w:p w14:paraId="06932BC3" w14:textId="77777777" w:rsidR="00981A91" w:rsidRDefault="00981A91" w:rsidP="00981A91">
          <w:pPr>
            <w:pStyle w:val="Bibliography"/>
            <w:rPr>
              <w:noProof/>
            </w:rPr>
          </w:pPr>
          <w:r>
            <w:rPr>
              <w:noProof/>
            </w:rPr>
            <w:t xml:space="preserve">Collings, S., 2010. </w:t>
          </w:r>
          <w:r>
            <w:rPr>
              <w:i/>
              <w:iCs/>
              <w:noProof/>
            </w:rPr>
            <w:t xml:space="preserve">The great IFRS debate. </w:t>
          </w:r>
          <w:r>
            <w:rPr>
              <w:noProof/>
            </w:rPr>
            <w:t xml:space="preserve">[Online] </w:t>
          </w:r>
          <w:r>
            <w:rPr>
              <w:noProof/>
            </w:rPr>
            <w:br/>
            <w:t xml:space="preserve">Available at: </w:t>
          </w:r>
          <w:r>
            <w:rPr>
              <w:noProof/>
              <w:u w:val="single"/>
            </w:rPr>
            <w:t>https://www.accountingweb.co.uk/business/financial-reporting/the-great-ifrs-debate</w:t>
          </w:r>
          <w:r>
            <w:rPr>
              <w:noProof/>
            </w:rPr>
            <w:br/>
            <w:t>[Accessed 4 December 2018].</w:t>
          </w:r>
        </w:p>
        <w:p w14:paraId="57028FF6" w14:textId="77777777" w:rsidR="00981A91" w:rsidRDefault="00981A91" w:rsidP="00981A91">
          <w:pPr>
            <w:pStyle w:val="Bibliography"/>
            <w:rPr>
              <w:noProof/>
            </w:rPr>
          </w:pPr>
          <w:r>
            <w:rPr>
              <w:noProof/>
            </w:rPr>
            <w:t xml:space="preserve">Collings, S., 2016. </w:t>
          </w:r>
          <w:r>
            <w:rPr>
              <w:i/>
              <w:iCs/>
              <w:noProof/>
            </w:rPr>
            <w:t xml:space="preserve">FRS 102 and leasing. </w:t>
          </w:r>
          <w:r>
            <w:rPr>
              <w:noProof/>
            </w:rPr>
            <w:t xml:space="preserve">[Online] </w:t>
          </w:r>
          <w:r>
            <w:rPr>
              <w:noProof/>
            </w:rPr>
            <w:br/>
            <w:t xml:space="preserve">Available at: </w:t>
          </w:r>
          <w:r>
            <w:rPr>
              <w:noProof/>
              <w:u w:val="single"/>
            </w:rPr>
            <w:t>https://www.aatcomment.org.uk/frs-102-and-leasing/</w:t>
          </w:r>
          <w:r>
            <w:rPr>
              <w:noProof/>
            </w:rPr>
            <w:br/>
            <w:t>[Accessed 4 December 2018].</w:t>
          </w:r>
        </w:p>
        <w:p w14:paraId="1859AC15" w14:textId="77777777" w:rsidR="00981A91" w:rsidRDefault="00981A91" w:rsidP="00981A91">
          <w:pPr>
            <w:pStyle w:val="Bibliography"/>
            <w:rPr>
              <w:noProof/>
            </w:rPr>
          </w:pPr>
          <w:r>
            <w:rPr>
              <w:noProof/>
            </w:rPr>
            <w:t xml:space="preserve">Dawson, C., 2013. </w:t>
          </w:r>
          <w:r>
            <w:rPr>
              <w:i/>
              <w:iCs/>
              <w:noProof/>
            </w:rPr>
            <w:t xml:space="preserve">How to tell the difference between a finance lease and an operating lease. </w:t>
          </w:r>
          <w:r>
            <w:rPr>
              <w:noProof/>
            </w:rPr>
            <w:t xml:space="preserve">[Online] </w:t>
          </w:r>
          <w:r>
            <w:rPr>
              <w:noProof/>
            </w:rPr>
            <w:br/>
            <w:t xml:space="preserve">Available at: </w:t>
          </w:r>
          <w:r>
            <w:rPr>
              <w:noProof/>
              <w:u w:val="single"/>
            </w:rPr>
            <w:t>https://maxxia.co.uk/blog/finance-lease-vs-operating-lease/</w:t>
          </w:r>
          <w:r>
            <w:rPr>
              <w:noProof/>
            </w:rPr>
            <w:br/>
            <w:t>[Accessed 4 December 2018].</w:t>
          </w:r>
        </w:p>
        <w:p w14:paraId="432B61B1" w14:textId="77777777" w:rsidR="00981A91" w:rsidRDefault="00981A91" w:rsidP="00981A91">
          <w:pPr>
            <w:pStyle w:val="Bibliography"/>
            <w:rPr>
              <w:noProof/>
            </w:rPr>
          </w:pPr>
          <w:r>
            <w:rPr>
              <w:noProof/>
            </w:rPr>
            <w:t xml:space="preserve">Grant Thornton LLP , 2013. </w:t>
          </w:r>
          <w:r>
            <w:rPr>
              <w:i/>
              <w:iCs/>
              <w:noProof/>
            </w:rPr>
            <w:t xml:space="preserve">How will the transition from current UK GAAP to FRS 102 from January 2015 impact on my company’s accounts?, </w:t>
          </w:r>
          <w:r>
            <w:rPr>
              <w:noProof/>
            </w:rPr>
            <w:t>s.l.: Grant Thornton .</w:t>
          </w:r>
        </w:p>
        <w:p w14:paraId="724FA8C0" w14:textId="77777777" w:rsidR="00981A91" w:rsidRDefault="00981A91" w:rsidP="00981A91">
          <w:pPr>
            <w:pStyle w:val="Bibliography"/>
            <w:rPr>
              <w:noProof/>
            </w:rPr>
          </w:pPr>
          <w:r>
            <w:rPr>
              <w:noProof/>
            </w:rPr>
            <w:t xml:space="preserve">ICAEW, 2013. </w:t>
          </w:r>
          <w:r>
            <w:rPr>
              <w:i/>
              <w:iCs/>
              <w:noProof/>
            </w:rPr>
            <w:t xml:space="preserve">FRS 102 The Financial Reporting Standard. </w:t>
          </w:r>
          <w:r>
            <w:rPr>
              <w:noProof/>
            </w:rPr>
            <w:t xml:space="preserve">[Online] </w:t>
          </w:r>
          <w:r>
            <w:rPr>
              <w:noProof/>
            </w:rPr>
            <w:br/>
            <w:t xml:space="preserve">Available at: </w:t>
          </w:r>
          <w:r>
            <w:rPr>
              <w:noProof/>
              <w:u w:val="single"/>
            </w:rPr>
            <w:t>https://www.icaew.com/technical/financial-reporting/new-uk-gaap/frs-102-the-financial-reporting-standard</w:t>
          </w:r>
          <w:r>
            <w:rPr>
              <w:noProof/>
            </w:rPr>
            <w:br/>
            <w:t>[Accessed 21 November 2018].</w:t>
          </w:r>
        </w:p>
        <w:p w14:paraId="7509CBB4" w14:textId="77777777" w:rsidR="00981A91" w:rsidRDefault="00981A91" w:rsidP="00981A91">
          <w:pPr>
            <w:pStyle w:val="Bibliography"/>
            <w:rPr>
              <w:noProof/>
            </w:rPr>
          </w:pPr>
          <w:r>
            <w:rPr>
              <w:noProof/>
            </w:rPr>
            <w:lastRenderedPageBreak/>
            <w:t xml:space="preserve">Orlik, R., 2011. </w:t>
          </w:r>
          <w:r>
            <w:rPr>
              <w:i/>
              <w:iCs/>
              <w:noProof/>
            </w:rPr>
            <w:t xml:space="preserve">Critics unearth 'second thoughts' over IFRS. </w:t>
          </w:r>
          <w:r>
            <w:rPr>
              <w:noProof/>
            </w:rPr>
            <w:t xml:space="preserve">[Online] </w:t>
          </w:r>
          <w:r>
            <w:rPr>
              <w:noProof/>
            </w:rPr>
            <w:br/>
            <w:t xml:space="preserve">Available at: </w:t>
          </w:r>
          <w:r>
            <w:rPr>
              <w:noProof/>
              <w:u w:val="single"/>
            </w:rPr>
            <w:t>https://www.accountancyage.com/aa/news/2069349/critics-unearth-ifrs</w:t>
          </w:r>
          <w:r>
            <w:rPr>
              <w:noProof/>
            </w:rPr>
            <w:br/>
            <w:t>[Accessed 4 December 2018 ].</w:t>
          </w:r>
        </w:p>
        <w:p w14:paraId="13D89F45" w14:textId="77777777" w:rsidR="00981A91" w:rsidRDefault="00981A91" w:rsidP="00981A91">
          <w:pPr>
            <w:pStyle w:val="Bibliography"/>
            <w:rPr>
              <w:noProof/>
            </w:rPr>
          </w:pPr>
          <w:r>
            <w:rPr>
              <w:noProof/>
            </w:rPr>
            <w:t xml:space="preserve">Sherman, D., 2016 . </w:t>
          </w:r>
          <w:r>
            <w:rPr>
              <w:i/>
              <w:iCs/>
              <w:noProof/>
            </w:rPr>
            <w:t xml:space="preserve">Where financial reporting still falls short. </w:t>
          </w:r>
          <w:r>
            <w:rPr>
              <w:noProof/>
            </w:rPr>
            <w:t xml:space="preserve">[Online] </w:t>
          </w:r>
          <w:r>
            <w:rPr>
              <w:noProof/>
            </w:rPr>
            <w:br/>
            <w:t xml:space="preserve">Available at: </w:t>
          </w:r>
          <w:r>
            <w:rPr>
              <w:noProof/>
              <w:u w:val="single"/>
            </w:rPr>
            <w:t>https://hbr.org/2016/07/where-financial-reporting-still-falls-short</w:t>
          </w:r>
          <w:r>
            <w:rPr>
              <w:noProof/>
            </w:rPr>
            <w:br/>
            <w:t>[Accessed 4 December 2018 ].</w:t>
          </w:r>
          <w:bookmarkStart w:id="10" w:name="_GoBack"/>
          <w:bookmarkEnd w:id="10"/>
        </w:p>
        <w:p w14:paraId="7862DCAD" w14:textId="77777777" w:rsidR="00981A91" w:rsidRDefault="00981A91" w:rsidP="00981A91">
          <w:pPr>
            <w:pStyle w:val="Bibliography"/>
            <w:rPr>
              <w:noProof/>
            </w:rPr>
          </w:pPr>
          <w:r>
            <w:rPr>
              <w:noProof/>
            </w:rPr>
            <w:t xml:space="preserve">Sleigh-Johnson, N., 2017. </w:t>
          </w:r>
          <w:r>
            <w:rPr>
              <w:i/>
              <w:iCs/>
              <w:noProof/>
            </w:rPr>
            <w:t xml:space="preserve">FRS 102: major amendments published. </w:t>
          </w:r>
          <w:r>
            <w:rPr>
              <w:noProof/>
            </w:rPr>
            <w:t xml:space="preserve">[Online] </w:t>
          </w:r>
          <w:r>
            <w:rPr>
              <w:noProof/>
            </w:rPr>
            <w:br/>
            <w:t xml:space="preserve">Available at: </w:t>
          </w:r>
          <w:r>
            <w:rPr>
              <w:noProof/>
              <w:u w:val="single"/>
            </w:rPr>
            <w:t>https://ion.icaew.com/financialreporting/b/weblog/posts/frs-102-major-amendments-published-1459522766</w:t>
          </w:r>
          <w:r>
            <w:rPr>
              <w:noProof/>
            </w:rPr>
            <w:br/>
            <w:t>[Accessed 4 December 2018 ].</w:t>
          </w:r>
        </w:p>
        <w:p w14:paraId="015BCF3F" w14:textId="579D8F13" w:rsidR="001B73F7" w:rsidRPr="001B73F7" w:rsidRDefault="001B73F7" w:rsidP="00981A91">
          <w:pPr>
            <w:pStyle w:val="ListParagraph"/>
            <w:numPr>
              <w:ilvl w:val="0"/>
              <w:numId w:val="1"/>
            </w:numPr>
          </w:pPr>
          <w:r>
            <w:rPr>
              <w:b/>
              <w:bCs/>
              <w:noProof/>
            </w:rPr>
            <w:fldChar w:fldCharType="end"/>
          </w:r>
        </w:p>
      </w:sdtContent>
    </w:sdt>
    <w:p w14:paraId="61E4DC42" w14:textId="2A855325" w:rsidR="006A740F" w:rsidRDefault="006A740F" w:rsidP="009B20F4">
      <w:pPr>
        <w:pStyle w:val="Style1"/>
        <w:spacing w:line="480" w:lineRule="auto"/>
      </w:pPr>
    </w:p>
    <w:p w14:paraId="79BA53A8" w14:textId="77777777" w:rsidR="00FD6C15" w:rsidRDefault="00FD6C15" w:rsidP="009B20F4">
      <w:pPr>
        <w:pStyle w:val="Style1"/>
        <w:spacing w:line="480" w:lineRule="auto"/>
        <w:rPr>
          <w:rFonts w:cs="Arial"/>
          <w:color w:val="222222"/>
          <w:szCs w:val="18"/>
          <w:lang w:eastAsia="en-GB"/>
        </w:rPr>
      </w:pPr>
    </w:p>
    <w:sectPr w:rsidR="00FD6C15" w:rsidSect="00BD2D16">
      <w:headerReference w:type="default" r:id="rId17"/>
      <w:headerReference w:type="first" r:id="rId18"/>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F54793" w14:textId="77777777" w:rsidR="004B4359" w:rsidRDefault="004B4359" w:rsidP="009B20F4">
      <w:pPr>
        <w:spacing w:after="0" w:line="240" w:lineRule="auto"/>
      </w:pPr>
      <w:r>
        <w:separator/>
      </w:r>
    </w:p>
  </w:endnote>
  <w:endnote w:type="continuationSeparator" w:id="0">
    <w:p w14:paraId="77A5901F" w14:textId="77777777" w:rsidR="004B4359" w:rsidRDefault="004B4359"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DC530E" w14:textId="77777777" w:rsidR="00C74F84" w:rsidRDefault="00C74F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846CC3" w:rsidRDefault="004B4359">
        <w:pPr>
          <w:pStyle w:val="Footer"/>
          <w:jc w:val="center"/>
        </w:pPr>
      </w:p>
    </w:sdtContent>
  </w:sdt>
  <w:p w14:paraId="0829C6EF" w14:textId="77777777" w:rsidR="00846CC3" w:rsidRDefault="00846C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846CC3" w:rsidRDefault="00846CC3">
    <w:pPr>
      <w:pStyle w:val="Footer"/>
      <w:jc w:val="center"/>
    </w:pPr>
  </w:p>
  <w:p w14:paraId="2EB1AFE0" w14:textId="77777777" w:rsidR="00846CC3" w:rsidRDefault="00846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2386D3" w14:textId="77777777" w:rsidR="004B4359" w:rsidRDefault="004B4359" w:rsidP="009B20F4">
      <w:pPr>
        <w:spacing w:after="0" w:line="240" w:lineRule="auto"/>
      </w:pPr>
      <w:r>
        <w:separator/>
      </w:r>
    </w:p>
  </w:footnote>
  <w:footnote w:type="continuationSeparator" w:id="0">
    <w:p w14:paraId="79A6E1F6" w14:textId="77777777" w:rsidR="004B4359" w:rsidRDefault="004B4359"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C5D687" w14:textId="77777777" w:rsidR="00C74F84" w:rsidRDefault="00C74F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BB50BD" w14:textId="77777777" w:rsidR="00C74F84" w:rsidRDefault="00C74F8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97828C" w14:textId="4C6BB18F" w:rsidR="007D79E1" w:rsidRDefault="00C74F84" w:rsidP="007D79E1">
    <w:pPr>
      <w:pStyle w:val="Header"/>
      <w:pBdr>
        <w:bottom w:val="single" w:sz="4" w:space="1" w:color="auto"/>
      </w:pBdr>
      <w:jc w:val="center"/>
      <w:rPr>
        <w:rFonts w:ascii="Verdana" w:hAnsi="Verdana"/>
        <w:b/>
        <w:caps/>
        <w:sz w:val="18"/>
        <w:szCs w:val="18"/>
      </w:rPr>
    </w:pPr>
    <w:r>
      <w:rPr>
        <w:rFonts w:ascii="Verdana" w:hAnsi="Verdana"/>
        <w:b/>
        <w:caps/>
        <w:sz w:val="18"/>
        <w:szCs w:val="18"/>
      </w:rPr>
      <w:t>Header X</w:t>
    </w:r>
  </w:p>
  <w:p w14:paraId="0C78319E" w14:textId="77777777" w:rsidR="007D79E1" w:rsidRPr="00586DC0" w:rsidRDefault="007D79E1" w:rsidP="007D79E1">
    <w:pPr>
      <w:pStyle w:val="Header"/>
      <w:pBdr>
        <w:bottom w:val="single" w:sz="4" w:space="1" w:color="auto"/>
      </w:pBdr>
      <w:jc w:val="center"/>
      <w:rPr>
        <w:b/>
        <w:caps/>
        <w:szCs w:val="18"/>
      </w:rPr>
    </w:pPr>
  </w:p>
  <w:p w14:paraId="1443DECA" w14:textId="77777777" w:rsidR="00846CC3" w:rsidRPr="007D79E1" w:rsidRDefault="00846CC3" w:rsidP="007D79E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A17CD" w14:textId="03F716A5" w:rsidR="00846CC3" w:rsidRDefault="006D6EB0" w:rsidP="0007275A">
    <w:pPr>
      <w:pStyle w:val="Header"/>
      <w:pBdr>
        <w:bottom w:val="single" w:sz="4" w:space="1" w:color="auto"/>
      </w:pBdr>
      <w:jc w:val="center"/>
      <w:rPr>
        <w:rFonts w:ascii="Verdana" w:hAnsi="Verdana"/>
        <w:b/>
        <w:caps/>
        <w:sz w:val="18"/>
        <w:szCs w:val="18"/>
      </w:rPr>
    </w:pPr>
    <w:r>
      <w:rPr>
        <w:rFonts w:ascii="Verdana" w:hAnsi="Verdana"/>
        <w:b/>
        <w:caps/>
        <w:sz w:val="18"/>
        <w:szCs w:val="18"/>
      </w:rPr>
      <w:t>Section 1</w:t>
    </w:r>
  </w:p>
  <w:p w14:paraId="03CFCF7F" w14:textId="77777777" w:rsidR="00846CC3" w:rsidRPr="00586DC0" w:rsidRDefault="00846CC3" w:rsidP="0007275A">
    <w:pPr>
      <w:pStyle w:val="Header"/>
      <w:pBdr>
        <w:bottom w:val="single" w:sz="4" w:space="1" w:color="auto"/>
      </w:pBdr>
      <w:jc w:val="center"/>
      <w:rPr>
        <w:b/>
        <w:caps/>
        <w:szCs w:val="18"/>
      </w:rPr>
    </w:pPr>
  </w:p>
  <w:p w14:paraId="5657DB35" w14:textId="77777777" w:rsidR="00846CC3" w:rsidRDefault="00846CC3"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846CC3" w:rsidRDefault="00846CC3"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C725421"/>
    <w:multiLevelType w:val="hybridMultilevel"/>
    <w:tmpl w:val="9D207AF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53360897"/>
    <w:multiLevelType w:val="multilevel"/>
    <w:tmpl w:val="0ECE6E06"/>
    <w:lvl w:ilvl="0">
      <w:start w:val="1"/>
      <w:numFmt w:val="decimal"/>
      <w:lvlText w:val="%1."/>
      <w:lvlJc w:val="left"/>
      <w:pPr>
        <w:ind w:left="63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2"/>
  </w:num>
  <w:num w:numId="2">
    <w:abstractNumId w:val="17"/>
  </w:num>
  <w:num w:numId="3">
    <w:abstractNumId w:val="5"/>
  </w:num>
  <w:num w:numId="4">
    <w:abstractNumId w:val="4"/>
  </w:num>
  <w:num w:numId="5">
    <w:abstractNumId w:val="1"/>
  </w:num>
  <w:num w:numId="6">
    <w:abstractNumId w:val="19"/>
  </w:num>
  <w:num w:numId="7">
    <w:abstractNumId w:val="24"/>
  </w:num>
  <w:num w:numId="8">
    <w:abstractNumId w:val="30"/>
  </w:num>
  <w:num w:numId="9">
    <w:abstractNumId w:val="10"/>
  </w:num>
  <w:num w:numId="10">
    <w:abstractNumId w:val="11"/>
  </w:num>
  <w:num w:numId="11">
    <w:abstractNumId w:val="7"/>
  </w:num>
  <w:num w:numId="12">
    <w:abstractNumId w:val="29"/>
  </w:num>
  <w:num w:numId="13">
    <w:abstractNumId w:val="27"/>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8"/>
  </w:num>
  <w:num w:numId="21">
    <w:abstractNumId w:val="13"/>
  </w:num>
  <w:num w:numId="22">
    <w:abstractNumId w:val="20"/>
  </w:num>
  <w:num w:numId="23">
    <w:abstractNumId w:val="23"/>
  </w:num>
  <w:num w:numId="24">
    <w:abstractNumId w:val="28"/>
  </w:num>
  <w:num w:numId="25">
    <w:abstractNumId w:val="26"/>
  </w:num>
  <w:num w:numId="26">
    <w:abstractNumId w:val="16"/>
  </w:num>
  <w:num w:numId="27">
    <w:abstractNumId w:val="25"/>
  </w:num>
  <w:num w:numId="28">
    <w:abstractNumId w:val="3"/>
  </w:num>
  <w:num w:numId="29">
    <w:abstractNumId w:val="21"/>
  </w:num>
  <w:num w:numId="30">
    <w:abstractNumId w:val="15"/>
  </w:num>
  <w:num w:numId="31">
    <w:abstractNumId w:val="17"/>
  </w:num>
  <w:num w:numId="32">
    <w:abstractNumId w:val="17"/>
  </w:num>
  <w:num w:numId="33">
    <w:abstractNumId w:val="17"/>
  </w:num>
  <w:num w:numId="34">
    <w:abstractNumId w:val="17"/>
  </w:num>
  <w:num w:numId="35">
    <w:abstractNumId w:val="17"/>
  </w:num>
  <w:num w:numId="36">
    <w:abstractNumId w:val="17"/>
  </w:num>
  <w:num w:numId="37">
    <w:abstractNumId w:val="14"/>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6AC8"/>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797"/>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B73F7"/>
    <w:rsid w:val="001C01BE"/>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0FB2"/>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952"/>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1BE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2A9"/>
    <w:rsid w:val="004B2B2D"/>
    <w:rsid w:val="004B2E96"/>
    <w:rsid w:val="004B31CF"/>
    <w:rsid w:val="004B3640"/>
    <w:rsid w:val="004B4359"/>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A74"/>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A4E"/>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1B3F"/>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A91"/>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47EC"/>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B44"/>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4F84"/>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14F"/>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6ED"/>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1E05"/>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4669"/>
    <w:rsid w:val="00E0501B"/>
    <w:rsid w:val="00E0506E"/>
    <w:rsid w:val="00E050F8"/>
    <w:rsid w:val="00E05928"/>
    <w:rsid w:val="00E05AE0"/>
    <w:rsid w:val="00E067C6"/>
    <w:rsid w:val="00E06E84"/>
    <w:rsid w:val="00E06F06"/>
    <w:rsid w:val="00E0700B"/>
    <w:rsid w:val="00E07A49"/>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3E86"/>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437"/>
    <w:rsid w:val="00E517BF"/>
    <w:rsid w:val="00E52260"/>
    <w:rsid w:val="00E537B9"/>
    <w:rsid w:val="00E551C4"/>
    <w:rsid w:val="00E5605D"/>
    <w:rsid w:val="00E57A11"/>
    <w:rsid w:val="00E57F20"/>
    <w:rsid w:val="00E6019A"/>
    <w:rsid w:val="00E611A3"/>
    <w:rsid w:val="00E61853"/>
    <w:rsid w:val="00E623F4"/>
    <w:rsid w:val="00E64D56"/>
    <w:rsid w:val="00E65609"/>
    <w:rsid w:val="00E67070"/>
    <w:rsid w:val="00E676D2"/>
    <w:rsid w:val="00E67E94"/>
    <w:rsid w:val="00E67E95"/>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2E1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3BDE"/>
    <w:rsid w:val="00F244ED"/>
    <w:rsid w:val="00F2486E"/>
    <w:rsid w:val="00F25367"/>
    <w:rsid w:val="00F25F74"/>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246"/>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6085"/>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spacing w:after="0"/>
      <w:ind w:left="220"/>
    </w:pPr>
    <w:rPr>
      <w:rFonts w:asciiTheme="minorHAnsi" w:hAnsiTheme="minorHAnsi"/>
      <w:b/>
      <w:bCs/>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E07A49"/>
    <w:pPr>
      <w:spacing w:before="120" w:after="0"/>
    </w:pPr>
    <w:rPr>
      <w:rFonts w:asciiTheme="minorHAnsi" w:hAnsiTheme="minorHAnsi"/>
      <w:b/>
      <w:bCs/>
      <w:sz w:val="24"/>
      <w:szCs w:val="24"/>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rPr>
  </w:style>
  <w:style w:type="paragraph" w:styleId="TOC4">
    <w:name w:val="toc 4"/>
    <w:basedOn w:val="Normal"/>
    <w:next w:val="Normal"/>
    <w:autoRedefine/>
    <w:uiPriority w:val="39"/>
    <w:unhideWhenUsed/>
    <w:rsid w:val="009B20F4"/>
    <w:pPr>
      <w:spacing w:after="0"/>
      <w:ind w:left="660"/>
    </w:pPr>
    <w:rPr>
      <w:rFonts w:asciiTheme="minorHAnsi" w:hAnsiTheme="minorHAnsi"/>
      <w:sz w:val="20"/>
      <w:szCs w:val="20"/>
    </w:rPr>
  </w:style>
  <w:style w:type="paragraph" w:styleId="TOC5">
    <w:name w:val="toc 5"/>
    <w:basedOn w:val="Normal"/>
    <w:next w:val="Normal"/>
    <w:autoRedefine/>
    <w:uiPriority w:val="39"/>
    <w:unhideWhenUsed/>
    <w:rsid w:val="009B20F4"/>
    <w:pPr>
      <w:spacing w:after="0"/>
      <w:ind w:left="880"/>
    </w:pPr>
    <w:rPr>
      <w:rFonts w:asciiTheme="minorHAnsi" w:hAnsiTheme="minorHAnsi"/>
      <w:sz w:val="20"/>
      <w:szCs w:val="20"/>
    </w:rPr>
  </w:style>
  <w:style w:type="paragraph" w:styleId="TOC6">
    <w:name w:val="toc 6"/>
    <w:basedOn w:val="Normal"/>
    <w:next w:val="Normal"/>
    <w:autoRedefine/>
    <w:uiPriority w:val="39"/>
    <w:unhideWhenUsed/>
    <w:rsid w:val="009B20F4"/>
    <w:pPr>
      <w:spacing w:after="0"/>
      <w:ind w:left="1100"/>
    </w:pPr>
    <w:rPr>
      <w:rFonts w:asciiTheme="minorHAnsi" w:hAnsiTheme="minorHAnsi"/>
      <w:sz w:val="20"/>
      <w:szCs w:val="20"/>
    </w:rPr>
  </w:style>
  <w:style w:type="paragraph" w:styleId="TOC7">
    <w:name w:val="toc 7"/>
    <w:basedOn w:val="Normal"/>
    <w:next w:val="Normal"/>
    <w:autoRedefine/>
    <w:uiPriority w:val="39"/>
    <w:unhideWhenUsed/>
    <w:rsid w:val="009B20F4"/>
    <w:pPr>
      <w:spacing w:after="0"/>
      <w:ind w:left="1320"/>
    </w:pPr>
    <w:rPr>
      <w:rFonts w:asciiTheme="minorHAnsi" w:hAnsiTheme="minorHAnsi"/>
      <w:sz w:val="20"/>
      <w:szCs w:val="20"/>
    </w:rPr>
  </w:style>
  <w:style w:type="paragraph" w:styleId="TOC8">
    <w:name w:val="toc 8"/>
    <w:basedOn w:val="Normal"/>
    <w:next w:val="Normal"/>
    <w:autoRedefine/>
    <w:uiPriority w:val="39"/>
    <w:unhideWhenUsed/>
    <w:rsid w:val="009B20F4"/>
    <w:pPr>
      <w:spacing w:after="0"/>
      <w:ind w:left="1540"/>
    </w:pPr>
    <w:rPr>
      <w:rFonts w:asciiTheme="minorHAnsi" w:hAnsiTheme="minorHAnsi"/>
      <w:sz w:val="20"/>
      <w:szCs w:val="20"/>
    </w:rPr>
  </w:style>
  <w:style w:type="paragraph" w:styleId="TOC9">
    <w:name w:val="toc 9"/>
    <w:basedOn w:val="Normal"/>
    <w:next w:val="Normal"/>
    <w:autoRedefine/>
    <w:uiPriority w:val="39"/>
    <w:unhideWhenUsed/>
    <w:rsid w:val="009B20F4"/>
    <w:pPr>
      <w:spacing w:after="0"/>
      <w:ind w:left="1760"/>
    </w:pPr>
    <w:rPr>
      <w:rFonts w:asciiTheme="minorHAnsi" w:hAnsiTheme="minorHAnsi"/>
      <w:sz w:val="20"/>
      <w:szCs w:val="20"/>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paragraph" w:styleId="TOCHeading">
    <w:name w:val="TOC Heading"/>
    <w:basedOn w:val="Heading1"/>
    <w:next w:val="Normal"/>
    <w:uiPriority w:val="39"/>
    <w:unhideWhenUsed/>
    <w:qFormat/>
    <w:rsid w:val="00E51437"/>
    <w:pPr>
      <w:keepNext/>
      <w:keepLines/>
      <w:numPr>
        <w:numId w:val="0"/>
      </w:numPr>
      <w:autoSpaceDE/>
      <w:autoSpaceDN/>
      <w:adjustRightInd/>
      <w:spacing w:before="480" w:after="0"/>
      <w:contextualSpacing w:val="0"/>
      <w:outlineLvl w:val="9"/>
    </w:pPr>
    <w:rPr>
      <w:rFonts w:asciiTheme="majorHAnsi" w:eastAsiaTheme="majorEastAsia" w:hAnsiTheme="majorHAnsi" w:cstheme="majorBidi"/>
      <w:bCs/>
      <w:caps w:val="0"/>
      <w:color w:val="2E74B5" w:themeColor="accent1" w:themeShade="BF"/>
      <w:sz w:val="28"/>
      <w:szCs w:val="2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02953">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55857138">
      <w:bodyDiv w:val="1"/>
      <w:marLeft w:val="0"/>
      <w:marRight w:val="0"/>
      <w:marTop w:val="0"/>
      <w:marBottom w:val="0"/>
      <w:divBdr>
        <w:top w:val="none" w:sz="0" w:space="0" w:color="auto"/>
        <w:left w:val="none" w:sz="0" w:space="0" w:color="auto"/>
        <w:bottom w:val="none" w:sz="0" w:space="0" w:color="auto"/>
        <w:right w:val="none" w:sz="0" w:space="0" w:color="auto"/>
      </w:divBdr>
    </w:div>
    <w:div w:id="60755793">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94986031">
      <w:bodyDiv w:val="1"/>
      <w:marLeft w:val="0"/>
      <w:marRight w:val="0"/>
      <w:marTop w:val="0"/>
      <w:marBottom w:val="0"/>
      <w:divBdr>
        <w:top w:val="none" w:sz="0" w:space="0" w:color="auto"/>
        <w:left w:val="none" w:sz="0" w:space="0" w:color="auto"/>
        <w:bottom w:val="none" w:sz="0" w:space="0" w:color="auto"/>
        <w:right w:val="none" w:sz="0" w:space="0" w:color="auto"/>
      </w:divBdr>
    </w:div>
    <w:div w:id="126318575">
      <w:bodyDiv w:val="1"/>
      <w:marLeft w:val="0"/>
      <w:marRight w:val="0"/>
      <w:marTop w:val="0"/>
      <w:marBottom w:val="0"/>
      <w:divBdr>
        <w:top w:val="none" w:sz="0" w:space="0" w:color="auto"/>
        <w:left w:val="none" w:sz="0" w:space="0" w:color="auto"/>
        <w:bottom w:val="none" w:sz="0" w:space="0" w:color="auto"/>
        <w:right w:val="none" w:sz="0" w:space="0" w:color="auto"/>
      </w:divBdr>
    </w:div>
    <w:div w:id="217667403">
      <w:bodyDiv w:val="1"/>
      <w:marLeft w:val="0"/>
      <w:marRight w:val="0"/>
      <w:marTop w:val="0"/>
      <w:marBottom w:val="0"/>
      <w:divBdr>
        <w:top w:val="none" w:sz="0" w:space="0" w:color="auto"/>
        <w:left w:val="none" w:sz="0" w:space="0" w:color="auto"/>
        <w:bottom w:val="none" w:sz="0" w:space="0" w:color="auto"/>
        <w:right w:val="none" w:sz="0" w:space="0" w:color="auto"/>
      </w:divBdr>
    </w:div>
    <w:div w:id="225263503">
      <w:bodyDiv w:val="1"/>
      <w:marLeft w:val="0"/>
      <w:marRight w:val="0"/>
      <w:marTop w:val="0"/>
      <w:marBottom w:val="0"/>
      <w:divBdr>
        <w:top w:val="none" w:sz="0" w:space="0" w:color="auto"/>
        <w:left w:val="none" w:sz="0" w:space="0" w:color="auto"/>
        <w:bottom w:val="none" w:sz="0" w:space="0" w:color="auto"/>
        <w:right w:val="none" w:sz="0" w:space="0" w:color="auto"/>
      </w:divBdr>
    </w:div>
    <w:div w:id="231161151">
      <w:bodyDiv w:val="1"/>
      <w:marLeft w:val="0"/>
      <w:marRight w:val="0"/>
      <w:marTop w:val="0"/>
      <w:marBottom w:val="0"/>
      <w:divBdr>
        <w:top w:val="none" w:sz="0" w:space="0" w:color="auto"/>
        <w:left w:val="none" w:sz="0" w:space="0" w:color="auto"/>
        <w:bottom w:val="none" w:sz="0" w:space="0" w:color="auto"/>
        <w:right w:val="none" w:sz="0" w:space="0" w:color="auto"/>
      </w:divBdr>
      <w:divsChild>
        <w:div w:id="353266993">
          <w:marLeft w:val="0"/>
          <w:marRight w:val="0"/>
          <w:marTop w:val="0"/>
          <w:marBottom w:val="0"/>
          <w:divBdr>
            <w:top w:val="none" w:sz="0" w:space="0" w:color="auto"/>
            <w:left w:val="none" w:sz="0" w:space="0" w:color="auto"/>
            <w:bottom w:val="none" w:sz="0" w:space="0" w:color="auto"/>
            <w:right w:val="none" w:sz="0" w:space="0" w:color="auto"/>
          </w:divBdr>
          <w:divsChild>
            <w:div w:id="146897182">
              <w:marLeft w:val="0"/>
              <w:marRight w:val="0"/>
              <w:marTop w:val="0"/>
              <w:marBottom w:val="0"/>
              <w:divBdr>
                <w:top w:val="none" w:sz="0" w:space="0" w:color="auto"/>
                <w:left w:val="none" w:sz="0" w:space="0" w:color="auto"/>
                <w:bottom w:val="none" w:sz="0" w:space="0" w:color="auto"/>
                <w:right w:val="none" w:sz="0" w:space="0" w:color="auto"/>
              </w:divBdr>
              <w:divsChild>
                <w:div w:id="1996686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027970">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68395210">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38850181">
      <w:bodyDiv w:val="1"/>
      <w:marLeft w:val="0"/>
      <w:marRight w:val="0"/>
      <w:marTop w:val="0"/>
      <w:marBottom w:val="0"/>
      <w:divBdr>
        <w:top w:val="none" w:sz="0" w:space="0" w:color="auto"/>
        <w:left w:val="none" w:sz="0" w:space="0" w:color="auto"/>
        <w:bottom w:val="none" w:sz="0" w:space="0" w:color="auto"/>
        <w:right w:val="none" w:sz="0" w:space="0" w:color="auto"/>
      </w:divBdr>
    </w:div>
    <w:div w:id="354506815">
      <w:bodyDiv w:val="1"/>
      <w:marLeft w:val="0"/>
      <w:marRight w:val="0"/>
      <w:marTop w:val="0"/>
      <w:marBottom w:val="0"/>
      <w:divBdr>
        <w:top w:val="none" w:sz="0" w:space="0" w:color="auto"/>
        <w:left w:val="none" w:sz="0" w:space="0" w:color="auto"/>
        <w:bottom w:val="none" w:sz="0" w:space="0" w:color="auto"/>
        <w:right w:val="none" w:sz="0" w:space="0" w:color="auto"/>
      </w:divBdr>
    </w:div>
    <w:div w:id="361830457">
      <w:bodyDiv w:val="1"/>
      <w:marLeft w:val="0"/>
      <w:marRight w:val="0"/>
      <w:marTop w:val="0"/>
      <w:marBottom w:val="0"/>
      <w:divBdr>
        <w:top w:val="none" w:sz="0" w:space="0" w:color="auto"/>
        <w:left w:val="none" w:sz="0" w:space="0" w:color="auto"/>
        <w:bottom w:val="none" w:sz="0" w:space="0" w:color="auto"/>
        <w:right w:val="none" w:sz="0" w:space="0" w:color="auto"/>
      </w:divBdr>
    </w:div>
    <w:div w:id="378019894">
      <w:bodyDiv w:val="1"/>
      <w:marLeft w:val="0"/>
      <w:marRight w:val="0"/>
      <w:marTop w:val="0"/>
      <w:marBottom w:val="0"/>
      <w:divBdr>
        <w:top w:val="none" w:sz="0" w:space="0" w:color="auto"/>
        <w:left w:val="none" w:sz="0" w:space="0" w:color="auto"/>
        <w:bottom w:val="none" w:sz="0" w:space="0" w:color="auto"/>
        <w:right w:val="none" w:sz="0" w:space="0" w:color="auto"/>
      </w:divBdr>
    </w:div>
    <w:div w:id="384989695">
      <w:bodyDiv w:val="1"/>
      <w:marLeft w:val="0"/>
      <w:marRight w:val="0"/>
      <w:marTop w:val="0"/>
      <w:marBottom w:val="0"/>
      <w:divBdr>
        <w:top w:val="none" w:sz="0" w:space="0" w:color="auto"/>
        <w:left w:val="none" w:sz="0" w:space="0" w:color="auto"/>
        <w:bottom w:val="none" w:sz="0" w:space="0" w:color="auto"/>
        <w:right w:val="none" w:sz="0" w:space="0" w:color="auto"/>
      </w:divBdr>
    </w:div>
    <w:div w:id="397172974">
      <w:bodyDiv w:val="1"/>
      <w:marLeft w:val="0"/>
      <w:marRight w:val="0"/>
      <w:marTop w:val="0"/>
      <w:marBottom w:val="0"/>
      <w:divBdr>
        <w:top w:val="none" w:sz="0" w:space="0" w:color="auto"/>
        <w:left w:val="none" w:sz="0" w:space="0" w:color="auto"/>
        <w:bottom w:val="none" w:sz="0" w:space="0" w:color="auto"/>
        <w:right w:val="none" w:sz="0" w:space="0" w:color="auto"/>
      </w:divBdr>
    </w:div>
    <w:div w:id="438373767">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497156742">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48280">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37357835">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60362927">
      <w:bodyDiv w:val="1"/>
      <w:marLeft w:val="0"/>
      <w:marRight w:val="0"/>
      <w:marTop w:val="0"/>
      <w:marBottom w:val="0"/>
      <w:divBdr>
        <w:top w:val="none" w:sz="0" w:space="0" w:color="auto"/>
        <w:left w:val="none" w:sz="0" w:space="0" w:color="auto"/>
        <w:bottom w:val="none" w:sz="0" w:space="0" w:color="auto"/>
        <w:right w:val="none" w:sz="0" w:space="0" w:color="auto"/>
      </w:divBdr>
    </w:div>
    <w:div w:id="582879265">
      <w:bodyDiv w:val="1"/>
      <w:marLeft w:val="0"/>
      <w:marRight w:val="0"/>
      <w:marTop w:val="0"/>
      <w:marBottom w:val="0"/>
      <w:divBdr>
        <w:top w:val="none" w:sz="0" w:space="0" w:color="auto"/>
        <w:left w:val="none" w:sz="0" w:space="0" w:color="auto"/>
        <w:bottom w:val="none" w:sz="0" w:space="0" w:color="auto"/>
        <w:right w:val="none" w:sz="0" w:space="0" w:color="auto"/>
      </w:divBdr>
    </w:div>
    <w:div w:id="583074681">
      <w:bodyDiv w:val="1"/>
      <w:marLeft w:val="0"/>
      <w:marRight w:val="0"/>
      <w:marTop w:val="0"/>
      <w:marBottom w:val="0"/>
      <w:divBdr>
        <w:top w:val="none" w:sz="0" w:space="0" w:color="auto"/>
        <w:left w:val="none" w:sz="0" w:space="0" w:color="auto"/>
        <w:bottom w:val="none" w:sz="0" w:space="0" w:color="auto"/>
        <w:right w:val="none" w:sz="0" w:space="0" w:color="auto"/>
      </w:divBdr>
    </w:div>
    <w:div w:id="601492508">
      <w:bodyDiv w:val="1"/>
      <w:marLeft w:val="0"/>
      <w:marRight w:val="0"/>
      <w:marTop w:val="0"/>
      <w:marBottom w:val="0"/>
      <w:divBdr>
        <w:top w:val="none" w:sz="0" w:space="0" w:color="auto"/>
        <w:left w:val="none" w:sz="0" w:space="0" w:color="auto"/>
        <w:bottom w:val="none" w:sz="0" w:space="0" w:color="auto"/>
        <w:right w:val="none" w:sz="0" w:space="0" w:color="auto"/>
      </w:divBdr>
    </w:div>
    <w:div w:id="615448964">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76034000">
      <w:bodyDiv w:val="1"/>
      <w:marLeft w:val="0"/>
      <w:marRight w:val="0"/>
      <w:marTop w:val="0"/>
      <w:marBottom w:val="0"/>
      <w:divBdr>
        <w:top w:val="none" w:sz="0" w:space="0" w:color="auto"/>
        <w:left w:val="none" w:sz="0" w:space="0" w:color="auto"/>
        <w:bottom w:val="none" w:sz="0" w:space="0" w:color="auto"/>
        <w:right w:val="none" w:sz="0" w:space="0" w:color="auto"/>
      </w:divBdr>
    </w:div>
    <w:div w:id="729158954">
      <w:bodyDiv w:val="1"/>
      <w:marLeft w:val="0"/>
      <w:marRight w:val="0"/>
      <w:marTop w:val="0"/>
      <w:marBottom w:val="0"/>
      <w:divBdr>
        <w:top w:val="none" w:sz="0" w:space="0" w:color="auto"/>
        <w:left w:val="none" w:sz="0" w:space="0" w:color="auto"/>
        <w:bottom w:val="none" w:sz="0" w:space="0" w:color="auto"/>
        <w:right w:val="none" w:sz="0" w:space="0" w:color="auto"/>
      </w:divBdr>
    </w:div>
    <w:div w:id="746725492">
      <w:bodyDiv w:val="1"/>
      <w:marLeft w:val="0"/>
      <w:marRight w:val="0"/>
      <w:marTop w:val="0"/>
      <w:marBottom w:val="0"/>
      <w:divBdr>
        <w:top w:val="none" w:sz="0" w:space="0" w:color="auto"/>
        <w:left w:val="none" w:sz="0" w:space="0" w:color="auto"/>
        <w:bottom w:val="none" w:sz="0" w:space="0" w:color="auto"/>
        <w:right w:val="none" w:sz="0" w:space="0" w:color="auto"/>
      </w:divBdr>
    </w:div>
    <w:div w:id="755370365">
      <w:bodyDiv w:val="1"/>
      <w:marLeft w:val="0"/>
      <w:marRight w:val="0"/>
      <w:marTop w:val="0"/>
      <w:marBottom w:val="0"/>
      <w:divBdr>
        <w:top w:val="none" w:sz="0" w:space="0" w:color="auto"/>
        <w:left w:val="none" w:sz="0" w:space="0" w:color="auto"/>
        <w:bottom w:val="none" w:sz="0" w:space="0" w:color="auto"/>
        <w:right w:val="none" w:sz="0" w:space="0" w:color="auto"/>
      </w:divBdr>
    </w:div>
    <w:div w:id="777916844">
      <w:bodyDiv w:val="1"/>
      <w:marLeft w:val="0"/>
      <w:marRight w:val="0"/>
      <w:marTop w:val="0"/>
      <w:marBottom w:val="0"/>
      <w:divBdr>
        <w:top w:val="none" w:sz="0" w:space="0" w:color="auto"/>
        <w:left w:val="none" w:sz="0" w:space="0" w:color="auto"/>
        <w:bottom w:val="none" w:sz="0" w:space="0" w:color="auto"/>
        <w:right w:val="none" w:sz="0" w:space="0" w:color="auto"/>
      </w:divBdr>
    </w:div>
    <w:div w:id="807862904">
      <w:bodyDiv w:val="1"/>
      <w:marLeft w:val="0"/>
      <w:marRight w:val="0"/>
      <w:marTop w:val="0"/>
      <w:marBottom w:val="0"/>
      <w:divBdr>
        <w:top w:val="none" w:sz="0" w:space="0" w:color="auto"/>
        <w:left w:val="none" w:sz="0" w:space="0" w:color="auto"/>
        <w:bottom w:val="none" w:sz="0" w:space="0" w:color="auto"/>
        <w:right w:val="none" w:sz="0" w:space="0" w:color="auto"/>
      </w:divBdr>
    </w:div>
    <w:div w:id="811674810">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874539781">
      <w:bodyDiv w:val="1"/>
      <w:marLeft w:val="0"/>
      <w:marRight w:val="0"/>
      <w:marTop w:val="0"/>
      <w:marBottom w:val="0"/>
      <w:divBdr>
        <w:top w:val="none" w:sz="0" w:space="0" w:color="auto"/>
        <w:left w:val="none" w:sz="0" w:space="0" w:color="auto"/>
        <w:bottom w:val="none" w:sz="0" w:space="0" w:color="auto"/>
        <w:right w:val="none" w:sz="0" w:space="0" w:color="auto"/>
      </w:divBdr>
    </w:div>
    <w:div w:id="886524649">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71525062">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36543995">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00684106">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48589758">
      <w:bodyDiv w:val="1"/>
      <w:marLeft w:val="0"/>
      <w:marRight w:val="0"/>
      <w:marTop w:val="0"/>
      <w:marBottom w:val="0"/>
      <w:divBdr>
        <w:top w:val="none" w:sz="0" w:space="0" w:color="auto"/>
        <w:left w:val="none" w:sz="0" w:space="0" w:color="auto"/>
        <w:bottom w:val="none" w:sz="0" w:space="0" w:color="auto"/>
        <w:right w:val="none" w:sz="0" w:space="0" w:color="auto"/>
      </w:divBdr>
    </w:div>
    <w:div w:id="1206529124">
      <w:bodyDiv w:val="1"/>
      <w:marLeft w:val="0"/>
      <w:marRight w:val="0"/>
      <w:marTop w:val="0"/>
      <w:marBottom w:val="0"/>
      <w:divBdr>
        <w:top w:val="none" w:sz="0" w:space="0" w:color="auto"/>
        <w:left w:val="none" w:sz="0" w:space="0" w:color="auto"/>
        <w:bottom w:val="none" w:sz="0" w:space="0" w:color="auto"/>
        <w:right w:val="none" w:sz="0" w:space="0" w:color="auto"/>
      </w:divBdr>
    </w:div>
    <w:div w:id="1218860177">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51425490">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53608546">
      <w:bodyDiv w:val="1"/>
      <w:marLeft w:val="0"/>
      <w:marRight w:val="0"/>
      <w:marTop w:val="0"/>
      <w:marBottom w:val="0"/>
      <w:divBdr>
        <w:top w:val="none" w:sz="0" w:space="0" w:color="auto"/>
        <w:left w:val="none" w:sz="0" w:space="0" w:color="auto"/>
        <w:bottom w:val="none" w:sz="0" w:space="0" w:color="auto"/>
        <w:right w:val="none" w:sz="0" w:space="0" w:color="auto"/>
      </w:divBdr>
    </w:div>
    <w:div w:id="1376277399">
      <w:bodyDiv w:val="1"/>
      <w:marLeft w:val="0"/>
      <w:marRight w:val="0"/>
      <w:marTop w:val="0"/>
      <w:marBottom w:val="0"/>
      <w:divBdr>
        <w:top w:val="none" w:sz="0" w:space="0" w:color="auto"/>
        <w:left w:val="none" w:sz="0" w:space="0" w:color="auto"/>
        <w:bottom w:val="none" w:sz="0" w:space="0" w:color="auto"/>
        <w:right w:val="none" w:sz="0" w:space="0" w:color="auto"/>
      </w:divBdr>
    </w:div>
    <w:div w:id="1377848700">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22491048">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493715290">
      <w:bodyDiv w:val="1"/>
      <w:marLeft w:val="0"/>
      <w:marRight w:val="0"/>
      <w:marTop w:val="0"/>
      <w:marBottom w:val="0"/>
      <w:divBdr>
        <w:top w:val="none" w:sz="0" w:space="0" w:color="auto"/>
        <w:left w:val="none" w:sz="0" w:space="0" w:color="auto"/>
        <w:bottom w:val="none" w:sz="0" w:space="0" w:color="auto"/>
        <w:right w:val="none" w:sz="0" w:space="0" w:color="auto"/>
      </w:divBdr>
    </w:div>
    <w:div w:id="1493790480">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19026338">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66010058">
      <w:bodyDiv w:val="1"/>
      <w:marLeft w:val="0"/>
      <w:marRight w:val="0"/>
      <w:marTop w:val="0"/>
      <w:marBottom w:val="0"/>
      <w:divBdr>
        <w:top w:val="none" w:sz="0" w:space="0" w:color="auto"/>
        <w:left w:val="none" w:sz="0" w:space="0" w:color="auto"/>
        <w:bottom w:val="none" w:sz="0" w:space="0" w:color="auto"/>
        <w:right w:val="none" w:sz="0" w:space="0" w:color="auto"/>
      </w:divBdr>
    </w:div>
    <w:div w:id="1670211442">
      <w:bodyDiv w:val="1"/>
      <w:marLeft w:val="0"/>
      <w:marRight w:val="0"/>
      <w:marTop w:val="0"/>
      <w:marBottom w:val="0"/>
      <w:divBdr>
        <w:top w:val="none" w:sz="0" w:space="0" w:color="auto"/>
        <w:left w:val="none" w:sz="0" w:space="0" w:color="auto"/>
        <w:bottom w:val="none" w:sz="0" w:space="0" w:color="auto"/>
        <w:right w:val="none" w:sz="0" w:space="0" w:color="auto"/>
      </w:divBdr>
    </w:div>
    <w:div w:id="1707634976">
      <w:bodyDiv w:val="1"/>
      <w:marLeft w:val="0"/>
      <w:marRight w:val="0"/>
      <w:marTop w:val="0"/>
      <w:marBottom w:val="0"/>
      <w:divBdr>
        <w:top w:val="none" w:sz="0" w:space="0" w:color="auto"/>
        <w:left w:val="none" w:sz="0" w:space="0" w:color="auto"/>
        <w:bottom w:val="none" w:sz="0" w:space="0" w:color="auto"/>
        <w:right w:val="none" w:sz="0" w:space="0" w:color="auto"/>
      </w:divBdr>
    </w:div>
    <w:div w:id="1710111040">
      <w:bodyDiv w:val="1"/>
      <w:marLeft w:val="0"/>
      <w:marRight w:val="0"/>
      <w:marTop w:val="0"/>
      <w:marBottom w:val="0"/>
      <w:divBdr>
        <w:top w:val="none" w:sz="0" w:space="0" w:color="auto"/>
        <w:left w:val="none" w:sz="0" w:space="0" w:color="auto"/>
        <w:bottom w:val="none" w:sz="0" w:space="0" w:color="auto"/>
        <w:right w:val="none" w:sz="0" w:space="0" w:color="auto"/>
      </w:divBdr>
    </w:div>
    <w:div w:id="171091511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0902590">
      <w:bodyDiv w:val="1"/>
      <w:marLeft w:val="0"/>
      <w:marRight w:val="0"/>
      <w:marTop w:val="0"/>
      <w:marBottom w:val="0"/>
      <w:divBdr>
        <w:top w:val="none" w:sz="0" w:space="0" w:color="auto"/>
        <w:left w:val="none" w:sz="0" w:space="0" w:color="auto"/>
        <w:bottom w:val="none" w:sz="0" w:space="0" w:color="auto"/>
        <w:right w:val="none" w:sz="0" w:space="0" w:color="auto"/>
      </w:divBdr>
    </w:div>
    <w:div w:id="1745641550">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42772854">
      <w:bodyDiv w:val="1"/>
      <w:marLeft w:val="0"/>
      <w:marRight w:val="0"/>
      <w:marTop w:val="0"/>
      <w:marBottom w:val="0"/>
      <w:divBdr>
        <w:top w:val="none" w:sz="0" w:space="0" w:color="auto"/>
        <w:left w:val="none" w:sz="0" w:space="0" w:color="auto"/>
        <w:bottom w:val="none" w:sz="0" w:space="0" w:color="auto"/>
        <w:right w:val="none" w:sz="0" w:space="0" w:color="auto"/>
      </w:divBdr>
    </w:div>
    <w:div w:id="1850292170">
      <w:bodyDiv w:val="1"/>
      <w:marLeft w:val="0"/>
      <w:marRight w:val="0"/>
      <w:marTop w:val="0"/>
      <w:marBottom w:val="0"/>
      <w:divBdr>
        <w:top w:val="none" w:sz="0" w:space="0" w:color="auto"/>
        <w:left w:val="none" w:sz="0" w:space="0" w:color="auto"/>
        <w:bottom w:val="none" w:sz="0" w:space="0" w:color="auto"/>
        <w:right w:val="none" w:sz="0" w:space="0" w:color="auto"/>
      </w:divBdr>
    </w:div>
    <w:div w:id="1857572255">
      <w:bodyDiv w:val="1"/>
      <w:marLeft w:val="0"/>
      <w:marRight w:val="0"/>
      <w:marTop w:val="0"/>
      <w:marBottom w:val="0"/>
      <w:divBdr>
        <w:top w:val="none" w:sz="0" w:space="0" w:color="auto"/>
        <w:left w:val="none" w:sz="0" w:space="0" w:color="auto"/>
        <w:bottom w:val="none" w:sz="0" w:space="0" w:color="auto"/>
        <w:right w:val="none" w:sz="0" w:space="0" w:color="auto"/>
      </w:divBdr>
    </w:div>
    <w:div w:id="1938294934">
      <w:bodyDiv w:val="1"/>
      <w:marLeft w:val="0"/>
      <w:marRight w:val="0"/>
      <w:marTop w:val="0"/>
      <w:marBottom w:val="0"/>
      <w:divBdr>
        <w:top w:val="none" w:sz="0" w:space="0" w:color="auto"/>
        <w:left w:val="none" w:sz="0" w:space="0" w:color="auto"/>
        <w:bottom w:val="none" w:sz="0" w:space="0" w:color="auto"/>
        <w:right w:val="none" w:sz="0" w:space="0" w:color="auto"/>
      </w:divBdr>
    </w:div>
    <w:div w:id="1945265444">
      <w:bodyDiv w:val="1"/>
      <w:marLeft w:val="0"/>
      <w:marRight w:val="0"/>
      <w:marTop w:val="0"/>
      <w:marBottom w:val="0"/>
      <w:divBdr>
        <w:top w:val="none" w:sz="0" w:space="0" w:color="auto"/>
        <w:left w:val="none" w:sz="0" w:space="0" w:color="auto"/>
        <w:bottom w:val="none" w:sz="0" w:space="0" w:color="auto"/>
        <w:right w:val="none" w:sz="0" w:space="0" w:color="auto"/>
      </w:divBdr>
    </w:div>
    <w:div w:id="1969316158">
      <w:bodyDiv w:val="1"/>
      <w:marLeft w:val="0"/>
      <w:marRight w:val="0"/>
      <w:marTop w:val="0"/>
      <w:marBottom w:val="0"/>
      <w:divBdr>
        <w:top w:val="none" w:sz="0" w:space="0" w:color="auto"/>
        <w:left w:val="none" w:sz="0" w:space="0" w:color="auto"/>
        <w:bottom w:val="none" w:sz="0" w:space="0" w:color="auto"/>
        <w:right w:val="none" w:sz="0" w:space="0" w:color="auto"/>
      </w:divBdr>
    </w:div>
    <w:div w:id="1987393136">
      <w:bodyDiv w:val="1"/>
      <w:marLeft w:val="0"/>
      <w:marRight w:val="0"/>
      <w:marTop w:val="0"/>
      <w:marBottom w:val="0"/>
      <w:divBdr>
        <w:top w:val="none" w:sz="0" w:space="0" w:color="auto"/>
        <w:left w:val="none" w:sz="0" w:space="0" w:color="auto"/>
        <w:bottom w:val="none" w:sz="0" w:space="0" w:color="auto"/>
        <w:right w:val="none" w:sz="0" w:space="0" w:color="auto"/>
      </w:divBdr>
    </w:div>
    <w:div w:id="2076006355">
      <w:bodyDiv w:val="1"/>
      <w:marLeft w:val="0"/>
      <w:marRight w:val="0"/>
      <w:marTop w:val="0"/>
      <w:marBottom w:val="0"/>
      <w:divBdr>
        <w:top w:val="none" w:sz="0" w:space="0" w:color="auto"/>
        <w:left w:val="none" w:sz="0" w:space="0" w:color="auto"/>
        <w:bottom w:val="none" w:sz="0" w:space="0" w:color="auto"/>
        <w:right w:val="none" w:sz="0" w:space="0" w:color="auto"/>
      </w:divBdr>
    </w:div>
    <w:div w:id="2097044788">
      <w:bodyDiv w:val="1"/>
      <w:marLeft w:val="0"/>
      <w:marRight w:val="0"/>
      <w:marTop w:val="0"/>
      <w:marBottom w:val="0"/>
      <w:divBdr>
        <w:top w:val="none" w:sz="0" w:space="0" w:color="auto"/>
        <w:left w:val="none" w:sz="0" w:space="0" w:color="auto"/>
        <w:bottom w:val="none" w:sz="0" w:space="0" w:color="auto"/>
        <w:right w:val="none" w:sz="0" w:space="0" w:color="auto"/>
      </w:divBdr>
    </w:div>
    <w:div w:id="2129005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eader" Target="header7.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eader" Target="header6.xml"/><Relationship Id="rId2" Type="http://schemas.openxmlformats.org/officeDocument/2006/relationships/numbering" Target="numbering.xml"/><Relationship Id="rId16" Type="http://schemas.openxmlformats.org/officeDocument/2006/relationships/header" Target="header5.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eader" Target="header4.xml"/><Relationship Id="rId10" Type="http://schemas.openxmlformats.org/officeDocument/2006/relationships/header" Target="header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ICA13</b:Tag>
    <b:SourceType>InternetSite</b:SourceType>
    <b:Guid>{0CF39B2D-18F8-FE45-B243-E457B87FBF81}</b:Guid>
    <b:Author>
      <b:Author>
        <b:Corporate>ICAEW</b:Corporate>
      </b:Author>
    </b:Author>
    <b:Title>FRS 102 The Financial Reporting Standard</b:Title>
    <b:URL>https://www.icaew.com/technical/financial-reporting/new-uk-gaap/frs-102-the-financial-reporting-standard</b:URL>
    <b:Year>2013</b:Year>
    <b:Month>March</b:Month>
    <b:YearAccessed>2018</b:YearAccessed>
    <b:MonthAccessed>November </b:MonthAccessed>
    <b:DayAccessed>21</b:DayAccessed>
    <b:RefOrder>1</b:RefOrder>
  </b:Source>
  <b:Source>
    <b:Tag>Nig171</b:Tag>
    <b:SourceType>InternetSite</b:SourceType>
    <b:Guid>{F199F1B7-96FC-0B4D-8615-34910103D26F}</b:Guid>
    <b:Author>
      <b:Author>
        <b:NameList>
          <b:Person>
            <b:Last>Sleigh-Johnson</b:Last>
            <b:First>Nigel</b:First>
          </b:Person>
        </b:NameList>
      </b:Author>
    </b:Author>
    <b:Title>FRS 102: major amendments published </b:Title>
    <b:URL>https://ion.icaew.com/financialreporting/b/weblog/posts/frs-102-major-amendments-published-1459522766</b:URL>
    <b:Year>2017</b:Year>
    <b:Month>December</b:Month>
    <b:YearAccessed>2018 </b:YearAccessed>
    <b:MonthAccessed>December</b:MonthAccessed>
    <b:DayAccessed>4</b:DayAccessed>
    <b:RefOrder>2</b:RefOrder>
  </b:Source>
  <b:Source>
    <b:Tag>Ste16</b:Tag>
    <b:SourceType>InternetSite</b:SourceType>
    <b:Guid>{EE308470-3A22-384E-B01E-B04427F47491}</b:Guid>
    <b:Author>
      <b:Author>
        <b:NameList>
          <b:Person>
            <b:Last>Collings</b:Last>
            <b:First>Steve</b:First>
          </b:Person>
        </b:NameList>
      </b:Author>
    </b:Author>
    <b:Title>FRS 102 and leasing </b:Title>
    <b:URL>https://www.aatcomment.org.uk/frs-102-and-leasing/</b:URL>
    <b:Year>2016</b:Year>
    <b:Month>July </b:Month>
    <b:Day>14</b:Day>
    <b:YearAccessed>2018</b:YearAccessed>
    <b:MonthAccessed>December</b:MonthAccessed>
    <b:DayAccessed>4</b:DayAccessed>
    <b:RefOrder>3</b:RefOrder>
  </b:Source>
  <b:Source>
    <b:Tag>Cat13</b:Tag>
    <b:SourceType>InternetSite</b:SourceType>
    <b:Guid>{0B2F52D9-045F-EF48-8157-D5EE5A91BFE5}</b:Guid>
    <b:Author>
      <b:Author>
        <b:NameList>
          <b:Person>
            <b:Last>Dawson</b:Last>
            <b:First>Catherine</b:First>
          </b:Person>
        </b:NameList>
      </b:Author>
    </b:Author>
    <b:Title>How to tell the difference between a finance lease and an operating lease</b:Title>
    <b:URL>https://maxxia.co.uk/blog/finance-lease-vs-operating-lease/</b:URL>
    <b:Year>2013</b:Year>
    <b:Month>May </b:Month>
    <b:Day>1</b:Day>
    <b:YearAccessed>2018</b:YearAccessed>
    <b:MonthAccessed>December  </b:MonthAccessed>
    <b:DayAccessed>4</b:DayAccessed>
    <b:RefOrder>4</b:RefOrder>
  </b:Source>
  <b:Source>
    <b:Tag>Cen17</b:Tag>
    <b:SourceType>InternetSite</b:SourceType>
    <b:Guid>{70AE5DBD-1AB1-9F40-B166-E55014E89F70}</b:Guid>
    <b:Author>
      <b:Author>
        <b:Corporate>Centre for Audit Quality </b:Corporate>
      </b:Author>
    </b:Author>
    <b:Title>The New Leases Accounting Standard</b:Title>
    <b:URL>https://www.thecaq.org/sites/default/files/caq_preparing_for_new_leases_accounting_standard_2018-04.pdf</b:URL>
    <b:Year>2017 </b:Year>
    <b:YearAccessed>2018 </b:YearAccessed>
    <b:MonthAccessed>December</b:MonthAccessed>
    <b:DayAccessed>4</b:DayAccessed>
    <b:RefOrder>5</b:RefOrder>
  </b:Source>
  <b:Source>
    <b:Tag>Dav16</b:Tag>
    <b:SourceType>InternetSite</b:SourceType>
    <b:Guid>{422324A6-2755-D14A-AD04-8286D2C70B2F}</b:Guid>
    <b:Author>
      <b:Author>
        <b:NameList>
          <b:Person>
            <b:Last>Sherman</b:Last>
            <b:First>David</b:First>
          </b:Person>
        </b:NameList>
      </b:Author>
    </b:Author>
    <b:Title>Where financial reporting still falls short </b:Title>
    <b:URL>https://hbr.org/2016/07/where-financial-reporting-still-falls-short</b:URL>
    <b:Year>2016 </b:Year>
    <b:Month>August </b:Month>
    <b:YearAccessed>2018 </b:YearAccessed>
    <b:MonthAccessed>December </b:MonthAccessed>
    <b:DayAccessed>4</b:DayAccessed>
    <b:RefOrder>9</b:RefOrder>
  </b:Source>
  <b:Source>
    <b:Tag>Ste10</b:Tag>
    <b:SourceType>InternetSite</b:SourceType>
    <b:Guid>{B1F59BB6-B832-E543-878C-15BE93244448}</b:Guid>
    <b:Author>
      <b:Author>
        <b:NameList>
          <b:Person>
            <b:Last>Collings</b:Last>
            <b:First>Steven</b:First>
          </b:Person>
        </b:NameList>
      </b:Author>
    </b:Author>
    <b:Title>The great IFRS debate </b:Title>
    <b:URL>https://www.accountingweb.co.uk/business/financial-reporting/the-great-ifrs-debate</b:URL>
    <b:Year>2010</b:Year>
    <b:Month>August</b:Month>
    <b:Day>3</b:Day>
    <b:YearAccessed>2018</b:YearAccessed>
    <b:MonthAccessed>December</b:MonthAccessed>
    <b:DayAccessed>4</b:DayAccessed>
    <b:RefOrder>6</b:RefOrder>
  </b:Source>
  <b:Source>
    <b:Tag>Ros11</b:Tag>
    <b:SourceType>InternetSite</b:SourceType>
    <b:Guid>{6026CE1E-D9BA-7643-A641-596395188143}</b:Guid>
    <b:Author>
      <b:Author>
        <b:NameList>
          <b:Person>
            <b:Last>Orlik</b:Last>
            <b:First>Rose</b:First>
          </b:Person>
        </b:NameList>
      </b:Author>
    </b:Author>
    <b:Title>Critics unearth 'second thoughts' over IFRS  </b:Title>
    <b:URL>https://www.accountancyage.com/aa/news/2069349/critics-unearth-ifrs</b:URL>
    <b:Year>2011</b:Year>
    <b:Month>May </b:Month>
    <b:Day>9</b:Day>
    <b:YearAccessed>2018 </b:YearAccessed>
    <b:MonthAccessed>December</b:MonthAccessed>
    <b:DayAccessed>4</b:DayAccessed>
    <b:RefOrder>10</b:RefOrder>
  </b:Source>
  <b:Source>
    <b:Tag>Gra13</b:Tag>
    <b:SourceType>Report</b:SourceType>
    <b:Guid>{019E0CA6-8E1A-6946-B62E-C82C00913169}</b:Guid>
    <b:Title>How will the transition from current UK GAAP to FRS 102 from January 2015 impact on my company’s accounts?</b:Title>
    <b:Year>2013</b:Year>
    <b:Author>
      <b:Author>
        <b:Corporate>Grant Thornton LLP </b:Corporate>
      </b:Author>
    </b:Author>
    <b:Publisher>Grant Thornton </b:Publisher>
    <b:RefOrder>8</b:RefOrder>
  </b:Source>
  <b:Source>
    <b:Tag>PWC</b:Tag>
    <b:SourceType>InternetSite</b:SourceType>
    <b:Guid>{9E2F8D3B-D2B3-A345-894F-0DF8FF7CF92F}</b:Guid>
    <b:Author>
      <b:Author>
        <b:Corporate>PWC</b:Corporate>
      </b:Author>
    </b:Author>
    <b:Title>IFRS 16 - The New Leases Standard</b:Title>
    <b:URL>https://www2.deloitte.com/content/dam/Deloitte/nl/Documents/mergers-acquisitions/deloitte-nl-ma-ifrs16-impactonbusinessvaluation1.pdf</b:URL>
    <b:Year>2016 </b:Year>
    <b:YearAccessed>2019 </b:YearAccessed>
    <b:MonthAccessed>April </b:MonthAccessed>
    <b:DayAccessed>28 </b:DayAccessed>
    <b:RefOrder>7</b:RefOrder>
  </b:Source>
</b:Sources>
</file>

<file path=customXml/itemProps1.xml><?xml version="1.0" encoding="utf-8"?>
<ds:datastoreItem xmlns:ds="http://schemas.openxmlformats.org/officeDocument/2006/customXml" ds:itemID="{81867259-EC13-0D40-9BE9-EADE4DC7A0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168</TotalTime>
  <Pages>6</Pages>
  <Words>1367</Words>
  <Characters>7797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Microsoft Office User</cp:lastModifiedBy>
  <cp:revision>6</cp:revision>
  <cp:lastPrinted>2018-03-28T16:10:00Z</cp:lastPrinted>
  <dcterms:created xsi:type="dcterms:W3CDTF">2018-03-28T15:25:00Z</dcterms:created>
  <dcterms:modified xsi:type="dcterms:W3CDTF">2019-05-03T19:22:00Z</dcterms:modified>
</cp:coreProperties>
</file>