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pPr>
      <w:r w:rsidDel="00000000" w:rsidR="00000000" w:rsidRPr="00000000">
        <w:rPr>
          <w:b w:val="1"/>
          <w:rtl w:val="0"/>
        </w:rPr>
        <w:t xml:space="preserve">Introduction</w:t>
      </w:r>
      <w:r w:rsidDel="00000000" w:rsidR="00000000" w:rsidRPr="00000000">
        <w:rPr>
          <w:rtl w:val="0"/>
        </w:rPr>
      </w:r>
    </w:p>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To help me to understand the impact of subject knowledge, I will first analyse and discuss the current literature that surrounds subject knowledge and its effects on learning and teaching. I will use Shulman’s (1987) seminal ‘knowledge base’ framework to help me explore subsequent literature and dissect exactly how integral subject knowledge is seen to be in effective teaching and learning. I will also explore the impact that the new curriculum (Donaldson, 2015) will have on subject knowledge. I will then use this literature and the knowledge base to help me to reflect on my own experiences on professional placement.</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The professional placement in question was the first placement of my Professional Teaching Experience (PTE1). I was with a Year 5 class for six weeks. With children’s ages ranging from 9-10, subject knowledge played a large part. Large primary school.</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b w:val="1"/>
          <w:rtl w:val="0"/>
        </w:rPr>
        <w:t xml:space="preserve">Literature Review</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With the Donaldson quote in the introduction to this assignment, alongside Shulman (1987) stating “to teach is first to understand” (p. 14), it cannot be ignored that subject knowledge plays a massive part in effective learning and teaching. This opinion on the importance of subject knowledge is echoed throughout literature and research (Coe et al., 2014, Alexander, 2003). However, there are a large number of other factors to consider which make for good teaching practice. If being an effective teacher was simply as easy as knowing information on a subject, then anyone could be a teacher. Shulman (1987) outlines other areas of knowledge that are needed to become a successful teacher in his ‘knowledge base’ framework. The framework is made up of seven different areas: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1"/>
        </w:numPr>
        <w:spacing w:line="360" w:lineRule="auto"/>
        <w:ind w:left="720" w:hanging="360"/>
      </w:pPr>
      <w:r w:rsidDel="00000000" w:rsidR="00000000" w:rsidRPr="00000000">
        <w:rPr>
          <w:rtl w:val="0"/>
        </w:rPr>
        <w:t xml:space="preserve">Content knowledge (or subject knowledge).</w:t>
      </w:r>
    </w:p>
    <w:p w:rsidR="00000000" w:rsidDel="00000000" w:rsidP="00000000" w:rsidRDefault="00000000" w:rsidRPr="00000000" w14:paraId="0000000B">
      <w:pPr>
        <w:numPr>
          <w:ilvl w:val="0"/>
          <w:numId w:val="1"/>
        </w:numPr>
        <w:spacing w:line="360" w:lineRule="auto"/>
        <w:ind w:left="720" w:hanging="360"/>
      </w:pPr>
      <w:r w:rsidDel="00000000" w:rsidR="00000000" w:rsidRPr="00000000">
        <w:rPr>
          <w:rtl w:val="0"/>
        </w:rPr>
        <w:t xml:space="preserve">General pedagogical knowledge.</w:t>
      </w:r>
    </w:p>
    <w:p w:rsidR="00000000" w:rsidDel="00000000" w:rsidP="00000000" w:rsidRDefault="00000000" w:rsidRPr="00000000" w14:paraId="0000000C">
      <w:pPr>
        <w:numPr>
          <w:ilvl w:val="0"/>
          <w:numId w:val="1"/>
        </w:numPr>
        <w:spacing w:line="360" w:lineRule="auto"/>
        <w:ind w:left="720" w:hanging="360"/>
      </w:pPr>
      <w:r w:rsidDel="00000000" w:rsidR="00000000" w:rsidRPr="00000000">
        <w:rPr>
          <w:rtl w:val="0"/>
        </w:rPr>
        <w:t xml:space="preserve">Curriculum knowledge.</w:t>
      </w:r>
    </w:p>
    <w:p w:rsidR="00000000" w:rsidDel="00000000" w:rsidP="00000000" w:rsidRDefault="00000000" w:rsidRPr="00000000" w14:paraId="0000000D">
      <w:pPr>
        <w:numPr>
          <w:ilvl w:val="0"/>
          <w:numId w:val="1"/>
        </w:numPr>
        <w:spacing w:line="360" w:lineRule="auto"/>
        <w:ind w:left="720" w:hanging="360"/>
      </w:pPr>
      <w:r w:rsidDel="00000000" w:rsidR="00000000" w:rsidRPr="00000000">
        <w:rPr>
          <w:rtl w:val="0"/>
        </w:rPr>
        <w:t xml:space="preserve">Pedagogical content knowledge.</w:t>
      </w:r>
    </w:p>
    <w:p w:rsidR="00000000" w:rsidDel="00000000" w:rsidP="00000000" w:rsidRDefault="00000000" w:rsidRPr="00000000" w14:paraId="0000000E">
      <w:pPr>
        <w:numPr>
          <w:ilvl w:val="0"/>
          <w:numId w:val="1"/>
        </w:numPr>
        <w:spacing w:line="360" w:lineRule="auto"/>
        <w:ind w:left="720" w:hanging="360"/>
      </w:pPr>
      <w:r w:rsidDel="00000000" w:rsidR="00000000" w:rsidRPr="00000000">
        <w:rPr>
          <w:rtl w:val="0"/>
        </w:rPr>
        <w:t xml:space="preserve">Knowledge of learners and their characteristics.</w:t>
      </w:r>
    </w:p>
    <w:p w:rsidR="00000000" w:rsidDel="00000000" w:rsidP="00000000" w:rsidRDefault="00000000" w:rsidRPr="00000000" w14:paraId="0000000F">
      <w:pPr>
        <w:numPr>
          <w:ilvl w:val="0"/>
          <w:numId w:val="1"/>
        </w:numPr>
        <w:spacing w:line="360" w:lineRule="auto"/>
        <w:ind w:left="720" w:hanging="360"/>
      </w:pPr>
      <w:r w:rsidDel="00000000" w:rsidR="00000000" w:rsidRPr="00000000">
        <w:rPr>
          <w:rtl w:val="0"/>
        </w:rPr>
        <w:t xml:space="preserve">Knowledge of educational contexts.</w:t>
      </w:r>
    </w:p>
    <w:p w:rsidR="00000000" w:rsidDel="00000000" w:rsidP="00000000" w:rsidRDefault="00000000" w:rsidRPr="00000000" w14:paraId="00000010">
      <w:pPr>
        <w:numPr>
          <w:ilvl w:val="0"/>
          <w:numId w:val="1"/>
        </w:numPr>
        <w:spacing w:line="360" w:lineRule="auto"/>
        <w:ind w:left="720" w:hanging="360"/>
      </w:pPr>
      <w:r w:rsidDel="00000000" w:rsidR="00000000" w:rsidRPr="00000000">
        <w:rPr>
          <w:rtl w:val="0"/>
        </w:rPr>
        <w:t xml:space="preserve">Knowledge of educational ends, purposes and values, and their philosophical and historic grounds.</w:t>
      </w:r>
    </w:p>
    <w:p w:rsidR="00000000" w:rsidDel="00000000" w:rsidP="00000000" w:rsidRDefault="00000000" w:rsidRPr="00000000" w14:paraId="00000011">
      <w:pPr>
        <w:spacing w:line="360" w:lineRule="auto"/>
        <w:rPr/>
      </w:pPr>
      <w:r w:rsidDel="00000000" w:rsidR="00000000" w:rsidRPr="00000000">
        <w:rPr>
          <w:rtl w:val="0"/>
        </w:rPr>
        <w:t xml:space="preserve">(Shulman, 1987. p. 8)</w:t>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t xml:space="preserve">The areas of the knowledge base that I will be concerning myself with are the content knowledge (CK), pedagogical content knowledge (PCK) and knowledge of learners and their characteristics. With subject knowledge at the heart of this assignment, it is hard not to put content knowledge (CK) at the root of this literature review. CK is, in its simplest form, an understanding of the information being relayed to a learner. As Ball (1991) puts it: “Teachers cannot help children learn things they themselves do not understand” (p. 5). Without a genuine understanding of the subject matter being taught (including subject-specific volcabulary), research has shown that children can easily misunderstand or misinterprate what is being taught. Hill et al. (2008) explore the importance of subject knowledge in their case study of teacher ‘Lucy’. The subject in question was predominantly an English teacher, who for purposes of the case study was teaching Mathematics. In the case study their findings were that although Lucy had perfectly sound pedagogical knowledge (structure, clear lesson goals), her lack of genuine content knowledge caused mathematical mistakes and lack of precision in the mathematical language. Hill et al. argue that these mistakes can easily lead to misunderstandings from the class. This case study in itself highlights the significance of subject knowledge in effective teaching.</w:t>
      </w:r>
    </w:p>
    <w:p w:rsidR="00000000" w:rsidDel="00000000" w:rsidP="00000000" w:rsidRDefault="00000000" w:rsidRPr="00000000" w14:paraId="00000014">
      <w:pPr>
        <w:spacing w:line="360" w:lineRule="auto"/>
        <w:rPr/>
      </w:pPr>
      <w:r w:rsidDel="00000000" w:rsidR="00000000" w:rsidRPr="00000000">
        <w:rPr>
          <w:rtl w:val="0"/>
        </w:rPr>
        <w:t xml:space="preserve">Despite numerous case studies spotlighting the undoubted importance of subject knowledge, there are opposing views to this. Hattie (2013) suggests that findings in</w:t>
      </w:r>
      <w:r w:rsidDel="00000000" w:rsidR="00000000" w:rsidRPr="00000000">
        <w:rPr>
          <w:i w:val="1"/>
          <w:rtl w:val="0"/>
        </w:rPr>
        <w:t xml:space="preserve"> Visible Learning</w:t>
      </w:r>
      <w:r w:rsidDel="00000000" w:rsidR="00000000" w:rsidRPr="00000000">
        <w:rPr>
          <w:rtl w:val="0"/>
        </w:rPr>
        <w:t xml:space="preserve"> show that teachers’ subject knowledge actually bears little relevance to the “quality of student outcomes” (p. 28). Research carried out by Sadler et al. (2013) backs up Hattie’s findings.  Coe et al. (2014) described these findings as a “modest” (p. 19) relationship between teacher subject knowledge and the gains of the student.</w:t>
      </w:r>
    </w:p>
    <w:p w:rsidR="00000000" w:rsidDel="00000000" w:rsidP="00000000" w:rsidRDefault="00000000" w:rsidRPr="00000000" w14:paraId="00000015">
      <w:pPr>
        <w:rPr/>
      </w:pPr>
      <w:r w:rsidDel="00000000" w:rsidR="00000000" w:rsidRPr="00000000">
        <w:rPr>
          <w:rtl w:val="0"/>
        </w:rPr>
        <w:t xml:space="preserve">If subject knowledge does indeed have a “modest” effect on the outcomes of a student, then what else is needed? This is where the other areas of the knowledge base come into play, namely pedagogical content knowledge (PCK). PCK is the knowledge of how to make the content you are teaching accessible to pupils. To make a lesson effective, a teacher need not only a deep knowledge of the subject matter but also a knowledge of how to teach within that subject (Shulman, 1987). A strong PCK is integral to becoming what Hattie (2013) would call the ‘expert’ teacher, and what Grigg (2010) would call an ‘outstanding’ one. Grigg (2010) emphasises his views on a need to represent and communicate knowledge properly to pupils to give the subject matter genuine value.</w:t>
      </w:r>
    </w:p>
    <w:p w:rsidR="00000000" w:rsidDel="00000000" w:rsidP="00000000" w:rsidRDefault="00000000" w:rsidRPr="00000000" w14:paraId="00000016">
      <w:pPr>
        <w:rPr/>
      </w:pPr>
      <w:r w:rsidDel="00000000" w:rsidR="00000000" w:rsidRPr="00000000">
        <w:rPr>
          <w:rtl w:val="0"/>
        </w:rPr>
        <w:t xml:space="preserve">Pedagogical knowledge and subject knowledge are undoubtely at their most effective when used concurrently.</w:t>
      </w:r>
    </w:p>
    <w:p w:rsidR="00000000" w:rsidDel="00000000" w:rsidP="00000000" w:rsidRDefault="00000000" w:rsidRPr="00000000" w14:paraId="00000017">
      <w:pPr>
        <w:rPr/>
      </w:pPr>
      <w:r w:rsidDel="00000000" w:rsidR="00000000" w:rsidRPr="00000000">
        <w:rPr>
          <w:rtl w:val="0"/>
        </w:rPr>
        <w:t xml:space="preserve">Some have pointed out that beliefs and ideas can be just as important to effective learning and teaching as the very knowledge that underpins Shulman’s knowledge base (Webb and Cox, 2004).</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^^^Try and mention Donaldson a bit more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In this digital age, and with Donaldson’s curriculum just around the corner, digital competence has become a massive factor in the effectiveness of teaching and learning. Effective learning and teaching have become so much more than just subject or pedagogical knowledge. There is vast literature to support this notion. Mishra and Koehler (2006) were integral in taking Shulman’s seminal framework and bringing it into the 21st Century, doing so by incorporating technology into the to PCK. They named this combination of technological, pedagogical and content knowledge the </w:t>
      </w:r>
      <w:r w:rsidDel="00000000" w:rsidR="00000000" w:rsidRPr="00000000">
        <w:rPr>
          <w:i w:val="1"/>
          <w:rtl w:val="0"/>
        </w:rPr>
        <w:t xml:space="preserve">TCPK</w:t>
      </w:r>
      <w:r w:rsidDel="00000000" w:rsidR="00000000" w:rsidRPr="00000000">
        <w:rPr>
          <w:rtl w:val="0"/>
        </w:rPr>
        <w:t xml:space="preserve"> (now known as the catchier, TP</w:t>
      </w:r>
      <w:r w:rsidDel="00000000" w:rsidR="00000000" w:rsidRPr="00000000">
        <w:rPr>
          <w:i w:val="1"/>
          <w:rtl w:val="0"/>
        </w:rPr>
        <w:t xml:space="preserve">A</w:t>
      </w:r>
      <w:r w:rsidDel="00000000" w:rsidR="00000000" w:rsidRPr="00000000">
        <w:rPr>
          <w:rtl w:val="0"/>
        </w:rPr>
        <w:t xml:space="preserve">CK). Agostinho et al. (2013) describe TPACK as “the thinking required of a teacher to determine how technology should be integrated with effective pedagogy to teach a particular concept” (p. 122). This integration of technology with “effective pedagogy” will become even more relevant in the coming years, with digital competence playing a massive part in the upcoming curriculum. Indeed, Herring et al. (2016) concluded that in this digital age, pedagogy, content and technology have become “intricately linked” (p. 1). Prior to TPACK, Webb and Cox (2004) provided their own framework that integrated technology into pedagogical practice (pp. 238-9). Somekh (2007) questioned the validity of the of their framework as it saw technology as an additional resource, as opposed to a tool with “transformative possibilities” (p. 46). It must, however, be noted that this framework was published in 2004. In the near future, the cross-curricular importance of the Digital Competence Framework (DCF) in the new curriculum would certainly suggest that technology is more than just an “additional resource”. Donaldson himself stresses this in </w:t>
      </w:r>
      <w:r w:rsidDel="00000000" w:rsidR="00000000" w:rsidRPr="00000000">
        <w:rPr>
          <w:i w:val="1"/>
          <w:rtl w:val="0"/>
        </w:rPr>
        <w:t xml:space="preserve">Successful Futures</w:t>
      </w:r>
      <w:r w:rsidDel="00000000" w:rsidR="00000000" w:rsidRPr="00000000">
        <w:rPr>
          <w:rtl w:val="0"/>
        </w:rPr>
        <w:t xml:space="preserve">, going so far as to call digital competence as important as literacy and numeracy. “enabling different ways of learning that are proving to be beneficial and motivating for students, developments in ICT are making the role of the teacher much more complex.” (p. 278)</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All of these areas of teacher knowledge are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It must be addressed that a large number of writings, research and findings on knowledge in this literature review have been subject-specific to one particular subject. If Shulman’s (1986) belief that a teacher “need not only understand that something is so, the teacher must further understand why it is so” (p. 9), then this is even harder to facilitate as a primary teacher.</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Now that I have reviewed the relevant literature and have a better grasp on the importance of subject knowledge and pedagogical knowledge, I can begin to reflect on my own teaching practice. I will use the Knowledge Quartet (Rowland et al., 2003) to structure my reflection, using the four members of the quartet as sub-headings. The Knowledge Quartet was a framework built around teaching mathematics, and as such a number of the lessons I reflect on will be maths lessons. However, the framework is undoubtedly transferable to other subjects in the curriculum. These observations will explore both the good and bad elements of my current pedagogical practice and how I can look to improve this practice in the future. The reflections in this section will refer back to my Professional Teaching Experience (PTE) that took place over six weeks between October and December 2018. I will also use aspects of the new curriculum (three cross-curricular responsibilities, six areas of learning and experience) to help reflect on my practice.</w:t>
      </w:r>
    </w:p>
    <w:p w:rsidR="00000000" w:rsidDel="00000000" w:rsidP="00000000" w:rsidRDefault="00000000" w:rsidRPr="00000000" w14:paraId="00000022">
      <w:pPr>
        <w:rPr>
          <w:b w:val="1"/>
          <w:u w:val="single"/>
        </w:rPr>
      </w:pPr>
      <w:r w:rsidDel="00000000" w:rsidR="00000000" w:rsidRPr="00000000">
        <w:rPr>
          <w:b w:val="1"/>
          <w:u w:val="single"/>
          <w:rtl w:val="0"/>
        </w:rPr>
        <w:t xml:space="preserve">MENTION DONALDSON AT LEAST ONCE IN EACH OF THE QUARTERS</w:t>
      </w:r>
    </w:p>
    <w:p w:rsidR="00000000" w:rsidDel="00000000" w:rsidP="00000000" w:rsidRDefault="00000000" w:rsidRPr="00000000" w14:paraId="00000023">
      <w:pPr>
        <w:rPr>
          <w:b w:val="1"/>
        </w:rPr>
      </w:pPr>
      <w:r w:rsidDel="00000000" w:rsidR="00000000" w:rsidRPr="00000000">
        <w:rPr>
          <w:b w:val="1"/>
          <w:rtl w:val="0"/>
        </w:rPr>
        <w:t xml:space="preserve">Foundation</w:t>
      </w:r>
    </w:p>
    <w:p w:rsidR="00000000" w:rsidDel="00000000" w:rsidP="00000000" w:rsidRDefault="00000000" w:rsidRPr="00000000" w14:paraId="00000024">
      <w:pPr>
        <w:rPr>
          <w:b w:val="1"/>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The ‘foundation’ of Rowland et al.’s Knowledge Quartet can be compared to that of Shulman’s (1987) PCK. There are elements of both that do not tie in, but both are built on a simultaneous understanding of the content of what is being taught, and how that content can be taught. Rowland (2013) himself compares his ‘foundation’ to that of Shulman’s ‘comprehension’, holding a deep understanding of what is being taught, and how your beliefs reflect this understanding. During PTE, the theme for my mid-term plan was ‘Stargazers’, which centred around broadening the children’s understandings of our solar system. An area of the theme I was keen to teach was ‘moon phases’ (see Appendix B). Prior to my teaching of the lesson, I made sure that I understood all aspects of moon phases (specific names of the 8 main moon phases, the appearance of the moon phases, length of a moon phase). Although not a whole subject, I wanted to have a good knowledge of this narrow (and simple) area of science. Coe et al. (2013) stress that if knowledge falls below a certain level it can impede the effectiveness of student learning. The chance of misconceptions in a fairly straightforward task would be unexpected. However, some children did struggle with the notion of ‘waning’ and ‘waxing’ moons. To combat this, I went through both descriptions </w:t>
      </w:r>
      <w:r w:rsidDel="00000000" w:rsidR="00000000" w:rsidRPr="00000000">
        <w:rPr>
          <w:i w:val="1"/>
          <w:rtl w:val="0"/>
        </w:rPr>
        <w:t xml:space="preserve">and</w:t>
      </w:r>
      <w:r w:rsidDel="00000000" w:rsidR="00000000" w:rsidRPr="00000000">
        <w:rPr>
          <w:rtl w:val="0"/>
        </w:rPr>
        <w:t xml:space="preserve"> images of the moon, explaining the notion of the sunlight being reflected moving from the right (waxing) to left (waning). As I had researched moon phases heavily in the weeks leading up to the lesson, my foundation knowledge of the subject matter was strong and this helped me to feel confident throughout the lesson. This confidence was noticed by my </w:t>
      </w:r>
    </w:p>
    <w:p w:rsidR="00000000" w:rsidDel="00000000" w:rsidP="00000000" w:rsidRDefault="00000000" w:rsidRPr="00000000" w14:paraId="00000026">
      <w:pPr>
        <w:rPr>
          <w:b w:val="1"/>
        </w:rPr>
      </w:pPr>
      <w:r w:rsidDel="00000000" w:rsidR="00000000" w:rsidRPr="00000000">
        <w:rPr>
          <w:rtl w:val="0"/>
        </w:rPr>
      </w:r>
    </w:p>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b w:val="1"/>
          <w:rtl w:val="0"/>
        </w:rPr>
        <w:t xml:space="preserve">Transforming</w:t>
      </w:r>
    </w:p>
    <w:p w:rsidR="00000000" w:rsidDel="00000000" w:rsidP="00000000" w:rsidRDefault="00000000" w:rsidRPr="00000000" w14:paraId="00000029">
      <w:pPr>
        <w:rPr/>
      </w:pPr>
      <w:r w:rsidDel="00000000" w:rsidR="00000000" w:rsidRPr="00000000">
        <w:rPr>
          <w:rtl w:val="0"/>
        </w:rPr>
        <w:t xml:space="preserve">For one of my maths lessons, I taught subtracting by two decimal points (see Appendix C). I had discussed with my class mentor how I could make this accessible to the children, and decided that subtracting money would be the most accessible way to demonstrate subtraction to two decimal points.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b w:val="1"/>
          <w:rtl w:val="0"/>
        </w:rPr>
        <w:t xml:space="preserve">Connection</w:t>
      </w:r>
    </w:p>
    <w:p w:rsidR="00000000" w:rsidDel="00000000" w:rsidP="00000000" w:rsidRDefault="00000000" w:rsidRPr="00000000" w14:paraId="0000002C">
      <w:pPr>
        <w:rPr>
          <w:b w:val="1"/>
        </w:rPr>
      </w:pPr>
      <w:r w:rsidDel="00000000" w:rsidR="00000000" w:rsidRPr="00000000">
        <w:rPr>
          <w:rtl w:val="0"/>
        </w:rPr>
      </w:r>
    </w:p>
    <w:p w:rsidR="00000000" w:rsidDel="00000000" w:rsidP="00000000" w:rsidRDefault="00000000" w:rsidRPr="00000000" w14:paraId="0000002D">
      <w:pPr>
        <w:rPr>
          <w:b w:val="1"/>
        </w:rPr>
      </w:pPr>
      <w:r w:rsidDel="00000000" w:rsidR="00000000" w:rsidRPr="00000000">
        <w:rPr>
          <w:rtl w:val="0"/>
        </w:rPr>
        <w:t xml:space="preserve">Despite my notion that the Knowledge Quartet is easily transferable to other subjects, ‘connection’ is probably the area that is most suited to mathematics. Rowland (2013) implies that coherence in planning and teaching is essential to connection, and that Mathematics in itself is notable for being a coherent “body of knowledge” (p. 24). With this in mind, I shall refer to another maths lesson when discussing connection. The lesson in question was a lesson on ‘calculating the volume of cuboids’. </w:t>
      </w:r>
      <w:r w:rsidDel="00000000" w:rsidR="00000000" w:rsidRPr="00000000">
        <w:rPr>
          <w:rtl w:val="0"/>
        </w:rPr>
      </w:r>
    </w:p>
    <w:p w:rsidR="00000000" w:rsidDel="00000000" w:rsidP="00000000" w:rsidRDefault="00000000" w:rsidRPr="00000000" w14:paraId="0000002E">
      <w:pPr>
        <w:rPr>
          <w:b w:val="1"/>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b w:val="1"/>
          <w:rtl w:val="0"/>
        </w:rPr>
        <w:t xml:space="preserve">Contingency</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b w:val="1"/>
        </w:rPr>
      </w:pPr>
      <w:r w:rsidDel="00000000" w:rsidR="00000000" w:rsidRPr="00000000">
        <w:rPr>
          <w:rtl w:val="0"/>
        </w:rPr>
        <w:t xml:space="preserve">A lesson that I had great difficulty in teaching was ‘calculating the area of compound shapes’. Although my own knowledge of ‘calculating area’ was sound, it was a domain of maths that I struggled to express in a way that way accessible to my class. Despite believing I had fairly good PCK, I just could not find a clear explanation to ease my pupils learning, an element of PCK that Cogill (2008) states is integral. Not only were my class struggling, but I could also see that they were not fully engaged with the way the work was being presented. Shulman (1987) would say that I had to adapt my lesson to the “diverse interests and abilities of my learners” (p. 4). At around halfway through the lesson, I asked the children to hold their hands up corresponding with their understanding of the lesson (5 fingers = completely understand, 3 = slightly understand, 1 = don’t understand). Nearly all of the children, including those in the top set table, only put up one finger. I realised that examples on the whiteboard/PowerPoint presentation were not making the subject matter accessible, and thought of a way that I could physically ‘show’ how to measure the area of compound shapes. I gathered the class around the centremost table, grabbed a piece of A2 card and cut it into a compound shape. I then cut the compound shape into two simple rectangular shapes, helping children to visualise what was needed from them, and how the area of these new shapes would differ from the compound shape. As a class, we worked out the area of both simple rectangles, then added them together to work out the area of our compound shape. Immediately, a large portion of the class said they understood. We then worked as a class to work out the area of one compound shape on the whiteboard, and most correctly talked me through the steps, and maths, needed. I felt like I had finally found a way to present area in a way that my class understood. Rowland (2013) would call this change in my lesson the ability to ‘think on my feet’ which is, in essence, what contingency is all about. Brown and Wragg (1993) go so far as to suggest that these responses are the lynchpins of a good lesson and integral to good learning. Following from my lesson, I also decided to centre the rest of my ‘area’ maths lessons around Elves trying to work out the area of sheets of wrapping paper (including homework, see Appendix E). Although trivial and dubious, the slight adjustment to my lessons made the majority of my class more engaged.</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b w:val="1"/>
          <w:rtl w:val="0"/>
        </w:rPr>
        <w:t xml:space="preserve">Conclusion</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It is clear from my readings on TPACK (Mishra and Koehler, 2006) and digital competence (Donaldson, 2015) that I will need to start integrating technology more effectively into my classroom. If used correctly it can be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It is clear from case studies (Shulman, 1987, Hill et al., 2008) that pedagogical knowledge and  subject knowledge are undoubtedly at their most effective when used concurrently.</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