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0E3C" w:rsidRPr="004B1E6D" w:rsidRDefault="00EA0E3C" w:rsidP="004B1E6D">
      <w:pPr>
        <w:jc w:val="right"/>
        <w:rPr>
          <w:sz w:val="44"/>
          <w:szCs w:val="44"/>
        </w:rPr>
      </w:pPr>
      <w:r w:rsidRPr="004B1E6D">
        <w:rPr>
          <w:sz w:val="44"/>
          <w:szCs w:val="44"/>
        </w:rPr>
        <w:t xml:space="preserve">Statistical Analysis of Magnetic Flux Leakage and Ultrasonic Pit Sizing Capabilities and Aircraft Wing ROC Analysis  </w:t>
      </w:r>
    </w:p>
    <w:p w:rsidR="00EA0E3C" w:rsidRPr="005773FB" w:rsidRDefault="00EA0E3C" w:rsidP="004B1E6D">
      <w:pPr>
        <w:pStyle w:val="Authortext"/>
        <w:jc w:val="right"/>
        <w:rPr>
          <w:b/>
          <w:i/>
          <w:vertAlign w:val="superscript"/>
        </w:rPr>
      </w:pPr>
      <w:r w:rsidRPr="005773FB">
        <w:rPr>
          <w:b/>
          <w:i/>
        </w:rPr>
        <w:t xml:space="preserve">Joseph </w:t>
      </w:r>
      <w:r>
        <w:rPr>
          <w:b/>
          <w:i/>
        </w:rPr>
        <w:t>SCOTT</w:t>
      </w:r>
      <w:r w:rsidRPr="005773FB">
        <w:rPr>
          <w:b/>
          <w:i/>
        </w:rPr>
        <w:t xml:space="preserve"> </w:t>
      </w:r>
      <w:r w:rsidRPr="005773FB">
        <w:rPr>
          <w:b/>
          <w:i/>
          <w:vertAlign w:val="superscript"/>
        </w:rPr>
        <w:t>1</w:t>
      </w:r>
    </w:p>
    <w:p w:rsidR="00EA0E3C" w:rsidRPr="00F0162C" w:rsidRDefault="00EA0E3C" w:rsidP="004B1E6D">
      <w:pPr>
        <w:pStyle w:val="Authortext"/>
        <w:jc w:val="right"/>
        <w:rPr>
          <w:sz w:val="20"/>
          <w:szCs w:val="20"/>
        </w:rPr>
      </w:pPr>
    </w:p>
    <w:p w:rsidR="00EA0E3C" w:rsidRPr="005773FB" w:rsidRDefault="00EA0E3C" w:rsidP="004B1E6D">
      <w:pPr>
        <w:pStyle w:val="Authortext"/>
        <w:jc w:val="right"/>
        <w:rPr>
          <w:b/>
          <w:i/>
          <w:sz w:val="20"/>
          <w:szCs w:val="20"/>
        </w:rPr>
      </w:pPr>
      <w:r w:rsidRPr="005773FB">
        <w:rPr>
          <w:b/>
          <w:i/>
          <w:sz w:val="20"/>
          <w:szCs w:val="20"/>
          <w:vertAlign w:val="superscript"/>
        </w:rPr>
        <w:t>1</w:t>
      </w:r>
      <w:r w:rsidRPr="005773FB">
        <w:rPr>
          <w:b/>
          <w:i/>
          <w:sz w:val="20"/>
          <w:szCs w:val="20"/>
        </w:rPr>
        <w:t xml:space="preserve"> Advanced Materials Laboratory, University of Wales Trinity Saint David</w:t>
      </w:r>
    </w:p>
    <w:p w:rsidR="00EA0E3C" w:rsidRDefault="00EA0E3C" w:rsidP="004B1E6D">
      <w:pPr>
        <w:pStyle w:val="Authortext"/>
        <w:jc w:val="right"/>
        <w:rPr>
          <w:sz w:val="20"/>
          <w:szCs w:val="20"/>
        </w:rPr>
      </w:pPr>
      <w:r w:rsidRPr="005773FB">
        <w:rPr>
          <w:b/>
          <w:i/>
          <w:sz w:val="20"/>
          <w:szCs w:val="20"/>
        </w:rPr>
        <w:t xml:space="preserve">Phone: 01792 481000, e-mail: </w:t>
      </w:r>
      <w:hyperlink r:id="rId8" w:history="1">
        <w:r w:rsidRPr="005773FB">
          <w:rPr>
            <w:rStyle w:val="Hyperlink"/>
            <w:b/>
            <w:i/>
            <w:sz w:val="20"/>
            <w:szCs w:val="20"/>
          </w:rPr>
          <w:t>jscott.137237@student.uwtsd.ac.uk</w:t>
        </w:r>
      </w:hyperlink>
      <w:r>
        <w:rPr>
          <w:sz w:val="20"/>
          <w:szCs w:val="20"/>
        </w:rPr>
        <w:t xml:space="preserve"> </w:t>
      </w:r>
    </w:p>
    <w:p w:rsidR="00EA0E3C" w:rsidRDefault="00EA0E3C" w:rsidP="00EA0E3C">
      <w:pPr>
        <w:rPr>
          <w:b/>
          <w:i/>
          <w:sz w:val="20"/>
          <w:szCs w:val="20"/>
        </w:rPr>
      </w:pPr>
    </w:p>
    <w:p w:rsidR="00EA0E3C" w:rsidRDefault="00EA0E3C"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4B1E6D" w:rsidRDefault="004B1E6D" w:rsidP="00EA0E3C">
      <w:pPr>
        <w:rPr>
          <w:i/>
          <w:sz w:val="20"/>
          <w:szCs w:val="20"/>
        </w:rPr>
      </w:pPr>
    </w:p>
    <w:p w:rsidR="00EA0E3C" w:rsidRPr="00DD0F51" w:rsidRDefault="00EA0E3C" w:rsidP="00EA0E3C">
      <w:pPr>
        <w:rPr>
          <w:b/>
          <w:i/>
          <w:sz w:val="22"/>
        </w:rPr>
      </w:pPr>
      <w:r w:rsidRPr="00DD0F51">
        <w:rPr>
          <w:b/>
          <w:i/>
          <w:sz w:val="22"/>
        </w:rPr>
        <w:t>Abstract</w:t>
      </w:r>
    </w:p>
    <w:p w:rsidR="00B02A86" w:rsidRDefault="00B02A86" w:rsidP="00B02A86">
      <w:r>
        <w:t xml:space="preserve">The work in this report is a joint evaluation of two data sets. The first is a ROC test and the </w:t>
      </w:r>
      <w:proofErr w:type="spellStart"/>
      <w:r>
        <w:t>PoD</w:t>
      </w:r>
      <w:proofErr w:type="spellEnd"/>
      <w:r>
        <w:t xml:space="preserve"> against </w:t>
      </w:r>
      <w:proofErr w:type="spellStart"/>
      <w:r>
        <w:t>PoFA</w:t>
      </w:r>
      <w:proofErr w:type="spellEnd"/>
      <w:r>
        <w:t xml:space="preserve"> will be analysed. The second is a </w:t>
      </w:r>
      <w:proofErr w:type="spellStart"/>
      <w:r>
        <w:t>PoS</w:t>
      </w:r>
      <w:proofErr w:type="spellEnd"/>
      <w:r>
        <w:t xml:space="preserve"> study analysing the performance of two NDT methods (MFL and UT) at how they detect defects on the floor of a storage tank. Each data set was analysed and even though there are a lot of unknowns it was easy to deduce which was the best method for the ROC inspection. However the </w:t>
      </w:r>
      <w:proofErr w:type="spellStart"/>
      <w:r>
        <w:t>PoS</w:t>
      </w:r>
      <w:proofErr w:type="spellEnd"/>
      <w:r>
        <w:t xml:space="preserve"> data sets are not as straight forward. It was concluded in the end that the UT was the more suitable method for detecting the depth that corrosion has reached.   </w:t>
      </w: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4B1E6D" w:rsidRDefault="004B1E6D" w:rsidP="00EA0E3C">
      <w:pPr>
        <w:rPr>
          <w:b/>
        </w:rPr>
      </w:pPr>
    </w:p>
    <w:p w:rsidR="004B1E6D" w:rsidRDefault="004B1E6D" w:rsidP="00EA0E3C">
      <w:pPr>
        <w:rPr>
          <w:b/>
        </w:rPr>
      </w:pPr>
    </w:p>
    <w:p w:rsidR="004B1E6D" w:rsidRDefault="004B1E6D" w:rsidP="00EA0E3C">
      <w:pPr>
        <w:rPr>
          <w:b/>
        </w:rPr>
      </w:pPr>
    </w:p>
    <w:p w:rsidR="00EA0E3C" w:rsidRDefault="00EA0E3C" w:rsidP="00EA0E3C">
      <w:pPr>
        <w:rPr>
          <w:b/>
        </w:rPr>
      </w:pPr>
    </w:p>
    <w:sdt>
      <w:sdtPr>
        <w:rPr>
          <w:rFonts w:ascii="Times New Roman" w:eastAsiaTheme="minorHAnsi" w:hAnsi="Times New Roman" w:cstheme="minorBidi"/>
          <w:color w:val="auto"/>
          <w:sz w:val="24"/>
          <w:szCs w:val="22"/>
          <w:lang w:val="en-GB"/>
        </w:rPr>
        <w:id w:val="571094599"/>
        <w:docPartObj>
          <w:docPartGallery w:val="Table of Contents"/>
          <w:docPartUnique/>
        </w:docPartObj>
      </w:sdtPr>
      <w:sdtEndPr>
        <w:rPr>
          <w:b/>
          <w:bCs/>
          <w:noProof/>
        </w:rPr>
      </w:sdtEndPr>
      <w:sdtContent>
        <w:p w:rsidR="00EA0E3C" w:rsidRDefault="00EA0E3C">
          <w:pPr>
            <w:pStyle w:val="TOCHeading"/>
          </w:pPr>
          <w:r>
            <w:t>Contents</w:t>
          </w:r>
        </w:p>
        <w:p w:rsidR="00AC6836" w:rsidRDefault="00EA0E3C">
          <w:pPr>
            <w:pStyle w:val="TOC1"/>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7415963" w:history="1">
            <w:r w:rsidR="00AC6836" w:rsidRPr="009F2F9B">
              <w:rPr>
                <w:rStyle w:val="Hyperlink"/>
                <w:noProof/>
              </w:rPr>
              <w:t>1.0</w:t>
            </w:r>
            <w:r w:rsidR="00AC6836">
              <w:rPr>
                <w:rFonts w:asciiTheme="minorHAnsi" w:eastAsiaTheme="minorEastAsia" w:hAnsiTheme="minorHAnsi"/>
                <w:noProof/>
                <w:sz w:val="22"/>
                <w:lang w:eastAsia="en-GB"/>
              </w:rPr>
              <w:tab/>
            </w:r>
            <w:r w:rsidR="00AC6836" w:rsidRPr="009F2F9B">
              <w:rPr>
                <w:rStyle w:val="Hyperlink"/>
                <w:noProof/>
              </w:rPr>
              <w:t>Introduction</w:t>
            </w:r>
            <w:r w:rsidR="00AC6836">
              <w:rPr>
                <w:noProof/>
                <w:webHidden/>
              </w:rPr>
              <w:tab/>
            </w:r>
            <w:r w:rsidR="00AC6836">
              <w:rPr>
                <w:noProof/>
                <w:webHidden/>
              </w:rPr>
              <w:fldChar w:fldCharType="begin"/>
            </w:r>
            <w:r w:rsidR="00AC6836">
              <w:rPr>
                <w:noProof/>
                <w:webHidden/>
              </w:rPr>
              <w:instrText xml:space="preserve"> PAGEREF _Toc507415963 \h </w:instrText>
            </w:r>
            <w:r w:rsidR="00AC6836">
              <w:rPr>
                <w:noProof/>
                <w:webHidden/>
              </w:rPr>
            </w:r>
            <w:r w:rsidR="00AC6836">
              <w:rPr>
                <w:noProof/>
                <w:webHidden/>
              </w:rPr>
              <w:fldChar w:fldCharType="separate"/>
            </w:r>
            <w:r w:rsidR="00AC6836">
              <w:rPr>
                <w:noProof/>
                <w:webHidden/>
              </w:rPr>
              <w:t>4</w:t>
            </w:r>
            <w:r w:rsidR="00AC6836">
              <w:rPr>
                <w:noProof/>
                <w:webHidden/>
              </w:rPr>
              <w:fldChar w:fldCharType="end"/>
            </w:r>
          </w:hyperlink>
        </w:p>
        <w:p w:rsidR="00AC6836" w:rsidRDefault="00AC6836">
          <w:pPr>
            <w:pStyle w:val="TOC1"/>
            <w:tabs>
              <w:tab w:val="left" w:pos="660"/>
              <w:tab w:val="right" w:leader="dot" w:pos="9016"/>
            </w:tabs>
            <w:rPr>
              <w:rFonts w:asciiTheme="minorHAnsi" w:eastAsiaTheme="minorEastAsia" w:hAnsiTheme="minorHAnsi"/>
              <w:noProof/>
              <w:sz w:val="22"/>
              <w:lang w:eastAsia="en-GB"/>
            </w:rPr>
          </w:pPr>
          <w:hyperlink w:anchor="_Toc507415964" w:history="1">
            <w:r w:rsidRPr="009F2F9B">
              <w:rPr>
                <w:rStyle w:val="Hyperlink"/>
                <w:noProof/>
              </w:rPr>
              <w:t>2.0</w:t>
            </w:r>
            <w:r>
              <w:rPr>
                <w:rFonts w:asciiTheme="minorHAnsi" w:eastAsiaTheme="minorEastAsia" w:hAnsiTheme="minorHAnsi"/>
                <w:noProof/>
                <w:sz w:val="22"/>
                <w:lang w:eastAsia="en-GB"/>
              </w:rPr>
              <w:tab/>
            </w:r>
            <w:r w:rsidRPr="009F2F9B">
              <w:rPr>
                <w:rStyle w:val="Hyperlink"/>
                <w:noProof/>
              </w:rPr>
              <w:t>Literate review</w:t>
            </w:r>
            <w:r>
              <w:rPr>
                <w:noProof/>
                <w:webHidden/>
              </w:rPr>
              <w:tab/>
            </w:r>
            <w:r>
              <w:rPr>
                <w:noProof/>
                <w:webHidden/>
              </w:rPr>
              <w:fldChar w:fldCharType="begin"/>
            </w:r>
            <w:r>
              <w:rPr>
                <w:noProof/>
                <w:webHidden/>
              </w:rPr>
              <w:instrText xml:space="preserve"> PAGEREF _Toc507415964 \h </w:instrText>
            </w:r>
            <w:r>
              <w:rPr>
                <w:noProof/>
                <w:webHidden/>
              </w:rPr>
            </w:r>
            <w:r>
              <w:rPr>
                <w:noProof/>
                <w:webHidden/>
              </w:rPr>
              <w:fldChar w:fldCharType="separate"/>
            </w:r>
            <w:r>
              <w:rPr>
                <w:noProof/>
                <w:webHidden/>
              </w:rPr>
              <w:t>4</w:t>
            </w:r>
            <w:r>
              <w:rPr>
                <w:noProof/>
                <w:webHidden/>
              </w:rPr>
              <w:fldChar w:fldCharType="end"/>
            </w:r>
          </w:hyperlink>
        </w:p>
        <w:p w:rsidR="00AC6836" w:rsidRDefault="00AC6836">
          <w:pPr>
            <w:pStyle w:val="TOC2"/>
            <w:tabs>
              <w:tab w:val="right" w:leader="dot" w:pos="9016"/>
            </w:tabs>
            <w:rPr>
              <w:rFonts w:asciiTheme="minorHAnsi" w:eastAsiaTheme="minorEastAsia" w:hAnsiTheme="minorHAnsi"/>
              <w:noProof/>
              <w:sz w:val="22"/>
              <w:lang w:eastAsia="en-GB"/>
            </w:rPr>
          </w:pPr>
          <w:hyperlink w:anchor="_Toc507415965" w:history="1">
            <w:r w:rsidRPr="009F2F9B">
              <w:rPr>
                <w:rStyle w:val="Hyperlink"/>
                <w:noProof/>
              </w:rPr>
              <w:t>2.1 Probability of false alarm</w:t>
            </w:r>
            <w:r>
              <w:rPr>
                <w:noProof/>
                <w:webHidden/>
              </w:rPr>
              <w:tab/>
            </w:r>
            <w:r>
              <w:rPr>
                <w:noProof/>
                <w:webHidden/>
              </w:rPr>
              <w:fldChar w:fldCharType="begin"/>
            </w:r>
            <w:r>
              <w:rPr>
                <w:noProof/>
                <w:webHidden/>
              </w:rPr>
              <w:instrText xml:space="preserve"> PAGEREF _Toc507415965 \h </w:instrText>
            </w:r>
            <w:r>
              <w:rPr>
                <w:noProof/>
                <w:webHidden/>
              </w:rPr>
            </w:r>
            <w:r>
              <w:rPr>
                <w:noProof/>
                <w:webHidden/>
              </w:rPr>
              <w:fldChar w:fldCharType="separate"/>
            </w:r>
            <w:r>
              <w:rPr>
                <w:noProof/>
                <w:webHidden/>
              </w:rPr>
              <w:t>6</w:t>
            </w:r>
            <w:r>
              <w:rPr>
                <w:noProof/>
                <w:webHidden/>
              </w:rPr>
              <w:fldChar w:fldCharType="end"/>
            </w:r>
          </w:hyperlink>
        </w:p>
        <w:p w:rsidR="00AC6836" w:rsidRDefault="00AC6836">
          <w:pPr>
            <w:pStyle w:val="TOC1"/>
            <w:tabs>
              <w:tab w:val="left" w:pos="660"/>
              <w:tab w:val="right" w:leader="dot" w:pos="9016"/>
            </w:tabs>
            <w:rPr>
              <w:rFonts w:asciiTheme="minorHAnsi" w:eastAsiaTheme="minorEastAsia" w:hAnsiTheme="minorHAnsi"/>
              <w:noProof/>
              <w:sz w:val="22"/>
              <w:lang w:eastAsia="en-GB"/>
            </w:rPr>
          </w:pPr>
          <w:hyperlink w:anchor="_Toc507415966" w:history="1">
            <w:r w:rsidRPr="009F2F9B">
              <w:rPr>
                <w:rStyle w:val="Hyperlink"/>
                <w:noProof/>
              </w:rPr>
              <w:t>3.0</w:t>
            </w:r>
            <w:r>
              <w:rPr>
                <w:rFonts w:asciiTheme="minorHAnsi" w:eastAsiaTheme="minorEastAsia" w:hAnsiTheme="minorHAnsi"/>
                <w:noProof/>
                <w:sz w:val="22"/>
                <w:lang w:eastAsia="en-GB"/>
              </w:rPr>
              <w:tab/>
            </w:r>
            <w:r w:rsidRPr="009F2F9B">
              <w:rPr>
                <w:rStyle w:val="Hyperlink"/>
                <w:noProof/>
              </w:rPr>
              <w:t>ROC</w:t>
            </w:r>
            <w:r>
              <w:rPr>
                <w:noProof/>
                <w:webHidden/>
              </w:rPr>
              <w:tab/>
            </w:r>
            <w:r>
              <w:rPr>
                <w:noProof/>
                <w:webHidden/>
              </w:rPr>
              <w:fldChar w:fldCharType="begin"/>
            </w:r>
            <w:r>
              <w:rPr>
                <w:noProof/>
                <w:webHidden/>
              </w:rPr>
              <w:instrText xml:space="preserve"> PAGEREF _Toc507415966 \h </w:instrText>
            </w:r>
            <w:r>
              <w:rPr>
                <w:noProof/>
                <w:webHidden/>
              </w:rPr>
            </w:r>
            <w:r>
              <w:rPr>
                <w:noProof/>
                <w:webHidden/>
              </w:rPr>
              <w:fldChar w:fldCharType="separate"/>
            </w:r>
            <w:r>
              <w:rPr>
                <w:noProof/>
                <w:webHidden/>
              </w:rPr>
              <w:t>7</w:t>
            </w:r>
            <w:r>
              <w:rPr>
                <w:noProof/>
                <w:webHidden/>
              </w:rPr>
              <w:fldChar w:fldCharType="end"/>
            </w:r>
          </w:hyperlink>
        </w:p>
        <w:p w:rsidR="00AC6836" w:rsidRDefault="00AC6836">
          <w:pPr>
            <w:pStyle w:val="TOC2"/>
            <w:tabs>
              <w:tab w:val="right" w:leader="dot" w:pos="9016"/>
            </w:tabs>
            <w:rPr>
              <w:rFonts w:asciiTheme="minorHAnsi" w:eastAsiaTheme="minorEastAsia" w:hAnsiTheme="minorHAnsi"/>
              <w:noProof/>
              <w:sz w:val="22"/>
              <w:lang w:eastAsia="en-GB"/>
            </w:rPr>
          </w:pPr>
          <w:hyperlink w:anchor="_Toc507415967" w:history="1">
            <w:r w:rsidRPr="009F2F9B">
              <w:rPr>
                <w:rStyle w:val="Hyperlink"/>
                <w:noProof/>
              </w:rPr>
              <w:t>3.1 Methodology</w:t>
            </w:r>
            <w:r>
              <w:rPr>
                <w:noProof/>
                <w:webHidden/>
              </w:rPr>
              <w:tab/>
            </w:r>
            <w:r>
              <w:rPr>
                <w:noProof/>
                <w:webHidden/>
              </w:rPr>
              <w:fldChar w:fldCharType="begin"/>
            </w:r>
            <w:r>
              <w:rPr>
                <w:noProof/>
                <w:webHidden/>
              </w:rPr>
              <w:instrText xml:space="preserve"> PAGEREF _Toc507415967 \h </w:instrText>
            </w:r>
            <w:r>
              <w:rPr>
                <w:noProof/>
                <w:webHidden/>
              </w:rPr>
            </w:r>
            <w:r>
              <w:rPr>
                <w:noProof/>
                <w:webHidden/>
              </w:rPr>
              <w:fldChar w:fldCharType="separate"/>
            </w:r>
            <w:r>
              <w:rPr>
                <w:noProof/>
                <w:webHidden/>
              </w:rPr>
              <w:t>7</w:t>
            </w:r>
            <w:r>
              <w:rPr>
                <w:noProof/>
                <w:webHidden/>
              </w:rPr>
              <w:fldChar w:fldCharType="end"/>
            </w:r>
          </w:hyperlink>
        </w:p>
        <w:p w:rsidR="00AC6836" w:rsidRDefault="00AC6836">
          <w:pPr>
            <w:pStyle w:val="TOC2"/>
            <w:tabs>
              <w:tab w:val="left" w:pos="880"/>
              <w:tab w:val="right" w:leader="dot" w:pos="9016"/>
            </w:tabs>
            <w:rPr>
              <w:rFonts w:asciiTheme="minorHAnsi" w:eastAsiaTheme="minorEastAsia" w:hAnsiTheme="minorHAnsi"/>
              <w:noProof/>
              <w:sz w:val="22"/>
              <w:lang w:eastAsia="en-GB"/>
            </w:rPr>
          </w:pPr>
          <w:hyperlink w:anchor="_Toc507415968" w:history="1">
            <w:r w:rsidRPr="009F2F9B">
              <w:rPr>
                <w:rStyle w:val="Hyperlink"/>
                <w:noProof/>
              </w:rPr>
              <w:t>3.1</w:t>
            </w:r>
            <w:r>
              <w:rPr>
                <w:rFonts w:asciiTheme="minorHAnsi" w:eastAsiaTheme="minorEastAsia" w:hAnsiTheme="minorHAnsi"/>
                <w:noProof/>
                <w:sz w:val="22"/>
                <w:lang w:eastAsia="en-GB"/>
              </w:rPr>
              <w:tab/>
            </w:r>
            <w:r w:rsidRPr="009F2F9B">
              <w:rPr>
                <w:rStyle w:val="Hyperlink"/>
                <w:noProof/>
              </w:rPr>
              <w:t>Results</w:t>
            </w:r>
            <w:r>
              <w:rPr>
                <w:noProof/>
                <w:webHidden/>
              </w:rPr>
              <w:tab/>
            </w:r>
            <w:r>
              <w:rPr>
                <w:noProof/>
                <w:webHidden/>
              </w:rPr>
              <w:fldChar w:fldCharType="begin"/>
            </w:r>
            <w:r>
              <w:rPr>
                <w:noProof/>
                <w:webHidden/>
              </w:rPr>
              <w:instrText xml:space="preserve"> PAGEREF _Toc507415968 \h </w:instrText>
            </w:r>
            <w:r>
              <w:rPr>
                <w:noProof/>
                <w:webHidden/>
              </w:rPr>
            </w:r>
            <w:r>
              <w:rPr>
                <w:noProof/>
                <w:webHidden/>
              </w:rPr>
              <w:fldChar w:fldCharType="separate"/>
            </w:r>
            <w:r>
              <w:rPr>
                <w:noProof/>
                <w:webHidden/>
              </w:rPr>
              <w:t>8</w:t>
            </w:r>
            <w:r>
              <w:rPr>
                <w:noProof/>
                <w:webHidden/>
              </w:rPr>
              <w:fldChar w:fldCharType="end"/>
            </w:r>
          </w:hyperlink>
        </w:p>
        <w:p w:rsidR="00AC6836" w:rsidRDefault="00AC6836">
          <w:pPr>
            <w:pStyle w:val="TOC1"/>
            <w:tabs>
              <w:tab w:val="right" w:leader="dot" w:pos="9016"/>
            </w:tabs>
            <w:rPr>
              <w:rFonts w:asciiTheme="minorHAnsi" w:eastAsiaTheme="minorEastAsia" w:hAnsiTheme="minorHAnsi"/>
              <w:noProof/>
              <w:sz w:val="22"/>
              <w:lang w:eastAsia="en-GB"/>
            </w:rPr>
          </w:pPr>
          <w:hyperlink w:anchor="_Toc507415969" w:history="1">
            <w:r w:rsidRPr="009F2F9B">
              <w:rPr>
                <w:rStyle w:val="Hyperlink"/>
                <w:noProof/>
              </w:rPr>
              <w:t>4.0 POS of MFL and UT inspections</w:t>
            </w:r>
            <w:r>
              <w:rPr>
                <w:noProof/>
                <w:webHidden/>
              </w:rPr>
              <w:tab/>
            </w:r>
            <w:r>
              <w:rPr>
                <w:noProof/>
                <w:webHidden/>
              </w:rPr>
              <w:fldChar w:fldCharType="begin"/>
            </w:r>
            <w:r>
              <w:rPr>
                <w:noProof/>
                <w:webHidden/>
              </w:rPr>
              <w:instrText xml:space="preserve"> PAGEREF _Toc507415969 \h </w:instrText>
            </w:r>
            <w:r>
              <w:rPr>
                <w:noProof/>
                <w:webHidden/>
              </w:rPr>
            </w:r>
            <w:r>
              <w:rPr>
                <w:noProof/>
                <w:webHidden/>
              </w:rPr>
              <w:fldChar w:fldCharType="separate"/>
            </w:r>
            <w:r>
              <w:rPr>
                <w:noProof/>
                <w:webHidden/>
              </w:rPr>
              <w:t>9</w:t>
            </w:r>
            <w:r>
              <w:rPr>
                <w:noProof/>
                <w:webHidden/>
              </w:rPr>
              <w:fldChar w:fldCharType="end"/>
            </w:r>
          </w:hyperlink>
        </w:p>
        <w:p w:rsidR="00AC6836" w:rsidRDefault="00AC6836">
          <w:pPr>
            <w:pStyle w:val="TOC2"/>
            <w:tabs>
              <w:tab w:val="right" w:leader="dot" w:pos="9016"/>
            </w:tabs>
            <w:rPr>
              <w:rFonts w:asciiTheme="minorHAnsi" w:eastAsiaTheme="minorEastAsia" w:hAnsiTheme="minorHAnsi"/>
              <w:noProof/>
              <w:sz w:val="22"/>
              <w:lang w:eastAsia="en-GB"/>
            </w:rPr>
          </w:pPr>
          <w:hyperlink w:anchor="_Toc507415970" w:history="1">
            <w:r w:rsidRPr="009F2F9B">
              <w:rPr>
                <w:rStyle w:val="Hyperlink"/>
                <w:noProof/>
              </w:rPr>
              <w:t>4.1Methodology</w:t>
            </w:r>
            <w:r>
              <w:rPr>
                <w:noProof/>
                <w:webHidden/>
              </w:rPr>
              <w:tab/>
            </w:r>
            <w:r>
              <w:rPr>
                <w:noProof/>
                <w:webHidden/>
              </w:rPr>
              <w:fldChar w:fldCharType="begin"/>
            </w:r>
            <w:r>
              <w:rPr>
                <w:noProof/>
                <w:webHidden/>
              </w:rPr>
              <w:instrText xml:space="preserve"> PAGEREF _Toc507415970 \h </w:instrText>
            </w:r>
            <w:r>
              <w:rPr>
                <w:noProof/>
                <w:webHidden/>
              </w:rPr>
            </w:r>
            <w:r>
              <w:rPr>
                <w:noProof/>
                <w:webHidden/>
              </w:rPr>
              <w:fldChar w:fldCharType="separate"/>
            </w:r>
            <w:r>
              <w:rPr>
                <w:noProof/>
                <w:webHidden/>
              </w:rPr>
              <w:t>9</w:t>
            </w:r>
            <w:r>
              <w:rPr>
                <w:noProof/>
                <w:webHidden/>
              </w:rPr>
              <w:fldChar w:fldCharType="end"/>
            </w:r>
          </w:hyperlink>
        </w:p>
        <w:p w:rsidR="00AC6836" w:rsidRDefault="00AC6836">
          <w:pPr>
            <w:pStyle w:val="TOC2"/>
            <w:tabs>
              <w:tab w:val="right" w:leader="dot" w:pos="9016"/>
            </w:tabs>
            <w:rPr>
              <w:rFonts w:asciiTheme="minorHAnsi" w:eastAsiaTheme="minorEastAsia" w:hAnsiTheme="minorHAnsi"/>
              <w:noProof/>
              <w:sz w:val="22"/>
              <w:lang w:eastAsia="en-GB"/>
            </w:rPr>
          </w:pPr>
          <w:hyperlink w:anchor="_Toc507415971" w:history="1">
            <w:r w:rsidRPr="009F2F9B">
              <w:rPr>
                <w:rStyle w:val="Hyperlink"/>
                <w:noProof/>
              </w:rPr>
              <w:t>4.2 Results</w:t>
            </w:r>
            <w:r>
              <w:rPr>
                <w:noProof/>
                <w:webHidden/>
              </w:rPr>
              <w:tab/>
            </w:r>
            <w:r>
              <w:rPr>
                <w:noProof/>
                <w:webHidden/>
              </w:rPr>
              <w:fldChar w:fldCharType="begin"/>
            </w:r>
            <w:r>
              <w:rPr>
                <w:noProof/>
                <w:webHidden/>
              </w:rPr>
              <w:instrText xml:space="preserve"> PAGEREF _Toc507415971 \h </w:instrText>
            </w:r>
            <w:r>
              <w:rPr>
                <w:noProof/>
                <w:webHidden/>
              </w:rPr>
            </w:r>
            <w:r>
              <w:rPr>
                <w:noProof/>
                <w:webHidden/>
              </w:rPr>
              <w:fldChar w:fldCharType="separate"/>
            </w:r>
            <w:r>
              <w:rPr>
                <w:noProof/>
                <w:webHidden/>
              </w:rPr>
              <w:t>10</w:t>
            </w:r>
            <w:r>
              <w:rPr>
                <w:noProof/>
                <w:webHidden/>
              </w:rPr>
              <w:fldChar w:fldCharType="end"/>
            </w:r>
          </w:hyperlink>
        </w:p>
        <w:p w:rsidR="00AC6836" w:rsidRDefault="00AC6836">
          <w:pPr>
            <w:pStyle w:val="TOC3"/>
            <w:tabs>
              <w:tab w:val="right" w:leader="dot" w:pos="9016"/>
            </w:tabs>
            <w:rPr>
              <w:rFonts w:asciiTheme="minorHAnsi" w:eastAsiaTheme="minorEastAsia" w:hAnsiTheme="minorHAnsi"/>
              <w:noProof/>
              <w:sz w:val="22"/>
              <w:lang w:eastAsia="en-GB"/>
            </w:rPr>
          </w:pPr>
          <w:hyperlink w:anchor="_Toc507415972" w:history="1">
            <w:r w:rsidRPr="009F2F9B">
              <w:rPr>
                <w:rStyle w:val="Hyperlink"/>
                <w:noProof/>
              </w:rPr>
              <w:t>4.2.1 Magnetic flux leakage</w:t>
            </w:r>
            <w:r>
              <w:rPr>
                <w:noProof/>
                <w:webHidden/>
              </w:rPr>
              <w:tab/>
            </w:r>
            <w:r>
              <w:rPr>
                <w:noProof/>
                <w:webHidden/>
              </w:rPr>
              <w:fldChar w:fldCharType="begin"/>
            </w:r>
            <w:r>
              <w:rPr>
                <w:noProof/>
                <w:webHidden/>
              </w:rPr>
              <w:instrText xml:space="preserve"> PAGEREF _Toc507415972 \h </w:instrText>
            </w:r>
            <w:r>
              <w:rPr>
                <w:noProof/>
                <w:webHidden/>
              </w:rPr>
            </w:r>
            <w:r>
              <w:rPr>
                <w:noProof/>
                <w:webHidden/>
              </w:rPr>
              <w:fldChar w:fldCharType="separate"/>
            </w:r>
            <w:r>
              <w:rPr>
                <w:noProof/>
                <w:webHidden/>
              </w:rPr>
              <w:t>10</w:t>
            </w:r>
            <w:r>
              <w:rPr>
                <w:noProof/>
                <w:webHidden/>
              </w:rPr>
              <w:fldChar w:fldCharType="end"/>
            </w:r>
          </w:hyperlink>
        </w:p>
        <w:p w:rsidR="00AC6836" w:rsidRDefault="00AC6836">
          <w:pPr>
            <w:pStyle w:val="TOC3"/>
            <w:tabs>
              <w:tab w:val="right" w:leader="dot" w:pos="9016"/>
            </w:tabs>
            <w:rPr>
              <w:rFonts w:asciiTheme="minorHAnsi" w:eastAsiaTheme="minorEastAsia" w:hAnsiTheme="minorHAnsi"/>
              <w:noProof/>
              <w:sz w:val="22"/>
              <w:lang w:eastAsia="en-GB"/>
            </w:rPr>
          </w:pPr>
          <w:hyperlink w:anchor="_Toc507415973" w:history="1">
            <w:r w:rsidRPr="009F2F9B">
              <w:rPr>
                <w:rStyle w:val="Hyperlink"/>
                <w:noProof/>
              </w:rPr>
              <w:t>4.2.2 Ultrasonic</w:t>
            </w:r>
            <w:r>
              <w:rPr>
                <w:noProof/>
                <w:webHidden/>
              </w:rPr>
              <w:tab/>
            </w:r>
            <w:r>
              <w:rPr>
                <w:noProof/>
                <w:webHidden/>
              </w:rPr>
              <w:fldChar w:fldCharType="begin"/>
            </w:r>
            <w:r>
              <w:rPr>
                <w:noProof/>
                <w:webHidden/>
              </w:rPr>
              <w:instrText xml:space="preserve"> PAGEREF _Toc507415973 \h </w:instrText>
            </w:r>
            <w:r>
              <w:rPr>
                <w:noProof/>
                <w:webHidden/>
              </w:rPr>
            </w:r>
            <w:r>
              <w:rPr>
                <w:noProof/>
                <w:webHidden/>
              </w:rPr>
              <w:fldChar w:fldCharType="separate"/>
            </w:r>
            <w:r>
              <w:rPr>
                <w:noProof/>
                <w:webHidden/>
              </w:rPr>
              <w:t>13</w:t>
            </w:r>
            <w:r>
              <w:rPr>
                <w:noProof/>
                <w:webHidden/>
              </w:rPr>
              <w:fldChar w:fldCharType="end"/>
            </w:r>
          </w:hyperlink>
        </w:p>
        <w:p w:rsidR="00AC6836" w:rsidRDefault="00AC6836">
          <w:pPr>
            <w:pStyle w:val="TOC3"/>
            <w:tabs>
              <w:tab w:val="right" w:leader="dot" w:pos="9016"/>
            </w:tabs>
            <w:rPr>
              <w:rFonts w:asciiTheme="minorHAnsi" w:eastAsiaTheme="minorEastAsia" w:hAnsiTheme="minorHAnsi"/>
              <w:noProof/>
              <w:sz w:val="22"/>
              <w:lang w:eastAsia="en-GB"/>
            </w:rPr>
          </w:pPr>
          <w:hyperlink w:anchor="_Toc507415974" w:history="1">
            <w:r w:rsidRPr="009F2F9B">
              <w:rPr>
                <w:rStyle w:val="Hyperlink"/>
                <w:noProof/>
              </w:rPr>
              <w:t>4.2.3 Accuracy Comparison</w:t>
            </w:r>
            <w:r>
              <w:rPr>
                <w:noProof/>
                <w:webHidden/>
              </w:rPr>
              <w:tab/>
            </w:r>
            <w:r>
              <w:rPr>
                <w:noProof/>
                <w:webHidden/>
              </w:rPr>
              <w:fldChar w:fldCharType="begin"/>
            </w:r>
            <w:r>
              <w:rPr>
                <w:noProof/>
                <w:webHidden/>
              </w:rPr>
              <w:instrText xml:space="preserve"> PAGEREF _Toc507415974 \h </w:instrText>
            </w:r>
            <w:r>
              <w:rPr>
                <w:noProof/>
                <w:webHidden/>
              </w:rPr>
            </w:r>
            <w:r>
              <w:rPr>
                <w:noProof/>
                <w:webHidden/>
              </w:rPr>
              <w:fldChar w:fldCharType="separate"/>
            </w:r>
            <w:r>
              <w:rPr>
                <w:noProof/>
                <w:webHidden/>
              </w:rPr>
              <w:t>16</w:t>
            </w:r>
            <w:r>
              <w:rPr>
                <w:noProof/>
                <w:webHidden/>
              </w:rPr>
              <w:fldChar w:fldCharType="end"/>
            </w:r>
          </w:hyperlink>
        </w:p>
        <w:p w:rsidR="00AC6836" w:rsidRDefault="00AC6836">
          <w:pPr>
            <w:pStyle w:val="TOC1"/>
            <w:tabs>
              <w:tab w:val="right" w:leader="dot" w:pos="9016"/>
            </w:tabs>
            <w:rPr>
              <w:rFonts w:asciiTheme="minorHAnsi" w:eastAsiaTheme="minorEastAsia" w:hAnsiTheme="minorHAnsi"/>
              <w:noProof/>
              <w:sz w:val="22"/>
              <w:lang w:eastAsia="en-GB"/>
            </w:rPr>
          </w:pPr>
          <w:hyperlink w:anchor="_Toc507415975" w:history="1">
            <w:r w:rsidRPr="009F2F9B">
              <w:rPr>
                <w:rStyle w:val="Hyperlink"/>
                <w:noProof/>
              </w:rPr>
              <w:t>5.0Conclusion</w:t>
            </w:r>
            <w:r>
              <w:rPr>
                <w:noProof/>
                <w:webHidden/>
              </w:rPr>
              <w:tab/>
            </w:r>
            <w:r>
              <w:rPr>
                <w:noProof/>
                <w:webHidden/>
              </w:rPr>
              <w:fldChar w:fldCharType="begin"/>
            </w:r>
            <w:r>
              <w:rPr>
                <w:noProof/>
                <w:webHidden/>
              </w:rPr>
              <w:instrText xml:space="preserve"> PAGEREF _Toc507415975 \h </w:instrText>
            </w:r>
            <w:r>
              <w:rPr>
                <w:noProof/>
                <w:webHidden/>
              </w:rPr>
            </w:r>
            <w:r>
              <w:rPr>
                <w:noProof/>
                <w:webHidden/>
              </w:rPr>
              <w:fldChar w:fldCharType="separate"/>
            </w:r>
            <w:r>
              <w:rPr>
                <w:noProof/>
                <w:webHidden/>
              </w:rPr>
              <w:t>17</w:t>
            </w:r>
            <w:r>
              <w:rPr>
                <w:noProof/>
                <w:webHidden/>
              </w:rPr>
              <w:fldChar w:fldCharType="end"/>
            </w:r>
          </w:hyperlink>
        </w:p>
        <w:p w:rsidR="00AC6836" w:rsidRDefault="00AC6836">
          <w:pPr>
            <w:pStyle w:val="TOC1"/>
            <w:tabs>
              <w:tab w:val="right" w:leader="dot" w:pos="9016"/>
            </w:tabs>
            <w:rPr>
              <w:rFonts w:asciiTheme="minorHAnsi" w:eastAsiaTheme="minorEastAsia" w:hAnsiTheme="minorHAnsi"/>
              <w:noProof/>
              <w:sz w:val="22"/>
              <w:lang w:eastAsia="en-GB"/>
            </w:rPr>
          </w:pPr>
          <w:hyperlink w:anchor="_Toc507415976" w:history="1">
            <w:r w:rsidRPr="009F2F9B">
              <w:rPr>
                <w:rStyle w:val="Hyperlink"/>
                <w:noProof/>
              </w:rPr>
              <w:t>Works Cited</w:t>
            </w:r>
            <w:r>
              <w:rPr>
                <w:noProof/>
                <w:webHidden/>
              </w:rPr>
              <w:tab/>
            </w:r>
            <w:r>
              <w:rPr>
                <w:noProof/>
                <w:webHidden/>
              </w:rPr>
              <w:fldChar w:fldCharType="begin"/>
            </w:r>
            <w:r>
              <w:rPr>
                <w:noProof/>
                <w:webHidden/>
              </w:rPr>
              <w:instrText xml:space="preserve"> PAGEREF _Toc507415976 \h </w:instrText>
            </w:r>
            <w:r>
              <w:rPr>
                <w:noProof/>
                <w:webHidden/>
              </w:rPr>
            </w:r>
            <w:r>
              <w:rPr>
                <w:noProof/>
                <w:webHidden/>
              </w:rPr>
              <w:fldChar w:fldCharType="separate"/>
            </w:r>
            <w:r>
              <w:rPr>
                <w:noProof/>
                <w:webHidden/>
              </w:rPr>
              <w:t>18</w:t>
            </w:r>
            <w:r>
              <w:rPr>
                <w:noProof/>
                <w:webHidden/>
              </w:rPr>
              <w:fldChar w:fldCharType="end"/>
            </w:r>
          </w:hyperlink>
        </w:p>
        <w:p w:rsidR="00EA0E3C" w:rsidRPr="009008A4" w:rsidRDefault="00EA0E3C" w:rsidP="00EA0E3C">
          <w:r>
            <w:rPr>
              <w:b/>
              <w:bCs/>
              <w:noProof/>
            </w:rPr>
            <w:fldChar w:fldCharType="end"/>
          </w:r>
        </w:p>
      </w:sdtContent>
    </w:sdt>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pPr>
        <w:pStyle w:val="TableofFigures"/>
        <w:tabs>
          <w:tab w:val="right" w:leader="dot" w:pos="9016"/>
        </w:tabs>
        <w:rPr>
          <w:b/>
        </w:rPr>
      </w:pPr>
    </w:p>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Default="00FF6CD1" w:rsidP="00FF6CD1"/>
    <w:p w:rsidR="00FF6CD1" w:rsidRPr="00FF6CD1" w:rsidRDefault="00FF6CD1" w:rsidP="00FF6CD1"/>
    <w:p w:rsidR="00FF6CD1" w:rsidRDefault="00FF6CD1">
      <w:pPr>
        <w:pStyle w:val="TableofFigures"/>
        <w:tabs>
          <w:tab w:val="right" w:leader="dot" w:pos="9016"/>
        </w:tabs>
        <w:rPr>
          <w:b/>
        </w:rPr>
      </w:pPr>
      <w:r>
        <w:rPr>
          <w:b/>
        </w:rPr>
        <w:t xml:space="preserve">List of Figures </w:t>
      </w:r>
    </w:p>
    <w:p w:rsidR="00FF6CD1" w:rsidRDefault="00FF6CD1">
      <w:pPr>
        <w:pStyle w:val="TableofFigures"/>
        <w:tabs>
          <w:tab w:val="right" w:leader="dot" w:pos="9016"/>
        </w:tabs>
        <w:rPr>
          <w:b/>
        </w:rPr>
      </w:pPr>
    </w:p>
    <w:p w:rsidR="009008A4" w:rsidRDefault="009008A4">
      <w:pPr>
        <w:pStyle w:val="TableofFigures"/>
        <w:tabs>
          <w:tab w:val="right" w:leader="dot" w:pos="9016"/>
        </w:tabs>
        <w:rPr>
          <w:rFonts w:asciiTheme="minorHAnsi" w:eastAsiaTheme="minorEastAsia" w:hAnsiTheme="minorHAnsi"/>
          <w:noProof/>
          <w:sz w:val="22"/>
          <w:lang w:eastAsia="en-GB"/>
        </w:rPr>
      </w:pPr>
      <w:r>
        <w:rPr>
          <w:b/>
        </w:rPr>
        <w:fldChar w:fldCharType="begin"/>
      </w:r>
      <w:r>
        <w:rPr>
          <w:b/>
        </w:rPr>
        <w:instrText xml:space="preserve"> TOC \h \z \c "Figure" </w:instrText>
      </w:r>
      <w:r>
        <w:rPr>
          <w:b/>
        </w:rPr>
        <w:fldChar w:fldCharType="separate"/>
      </w:r>
      <w:hyperlink w:anchor="_Toc507415339" w:history="1">
        <w:r w:rsidRPr="002D4943">
          <w:rPr>
            <w:rStyle w:val="Hyperlink"/>
            <w:i/>
            <w:iCs/>
            <w:noProof/>
          </w:rPr>
          <w:t>Figure 1 – Gr</w:t>
        </w:r>
        <w:r w:rsidRPr="002D4943">
          <w:rPr>
            <w:rStyle w:val="Hyperlink"/>
            <w:i/>
            <w:iCs/>
            <w:noProof/>
          </w:rPr>
          <w:t>aph comparing the PoD and PoFA of each of the three test methods</w:t>
        </w:r>
        <w:r>
          <w:rPr>
            <w:noProof/>
            <w:webHidden/>
          </w:rPr>
          <w:tab/>
        </w:r>
        <w:r>
          <w:rPr>
            <w:noProof/>
            <w:webHidden/>
          </w:rPr>
          <w:fldChar w:fldCharType="begin"/>
        </w:r>
        <w:r>
          <w:rPr>
            <w:noProof/>
            <w:webHidden/>
          </w:rPr>
          <w:instrText xml:space="preserve"> PAGEREF _Toc507415339 \h </w:instrText>
        </w:r>
        <w:r>
          <w:rPr>
            <w:noProof/>
            <w:webHidden/>
          </w:rPr>
        </w:r>
        <w:r>
          <w:rPr>
            <w:noProof/>
            <w:webHidden/>
          </w:rPr>
          <w:fldChar w:fldCharType="separate"/>
        </w:r>
        <w:r>
          <w:rPr>
            <w:noProof/>
            <w:webHidden/>
          </w:rPr>
          <w:t>8</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0" w:history="1">
        <w:r w:rsidRPr="002D4943">
          <w:rPr>
            <w:rStyle w:val="Hyperlink"/>
            <w:noProof/>
          </w:rPr>
          <w:t>Figure 2 – Graph showing the POS for the MFL inspection method</w:t>
        </w:r>
        <w:r>
          <w:rPr>
            <w:noProof/>
            <w:webHidden/>
          </w:rPr>
          <w:tab/>
        </w:r>
        <w:r>
          <w:rPr>
            <w:noProof/>
            <w:webHidden/>
          </w:rPr>
          <w:fldChar w:fldCharType="begin"/>
        </w:r>
        <w:r>
          <w:rPr>
            <w:noProof/>
            <w:webHidden/>
          </w:rPr>
          <w:instrText xml:space="preserve"> PAGEREF _Toc507415340 \h </w:instrText>
        </w:r>
        <w:r>
          <w:rPr>
            <w:noProof/>
            <w:webHidden/>
          </w:rPr>
        </w:r>
        <w:r>
          <w:rPr>
            <w:noProof/>
            <w:webHidden/>
          </w:rPr>
          <w:fldChar w:fldCharType="separate"/>
        </w:r>
        <w:r>
          <w:rPr>
            <w:noProof/>
            <w:webHidden/>
          </w:rPr>
          <w:t>10</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1" w:history="1">
        <w:r w:rsidRPr="002D4943">
          <w:rPr>
            <w:rStyle w:val="Hyperlink"/>
            <w:noProof/>
          </w:rPr>
          <w:t>Figure 3 – Screenshot from the FEMM software package showing flux density around the sensor</w:t>
        </w:r>
        <w:r>
          <w:rPr>
            <w:noProof/>
            <w:webHidden/>
          </w:rPr>
          <w:tab/>
        </w:r>
        <w:r>
          <w:rPr>
            <w:noProof/>
            <w:webHidden/>
          </w:rPr>
          <w:fldChar w:fldCharType="begin"/>
        </w:r>
        <w:r>
          <w:rPr>
            <w:noProof/>
            <w:webHidden/>
          </w:rPr>
          <w:instrText xml:space="preserve"> PAGEREF _Toc507415341 \h </w:instrText>
        </w:r>
        <w:r>
          <w:rPr>
            <w:noProof/>
            <w:webHidden/>
          </w:rPr>
        </w:r>
        <w:r>
          <w:rPr>
            <w:noProof/>
            <w:webHidden/>
          </w:rPr>
          <w:fldChar w:fldCharType="separate"/>
        </w:r>
        <w:r>
          <w:rPr>
            <w:noProof/>
            <w:webHidden/>
          </w:rPr>
          <w:t>12</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2" w:history="1">
        <w:r w:rsidRPr="002D4943">
          <w:rPr>
            <w:rStyle w:val="Hyperlink"/>
            <w:noProof/>
          </w:rPr>
          <w:t>Figure 4 – Crude diagram showing two defects with the same depth through the material but different lengths</w:t>
        </w:r>
        <w:r>
          <w:rPr>
            <w:noProof/>
            <w:webHidden/>
          </w:rPr>
          <w:tab/>
        </w:r>
        <w:r>
          <w:rPr>
            <w:noProof/>
            <w:webHidden/>
          </w:rPr>
          <w:fldChar w:fldCharType="begin"/>
        </w:r>
        <w:r>
          <w:rPr>
            <w:noProof/>
            <w:webHidden/>
          </w:rPr>
          <w:instrText xml:space="preserve"> PAGEREF _Toc507415342 \h </w:instrText>
        </w:r>
        <w:r>
          <w:rPr>
            <w:noProof/>
            <w:webHidden/>
          </w:rPr>
        </w:r>
        <w:r>
          <w:rPr>
            <w:noProof/>
            <w:webHidden/>
          </w:rPr>
          <w:fldChar w:fldCharType="separate"/>
        </w:r>
        <w:r>
          <w:rPr>
            <w:noProof/>
            <w:webHidden/>
          </w:rPr>
          <w:t>12</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3" w:history="1">
        <w:r w:rsidRPr="002D4943">
          <w:rPr>
            <w:rStyle w:val="Hyperlink"/>
            <w:noProof/>
          </w:rPr>
          <w:t>Figure 5 – Graph showing the POS for the ultrasonic inspection method for operator 1</w:t>
        </w:r>
        <w:r>
          <w:rPr>
            <w:noProof/>
            <w:webHidden/>
          </w:rPr>
          <w:tab/>
        </w:r>
        <w:r>
          <w:rPr>
            <w:noProof/>
            <w:webHidden/>
          </w:rPr>
          <w:fldChar w:fldCharType="begin"/>
        </w:r>
        <w:r>
          <w:rPr>
            <w:noProof/>
            <w:webHidden/>
          </w:rPr>
          <w:instrText xml:space="preserve"> PAGEREF _Toc507415343 \h </w:instrText>
        </w:r>
        <w:r>
          <w:rPr>
            <w:noProof/>
            <w:webHidden/>
          </w:rPr>
        </w:r>
        <w:r>
          <w:rPr>
            <w:noProof/>
            <w:webHidden/>
          </w:rPr>
          <w:fldChar w:fldCharType="separate"/>
        </w:r>
        <w:r>
          <w:rPr>
            <w:noProof/>
            <w:webHidden/>
          </w:rPr>
          <w:t>13</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4" w:history="1">
        <w:r w:rsidRPr="002D4943">
          <w:rPr>
            <w:rStyle w:val="Hyperlink"/>
            <w:noProof/>
          </w:rPr>
          <w:t>Figure 6 – Graph showing the POS for the ultrasonic inspection method for operator 2</w:t>
        </w:r>
        <w:r>
          <w:rPr>
            <w:noProof/>
            <w:webHidden/>
          </w:rPr>
          <w:tab/>
        </w:r>
        <w:r>
          <w:rPr>
            <w:noProof/>
            <w:webHidden/>
          </w:rPr>
          <w:fldChar w:fldCharType="begin"/>
        </w:r>
        <w:r>
          <w:rPr>
            <w:noProof/>
            <w:webHidden/>
          </w:rPr>
          <w:instrText xml:space="preserve"> PAGEREF _Toc507415344 \h </w:instrText>
        </w:r>
        <w:r>
          <w:rPr>
            <w:noProof/>
            <w:webHidden/>
          </w:rPr>
        </w:r>
        <w:r>
          <w:rPr>
            <w:noProof/>
            <w:webHidden/>
          </w:rPr>
          <w:fldChar w:fldCharType="separate"/>
        </w:r>
        <w:r>
          <w:rPr>
            <w:noProof/>
            <w:webHidden/>
          </w:rPr>
          <w:t>14</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5" w:history="1">
        <w:r w:rsidRPr="002D4943">
          <w:rPr>
            <w:rStyle w:val="Hyperlink"/>
            <w:noProof/>
          </w:rPr>
          <w:t>Figure 7 – Simple diagram showing two defects with the same material loss but penetrating different depths</w:t>
        </w:r>
        <w:r>
          <w:rPr>
            <w:noProof/>
            <w:webHidden/>
          </w:rPr>
          <w:tab/>
        </w:r>
        <w:r>
          <w:rPr>
            <w:noProof/>
            <w:webHidden/>
          </w:rPr>
          <w:fldChar w:fldCharType="begin"/>
        </w:r>
        <w:r>
          <w:rPr>
            <w:noProof/>
            <w:webHidden/>
          </w:rPr>
          <w:instrText xml:space="preserve"> PAGEREF _Toc507415345 \h </w:instrText>
        </w:r>
        <w:r>
          <w:rPr>
            <w:noProof/>
            <w:webHidden/>
          </w:rPr>
        </w:r>
        <w:r>
          <w:rPr>
            <w:noProof/>
            <w:webHidden/>
          </w:rPr>
          <w:fldChar w:fldCharType="separate"/>
        </w:r>
        <w:r>
          <w:rPr>
            <w:noProof/>
            <w:webHidden/>
          </w:rPr>
          <w:t>16</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46" w:history="1">
        <w:r w:rsidRPr="002D4943">
          <w:rPr>
            <w:rStyle w:val="Hyperlink"/>
            <w:noProof/>
          </w:rPr>
          <w:t>Figure 8 - Crude diagram showing the nature of UT distance measurement</w:t>
        </w:r>
        <w:r>
          <w:rPr>
            <w:noProof/>
            <w:webHidden/>
          </w:rPr>
          <w:tab/>
        </w:r>
        <w:r>
          <w:rPr>
            <w:noProof/>
            <w:webHidden/>
          </w:rPr>
          <w:fldChar w:fldCharType="begin"/>
        </w:r>
        <w:r>
          <w:rPr>
            <w:noProof/>
            <w:webHidden/>
          </w:rPr>
          <w:instrText xml:space="preserve"> PAGEREF _Toc507415346 \h </w:instrText>
        </w:r>
        <w:r>
          <w:rPr>
            <w:noProof/>
            <w:webHidden/>
          </w:rPr>
        </w:r>
        <w:r>
          <w:rPr>
            <w:noProof/>
            <w:webHidden/>
          </w:rPr>
          <w:fldChar w:fldCharType="separate"/>
        </w:r>
        <w:r>
          <w:rPr>
            <w:noProof/>
            <w:webHidden/>
          </w:rPr>
          <w:t>16</w:t>
        </w:r>
        <w:r>
          <w:rPr>
            <w:noProof/>
            <w:webHidden/>
          </w:rPr>
          <w:fldChar w:fldCharType="end"/>
        </w:r>
      </w:hyperlink>
    </w:p>
    <w:p w:rsidR="00206D89" w:rsidRDefault="009008A4" w:rsidP="00206D89">
      <w:pPr>
        <w:pStyle w:val="TableofFigures"/>
        <w:tabs>
          <w:tab w:val="right" w:leader="dot" w:pos="9016"/>
        </w:tabs>
      </w:pPr>
      <w:r>
        <w:rPr>
          <w:b/>
        </w:rPr>
        <w:fldChar w:fldCharType="end"/>
      </w:r>
    </w:p>
    <w:p w:rsidR="009008A4" w:rsidRDefault="00FF6CD1" w:rsidP="00EA0E3C">
      <w:pPr>
        <w:rPr>
          <w:noProof/>
        </w:rPr>
      </w:pPr>
      <w:r>
        <w:rPr>
          <w:b/>
        </w:rPr>
        <w:t>List of Tables</w:t>
      </w:r>
      <w:r w:rsidR="009008A4">
        <w:rPr>
          <w:b/>
        </w:rPr>
        <w:fldChar w:fldCharType="begin"/>
      </w:r>
      <w:r w:rsidR="009008A4">
        <w:rPr>
          <w:b/>
        </w:rPr>
        <w:instrText xml:space="preserve"> TOC \h \z \c "Table" </w:instrText>
      </w:r>
      <w:r w:rsidR="009008A4">
        <w:rPr>
          <w:b/>
        </w:rPr>
        <w:fldChar w:fldCharType="separate"/>
      </w:r>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25" w:history="1">
        <w:r w:rsidRPr="00D167B9">
          <w:rPr>
            <w:rStyle w:val="Hyperlink"/>
            <w:noProof/>
          </w:rPr>
          <w:t>Table 1 - Data from the MFL test</w:t>
        </w:r>
        <w:r>
          <w:rPr>
            <w:noProof/>
            <w:webHidden/>
          </w:rPr>
          <w:tab/>
        </w:r>
        <w:r>
          <w:rPr>
            <w:noProof/>
            <w:webHidden/>
          </w:rPr>
          <w:fldChar w:fldCharType="begin"/>
        </w:r>
        <w:r>
          <w:rPr>
            <w:noProof/>
            <w:webHidden/>
          </w:rPr>
          <w:instrText xml:space="preserve"> PAGEREF _Toc507415325 \h </w:instrText>
        </w:r>
        <w:r>
          <w:rPr>
            <w:noProof/>
            <w:webHidden/>
          </w:rPr>
        </w:r>
        <w:r>
          <w:rPr>
            <w:noProof/>
            <w:webHidden/>
          </w:rPr>
          <w:fldChar w:fldCharType="separate"/>
        </w:r>
        <w:r>
          <w:rPr>
            <w:noProof/>
            <w:webHidden/>
          </w:rPr>
          <w:t>11</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26" w:history="1">
        <w:r w:rsidRPr="00D167B9">
          <w:rPr>
            <w:rStyle w:val="Hyperlink"/>
            <w:noProof/>
          </w:rPr>
          <w:t>Table 2 - Data from UT with operator 1</w:t>
        </w:r>
        <w:r>
          <w:rPr>
            <w:noProof/>
            <w:webHidden/>
          </w:rPr>
          <w:tab/>
        </w:r>
        <w:r>
          <w:rPr>
            <w:noProof/>
            <w:webHidden/>
          </w:rPr>
          <w:fldChar w:fldCharType="begin"/>
        </w:r>
        <w:r>
          <w:rPr>
            <w:noProof/>
            <w:webHidden/>
          </w:rPr>
          <w:instrText xml:space="preserve"> PAGEREF _Toc507415326 \h </w:instrText>
        </w:r>
        <w:r>
          <w:rPr>
            <w:noProof/>
            <w:webHidden/>
          </w:rPr>
        </w:r>
        <w:r>
          <w:rPr>
            <w:noProof/>
            <w:webHidden/>
          </w:rPr>
          <w:fldChar w:fldCharType="separate"/>
        </w:r>
        <w:r>
          <w:rPr>
            <w:noProof/>
            <w:webHidden/>
          </w:rPr>
          <w:t>14</w:t>
        </w:r>
        <w:r>
          <w:rPr>
            <w:noProof/>
            <w:webHidden/>
          </w:rPr>
          <w:fldChar w:fldCharType="end"/>
        </w:r>
      </w:hyperlink>
    </w:p>
    <w:p w:rsidR="009008A4" w:rsidRDefault="009008A4">
      <w:pPr>
        <w:pStyle w:val="TableofFigures"/>
        <w:tabs>
          <w:tab w:val="right" w:leader="dot" w:pos="9016"/>
        </w:tabs>
        <w:rPr>
          <w:rFonts w:asciiTheme="minorHAnsi" w:eastAsiaTheme="minorEastAsia" w:hAnsiTheme="minorHAnsi"/>
          <w:noProof/>
          <w:sz w:val="22"/>
          <w:lang w:eastAsia="en-GB"/>
        </w:rPr>
      </w:pPr>
      <w:hyperlink w:anchor="_Toc507415327" w:history="1">
        <w:r w:rsidRPr="00D167B9">
          <w:rPr>
            <w:rStyle w:val="Hyperlink"/>
            <w:noProof/>
          </w:rPr>
          <w:t>Table 3 - Data from UT with operator 2</w:t>
        </w:r>
        <w:r>
          <w:rPr>
            <w:noProof/>
            <w:webHidden/>
          </w:rPr>
          <w:tab/>
        </w:r>
        <w:r>
          <w:rPr>
            <w:noProof/>
            <w:webHidden/>
          </w:rPr>
          <w:fldChar w:fldCharType="begin"/>
        </w:r>
        <w:r>
          <w:rPr>
            <w:noProof/>
            <w:webHidden/>
          </w:rPr>
          <w:instrText xml:space="preserve"> PAGEREF _Toc507415327 \h </w:instrText>
        </w:r>
        <w:r>
          <w:rPr>
            <w:noProof/>
            <w:webHidden/>
          </w:rPr>
        </w:r>
        <w:r>
          <w:rPr>
            <w:noProof/>
            <w:webHidden/>
          </w:rPr>
          <w:fldChar w:fldCharType="separate"/>
        </w:r>
        <w:r>
          <w:rPr>
            <w:noProof/>
            <w:webHidden/>
          </w:rPr>
          <w:t>15</w:t>
        </w:r>
        <w:r>
          <w:rPr>
            <w:noProof/>
            <w:webHidden/>
          </w:rPr>
          <w:fldChar w:fldCharType="end"/>
        </w:r>
      </w:hyperlink>
    </w:p>
    <w:p w:rsidR="00EA0E3C" w:rsidRDefault="009008A4" w:rsidP="00EA0E3C">
      <w:pPr>
        <w:rPr>
          <w:b/>
        </w:rPr>
      </w:pPr>
      <w:r>
        <w:rPr>
          <w:b/>
        </w:rPr>
        <w:fldChar w:fldCharType="end"/>
      </w:r>
    </w:p>
    <w:p w:rsidR="00206D89" w:rsidRPr="00FF6CD1" w:rsidRDefault="00FF6CD1" w:rsidP="00206D89">
      <w:pPr>
        <w:spacing w:line="240" w:lineRule="auto"/>
        <w:rPr>
          <w:b/>
        </w:rPr>
      </w:pPr>
      <w:r>
        <w:rPr>
          <w:b/>
        </w:rPr>
        <w:t>List of Equations</w:t>
      </w:r>
    </w:p>
    <w:p w:rsidR="00206D89" w:rsidRDefault="00206D89" w:rsidP="00206D89">
      <w:pPr>
        <w:spacing w:line="240" w:lineRule="auto"/>
      </w:pPr>
      <w:r>
        <w:t xml:space="preserve">1 – Equation for </w:t>
      </w:r>
      <w:proofErr w:type="spellStart"/>
      <w:r>
        <w:t>PoD</w:t>
      </w:r>
      <w:proofErr w:type="spellEnd"/>
      <w:r>
        <w:t xml:space="preserve"> in relation to </w:t>
      </w:r>
      <w:proofErr w:type="spellStart"/>
      <w:r>
        <w:t>PoFA</w:t>
      </w:r>
      <w:proofErr w:type="spellEnd"/>
    </w:p>
    <w:p w:rsidR="00206D89" w:rsidRDefault="00206D89" w:rsidP="00206D89">
      <w:pPr>
        <w:spacing w:line="240" w:lineRule="auto"/>
      </w:pPr>
      <w:r>
        <w:t xml:space="preserve">2 – Equation for </w:t>
      </w:r>
      <w:proofErr w:type="spellStart"/>
      <w:r>
        <w:t>PoFA</w:t>
      </w:r>
      <w:proofErr w:type="spellEnd"/>
    </w:p>
    <w:p w:rsidR="00206D89" w:rsidRDefault="00206D89" w:rsidP="00206D89">
      <w:pPr>
        <w:spacing w:line="240" w:lineRule="auto"/>
      </w:pPr>
      <w:r>
        <w:t xml:space="preserve">3 – Equation for </w:t>
      </w:r>
      <w:proofErr w:type="spellStart"/>
      <w:r>
        <w:t>PoD</w:t>
      </w:r>
      <w:proofErr w:type="spellEnd"/>
    </w:p>
    <w:p w:rsidR="00206D89" w:rsidRDefault="00206D89" w:rsidP="00206D89">
      <w:pPr>
        <w:spacing w:line="240" w:lineRule="auto"/>
      </w:pPr>
      <w:r>
        <w:t>4 – 2</w:t>
      </w:r>
      <w:r w:rsidRPr="00206D89">
        <w:rPr>
          <w:vertAlign w:val="superscript"/>
        </w:rPr>
        <w:t>nd</w:t>
      </w:r>
      <w:r>
        <w:t xml:space="preserve"> </w:t>
      </w:r>
      <w:proofErr w:type="spellStart"/>
      <w:r>
        <w:t>PoFA</w:t>
      </w:r>
      <w:proofErr w:type="spellEnd"/>
      <w:r>
        <w:t xml:space="preserve"> equation</w:t>
      </w:r>
    </w:p>
    <w:p w:rsidR="00206D89" w:rsidRDefault="00206D89" w:rsidP="00206D89">
      <w:pPr>
        <w:spacing w:line="240" w:lineRule="auto"/>
      </w:pPr>
      <w:r>
        <w:t>5 – Equation for error</w:t>
      </w:r>
    </w:p>
    <w:p w:rsidR="00206D89" w:rsidRDefault="00206D89" w:rsidP="00206D89">
      <w:pPr>
        <w:spacing w:line="240" w:lineRule="auto"/>
      </w:pPr>
      <w:r>
        <w:t>6 – Equation for lower confidence limit</w:t>
      </w:r>
    </w:p>
    <w:p w:rsidR="00206D89" w:rsidRPr="00206D89" w:rsidRDefault="00206D89" w:rsidP="00206D89">
      <w:pPr>
        <w:spacing w:line="240" w:lineRule="auto"/>
      </w:pPr>
      <w:r>
        <w:t>7 – Equation for upper confidence limit</w:t>
      </w:r>
    </w:p>
    <w:p w:rsidR="00A44DEB" w:rsidRPr="00A44DEB" w:rsidRDefault="00A44DEB" w:rsidP="00EA0E3C"/>
    <w:p w:rsidR="009008A4" w:rsidRDefault="009008A4" w:rsidP="00EA0E3C">
      <w:pPr>
        <w:rPr>
          <w:b/>
        </w:rPr>
      </w:pPr>
    </w:p>
    <w:p w:rsidR="001A4016" w:rsidRDefault="001A4016"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EA0E3C">
      <w:pPr>
        <w:rPr>
          <w:b/>
        </w:rPr>
      </w:pPr>
    </w:p>
    <w:p w:rsidR="00EA0E3C" w:rsidRDefault="00EA0E3C" w:rsidP="00C44DC9">
      <w:pPr>
        <w:pStyle w:val="Heading1"/>
        <w:numPr>
          <w:ilvl w:val="0"/>
          <w:numId w:val="3"/>
        </w:numPr>
        <w:spacing w:line="360" w:lineRule="auto"/>
      </w:pPr>
      <w:bookmarkStart w:id="0" w:name="_Toc507415963"/>
      <w:bookmarkStart w:id="1" w:name="_GoBack"/>
      <w:bookmarkEnd w:id="1"/>
      <w:r>
        <w:lastRenderedPageBreak/>
        <w:t>Introduction</w:t>
      </w:r>
      <w:bookmarkEnd w:id="0"/>
    </w:p>
    <w:p w:rsidR="00EA0E3C" w:rsidRDefault="00811C3A" w:rsidP="00C44DC9">
      <w:pPr>
        <w:spacing w:line="360" w:lineRule="auto"/>
      </w:pPr>
      <w:r>
        <w:t>Probability of Detection (POD), Probability of Sizing (POS) and Probability of false alarm (</w:t>
      </w:r>
      <w:proofErr w:type="spellStart"/>
      <w:r>
        <w:t>PoFA</w:t>
      </w:r>
      <w:proofErr w:type="spellEnd"/>
      <w:r>
        <w:t xml:space="preserve">) are three fundamental analytical tools for determining the effectiveness of NDT methods. </w:t>
      </w:r>
    </w:p>
    <w:p w:rsidR="00811C3A" w:rsidRDefault="0025043E" w:rsidP="00C44DC9">
      <w:pPr>
        <w:spacing w:line="360" w:lineRule="auto"/>
      </w:pPr>
      <w:r>
        <w:t>This report analyses</w:t>
      </w:r>
      <w:r w:rsidR="00CB3515">
        <w:t xml:space="preserve"> two</w:t>
      </w:r>
      <w:r>
        <w:t xml:space="preserve"> data </w:t>
      </w:r>
      <w:r w:rsidR="00CB3515">
        <w:t xml:space="preserve">sets. The first set is hit/miss data from a </w:t>
      </w:r>
      <w:r w:rsidR="00CB3515" w:rsidRPr="00CB3515">
        <w:t>Receiver Operating Characteristic (ROC)</w:t>
      </w:r>
      <w:r w:rsidR="00CB3515">
        <w:t xml:space="preserve"> study using an unspecified NDT method searching for defects in an aircraft wing. </w:t>
      </w:r>
      <w:r w:rsidR="00AA7766">
        <w:t xml:space="preserve">There are three sets of data for the ROC, each one using a different but unspecified NDT method. </w:t>
      </w:r>
      <w:r w:rsidR="00DD1956">
        <w:t>The second set is data gathered from a storage tank floor where one MFL scan and two UT scans where conducted. The data given was on sizing.</w:t>
      </w:r>
    </w:p>
    <w:p w:rsidR="00DD1956" w:rsidRDefault="00DD1956" w:rsidP="00C44DC9">
      <w:pPr>
        <w:spacing w:line="360" w:lineRule="auto"/>
      </w:pPr>
      <w:r>
        <w:t xml:space="preserve">The data </w:t>
      </w:r>
      <w:r w:rsidR="00AA7766">
        <w:t>set for ROC test</w:t>
      </w:r>
      <w:r>
        <w:t xml:space="preserve"> will be analysed</w:t>
      </w:r>
      <w:r w:rsidR="00AA7766">
        <w:t xml:space="preserve"> with the aim to determine which NDT method in the is the most effective in relation to probability of detection and probability of false alarm.</w:t>
      </w:r>
    </w:p>
    <w:p w:rsidR="00AA7766" w:rsidRDefault="00AA7766" w:rsidP="00C44DC9">
      <w:pPr>
        <w:spacing w:line="360" w:lineRule="auto"/>
      </w:pPr>
      <w:r>
        <w:t xml:space="preserve">The POS set will be analysed to determine which method is more suitable for determining the depth of defects and which operator is more effective in the UT. </w:t>
      </w:r>
    </w:p>
    <w:p w:rsidR="00EA0E3C" w:rsidRDefault="00EA0E3C" w:rsidP="00C44DC9">
      <w:pPr>
        <w:spacing w:line="360" w:lineRule="auto"/>
      </w:pPr>
    </w:p>
    <w:p w:rsidR="00EA0E3C" w:rsidRDefault="00EA0E3C" w:rsidP="00C44DC9">
      <w:pPr>
        <w:pStyle w:val="Heading1"/>
        <w:numPr>
          <w:ilvl w:val="0"/>
          <w:numId w:val="3"/>
        </w:numPr>
        <w:spacing w:line="360" w:lineRule="auto"/>
      </w:pPr>
      <w:bookmarkStart w:id="2" w:name="_Toc507415964"/>
      <w:r>
        <w:t>Literate review</w:t>
      </w:r>
      <w:bookmarkEnd w:id="2"/>
    </w:p>
    <w:p w:rsidR="00881545" w:rsidRDefault="00881545" w:rsidP="00C44DC9">
      <w:pPr>
        <w:spacing w:line="360" w:lineRule="auto"/>
      </w:pPr>
      <w:r>
        <w:t>Probability of detection was first developed in the late 1960’s to early 1970’s (Schaefer, 2009). NASA played by far the largest role in the early development in 1969. NASA saw the need of NDT for the development for the space shuttle. To be able to accurately analyse the capabilities of e</w:t>
      </w:r>
      <w:r w:rsidR="00B34CB0">
        <w:t>ach NDT system, NASA created</w:t>
      </w:r>
      <w:r>
        <w:t xml:space="preserve"> </w:t>
      </w:r>
      <w:proofErr w:type="spellStart"/>
      <w:r>
        <w:t>PoD</w:t>
      </w:r>
      <w:proofErr w:type="spellEnd"/>
      <w:r w:rsidR="00B34CB0">
        <w:t xml:space="preserve"> as a</w:t>
      </w:r>
      <w:r w:rsidR="009B69E1">
        <w:t>n</w:t>
      </w:r>
      <w:r w:rsidR="00B34CB0">
        <w:t xml:space="preserve"> analytical tool</w:t>
      </w:r>
      <w:r>
        <w:t xml:space="preserve"> </w:t>
      </w:r>
      <w:r w:rsidR="009B69E1">
        <w:t>to accomplish this</w:t>
      </w:r>
      <w:r>
        <w:t>. (</w:t>
      </w:r>
      <w:proofErr w:type="spellStart"/>
      <w:r>
        <w:t>Keprat</w:t>
      </w:r>
      <w:proofErr w:type="spellEnd"/>
      <w:r>
        <w:t>, 2016).</w:t>
      </w:r>
    </w:p>
    <w:p w:rsidR="00881545" w:rsidRDefault="00881545" w:rsidP="00C44DC9">
      <w:pPr>
        <w:spacing w:line="360" w:lineRule="auto"/>
      </w:pPr>
      <w:r>
        <w:t xml:space="preserve">NASA </w:t>
      </w:r>
      <w:r w:rsidR="00294A09">
        <w:t>decided</w:t>
      </w:r>
      <w:r>
        <w:t xml:space="preserve"> it was best to base the system reliability on “the largest flaw that is possible to be missed, rather than the smallest flaw that is possible to be detected” (</w:t>
      </w:r>
      <w:proofErr w:type="spellStart"/>
      <w:r>
        <w:t>Keprat</w:t>
      </w:r>
      <w:proofErr w:type="spellEnd"/>
      <w:r>
        <w:t xml:space="preserve">, 2016). The methodology for </w:t>
      </w:r>
      <w:proofErr w:type="spellStart"/>
      <w:r>
        <w:t>PoD</w:t>
      </w:r>
      <w:proofErr w:type="spellEnd"/>
      <w:r>
        <w:t xml:space="preserve"> developed by NASA was incorporated into their standard procedures and the US air force also adopted it in 1973 (</w:t>
      </w:r>
      <w:proofErr w:type="spellStart"/>
      <w:r>
        <w:t>Keprat</w:t>
      </w:r>
      <w:proofErr w:type="spellEnd"/>
      <w:r>
        <w:t>, 2016).</w:t>
      </w:r>
    </w:p>
    <w:p w:rsidR="00881545" w:rsidRDefault="00881545" w:rsidP="00C44DC9">
      <w:pPr>
        <w:spacing w:line="360" w:lineRule="auto"/>
      </w:pPr>
      <w:r>
        <w:t xml:space="preserve">As the NASA </w:t>
      </w:r>
      <w:proofErr w:type="spellStart"/>
      <w:r>
        <w:t>PoD</w:t>
      </w:r>
      <w:proofErr w:type="spellEnd"/>
      <w:r>
        <w:t xml:space="preserve"> method was so successful in evaluation the capabilities of NDT methods, it was soon adopted as standard method globally. </w:t>
      </w:r>
    </w:p>
    <w:p w:rsidR="00881545" w:rsidRDefault="00881545" w:rsidP="00C44DC9">
      <w:pPr>
        <w:spacing w:line="360" w:lineRule="auto"/>
      </w:pPr>
      <w:r>
        <w:t xml:space="preserve">However, in 1978 the US air force carried out a report highlighting a problem in the method. This was shown on a number of instances in the report when two cracks of similar length could have drastically different </w:t>
      </w:r>
      <w:proofErr w:type="spellStart"/>
      <w:r>
        <w:t>PoD</w:t>
      </w:r>
      <w:proofErr w:type="spellEnd"/>
      <w:r>
        <w:t xml:space="preserve">. It was concluded that there were “many other” factors at play. </w:t>
      </w:r>
      <w:r>
        <w:lastRenderedPageBreak/>
        <w:t xml:space="preserve">To address this problem logarithm-odds for </w:t>
      </w:r>
      <w:proofErr w:type="spellStart"/>
      <w:r>
        <w:t>PoD</w:t>
      </w:r>
      <w:proofErr w:type="spellEnd"/>
      <w:r>
        <w:t xml:space="preserve"> where adopted as they provided better estimates in comparison to the former binomial methods (</w:t>
      </w:r>
      <w:proofErr w:type="spellStart"/>
      <w:r>
        <w:t>Keprat</w:t>
      </w:r>
      <w:proofErr w:type="spellEnd"/>
      <w:r>
        <w:t>, 2016).</w:t>
      </w:r>
    </w:p>
    <w:p w:rsidR="00EA0E3C" w:rsidRPr="00EA0E3C" w:rsidRDefault="00881545" w:rsidP="00C44DC9">
      <w:pPr>
        <w:spacing w:line="360" w:lineRule="auto"/>
      </w:pPr>
      <w:proofErr w:type="spellStart"/>
      <w:r>
        <w:t>PoD</w:t>
      </w:r>
      <w:proofErr w:type="spellEnd"/>
      <w:r>
        <w:t xml:space="preserve"> has been undergoing constant development ever since its birth. The MIL-HDBK-1823A </w:t>
      </w:r>
      <w:proofErr w:type="spellStart"/>
      <w:r>
        <w:t>PoD</w:t>
      </w:r>
      <w:proofErr w:type="spellEnd"/>
      <w:r>
        <w:t xml:space="preserve"> method was published in 2009 and is currently considered the best and most up to date method by many industries globally (</w:t>
      </w:r>
      <w:proofErr w:type="spellStart"/>
      <w:r>
        <w:t>Keprat</w:t>
      </w:r>
      <w:proofErr w:type="spellEnd"/>
      <w:r>
        <w:t>, 2016).</w:t>
      </w:r>
    </w:p>
    <w:p w:rsidR="007B6F6E" w:rsidRDefault="007B6F6E" w:rsidP="00C44DC9">
      <w:pPr>
        <w:spacing w:line="360" w:lineRule="auto"/>
      </w:pPr>
      <w:bookmarkStart w:id="3" w:name="_Hlk506192345"/>
      <w:r>
        <w:t xml:space="preserve">Probability of size detection is similar to </w:t>
      </w:r>
      <w:proofErr w:type="spellStart"/>
      <w:r>
        <w:t>PoD</w:t>
      </w:r>
      <w:proofErr w:type="spellEnd"/>
      <w:r>
        <w:t xml:space="preserve"> in how it is a good tool for comparing the accuracy and performance of individual human operators. </w:t>
      </w:r>
      <w:proofErr w:type="spellStart"/>
      <w:r>
        <w:t>PoS</w:t>
      </w:r>
      <w:proofErr w:type="spellEnd"/>
      <w:r>
        <w:t xml:space="preserve"> is the analysis of how accurately an operator or a method can measure a defect assuming the defect has already been detected. It is based on the measured size of the defect compared to its true size.</w:t>
      </w:r>
      <w:sdt>
        <w:sdtPr>
          <w:id w:val="1519817311"/>
          <w:citation/>
        </w:sdtPr>
        <w:sdtEndPr/>
        <w:sdtContent>
          <w:r>
            <w:fldChar w:fldCharType="begin"/>
          </w:r>
          <w:r>
            <w:instrText xml:space="preserve"> CITATION HSE08 \l 2057 </w:instrText>
          </w:r>
          <w:r>
            <w:fldChar w:fldCharType="separate"/>
          </w:r>
          <w:r w:rsidR="00912C1E">
            <w:rPr>
              <w:noProof/>
            </w:rPr>
            <w:t xml:space="preserve"> (HSE, 2008)</w:t>
          </w:r>
          <w:r>
            <w:fldChar w:fldCharType="end"/>
          </w:r>
        </w:sdtContent>
      </w:sdt>
      <w:r>
        <w:t xml:space="preserve">As the same for </w:t>
      </w:r>
      <w:proofErr w:type="spellStart"/>
      <w:r>
        <w:t>PoD</w:t>
      </w:r>
      <w:proofErr w:type="spellEnd"/>
      <w:r>
        <w:t xml:space="preserve">, </w:t>
      </w:r>
      <w:proofErr w:type="spellStart"/>
      <w:r>
        <w:t>PoS</w:t>
      </w:r>
      <w:proofErr w:type="spellEnd"/>
      <w:r>
        <w:t xml:space="preserve"> helps evaluate how effective different types of NDT are for scanning different components and materials. Rather than asking if a sensor can detect a defect or not it instead analyses how accurately it can measure said defect. For example an ultrasonic single crystal sensor projecting an A scan would be quite effective at finding delamination type defects within a flat block of steel. However, it would be poor at measuring the exact size of the defect in comparison to what an ultrasonic phased array probe could do using a B scan. </w:t>
      </w:r>
    </w:p>
    <w:p w:rsidR="007B6F6E" w:rsidRDefault="007B6F6E" w:rsidP="00C44DC9">
      <w:pPr>
        <w:spacing w:line="360" w:lineRule="auto"/>
      </w:pPr>
      <w:r>
        <w:t xml:space="preserve">Another example being if one human operator was to measure defects closer to its true size than a second human operator then this is a good indicator of the performance of the two. It would suggest that the second operator may not be as experienced or not be as adept with the equipment as the first operator and could require further training. </w:t>
      </w:r>
    </w:p>
    <w:p w:rsidR="00881545" w:rsidRDefault="00881545" w:rsidP="00C44DC9">
      <w:pPr>
        <w:spacing w:line="360" w:lineRule="auto"/>
      </w:pPr>
    </w:p>
    <w:p w:rsidR="007B6F6E" w:rsidRDefault="007B6F6E" w:rsidP="00C44DC9">
      <w:pPr>
        <w:pStyle w:val="Heading2"/>
        <w:spacing w:line="360" w:lineRule="auto"/>
      </w:pPr>
      <w:bookmarkStart w:id="4" w:name="_Toc507415965"/>
      <w:r>
        <w:t>2.1 Probability of false alarm</w:t>
      </w:r>
      <w:bookmarkEnd w:id="4"/>
    </w:p>
    <w:p w:rsidR="007B6F6E" w:rsidRDefault="007B6F6E" w:rsidP="00C44DC9">
      <w:pPr>
        <w:spacing w:line="360" w:lineRule="auto"/>
      </w:pPr>
      <w:r>
        <w:t>Probability of false alarm (</w:t>
      </w:r>
      <w:proofErr w:type="spellStart"/>
      <w:r>
        <w:t>PoFA</w:t>
      </w:r>
      <w:proofErr w:type="spellEnd"/>
      <w:r>
        <w:t xml:space="preserve">) is a statistical system similar to </w:t>
      </w:r>
      <w:proofErr w:type="spellStart"/>
      <w:r>
        <w:t>PoS</w:t>
      </w:r>
      <w:proofErr w:type="spellEnd"/>
      <w:r>
        <w:t xml:space="preserve"> and </w:t>
      </w:r>
      <w:proofErr w:type="spellStart"/>
      <w:r>
        <w:t>PoD</w:t>
      </w:r>
      <w:proofErr w:type="spellEnd"/>
      <w:r>
        <w:t xml:space="preserve"> that allows engineers to evaluate the performance of different NDT methods. In this case, it shows a systems </w:t>
      </w:r>
      <w:r w:rsidR="00BA66B9">
        <w:t xml:space="preserve">tendency to throw up false alarms </w:t>
      </w:r>
      <w:proofErr w:type="spellStart"/>
      <w:r w:rsidR="00BA66B9">
        <w:t>i.e</w:t>
      </w:r>
      <w:proofErr w:type="spellEnd"/>
      <w:r w:rsidR="00BA66B9">
        <w:t xml:space="preserve"> a system detecting a defect when in fact no defect is present. </w:t>
      </w:r>
    </w:p>
    <w:p w:rsidR="00BA66B9" w:rsidRDefault="00BA66B9" w:rsidP="00C44DC9">
      <w:pPr>
        <w:spacing w:line="360" w:lineRule="auto"/>
      </w:pPr>
      <w:r>
        <w:t>There are four categorisations that describe how a system can treat defects (or lack of defects). These are:</w:t>
      </w:r>
    </w:p>
    <w:p w:rsidR="00BA66B9" w:rsidRDefault="00BA66B9" w:rsidP="00C44DC9">
      <w:pPr>
        <w:pStyle w:val="ListParagraph"/>
        <w:numPr>
          <w:ilvl w:val="0"/>
          <w:numId w:val="2"/>
        </w:numPr>
        <w:spacing w:line="360" w:lineRule="auto"/>
      </w:pPr>
      <w:r>
        <w:t>True Positive – This occurs when the system detects a defect that is present</w:t>
      </w:r>
    </w:p>
    <w:p w:rsidR="00BA66B9" w:rsidRDefault="00BA66B9" w:rsidP="00C44DC9">
      <w:pPr>
        <w:pStyle w:val="ListParagraph"/>
        <w:numPr>
          <w:ilvl w:val="0"/>
          <w:numId w:val="2"/>
        </w:numPr>
        <w:spacing w:line="360" w:lineRule="auto"/>
      </w:pPr>
      <w:r>
        <w:t>False Positive – This is the system detecting a defect when in fact no defect is present</w:t>
      </w:r>
    </w:p>
    <w:p w:rsidR="00BA66B9" w:rsidRDefault="00BA66B9" w:rsidP="00C44DC9">
      <w:pPr>
        <w:pStyle w:val="ListParagraph"/>
        <w:numPr>
          <w:ilvl w:val="0"/>
          <w:numId w:val="2"/>
        </w:numPr>
        <w:spacing w:line="360" w:lineRule="auto"/>
      </w:pPr>
      <w:r>
        <w:t>True Negative – This is the system not detecting a defect in a sector where there is no defect</w:t>
      </w:r>
    </w:p>
    <w:p w:rsidR="00BA66B9" w:rsidRPr="007B6F6E" w:rsidRDefault="00BA66B9" w:rsidP="00C44DC9">
      <w:pPr>
        <w:pStyle w:val="ListParagraph"/>
        <w:numPr>
          <w:ilvl w:val="0"/>
          <w:numId w:val="2"/>
        </w:numPr>
        <w:spacing w:line="360" w:lineRule="auto"/>
      </w:pPr>
      <w:r>
        <w:lastRenderedPageBreak/>
        <w:t>False Negative – This is the system failing to detect a defect when in fact a defect is present</w:t>
      </w:r>
    </w:p>
    <w:bookmarkEnd w:id="3"/>
    <w:p w:rsidR="007B6F6E" w:rsidRDefault="007837E1" w:rsidP="00C44DC9">
      <w:pPr>
        <w:spacing w:line="360" w:lineRule="auto"/>
        <w:rPr>
          <w:b/>
        </w:rPr>
      </w:pPr>
      <w:sdt>
        <w:sdtPr>
          <w:rPr>
            <w:b/>
          </w:rPr>
          <w:id w:val="-1967183143"/>
          <w:citation/>
        </w:sdtPr>
        <w:sdtEndPr/>
        <w:sdtContent>
          <w:r w:rsidR="00881545">
            <w:rPr>
              <w:b/>
            </w:rPr>
            <w:fldChar w:fldCharType="begin"/>
          </w:r>
          <w:r w:rsidR="00881545">
            <w:rPr>
              <w:b/>
            </w:rPr>
            <w:instrText xml:space="preserve"> CITATION FFü05 \l 2057 </w:instrText>
          </w:r>
          <w:r w:rsidR="00881545">
            <w:rPr>
              <w:b/>
            </w:rPr>
            <w:fldChar w:fldCharType="separate"/>
          </w:r>
          <w:r w:rsidR="00912C1E">
            <w:rPr>
              <w:noProof/>
            </w:rPr>
            <w:t>(F. Fücsök, 2005)</w:t>
          </w:r>
          <w:r w:rsidR="00881545">
            <w:rPr>
              <w:b/>
            </w:rPr>
            <w:fldChar w:fldCharType="end"/>
          </w:r>
        </w:sdtContent>
      </w:sdt>
    </w:p>
    <w:p w:rsidR="00BB5AB9" w:rsidRDefault="00881545" w:rsidP="00C44DC9">
      <w:pPr>
        <w:spacing w:line="360" w:lineRule="auto"/>
      </w:pPr>
      <w:r>
        <w:t>PFA can often to be seen as the opposite to POD. As POD is the</w:t>
      </w:r>
      <w:r w:rsidR="00BB5AB9">
        <w:t xml:space="preserve"> quantification of how likely the system will have a true positive, </w:t>
      </w:r>
      <w:proofErr w:type="spellStart"/>
      <w:r w:rsidR="00BB5AB9">
        <w:t>PoFA</w:t>
      </w:r>
      <w:proofErr w:type="spellEnd"/>
      <w:r w:rsidR="00BB5AB9">
        <w:t xml:space="preserve"> is the probability of a false positive. They can then be expressed as the following:</w:t>
      </w:r>
    </w:p>
    <w:p w:rsidR="00881545" w:rsidRPr="00BB5AB9" w:rsidRDefault="00BB5AB9" w:rsidP="00C44DC9">
      <w:pPr>
        <w:spacing w:line="360" w:lineRule="auto"/>
        <w:jc w:val="center"/>
      </w:pPr>
      <m:oMathPara>
        <m:oMath>
          <m:r>
            <w:rPr>
              <w:rFonts w:ascii="Cambria Math" w:hAnsi="Cambria Math"/>
            </w:rPr>
            <m:t>POD=</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rsidR="00BB5AB9" w:rsidRDefault="00BB5AB9" w:rsidP="00C44DC9">
      <w:pPr>
        <w:spacing w:line="360" w:lineRule="auto"/>
        <w:jc w:val="right"/>
      </w:pPr>
      <w:r>
        <w:t>(1)</w:t>
      </w:r>
    </w:p>
    <w:p w:rsidR="00BB5AB9" w:rsidRPr="00BB5AB9" w:rsidRDefault="00BB5AB9" w:rsidP="00C44DC9">
      <w:pPr>
        <w:spacing w:line="360" w:lineRule="auto"/>
        <w:jc w:val="right"/>
        <w:rPr>
          <w:rFonts w:eastAsiaTheme="minorEastAsia"/>
        </w:rPr>
      </w:pPr>
      <m:oMathPara>
        <m:oMath>
          <m:r>
            <w:rPr>
              <w:rFonts w:ascii="Cambria Math" w:hAnsi="Cambria Math"/>
            </w:rPr>
            <m:t xml:space="preserve">PoFA= </m:t>
          </m:r>
          <m:f>
            <m:fPr>
              <m:ctrlPr>
                <w:rPr>
                  <w:rFonts w:ascii="Cambria Math" w:hAnsi="Cambria Math"/>
                  <w:i/>
                </w:rPr>
              </m:ctrlPr>
            </m:fPr>
            <m:num>
              <m:r>
                <w:rPr>
                  <w:rFonts w:ascii="Cambria Math" w:hAnsi="Cambria Math"/>
                </w:rPr>
                <m:t>FP</m:t>
              </m:r>
            </m:num>
            <m:den>
              <m:r>
                <w:rPr>
                  <w:rFonts w:ascii="Cambria Math" w:hAnsi="Cambria Math"/>
                </w:rPr>
                <m:t>TN+FP</m:t>
              </m:r>
            </m:den>
          </m:f>
        </m:oMath>
      </m:oMathPara>
    </w:p>
    <w:p w:rsidR="00BB5AB9" w:rsidRDefault="00BB5AB9" w:rsidP="00C44DC9">
      <w:pPr>
        <w:spacing w:line="360" w:lineRule="auto"/>
        <w:jc w:val="right"/>
        <w:rPr>
          <w:rFonts w:eastAsiaTheme="minorEastAsia"/>
        </w:rPr>
      </w:pPr>
      <w:r>
        <w:rPr>
          <w:rFonts w:eastAsiaTheme="minorEastAsia"/>
        </w:rPr>
        <w:t>(2)</w:t>
      </w:r>
    </w:p>
    <w:p w:rsidR="0026579D" w:rsidRDefault="0026579D" w:rsidP="00F12AF3"/>
    <w:p w:rsidR="0026579D" w:rsidRDefault="004B1E6D" w:rsidP="00F12AF3">
      <w:r>
        <w:t>Where POD is the probability of detection, TP is true positive and FN is false negative</w:t>
      </w:r>
      <w:r w:rsidRPr="004B1E6D">
        <w:t xml:space="preserve"> </w:t>
      </w:r>
      <w:sdt>
        <w:sdtPr>
          <w:id w:val="-886410037"/>
          <w:citation/>
        </w:sdtPr>
        <w:sdtContent>
          <w:r>
            <w:fldChar w:fldCharType="begin"/>
          </w:r>
          <w:r>
            <w:rPr>
              <w:rFonts w:eastAsiaTheme="minorEastAsia"/>
            </w:rPr>
            <w:instrText xml:space="preserve"> CITATION FFü05 \l 2057 </w:instrText>
          </w:r>
          <w:r>
            <w:fldChar w:fldCharType="separate"/>
          </w:r>
          <w:r w:rsidRPr="00912C1E">
            <w:rPr>
              <w:rFonts w:eastAsiaTheme="minorEastAsia"/>
              <w:noProof/>
            </w:rPr>
            <w:t>(F. Fücsök, 2005)</w:t>
          </w:r>
          <w:r>
            <w:fldChar w:fldCharType="end"/>
          </w:r>
        </w:sdtContent>
      </w:sdt>
      <w:r>
        <w:t xml:space="preserve">. </w:t>
      </w:r>
      <w:proofErr w:type="spellStart"/>
      <w:r>
        <w:t>PoFA</w:t>
      </w:r>
      <w:proofErr w:type="spellEnd"/>
      <w:r>
        <w:t xml:space="preserve"> is the probability of false alarm.</w:t>
      </w:r>
    </w:p>
    <w:p w:rsidR="0026579D" w:rsidRDefault="0026579D" w:rsidP="00F12AF3"/>
    <w:p w:rsidR="0026579D" w:rsidRDefault="0026579D" w:rsidP="00F12AF3"/>
    <w:p w:rsidR="0026579D" w:rsidRDefault="0026579D" w:rsidP="00F12AF3"/>
    <w:p w:rsidR="00BC7B5B" w:rsidRDefault="00BC7B5B" w:rsidP="00F12AF3"/>
    <w:p w:rsidR="00BC7B5B" w:rsidRDefault="00BC7B5B" w:rsidP="00F12AF3"/>
    <w:p w:rsidR="00BC7B5B" w:rsidRDefault="00BC7B5B" w:rsidP="00F12AF3"/>
    <w:p w:rsidR="00BC7B5B" w:rsidRDefault="00BC7B5B" w:rsidP="00F12AF3"/>
    <w:p w:rsidR="00BC7B5B" w:rsidRDefault="00BC7B5B" w:rsidP="00F12AF3"/>
    <w:p w:rsidR="00BC7B5B" w:rsidRDefault="00BC7B5B" w:rsidP="00F12AF3"/>
    <w:p w:rsidR="00BC7B5B" w:rsidRDefault="00BC7B5B" w:rsidP="00F12AF3"/>
    <w:p w:rsidR="00BC7B5B" w:rsidRDefault="00BC7B5B" w:rsidP="00F12AF3"/>
    <w:p w:rsidR="00BC7B5B" w:rsidRDefault="00BC7B5B" w:rsidP="00F12AF3"/>
    <w:p w:rsidR="004B1E6D" w:rsidRDefault="004B1E6D" w:rsidP="00F12AF3"/>
    <w:p w:rsidR="004B1E6D" w:rsidRPr="007B6F6E" w:rsidRDefault="004B1E6D" w:rsidP="00F12AF3"/>
    <w:p w:rsidR="007B6F6E" w:rsidRDefault="00EA0E3C" w:rsidP="00EA0E3C">
      <w:pPr>
        <w:pStyle w:val="Heading1"/>
        <w:numPr>
          <w:ilvl w:val="0"/>
          <w:numId w:val="3"/>
        </w:numPr>
      </w:pPr>
      <w:bookmarkStart w:id="5" w:name="_Toc507415966"/>
      <w:r>
        <w:lastRenderedPageBreak/>
        <w:t>ROC</w:t>
      </w:r>
      <w:bookmarkEnd w:id="5"/>
    </w:p>
    <w:p w:rsidR="0026579D" w:rsidRPr="00EA0E3C" w:rsidRDefault="00CB3515" w:rsidP="00C44DC9">
      <w:pPr>
        <w:spacing w:line="360" w:lineRule="auto"/>
      </w:pPr>
      <w:r>
        <w:t xml:space="preserve">A </w:t>
      </w:r>
      <w:r w:rsidRPr="00CB3515">
        <w:t>Receiver Operating Characteristic (ROC)</w:t>
      </w:r>
      <w:r>
        <w:t xml:space="preserve"> study is an NDT analytical tool used for determining how good an NDT system can differentiate real signals from defects from background signal noise. It is usually conduc</w:t>
      </w:r>
      <w:r w:rsidR="0026579D">
        <w:t xml:space="preserve">ted in the form of a </w:t>
      </w:r>
      <w:proofErr w:type="spellStart"/>
      <w:r w:rsidR="0026579D">
        <w:t>PoFA</w:t>
      </w:r>
      <w:proofErr w:type="spellEnd"/>
      <w:r w:rsidR="0026579D">
        <w:t xml:space="preserve"> study. As background noise can vary depending on many factors including the NDT method, conditions, surface and so on, then a ROC test is important. The level of noise has a large impact on how accurate an NDT system is. High levels of noise can easily be mistaken for defects while inversely small real defects might not be detected as they will be within the noise itself. </w:t>
      </w:r>
      <w:sdt>
        <w:sdtPr>
          <w:id w:val="-1259437956"/>
          <w:citation/>
        </w:sdtPr>
        <w:sdtEndPr/>
        <w:sdtContent>
          <w:r w:rsidR="0026579D">
            <w:fldChar w:fldCharType="begin"/>
          </w:r>
          <w:r w:rsidR="0026579D">
            <w:instrText xml:space="preserve"> CITATION CNo94 \l 2057 </w:instrText>
          </w:r>
          <w:r w:rsidR="0026579D">
            <w:fldChar w:fldCharType="separate"/>
          </w:r>
          <w:r w:rsidR="00912C1E">
            <w:rPr>
              <w:noProof/>
            </w:rPr>
            <w:t>(Konchina, 1994)</w:t>
          </w:r>
          <w:r w:rsidR="0026579D">
            <w:fldChar w:fldCharType="end"/>
          </w:r>
        </w:sdtContent>
      </w:sdt>
    </w:p>
    <w:p w:rsidR="007B6F6E" w:rsidRPr="007B6F6E" w:rsidRDefault="00EA0E3C" w:rsidP="00C44DC9">
      <w:pPr>
        <w:pStyle w:val="Heading2"/>
        <w:spacing w:line="360" w:lineRule="auto"/>
      </w:pPr>
      <w:bookmarkStart w:id="6" w:name="_Toc507415967"/>
      <w:r>
        <w:t xml:space="preserve">3.1 </w:t>
      </w:r>
      <w:r w:rsidR="007B6F6E" w:rsidRPr="007B6F6E">
        <w:t>Methodology</w:t>
      </w:r>
      <w:bookmarkEnd w:id="6"/>
    </w:p>
    <w:p w:rsidR="007B6F6E" w:rsidRPr="007B6F6E" w:rsidRDefault="007B6F6E" w:rsidP="00C44DC9">
      <w:pPr>
        <w:spacing w:line="360" w:lineRule="auto"/>
      </w:pPr>
      <w:r w:rsidRPr="007B6F6E">
        <w:t>In this section an ROC analysis is undertaken to analyse the effectiveness of three NDT methods. In order to analyse the effectiveness of each method two aspects are taken into consideration. The two aspects are probability of detection (</w:t>
      </w:r>
      <w:proofErr w:type="spellStart"/>
      <w:r w:rsidRPr="007B6F6E">
        <w:t>PoD</w:t>
      </w:r>
      <w:proofErr w:type="spellEnd"/>
      <w:r w:rsidRPr="007B6F6E">
        <w:t>) and probability of false alarm (</w:t>
      </w:r>
      <w:proofErr w:type="spellStart"/>
      <w:r w:rsidRPr="007B6F6E">
        <w:t>PoFA</w:t>
      </w:r>
      <w:proofErr w:type="spellEnd"/>
      <w:r w:rsidRPr="007B6F6E">
        <w:t>). These can be calculated by the following equations;</w:t>
      </w:r>
    </w:p>
    <w:p w:rsidR="00C75B70" w:rsidRPr="007B6F6E" w:rsidRDefault="007B6F6E" w:rsidP="00C44DC9">
      <w:pPr>
        <w:spacing w:line="360" w:lineRule="auto"/>
      </w:pPr>
      <w:r w:rsidRPr="007B6F6E">
        <w:t>he formula for probability of detection is as follows:</w:t>
      </w:r>
    </w:p>
    <w:p w:rsidR="007B6F6E" w:rsidRPr="007B6F6E" w:rsidRDefault="007B6F6E" w:rsidP="00C44DC9">
      <w:pPr>
        <w:spacing w:line="360" w:lineRule="auto"/>
        <w:jc w:val="right"/>
      </w:pPr>
      <w:r w:rsidRPr="007B6F6E">
        <w:t xml:space="preserve">                                                </w:t>
      </w:r>
      <m:oMath>
        <m:r>
          <w:rPr>
            <w:rFonts w:ascii="Cambria Math" w:hAnsi="Cambria Math"/>
          </w:rPr>
          <m:t>PoD=</m:t>
        </m:r>
        <m:f>
          <m:fPr>
            <m:ctrlPr>
              <w:rPr>
                <w:rFonts w:ascii="Cambria Math" w:hAnsi="Cambria Math"/>
                <w:i/>
              </w:rPr>
            </m:ctrlPr>
          </m:fPr>
          <m:num>
            <m:r>
              <w:rPr>
                <w:rFonts w:ascii="Cambria Math" w:hAnsi="Cambria Math"/>
              </w:rPr>
              <m:t>number of true positives</m:t>
            </m:r>
          </m:num>
          <m:den>
            <m:r>
              <w:rPr>
                <w:rFonts w:ascii="Cambria Math" w:hAnsi="Cambria Math"/>
              </w:rPr>
              <m:t>total possibilities for detection</m:t>
            </m:r>
          </m:den>
        </m:f>
      </m:oMath>
      <w:r w:rsidR="00BB5AB9">
        <w:t xml:space="preserve"> </w:t>
      </w:r>
      <w:r w:rsidR="00BB5AB9">
        <w:tab/>
      </w:r>
      <w:r w:rsidR="00BB5AB9">
        <w:tab/>
      </w:r>
      <w:r w:rsidR="00BB5AB9">
        <w:tab/>
      </w:r>
      <w:r w:rsidR="00BB5AB9">
        <w:tab/>
      </w:r>
      <w:r w:rsidR="00BB5AB9">
        <w:tab/>
        <w:t xml:space="preserve">  (3</w:t>
      </w:r>
      <w:r w:rsidRPr="007B6F6E">
        <w:t>)</w:t>
      </w:r>
    </w:p>
    <w:p w:rsidR="007B6F6E" w:rsidRPr="007B6F6E" w:rsidRDefault="007B6F6E" w:rsidP="00C44DC9">
      <w:pPr>
        <w:spacing w:line="360" w:lineRule="auto"/>
      </w:pPr>
      <w:r w:rsidRPr="007B6F6E">
        <w:t xml:space="preserve">Where; Number of true positives is when there is a defect present and the defect is found, the total possibilities for detection is the number of defects in the sample/specimen. The equation gives a direct percentage of how many of the total defects are detected by each method. </w:t>
      </w:r>
    </w:p>
    <w:p w:rsidR="007B6F6E" w:rsidRPr="007B6F6E" w:rsidRDefault="007B6F6E" w:rsidP="00C44DC9">
      <w:pPr>
        <w:spacing w:line="360" w:lineRule="auto"/>
      </w:pPr>
      <w:r w:rsidRPr="007B6F6E">
        <w:t>The second variable is probability of false alarm and is found using the following equation:</w:t>
      </w:r>
    </w:p>
    <w:p w:rsidR="007B6F6E" w:rsidRPr="001812F8" w:rsidRDefault="007B6F6E" w:rsidP="00C44DC9">
      <w:pPr>
        <w:spacing w:line="360" w:lineRule="auto"/>
        <w:rPr>
          <w:rFonts w:eastAsiaTheme="minorEastAsia"/>
        </w:rPr>
      </w:pPr>
      <m:oMathPara>
        <m:oMath>
          <m:r>
            <w:rPr>
              <w:rFonts w:ascii="Cambria Math" w:hAnsi="Cambria Math"/>
            </w:rPr>
            <m:t xml:space="preserve">PoFA= </m:t>
          </m:r>
          <m:f>
            <m:fPr>
              <m:ctrlPr>
                <w:rPr>
                  <w:rFonts w:ascii="Cambria Math" w:hAnsi="Cambria Math"/>
                  <w:i/>
                </w:rPr>
              </m:ctrlPr>
            </m:fPr>
            <m:num>
              <m:r>
                <w:rPr>
                  <w:rFonts w:ascii="Cambria Math" w:hAnsi="Cambria Math"/>
                </w:rPr>
                <m:t>number of false positives</m:t>
              </m:r>
            </m:num>
            <m:den>
              <m:r>
                <w:rPr>
                  <w:rFonts w:ascii="Cambria Math" w:hAnsi="Cambria Math"/>
                </w:rPr>
                <m:t>total number of defect free  sections</m:t>
              </m:r>
            </m:den>
          </m:f>
        </m:oMath>
      </m:oMathPara>
    </w:p>
    <w:p w:rsidR="001812F8" w:rsidRPr="001812F8" w:rsidRDefault="00BB5AB9" w:rsidP="00C44DC9">
      <w:pPr>
        <w:spacing w:line="360" w:lineRule="auto"/>
        <w:jc w:val="right"/>
        <w:rPr>
          <w:rFonts w:eastAsiaTheme="minorEastAsia"/>
        </w:rPr>
      </w:pPr>
      <w:r>
        <w:rPr>
          <w:rFonts w:eastAsiaTheme="minorEastAsia"/>
        </w:rPr>
        <w:t>(4</w:t>
      </w:r>
      <w:r w:rsidR="001812F8">
        <w:rPr>
          <w:rFonts w:eastAsiaTheme="minorEastAsia"/>
        </w:rPr>
        <w:t>)</w:t>
      </w:r>
    </w:p>
    <w:p w:rsidR="007B6F6E" w:rsidRPr="007B6F6E" w:rsidRDefault="007B6F6E" w:rsidP="00C44DC9">
      <w:pPr>
        <w:spacing w:line="360" w:lineRule="auto"/>
      </w:pPr>
      <w:r w:rsidRPr="007B6F6E">
        <w:t xml:space="preserve">Where; number of false positives is the number of defect free sections where there are no defects identified, total number of defect free sections is the number of defect free locations. Similar to the </w:t>
      </w:r>
      <w:proofErr w:type="spellStart"/>
      <w:r w:rsidRPr="007B6F6E">
        <w:t>PoD</w:t>
      </w:r>
      <w:proofErr w:type="spellEnd"/>
      <w:r w:rsidRPr="007B6F6E">
        <w:t xml:space="preserve"> equation this gives a direct percentage showing the likelihood of the method will flag up a false positive, </w:t>
      </w:r>
      <w:proofErr w:type="spellStart"/>
      <w:r w:rsidRPr="007B6F6E">
        <w:t>i.e</w:t>
      </w:r>
      <w:proofErr w:type="spellEnd"/>
      <w:r w:rsidRPr="007B6F6E">
        <w:t xml:space="preserve"> identifying a defect when there is in fact no defect present.</w:t>
      </w:r>
    </w:p>
    <w:p w:rsidR="007B6F6E" w:rsidRPr="007B6F6E" w:rsidRDefault="007B6F6E" w:rsidP="00C44DC9">
      <w:pPr>
        <w:spacing w:line="360" w:lineRule="auto"/>
        <w:rPr>
          <w:b/>
        </w:rPr>
      </w:pPr>
    </w:p>
    <w:p w:rsidR="007B6F6E" w:rsidRDefault="007B6F6E" w:rsidP="00C44DC9">
      <w:pPr>
        <w:pStyle w:val="Heading2"/>
        <w:numPr>
          <w:ilvl w:val="1"/>
          <w:numId w:val="3"/>
        </w:numPr>
        <w:spacing w:line="360" w:lineRule="auto"/>
      </w:pPr>
      <w:bookmarkStart w:id="7" w:name="_Toc507415968"/>
      <w:r w:rsidRPr="007B6F6E">
        <w:lastRenderedPageBreak/>
        <w:t>Results</w:t>
      </w:r>
      <w:bookmarkEnd w:id="7"/>
    </w:p>
    <w:p w:rsidR="00EA0E3C" w:rsidRPr="00EA0E3C" w:rsidRDefault="00EA0E3C" w:rsidP="00C44DC9">
      <w:pPr>
        <w:spacing w:line="360" w:lineRule="auto"/>
      </w:pPr>
    </w:p>
    <w:p w:rsidR="007B6F6E" w:rsidRPr="007B6F6E" w:rsidRDefault="007B6F6E" w:rsidP="00C44DC9">
      <w:pPr>
        <w:spacing w:line="360" w:lineRule="auto"/>
        <w:rPr>
          <w:b/>
          <w:u w:val="single"/>
        </w:rPr>
      </w:pPr>
      <w:r w:rsidRPr="007B6F6E">
        <w:t xml:space="preserve">All three methods are compared in the form of an ROC graph using the </w:t>
      </w:r>
      <w:proofErr w:type="spellStart"/>
      <w:r w:rsidRPr="007B6F6E">
        <w:t>PoD</w:t>
      </w:r>
      <w:proofErr w:type="spellEnd"/>
      <w:r w:rsidRPr="007B6F6E">
        <w:t xml:space="preserve"> and </w:t>
      </w:r>
      <w:proofErr w:type="spellStart"/>
      <w:r w:rsidRPr="007B6F6E">
        <w:t>PoFA</w:t>
      </w:r>
      <w:proofErr w:type="spellEnd"/>
      <w:r w:rsidRPr="007B6F6E">
        <w:t xml:space="preserve"> values calculated from the data set. The results are shown in figure 1.</w:t>
      </w:r>
    </w:p>
    <w:p w:rsidR="007B6F6E" w:rsidRPr="007B6F6E" w:rsidRDefault="007B6F6E" w:rsidP="007B6F6E">
      <w:r w:rsidRPr="007B6F6E">
        <w:rPr>
          <w:noProof/>
          <w:lang w:eastAsia="en-GB"/>
        </w:rPr>
        <w:drawing>
          <wp:inline distT="0" distB="0" distL="0" distR="0" wp14:anchorId="306A1D1B" wp14:editId="71EB565E">
            <wp:extent cx="5731510" cy="3760470"/>
            <wp:effectExtent l="0" t="0" r="2540" b="11430"/>
            <wp:docPr id="1" name="Chart 1">
              <a:extLst xmlns:a="http://schemas.openxmlformats.org/drawingml/2006/main">
                <a:ext uri="{FF2B5EF4-FFF2-40B4-BE49-F238E27FC236}">
                  <a16:creationId xmlns:a16="http://schemas.microsoft.com/office/drawing/2014/main" id="{F83DDFF5-36F2-4BFD-95CE-49D3F497C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B6F6E" w:rsidRPr="007B6F6E" w:rsidRDefault="007B6F6E" w:rsidP="007B6F6E">
      <w:pPr>
        <w:rPr>
          <w:i/>
          <w:iCs/>
        </w:rPr>
      </w:pPr>
      <w:bookmarkStart w:id="8" w:name="_Toc507412997"/>
      <w:bookmarkStart w:id="9" w:name="_Toc507415339"/>
      <w:r w:rsidRPr="007B6F6E">
        <w:rPr>
          <w:i/>
          <w:iCs/>
        </w:rPr>
        <w:t xml:space="preserve">Figure </w:t>
      </w:r>
      <w:r w:rsidRPr="007B6F6E">
        <w:rPr>
          <w:i/>
          <w:iCs/>
        </w:rPr>
        <w:fldChar w:fldCharType="begin"/>
      </w:r>
      <w:r w:rsidRPr="007B6F6E">
        <w:rPr>
          <w:i/>
          <w:iCs/>
        </w:rPr>
        <w:instrText xml:space="preserve"> SEQ Figure \* ARABIC </w:instrText>
      </w:r>
      <w:r w:rsidRPr="007B6F6E">
        <w:rPr>
          <w:i/>
          <w:iCs/>
        </w:rPr>
        <w:fldChar w:fldCharType="separate"/>
      </w:r>
      <w:r w:rsidR="00E60C63">
        <w:rPr>
          <w:i/>
          <w:iCs/>
          <w:noProof/>
        </w:rPr>
        <w:t>1</w:t>
      </w:r>
      <w:r w:rsidRPr="007B6F6E">
        <w:fldChar w:fldCharType="end"/>
      </w:r>
      <w:r w:rsidRPr="007B6F6E">
        <w:rPr>
          <w:i/>
          <w:iCs/>
        </w:rPr>
        <w:t xml:space="preserve"> – Graph comparing the </w:t>
      </w:r>
      <w:proofErr w:type="spellStart"/>
      <w:r w:rsidRPr="007B6F6E">
        <w:rPr>
          <w:i/>
          <w:iCs/>
        </w:rPr>
        <w:t>PoD</w:t>
      </w:r>
      <w:proofErr w:type="spellEnd"/>
      <w:r w:rsidRPr="007B6F6E">
        <w:rPr>
          <w:i/>
          <w:iCs/>
        </w:rPr>
        <w:t xml:space="preserve"> and </w:t>
      </w:r>
      <w:proofErr w:type="spellStart"/>
      <w:r w:rsidRPr="007B6F6E">
        <w:rPr>
          <w:i/>
          <w:iCs/>
        </w:rPr>
        <w:t>PoFA</w:t>
      </w:r>
      <w:proofErr w:type="spellEnd"/>
      <w:r w:rsidRPr="007B6F6E">
        <w:rPr>
          <w:i/>
          <w:iCs/>
        </w:rPr>
        <w:t xml:space="preserve"> of each of the three test methods</w:t>
      </w:r>
      <w:bookmarkEnd w:id="8"/>
      <w:bookmarkEnd w:id="9"/>
    </w:p>
    <w:p w:rsidR="007B6F6E" w:rsidRPr="007B6F6E" w:rsidRDefault="007B6F6E" w:rsidP="00C44DC9">
      <w:pPr>
        <w:spacing w:line="360" w:lineRule="auto"/>
      </w:pPr>
      <w:r w:rsidRPr="007B6F6E">
        <w:t xml:space="preserve">The NDT method 3 scores the best out of the three. Although method 3 has an equal </w:t>
      </w:r>
      <w:proofErr w:type="spellStart"/>
      <w:r w:rsidRPr="007B6F6E">
        <w:t>PoFA</w:t>
      </w:r>
      <w:proofErr w:type="spellEnd"/>
      <w:r w:rsidRPr="007B6F6E">
        <w:t xml:space="preserve"> as method 2, with a value of </w:t>
      </w:r>
      <w:r w:rsidR="00BB748A">
        <w:t xml:space="preserve">0.18, </w:t>
      </w:r>
      <w:r w:rsidRPr="007B6F6E">
        <w:t xml:space="preserve">its probability of detection is significantly greater than either method 2 or 1 at approximately 88% chance of detection against (50% chance of detection from method 2 and 63% chance for method 1). Method 1 scores slightly better than method 2 in </w:t>
      </w:r>
      <w:proofErr w:type="spellStart"/>
      <w:r w:rsidRPr="007B6F6E">
        <w:t>PoD</w:t>
      </w:r>
      <w:proofErr w:type="spellEnd"/>
      <w:r w:rsidRPr="007B6F6E">
        <w:t xml:space="preserve">, however it has a significantly higher chance of having false positives than either method 2 or 3. </w:t>
      </w:r>
    </w:p>
    <w:p w:rsidR="007B6F6E" w:rsidRPr="007B6F6E" w:rsidRDefault="007B6F6E" w:rsidP="00C44DC9">
      <w:pPr>
        <w:spacing w:line="360" w:lineRule="auto"/>
      </w:pPr>
      <w:r w:rsidRPr="007B6F6E">
        <w:t>In conclusion, using the data it is determined that method 3 is the most desirable method to use. For this inspection criteria.</w:t>
      </w:r>
    </w:p>
    <w:p w:rsidR="007B6F6E" w:rsidRDefault="007B6F6E" w:rsidP="007B6F6E">
      <w:pPr>
        <w:rPr>
          <w:b/>
        </w:rPr>
      </w:pPr>
    </w:p>
    <w:p w:rsidR="001812F8" w:rsidRDefault="001812F8" w:rsidP="007B6F6E">
      <w:pPr>
        <w:rPr>
          <w:b/>
        </w:rPr>
      </w:pPr>
    </w:p>
    <w:p w:rsidR="001812F8" w:rsidRDefault="001812F8" w:rsidP="007B6F6E">
      <w:pPr>
        <w:rPr>
          <w:b/>
        </w:rPr>
      </w:pPr>
    </w:p>
    <w:p w:rsidR="001812F8" w:rsidRDefault="001812F8" w:rsidP="007B6F6E">
      <w:pPr>
        <w:rPr>
          <w:b/>
        </w:rPr>
      </w:pPr>
    </w:p>
    <w:p w:rsidR="001812F8" w:rsidRPr="007B6F6E" w:rsidRDefault="001812F8" w:rsidP="007B6F6E">
      <w:pPr>
        <w:rPr>
          <w:b/>
        </w:rPr>
      </w:pPr>
    </w:p>
    <w:p w:rsidR="00D779C0" w:rsidRDefault="00EA0E3C" w:rsidP="00EA0E3C">
      <w:pPr>
        <w:pStyle w:val="Heading1"/>
      </w:pPr>
      <w:bookmarkStart w:id="10" w:name="_Toc507415969"/>
      <w:r>
        <w:t xml:space="preserve">4.0 </w:t>
      </w:r>
      <w:r w:rsidR="00BA66B9">
        <w:t>POS</w:t>
      </w:r>
      <w:r w:rsidR="00D779C0">
        <w:t xml:space="preserve"> of MFL and UT inspections</w:t>
      </w:r>
      <w:bookmarkEnd w:id="10"/>
    </w:p>
    <w:p w:rsidR="00D779C0" w:rsidRPr="00D779C0" w:rsidRDefault="00D779C0" w:rsidP="00C44DC9">
      <w:pPr>
        <w:spacing w:line="360" w:lineRule="auto"/>
      </w:pPr>
      <w:r>
        <w:t xml:space="preserve">The second set of results gives sizing data on set of 14 defects in a floor of a storage tank. Three inspections are made of the tank floor. One with a magnetic flux leakage sensor array and the other two with an unspecified ultrasonic method. </w:t>
      </w:r>
    </w:p>
    <w:p w:rsidR="007B6F6E" w:rsidRDefault="00EA0E3C" w:rsidP="00C44DC9">
      <w:pPr>
        <w:pStyle w:val="Heading2"/>
        <w:spacing w:line="360" w:lineRule="auto"/>
      </w:pPr>
      <w:bookmarkStart w:id="11" w:name="_Toc507415970"/>
      <w:r>
        <w:t>4.1</w:t>
      </w:r>
      <w:r w:rsidR="007B6F6E" w:rsidRPr="007B6F6E">
        <w:t>Methodology</w:t>
      </w:r>
      <w:bookmarkEnd w:id="11"/>
    </w:p>
    <w:p w:rsidR="00EA0E3C" w:rsidRDefault="00A319A6" w:rsidP="00C44DC9">
      <w:pPr>
        <w:spacing w:line="360" w:lineRule="auto"/>
      </w:pPr>
      <w:r>
        <w:t>To get from the raw data to able to accurat</w:t>
      </w:r>
      <w:r w:rsidR="001812F8">
        <w:t>ely visualise</w:t>
      </w:r>
      <w:r>
        <w:t xml:space="preserve"> the sizing of the different methods</w:t>
      </w:r>
      <w:r w:rsidR="001812F8">
        <w:t xml:space="preserve">, the data must be sorted and analysed. </w:t>
      </w:r>
    </w:p>
    <w:p w:rsidR="00EA0E3C" w:rsidRDefault="001812F8" w:rsidP="00C44DC9">
      <w:pPr>
        <w:spacing w:line="360" w:lineRule="auto"/>
      </w:pPr>
      <w:r>
        <w:t>Firstly, the error of the sizing measurements where calculated. It is simply subtracting the true depth of the defect by the measured depth. Simply:</w:t>
      </w:r>
    </w:p>
    <w:p w:rsidR="001812F8" w:rsidRDefault="001812F8" w:rsidP="00C44DC9">
      <w:pPr>
        <w:spacing w:line="360" w:lineRule="auto"/>
      </w:pPr>
    </w:p>
    <w:p w:rsidR="001812F8" w:rsidRPr="001812F8" w:rsidRDefault="001812F8" w:rsidP="00C44DC9">
      <w:pPr>
        <w:spacing w:line="360" w:lineRule="auto"/>
        <w:rPr>
          <w:rFonts w:eastAsiaTheme="minorEastAsia"/>
        </w:rPr>
      </w:pPr>
      <m:oMathPara>
        <m:oMath>
          <m:r>
            <w:rPr>
              <w:rFonts w:ascii="Cambria Math" w:hAnsi="Cambria Math"/>
            </w:rPr>
            <m:t xml:space="preserve">Error= </m:t>
          </m:r>
          <m:f>
            <m:fPr>
              <m:ctrlPr>
                <w:rPr>
                  <w:rFonts w:ascii="Cambria Math" w:hAnsi="Cambria Math"/>
                  <w:i/>
                </w:rPr>
              </m:ctrlPr>
            </m:fPr>
            <m:num>
              <m:r>
                <w:rPr>
                  <w:rFonts w:ascii="Cambria Math" w:hAnsi="Cambria Math"/>
                </w:rPr>
                <m:t>measured depth</m:t>
              </m:r>
            </m:num>
            <m:den>
              <m:r>
                <w:rPr>
                  <w:rFonts w:ascii="Cambria Math" w:hAnsi="Cambria Math"/>
                </w:rPr>
                <m:t>true depth</m:t>
              </m:r>
            </m:den>
          </m:f>
        </m:oMath>
      </m:oMathPara>
    </w:p>
    <w:p w:rsidR="001812F8" w:rsidRDefault="00BB5AB9" w:rsidP="00C44DC9">
      <w:pPr>
        <w:spacing w:line="360" w:lineRule="auto"/>
        <w:jc w:val="right"/>
        <w:rPr>
          <w:rFonts w:eastAsiaTheme="minorEastAsia"/>
        </w:rPr>
      </w:pPr>
      <w:r>
        <w:rPr>
          <w:rFonts w:eastAsiaTheme="minorEastAsia"/>
        </w:rPr>
        <w:t>(5</w:t>
      </w:r>
      <w:r w:rsidR="001812F8">
        <w:rPr>
          <w:rFonts w:eastAsiaTheme="minorEastAsia"/>
        </w:rPr>
        <w:t>)</w:t>
      </w:r>
    </w:p>
    <w:p w:rsidR="001812F8" w:rsidRDefault="001812F8" w:rsidP="00C44DC9">
      <w:pPr>
        <w:spacing w:line="360" w:lineRule="auto"/>
        <w:rPr>
          <w:rFonts w:eastAsiaTheme="minorEastAsia"/>
        </w:rPr>
      </w:pPr>
      <w:r>
        <w:rPr>
          <w:rFonts w:eastAsiaTheme="minorEastAsia"/>
        </w:rPr>
        <w:t xml:space="preserve">This enables the viewer to see how far off the true depth each individual measurement was. </w:t>
      </w:r>
    </w:p>
    <w:p w:rsidR="001812F8" w:rsidRDefault="001812F8" w:rsidP="00C44DC9">
      <w:pPr>
        <w:spacing w:line="360" w:lineRule="auto"/>
        <w:rPr>
          <w:rFonts w:eastAsiaTheme="minorEastAsia"/>
        </w:rPr>
      </w:pPr>
      <w:r>
        <w:rPr>
          <w:rFonts w:eastAsiaTheme="minorEastAsia"/>
        </w:rPr>
        <w:t xml:space="preserve">To obtain the range of the measurements the standard deviation of the errors is calculated. The standard multiplied by 2 gives the range of results. The larger the range the further the individual data points stray from the trendline. A tighter range shows that the measurements are a lot more consistent with the trendline. </w:t>
      </w:r>
    </w:p>
    <w:p w:rsidR="001812F8" w:rsidRDefault="001812F8" w:rsidP="00C44DC9">
      <w:pPr>
        <w:spacing w:line="360" w:lineRule="auto"/>
        <w:rPr>
          <w:rFonts w:eastAsiaTheme="minorEastAsia"/>
        </w:rPr>
      </w:pPr>
      <w:r>
        <w:rPr>
          <w:rFonts w:eastAsiaTheme="minorEastAsia"/>
        </w:rPr>
        <w:t xml:space="preserve">Next the plus/minus 95% confidence limit is put in place. This is imply multiplying the standard deviation by 1.96. </w:t>
      </w:r>
    </w:p>
    <w:p w:rsidR="001812F8" w:rsidRDefault="001812F8" w:rsidP="00C44DC9">
      <w:pPr>
        <w:spacing w:line="360" w:lineRule="auto"/>
        <w:rPr>
          <w:rFonts w:eastAsiaTheme="minorEastAsia"/>
        </w:rPr>
      </w:pPr>
      <w:r>
        <w:rPr>
          <w:rFonts w:eastAsiaTheme="minorEastAsia"/>
        </w:rPr>
        <w:t>The lower limits and upper limit lines allow the range of the measurements to be visualised clearly. An upper and lower confidence limit is set for each individual measurement. The equation is as follows:</w:t>
      </w:r>
    </w:p>
    <w:p w:rsidR="00886AFC" w:rsidRDefault="00886AFC" w:rsidP="001812F8">
      <w:pPr>
        <w:rPr>
          <w:rFonts w:eastAsiaTheme="minorEastAsia"/>
        </w:rPr>
      </w:pPr>
    </w:p>
    <w:p w:rsidR="00886AFC" w:rsidRPr="00886AFC" w:rsidRDefault="00886AFC" w:rsidP="001812F8">
      <w:pPr>
        <w:rPr>
          <w:rFonts w:eastAsiaTheme="minorEastAsia"/>
        </w:rPr>
      </w:pPr>
      <m:oMathPara>
        <m:oMath>
          <m:r>
            <w:rPr>
              <w:rFonts w:ascii="Cambria Math" w:eastAsiaTheme="minorEastAsia" w:hAnsi="Cambria Math"/>
            </w:rPr>
            <m:t>Lower limit=</m:t>
          </m:r>
          <m:d>
            <m:dPr>
              <m:ctrlPr>
                <w:rPr>
                  <w:rFonts w:ascii="Cambria Math" w:eastAsiaTheme="minorEastAsia" w:hAnsi="Cambria Math"/>
                  <w:i/>
                </w:rPr>
              </m:ctrlPr>
            </m:dPr>
            <m:e>
              <m:r>
                <w:rPr>
                  <w:rFonts w:ascii="Cambria Math" w:eastAsiaTheme="minorEastAsia" w:hAnsi="Cambria Math"/>
                </w:rPr>
                <m:t>y×true depth</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x)+95% limit</m:t>
              </m:r>
            </m:e>
          </m:d>
        </m:oMath>
      </m:oMathPara>
    </w:p>
    <w:p w:rsidR="00886AFC" w:rsidRDefault="00BB5AB9" w:rsidP="00886AFC">
      <w:pPr>
        <w:jc w:val="right"/>
        <w:rPr>
          <w:rFonts w:eastAsiaTheme="minorEastAsia"/>
        </w:rPr>
      </w:pPr>
      <w:r>
        <w:rPr>
          <w:rFonts w:eastAsiaTheme="minorEastAsia"/>
        </w:rPr>
        <w:t>(6</w:t>
      </w:r>
      <w:r w:rsidR="00886AFC">
        <w:rPr>
          <w:rFonts w:eastAsiaTheme="minorEastAsia"/>
        </w:rPr>
        <w:t>)</w:t>
      </w:r>
    </w:p>
    <w:p w:rsidR="00886AFC" w:rsidRPr="00886AFC" w:rsidRDefault="00886AFC" w:rsidP="00886AFC">
      <w:pPr>
        <w:rPr>
          <w:rFonts w:eastAsiaTheme="minorEastAsia"/>
        </w:rPr>
      </w:pPr>
    </w:p>
    <w:p w:rsidR="001812F8" w:rsidRDefault="00886AFC" w:rsidP="00886AFC">
      <w:pPr>
        <w:rPr>
          <w:rFonts w:eastAsiaTheme="minorEastAsia"/>
        </w:rPr>
      </w:pPr>
      <m:oMathPara>
        <m:oMath>
          <m:r>
            <w:rPr>
              <w:rFonts w:ascii="Cambria Math" w:eastAsiaTheme="minorEastAsia" w:hAnsi="Cambria Math"/>
            </w:rPr>
            <m:t>Upper limit=</m:t>
          </m:r>
          <m:d>
            <m:dPr>
              <m:ctrlPr>
                <w:rPr>
                  <w:rFonts w:ascii="Cambria Math" w:eastAsiaTheme="minorEastAsia" w:hAnsi="Cambria Math"/>
                  <w:i/>
                </w:rPr>
              </m:ctrlPr>
            </m:dPr>
            <m:e>
              <m:r>
                <w:rPr>
                  <w:rFonts w:ascii="Cambria Math" w:eastAsiaTheme="minorEastAsia" w:hAnsi="Cambria Math"/>
                </w:rPr>
                <m:t>y×true depth</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x)-95% limit</m:t>
              </m:r>
            </m:e>
          </m:d>
        </m:oMath>
      </m:oMathPara>
    </w:p>
    <w:p w:rsidR="00886AFC" w:rsidRDefault="00BB5AB9" w:rsidP="00886AFC">
      <w:pPr>
        <w:jc w:val="right"/>
        <w:rPr>
          <w:rFonts w:eastAsiaTheme="minorEastAsia"/>
        </w:rPr>
      </w:pPr>
      <w:r>
        <w:rPr>
          <w:rFonts w:eastAsiaTheme="minorEastAsia"/>
        </w:rPr>
        <w:lastRenderedPageBreak/>
        <w:t>(7</w:t>
      </w:r>
      <w:r w:rsidR="00886AFC">
        <w:rPr>
          <w:rFonts w:eastAsiaTheme="minorEastAsia"/>
        </w:rPr>
        <w:t>)</w:t>
      </w:r>
    </w:p>
    <w:p w:rsidR="00886AFC" w:rsidRDefault="00886AFC" w:rsidP="00C44DC9">
      <w:pPr>
        <w:spacing w:line="360" w:lineRule="auto"/>
        <w:jc w:val="right"/>
        <w:rPr>
          <w:rFonts w:eastAsiaTheme="minorEastAsia"/>
        </w:rPr>
      </w:pPr>
    </w:p>
    <w:p w:rsidR="00886AFC" w:rsidRDefault="00886AFC" w:rsidP="00C44DC9">
      <w:pPr>
        <w:spacing w:line="360" w:lineRule="auto"/>
        <w:rPr>
          <w:rFonts w:eastAsiaTheme="minorEastAsia"/>
        </w:rPr>
      </w:pPr>
      <w:r>
        <w:rPr>
          <w:rFonts w:eastAsiaTheme="minorEastAsia"/>
        </w:rPr>
        <w:t>Last is the true line. This line simply represents the true size of defects along the entire graph. It is put in place to allow easy comparison of the measured data and how far from the true defect sizes they are.</w:t>
      </w:r>
    </w:p>
    <w:p w:rsidR="00886AFC" w:rsidRDefault="00886AFC" w:rsidP="00C44DC9">
      <w:pPr>
        <w:spacing w:line="360" w:lineRule="auto"/>
        <w:rPr>
          <w:rFonts w:eastAsiaTheme="minorEastAsia"/>
        </w:rPr>
      </w:pPr>
    </w:p>
    <w:p w:rsidR="00886AFC" w:rsidRPr="00886AFC" w:rsidRDefault="00886AFC" w:rsidP="00C44DC9">
      <w:pPr>
        <w:spacing w:line="360" w:lineRule="auto"/>
        <w:rPr>
          <w:rFonts w:eastAsiaTheme="minorEastAsia"/>
        </w:rPr>
      </w:pPr>
    </w:p>
    <w:p w:rsidR="00EA0E3C" w:rsidRDefault="00EA0E3C" w:rsidP="00C44DC9">
      <w:pPr>
        <w:pStyle w:val="Heading2"/>
        <w:spacing w:line="360" w:lineRule="auto"/>
      </w:pPr>
      <w:bookmarkStart w:id="12" w:name="_Toc507415971"/>
      <w:r>
        <w:t>4.2 Results</w:t>
      </w:r>
      <w:bookmarkEnd w:id="12"/>
    </w:p>
    <w:p w:rsidR="00886AFC" w:rsidRDefault="00886AFC" w:rsidP="00C44DC9">
      <w:pPr>
        <w:spacing w:line="360" w:lineRule="auto"/>
      </w:pPr>
      <w:r>
        <w:t>The results for the MFL and UT differ significantly. As there are many unknowns regarding the test conditions, operators, UT probes used and so on, there are assumptions and speculation involved in the analysis.</w:t>
      </w:r>
    </w:p>
    <w:p w:rsidR="00BA66B9" w:rsidRPr="007B6F6E" w:rsidRDefault="00BA66B9" w:rsidP="00886AFC">
      <w:pPr>
        <w:rPr>
          <w:b/>
        </w:rPr>
      </w:pPr>
    </w:p>
    <w:p w:rsidR="00BA66B9" w:rsidRDefault="0013521F" w:rsidP="00BA66B9">
      <w:pPr>
        <w:pStyle w:val="Heading3"/>
      </w:pPr>
      <w:bookmarkStart w:id="13" w:name="_Toc507415972"/>
      <w:r>
        <w:t>4.2.1 Magnetic flux leakage</w:t>
      </w:r>
      <w:bookmarkEnd w:id="13"/>
    </w:p>
    <w:p w:rsidR="00BA66B9" w:rsidRDefault="00BA66B9" w:rsidP="00BA66B9"/>
    <w:p w:rsidR="00E02D0C" w:rsidRDefault="00E02D0C" w:rsidP="00BA66B9">
      <w:r>
        <w:rPr>
          <w:noProof/>
          <w:lang w:eastAsia="en-GB"/>
        </w:rPr>
        <w:drawing>
          <wp:inline distT="0" distB="0" distL="0" distR="0" wp14:anchorId="15FE0A51" wp14:editId="2549C793">
            <wp:extent cx="5731510" cy="3211195"/>
            <wp:effectExtent l="0" t="0" r="2540" b="8255"/>
            <wp:docPr id="4" name="Chart 4">
              <a:extLst xmlns:a="http://schemas.openxmlformats.org/drawingml/2006/main">
                <a:ext uri="{FF2B5EF4-FFF2-40B4-BE49-F238E27FC236}">
                  <a16:creationId xmlns:a16="http://schemas.microsoft.com/office/drawing/2014/main" id="{DCFFB780-4888-450F-9731-578986EF0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20E9A" w:rsidRDefault="00B20E9A" w:rsidP="00B20E9A">
      <w:pPr>
        <w:pStyle w:val="Caption"/>
      </w:pPr>
      <w:bookmarkStart w:id="14" w:name="_Toc507412998"/>
      <w:bookmarkStart w:id="15" w:name="_Toc507415340"/>
      <w:r>
        <w:t xml:space="preserve">Figure </w:t>
      </w:r>
      <w:r w:rsidR="00ED4B81">
        <w:fldChar w:fldCharType="begin"/>
      </w:r>
      <w:r w:rsidR="00ED4B81">
        <w:instrText xml:space="preserve"> SEQ Figure \* ARABIC </w:instrText>
      </w:r>
      <w:r w:rsidR="00ED4B81">
        <w:fldChar w:fldCharType="separate"/>
      </w:r>
      <w:r w:rsidR="00E60C63">
        <w:rPr>
          <w:noProof/>
        </w:rPr>
        <w:t>2</w:t>
      </w:r>
      <w:r w:rsidR="00ED4B81">
        <w:rPr>
          <w:noProof/>
        </w:rPr>
        <w:fldChar w:fldCharType="end"/>
      </w:r>
      <w:r>
        <w:t xml:space="preserve"> – Graph showing the POS for the MFL inspection method</w:t>
      </w:r>
      <w:bookmarkEnd w:id="14"/>
      <w:bookmarkEnd w:id="15"/>
    </w:p>
    <w:p w:rsidR="00B20E9A" w:rsidRDefault="0013521F" w:rsidP="00C44DC9">
      <w:pPr>
        <w:spacing w:line="360" w:lineRule="auto"/>
      </w:pPr>
      <w:r>
        <w:t xml:space="preserve">It is immediately apparent that the MFL inspection method oversized every single defect. This can be easily visualised looking at the true line (yellow) and how all measurement points land above it. </w:t>
      </w:r>
      <w:r w:rsidR="00B20E9A">
        <w:t xml:space="preserve">The standard deviation is </w:t>
      </w:r>
      <w:r w:rsidR="00B20E9A">
        <w:rPr>
          <w:rFonts w:cs="Times New Roman"/>
        </w:rPr>
        <w:t>±</w:t>
      </w:r>
      <w:r w:rsidR="004245E6">
        <w:t xml:space="preserve"> 4</w:t>
      </w:r>
      <w:r w:rsidR="007D5350">
        <w:t xml:space="preserve">.76% and an average error of 10.73%. </w:t>
      </w:r>
    </w:p>
    <w:p w:rsidR="00445951" w:rsidRDefault="00445951" w:rsidP="00445951">
      <w:pPr>
        <w:pStyle w:val="Caption"/>
      </w:pPr>
    </w:p>
    <w:p w:rsidR="00445951" w:rsidRDefault="00445951" w:rsidP="00445951">
      <w:pPr>
        <w:pStyle w:val="Caption"/>
        <w:keepNext/>
      </w:pPr>
      <w:bookmarkStart w:id="16" w:name="_Toc507414162"/>
      <w:bookmarkStart w:id="17" w:name="_Toc507415325"/>
      <w:r>
        <w:lastRenderedPageBreak/>
        <w:t xml:space="preserve">Table </w:t>
      </w:r>
      <w:r>
        <w:fldChar w:fldCharType="begin"/>
      </w:r>
      <w:r>
        <w:instrText xml:space="preserve"> SEQ Table \* ARABIC </w:instrText>
      </w:r>
      <w:r>
        <w:fldChar w:fldCharType="separate"/>
      </w:r>
      <w:r>
        <w:rPr>
          <w:noProof/>
        </w:rPr>
        <w:t>1</w:t>
      </w:r>
      <w:r>
        <w:fldChar w:fldCharType="end"/>
      </w:r>
      <w:r>
        <w:t xml:space="preserve"> - Data from the MFL test</w:t>
      </w:r>
      <w:bookmarkEnd w:id="16"/>
      <w:bookmarkEnd w:id="17"/>
    </w:p>
    <w:tbl>
      <w:tblPr>
        <w:tblW w:w="7001" w:type="dxa"/>
        <w:tblLook w:val="04A0" w:firstRow="1" w:lastRow="0" w:firstColumn="1" w:lastColumn="0" w:noHBand="0" w:noVBand="1"/>
      </w:tblPr>
      <w:tblGrid>
        <w:gridCol w:w="921"/>
        <w:gridCol w:w="1550"/>
        <w:gridCol w:w="617"/>
        <w:gridCol w:w="719"/>
        <w:gridCol w:w="1597"/>
        <w:gridCol w:w="1597"/>
      </w:tblGrid>
      <w:tr w:rsidR="00445951" w:rsidRPr="00445951" w:rsidTr="00445951">
        <w:trPr>
          <w:trHeight w:val="290"/>
        </w:trPr>
        <w:tc>
          <w:tcPr>
            <w:tcW w:w="7001"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Results for MFL test</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Defect</w:t>
            </w:r>
          </w:p>
        </w:tc>
        <w:tc>
          <w:tcPr>
            <w:tcW w:w="1550"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True Depth</w:t>
            </w:r>
          </w:p>
        </w:tc>
        <w:tc>
          <w:tcPr>
            <w:tcW w:w="617"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MFL</w:t>
            </w:r>
          </w:p>
        </w:tc>
        <w:tc>
          <w:tcPr>
            <w:tcW w:w="719"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Error</w:t>
            </w:r>
          </w:p>
        </w:tc>
        <w:tc>
          <w:tcPr>
            <w:tcW w:w="1597"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Lower limit</w:t>
            </w:r>
          </w:p>
        </w:tc>
        <w:tc>
          <w:tcPr>
            <w:tcW w:w="1597"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Upper limit</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18.6802891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37.3709109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21</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23.3232891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42.0139109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26</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27.9662891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46.6569109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39</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30.7520891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49.4427109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41.5</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10.5</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32.6092891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51.2999109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46</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33.5378891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52.2285109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44.5</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11.5</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34.4664891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53.1571109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33.5</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36</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2.5</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34.9307891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53.6214109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47</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39.1094891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57.8001109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55</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40.9666891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59.6573109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11</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51</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42.8238891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61.5145109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12</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49.5</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51.5</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49.7883891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68.4790109</w:t>
            </w:r>
          </w:p>
        </w:tc>
      </w:tr>
      <w:tr w:rsidR="00445951" w:rsidRPr="00445951" w:rsidTr="00445951">
        <w:trPr>
          <w:trHeight w:val="290"/>
        </w:trPr>
        <w:tc>
          <w:tcPr>
            <w:tcW w:w="921"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w:t>
            </w:r>
          </w:p>
        </w:tc>
        <w:tc>
          <w:tcPr>
            <w:tcW w:w="1550"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w:t>
            </w:r>
          </w:p>
        </w:tc>
        <w:tc>
          <w:tcPr>
            <w:tcW w:w="61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70</w:t>
            </w:r>
          </w:p>
        </w:tc>
        <w:tc>
          <w:tcPr>
            <w:tcW w:w="719"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17</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53.0384891</w:t>
            </w:r>
          </w:p>
        </w:tc>
        <w:tc>
          <w:tcPr>
            <w:tcW w:w="159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71.7291109</w:t>
            </w:r>
          </w:p>
        </w:tc>
      </w:tr>
    </w:tbl>
    <w:p w:rsidR="00445951" w:rsidRPr="00445951" w:rsidRDefault="00445951" w:rsidP="00445951"/>
    <w:p w:rsidR="00E14CAF" w:rsidRDefault="00D779C0" w:rsidP="00C44DC9">
      <w:pPr>
        <w:spacing w:line="360" w:lineRule="auto"/>
      </w:pPr>
      <w:r>
        <w:t xml:space="preserve">The fact that all the defects are oversized suggests that the floor section being scanned was possibly over saturated. MFL sensors rely on gathering data on the amount of flux that leaks from the scanned surface due to loss of material. Depending on the material properties and </w:t>
      </w:r>
      <w:r w:rsidR="00C74FA4">
        <w:t xml:space="preserve">cross sectional area, a certain </w:t>
      </w:r>
      <w:r w:rsidR="00E14CAF">
        <w:t>amount of flux (</w:t>
      </w:r>
      <w:proofErr w:type="spellStart"/>
      <w:r w:rsidR="00E14CAF">
        <w:t>T</w:t>
      </w:r>
      <w:r w:rsidR="00C74FA4">
        <w:t>eslas</w:t>
      </w:r>
      <w:proofErr w:type="spellEnd"/>
      <w:r w:rsidR="00C74FA4">
        <w:t>) is required to saturate the material. When the material is properly satura</w:t>
      </w:r>
      <w:r w:rsidR="00E14CAF">
        <w:t>ted by process of calibration t</w:t>
      </w:r>
      <w:r w:rsidR="00C74FA4">
        <w:t xml:space="preserve">here should be very little flux </w:t>
      </w:r>
      <w:r w:rsidR="00E14CAF">
        <w:t>leakage</w:t>
      </w:r>
      <w:r w:rsidR="00C74FA4">
        <w:t>. The sensor will always pick up small amount</w:t>
      </w:r>
      <w:r w:rsidR="00E14CAF">
        <w:t>s</w:t>
      </w:r>
      <w:r w:rsidR="00C74FA4">
        <w:t xml:space="preserve"> of flux due to the nature of the sensor and how flux leakage occurs around other areas of the MFL circuit</w:t>
      </w:r>
      <w:r w:rsidR="00BC7B5B">
        <w:t xml:space="preserve"> (demonstrated in figure3)</w:t>
      </w:r>
      <w:r w:rsidR="00E14CAF">
        <w:t xml:space="preserve">. Even though the wall being scanned is very close to perfect saturation the sensor still picks up small amounts of flux radiating from the areas at each end of the magnetic bridge. </w:t>
      </w:r>
    </w:p>
    <w:p w:rsidR="00D779C0" w:rsidRDefault="00E14CAF" w:rsidP="00BA66B9">
      <w:r>
        <w:rPr>
          <w:noProof/>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3667125</wp:posOffset>
                </wp:positionH>
                <wp:positionV relativeFrom="paragraph">
                  <wp:posOffset>1600201</wp:posOffset>
                </wp:positionV>
                <wp:extent cx="609600" cy="514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09600" cy="514350"/>
                        </a:xfrm>
                        <a:prstGeom prst="rect">
                          <a:avLst/>
                        </a:prstGeom>
                        <a:solidFill>
                          <a:schemeClr val="lt1"/>
                        </a:solidFill>
                        <a:ln w="6350">
                          <a:solidFill>
                            <a:prstClr val="black"/>
                          </a:solidFill>
                        </a:ln>
                      </wps:spPr>
                      <wps:txbx>
                        <w:txbxContent>
                          <w:p w:rsidR="00E14CAF" w:rsidRDefault="00E14CAF">
                            <w:r>
                              <w:t>Flux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left:0;text-align:left;margin-left:288.75pt;margin-top:126pt;width:48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" fillcolor="white [3201]" strokeweight=".5pt">
                <v:textbox>
                  <w:txbxContent>
                    <w:p w:rsidR="00E14CAF" w:rsidRDefault="00E14CAF">
                      <w:r>
                        <w:t>Flux Sensor</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2143125</wp:posOffset>
                </wp:positionH>
                <wp:positionV relativeFrom="paragraph">
                  <wp:posOffset>1914525</wp:posOffset>
                </wp:positionV>
                <wp:extent cx="1514475" cy="1057275"/>
                <wp:effectExtent l="38100" t="0" r="28575" b="47625"/>
                <wp:wrapNone/>
                <wp:docPr id="6" name="Straight Arrow Connector 6"/>
                <wp:cNvGraphicFramePr/>
                <a:graphic xmlns:a="http://schemas.openxmlformats.org/drawingml/2006/main">
                  <a:graphicData uri="http://schemas.microsoft.com/office/word/2010/wordprocessingShape">
                    <wps:wsp>
                      <wps:cNvCnPr/>
                      <wps:spPr>
                        <a:xfrm flipH="1">
                          <a:off x="0" y="0"/>
                          <a:ext cx="1514475" cy="1057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6158117" id="_x0000_t32" coordsize="21600,21600" o:spt="32" o:oned="t" path="m,l21600,21600e" filled="f">
                <v:path arrowok="t" fillok="f" o:connecttype="none"/>
                <o:lock v:ext="edit" shapetype="t"/>
              </v:shapetype>
              <v:shape id="Straight Arrow Connector 6" o:spid="_x0000_s1026" type="#_x0000_t32" style="position:absolute;margin-left:168.75pt;margin-top:150.75pt;width:119.25pt;height:83.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" strokecolor="black [3200]" strokeweight=".5pt">
                <v:stroke endarrow="block" joinstyle="miter"/>
              </v:shape>
            </w:pict>
          </mc:Fallback>
        </mc:AlternateContent>
      </w:r>
      <w:r w:rsidR="00C74FA4">
        <w:rPr>
          <w:noProof/>
          <w:lang w:eastAsia="en-GB"/>
        </w:rPr>
        <w:drawing>
          <wp:inline distT="0" distB="0" distL="0" distR="0" wp14:anchorId="0650C6C1" wp14:editId="42341581">
            <wp:extent cx="5781238" cy="3695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260" t="7090" b="7969"/>
                    <a:stretch/>
                  </pic:blipFill>
                  <pic:spPr bwMode="auto">
                    <a:xfrm>
                      <a:off x="0" y="0"/>
                      <a:ext cx="5789694" cy="3701106"/>
                    </a:xfrm>
                    <a:prstGeom prst="rect">
                      <a:avLst/>
                    </a:prstGeom>
                    <a:ln>
                      <a:noFill/>
                    </a:ln>
                    <a:extLst>
                      <a:ext uri="{53640926-AAD7-44D8-BBD7-CCE9431645EC}">
                        <a14:shadowObscured xmlns:a14="http://schemas.microsoft.com/office/drawing/2010/main"/>
                      </a:ext>
                    </a:extLst>
                  </pic:spPr>
                </pic:pic>
              </a:graphicData>
            </a:graphic>
          </wp:inline>
        </w:drawing>
      </w:r>
    </w:p>
    <w:p w:rsidR="00E14CAF" w:rsidRDefault="00E14CAF" w:rsidP="00E14CAF">
      <w:pPr>
        <w:pStyle w:val="Caption"/>
      </w:pPr>
      <w:bookmarkStart w:id="18" w:name="_Toc507412999"/>
      <w:bookmarkStart w:id="19" w:name="_Toc507415341"/>
      <w:r>
        <w:t xml:space="preserve">Figure </w:t>
      </w:r>
      <w:r w:rsidR="007837E1">
        <w:fldChar w:fldCharType="begin"/>
      </w:r>
      <w:r w:rsidR="007837E1">
        <w:instrText xml:space="preserve"> SEQ Figure \* ARABIC </w:instrText>
      </w:r>
      <w:r w:rsidR="007837E1">
        <w:fldChar w:fldCharType="separate"/>
      </w:r>
      <w:r w:rsidR="00E60C63">
        <w:rPr>
          <w:noProof/>
        </w:rPr>
        <w:t>3</w:t>
      </w:r>
      <w:r w:rsidR="007837E1">
        <w:rPr>
          <w:noProof/>
        </w:rPr>
        <w:fldChar w:fldCharType="end"/>
      </w:r>
      <w:r>
        <w:t xml:space="preserve"> – Screenshot from the FEMM software package showing flux density around the sensor</w:t>
      </w:r>
      <w:bookmarkEnd w:id="18"/>
      <w:bookmarkEnd w:id="19"/>
    </w:p>
    <w:p w:rsidR="0013521F" w:rsidRDefault="00E14CAF" w:rsidP="00C44DC9">
      <w:pPr>
        <w:spacing w:line="360" w:lineRule="auto"/>
      </w:pPr>
      <w:r>
        <w:t>It is possible that due to operator error or an inconsistent tank floor thickness, that over saturation may have occurred. This would throw out additional flux which would show up on the sensor at a</w:t>
      </w:r>
      <w:r w:rsidR="00B44452">
        <w:t xml:space="preserve"> size larger than the true size and could explain why the MFL is consistently oversizing all the defects.</w:t>
      </w:r>
    </w:p>
    <w:p w:rsidR="00B44452" w:rsidRDefault="00B44452" w:rsidP="00C44DC9">
      <w:pPr>
        <w:spacing w:line="360" w:lineRule="auto"/>
      </w:pPr>
      <w:r>
        <w:t xml:space="preserve">Another factor to consider is that both methods are only measuring </w:t>
      </w:r>
      <w:r w:rsidR="00EA0E3C">
        <w:t xml:space="preserve">for depth of the defect. </w:t>
      </w:r>
      <w:r>
        <w:t xml:space="preserve">Two defects may both have the same depth but differing widths, this can be visualised </w:t>
      </w:r>
      <w:r w:rsidR="00BC7B5B">
        <w:t>in figure 4</w:t>
      </w:r>
      <w:r>
        <w:t>.</w:t>
      </w:r>
      <w:r w:rsidR="00EA0E3C">
        <w:t xml:space="preserve"> If using MFL then two</w:t>
      </w:r>
      <w:r>
        <w:t xml:space="preserve"> different readings would be given off by each defect</w:t>
      </w:r>
      <w:r w:rsidR="00EA0E3C">
        <w:t xml:space="preserve"> as a greater volume of material is absent from the longer defect</w:t>
      </w:r>
      <w:r>
        <w:t xml:space="preserve">. However, the UT results would be </w:t>
      </w:r>
      <w:r w:rsidR="00EA0E3C">
        <w:t>the same</w:t>
      </w:r>
      <w:r>
        <w:t xml:space="preserve"> in respect to depth of the defect.</w:t>
      </w:r>
    </w:p>
    <w:p w:rsidR="00B44452" w:rsidRDefault="00B44452" w:rsidP="00C44DC9">
      <w:pPr>
        <w:spacing w:line="360" w:lineRule="auto"/>
      </w:pPr>
      <w:r>
        <w:rPr>
          <w:noProof/>
          <w:lang w:eastAsia="en-GB"/>
        </w:rPr>
        <w:drawing>
          <wp:inline distT="0" distB="0" distL="0" distR="0" wp14:anchorId="47F9F1A5" wp14:editId="03398A6C">
            <wp:extent cx="5690235" cy="752475"/>
            <wp:effectExtent l="0" t="0" r="571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15" t="50211" r="14580" b="31191"/>
                    <a:stretch/>
                  </pic:blipFill>
                  <pic:spPr bwMode="auto">
                    <a:xfrm rot="10800000">
                      <a:off x="0" y="0"/>
                      <a:ext cx="5698118" cy="753517"/>
                    </a:xfrm>
                    <a:prstGeom prst="rect">
                      <a:avLst/>
                    </a:prstGeom>
                    <a:ln>
                      <a:noFill/>
                    </a:ln>
                    <a:extLst>
                      <a:ext uri="{53640926-AAD7-44D8-BBD7-CCE9431645EC}">
                        <a14:shadowObscured xmlns:a14="http://schemas.microsoft.com/office/drawing/2010/main"/>
                      </a:ext>
                    </a:extLst>
                  </pic:spPr>
                </pic:pic>
              </a:graphicData>
            </a:graphic>
          </wp:inline>
        </w:drawing>
      </w:r>
    </w:p>
    <w:p w:rsidR="00B44452" w:rsidRDefault="00B44452" w:rsidP="00C44DC9">
      <w:pPr>
        <w:pStyle w:val="Caption"/>
        <w:spacing w:line="360" w:lineRule="auto"/>
      </w:pPr>
      <w:bookmarkStart w:id="20" w:name="_Toc507413000"/>
      <w:bookmarkStart w:id="21" w:name="_Toc507415342"/>
      <w:r>
        <w:t xml:space="preserve">Figure </w:t>
      </w:r>
      <w:r w:rsidR="007837E1">
        <w:fldChar w:fldCharType="begin"/>
      </w:r>
      <w:r w:rsidR="007837E1">
        <w:instrText xml:space="preserve"> SEQ Figure \* ARABIC </w:instrText>
      </w:r>
      <w:r w:rsidR="007837E1">
        <w:fldChar w:fldCharType="separate"/>
      </w:r>
      <w:r w:rsidR="00E60C63">
        <w:rPr>
          <w:noProof/>
        </w:rPr>
        <w:t>4</w:t>
      </w:r>
      <w:r w:rsidR="007837E1">
        <w:rPr>
          <w:noProof/>
        </w:rPr>
        <w:fldChar w:fldCharType="end"/>
      </w:r>
      <w:r>
        <w:t xml:space="preserve"> – Crude diagram showing two defects with the same depth through the material but different lengths</w:t>
      </w:r>
      <w:bookmarkEnd w:id="20"/>
      <w:bookmarkEnd w:id="21"/>
    </w:p>
    <w:p w:rsidR="00B20E9A" w:rsidRDefault="00B20E9A" w:rsidP="00C44DC9">
      <w:pPr>
        <w:spacing w:line="360" w:lineRule="auto"/>
      </w:pPr>
    </w:p>
    <w:p w:rsidR="00B20E9A" w:rsidRDefault="0013521F" w:rsidP="00C44DC9">
      <w:pPr>
        <w:pStyle w:val="Heading3"/>
        <w:spacing w:line="360" w:lineRule="auto"/>
      </w:pPr>
      <w:bookmarkStart w:id="22" w:name="_Toc507415973"/>
      <w:r>
        <w:lastRenderedPageBreak/>
        <w:t>4.2.2 Ultrasonic</w:t>
      </w:r>
      <w:bookmarkEnd w:id="22"/>
      <w:r>
        <w:t xml:space="preserve"> </w:t>
      </w:r>
    </w:p>
    <w:p w:rsidR="00B20E9A" w:rsidRPr="00B20E9A" w:rsidRDefault="00B20E9A" w:rsidP="00C44DC9">
      <w:pPr>
        <w:spacing w:line="360" w:lineRule="auto"/>
      </w:pPr>
      <w:r>
        <w:t xml:space="preserve">Operator 1 for the ultrasonic testing undersized all of the defects, the exact opposite to the MFL testing. </w:t>
      </w:r>
      <w:r w:rsidR="000E57F8">
        <w:t>The average measured depth was undersized by 12% through wall thickness</w:t>
      </w:r>
      <w:r w:rsidR="00551E68">
        <w:t>, this c</w:t>
      </w:r>
      <w:r w:rsidR="00BC7B5B">
        <w:t>an be seen in the graph figure 5</w:t>
      </w:r>
      <w:r w:rsidR="000E57F8">
        <w:t>. Operator 2</w:t>
      </w:r>
      <w:r w:rsidR="00BC7B5B">
        <w:t xml:space="preserve"> (shown in figure 6)</w:t>
      </w:r>
      <w:r w:rsidR="000E57F8">
        <w:t xml:space="preserve"> came significantly closer overall to the true size. Over sizing or under sizing the through wall thickness by an average of only 7%.</w:t>
      </w:r>
      <w:r w:rsidR="00737D33">
        <w:tab/>
      </w:r>
    </w:p>
    <w:p w:rsidR="00BA66B9" w:rsidRDefault="007D5350" w:rsidP="00C44DC9">
      <w:pPr>
        <w:spacing w:line="360" w:lineRule="auto"/>
      </w:pPr>
      <w:r>
        <w:t xml:space="preserve">The range of both operators is larger than the range of the MFL test. This is likely due to the nature of the inspection method. Assuming that the MFL inspection equipment is of similar design to most other storage tank floor equipment like the </w:t>
      </w:r>
      <w:proofErr w:type="spellStart"/>
      <w:r>
        <w:t>Sliverwing</w:t>
      </w:r>
      <w:proofErr w:type="spellEnd"/>
      <w:r>
        <w:t xml:space="preserve"> 3Di-R</w:t>
      </w:r>
      <w:r w:rsidR="006137C2">
        <w:t xml:space="preserve"> </w:t>
      </w:r>
      <w:sdt>
        <w:sdtPr>
          <w:id w:val="-847093422"/>
          <w:citation/>
        </w:sdtPr>
        <w:sdtEndPr/>
        <w:sdtContent>
          <w:r w:rsidR="006137C2">
            <w:fldChar w:fldCharType="begin"/>
          </w:r>
          <w:r w:rsidR="006137C2">
            <w:instrText xml:space="preserve"> CITATION Sli17 \l 2057 </w:instrText>
          </w:r>
          <w:r w:rsidR="006137C2">
            <w:fldChar w:fldCharType="separate"/>
          </w:r>
          <w:r w:rsidR="00912C1E">
            <w:rPr>
              <w:noProof/>
            </w:rPr>
            <w:t>(SliverWing, 2017)</w:t>
          </w:r>
          <w:r w:rsidR="006137C2">
            <w:fldChar w:fldCharType="end"/>
          </w:r>
        </w:sdtContent>
      </w:sdt>
      <w:r>
        <w:t xml:space="preserve"> </w:t>
      </w:r>
      <w:r w:rsidR="002C4911">
        <w:t>then there is much less room for variati</w:t>
      </w:r>
      <w:r w:rsidR="00551E68">
        <w:t xml:space="preserve">on of results. The </w:t>
      </w:r>
      <w:proofErr w:type="spellStart"/>
      <w:r w:rsidR="00551E68">
        <w:t>S</w:t>
      </w:r>
      <w:r w:rsidR="002C4911">
        <w:t>liverwing</w:t>
      </w:r>
      <w:proofErr w:type="spellEnd"/>
      <w:r w:rsidR="002C4911">
        <w:t xml:space="preserve"> 3Di-R in its simplest form a sensor built </w:t>
      </w:r>
      <w:r w:rsidR="000E57F8">
        <w:t>into a</w:t>
      </w:r>
      <w:r w:rsidR="002C4911">
        <w:t xml:space="preserve"> wheeled trolley. The operator simply must have the equipment running and walk with the sensor around the area being evaluated. The data is then compiled automatically by an onboard computer. Ultrasonic testing uses in most cases individual probes, be it single crystal, dual crystal or more advanced probes like phased array. Operator experience has a significant impact on how accurately defects can be sized. Factors that may </w:t>
      </w:r>
      <w:r w:rsidR="000E57F8">
        <w:t>affect</w:t>
      </w:r>
      <w:r w:rsidR="002C4911">
        <w:t xml:space="preserve"> the data include amount of couplet</w:t>
      </w:r>
      <w:r w:rsidR="000E57F8">
        <w:t xml:space="preserve"> between the probe and face</w:t>
      </w:r>
      <w:r w:rsidR="002C4911">
        <w:t>, the way t</w:t>
      </w:r>
      <w:r w:rsidR="000E57F8">
        <w:t>he probe is held on the surface and</w:t>
      </w:r>
      <w:r w:rsidR="002C4911">
        <w:t xml:space="preserve"> experience in </w:t>
      </w:r>
      <w:r w:rsidR="000E57F8">
        <w:t>reading the different scans.</w:t>
      </w:r>
      <w:r w:rsidR="00551E68">
        <w:t xml:space="preserve"> The combination of these factors likely explains why there is greater variation in the ultrasonic data comparted to the MFL data. </w:t>
      </w:r>
    </w:p>
    <w:p w:rsidR="00445951" w:rsidRDefault="00BA66B9" w:rsidP="00BA66B9">
      <w:r>
        <w:rPr>
          <w:noProof/>
          <w:lang w:eastAsia="en-GB"/>
        </w:rPr>
        <w:drawing>
          <wp:inline distT="0" distB="0" distL="0" distR="0" wp14:anchorId="2CEDDF82" wp14:editId="421BE47F">
            <wp:extent cx="5731510" cy="2954020"/>
            <wp:effectExtent l="0" t="0" r="2540" b="17780"/>
            <wp:docPr id="2" name="Chart 2">
              <a:extLst xmlns:a="http://schemas.openxmlformats.org/drawingml/2006/main">
                <a:ext uri="{FF2B5EF4-FFF2-40B4-BE49-F238E27FC236}">
                  <a16:creationId xmlns:a16="http://schemas.microsoft.com/office/drawing/2014/main" id="{BA6B20BE-D72E-4CC1-A8B2-5A3CD806A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20E9A" w:rsidRPr="00B20E9A" w:rsidRDefault="00E02D0C" w:rsidP="00B20E9A">
      <w:pPr>
        <w:pStyle w:val="Caption"/>
      </w:pPr>
      <w:bookmarkStart w:id="23" w:name="_Toc507413001"/>
      <w:bookmarkStart w:id="24" w:name="_Toc507415343"/>
      <w:r>
        <w:t xml:space="preserve">Figure </w:t>
      </w:r>
      <w:r w:rsidR="00ED4B81">
        <w:fldChar w:fldCharType="begin"/>
      </w:r>
      <w:r w:rsidR="00ED4B81">
        <w:instrText xml:space="preserve"> SEQ Figure \* ARABIC </w:instrText>
      </w:r>
      <w:r w:rsidR="00ED4B81">
        <w:fldChar w:fldCharType="separate"/>
      </w:r>
      <w:r w:rsidR="00E60C63">
        <w:rPr>
          <w:noProof/>
        </w:rPr>
        <w:t>5</w:t>
      </w:r>
      <w:r w:rsidR="00ED4B81">
        <w:rPr>
          <w:noProof/>
        </w:rPr>
        <w:fldChar w:fldCharType="end"/>
      </w:r>
      <w:r>
        <w:t xml:space="preserve"> – Graph showing the POS for the ultrasonic inspection method for operator 1</w:t>
      </w:r>
      <w:bookmarkEnd w:id="23"/>
      <w:bookmarkEnd w:id="24"/>
      <w:r>
        <w:t xml:space="preserve"> </w:t>
      </w:r>
    </w:p>
    <w:p w:rsidR="00BA66B9" w:rsidRDefault="00BA66B9" w:rsidP="00BA66B9"/>
    <w:p w:rsidR="00445951" w:rsidRDefault="00445951" w:rsidP="00BA66B9"/>
    <w:p w:rsidR="00445951" w:rsidRDefault="00445951" w:rsidP="00445951">
      <w:pPr>
        <w:pStyle w:val="Caption"/>
        <w:keepNext/>
      </w:pPr>
      <w:bookmarkStart w:id="25" w:name="_Toc507414163"/>
      <w:bookmarkStart w:id="26" w:name="_Toc507415326"/>
      <w:r>
        <w:lastRenderedPageBreak/>
        <w:t xml:space="preserve">Table </w:t>
      </w:r>
      <w:r>
        <w:fldChar w:fldCharType="begin"/>
      </w:r>
      <w:r>
        <w:instrText xml:space="preserve"> SEQ Table \* ARABIC </w:instrText>
      </w:r>
      <w:r>
        <w:fldChar w:fldCharType="separate"/>
      </w:r>
      <w:r>
        <w:rPr>
          <w:noProof/>
        </w:rPr>
        <w:t>2</w:t>
      </w:r>
      <w:r>
        <w:fldChar w:fldCharType="end"/>
      </w:r>
      <w:r>
        <w:t xml:space="preserve"> - Data from UT with operator </w:t>
      </w:r>
      <w:bookmarkEnd w:id="25"/>
      <w:r w:rsidR="001A4016">
        <w:t>1</w:t>
      </w:r>
      <w:bookmarkEnd w:id="26"/>
    </w:p>
    <w:tbl>
      <w:tblPr>
        <w:tblW w:w="7240" w:type="dxa"/>
        <w:tblLook w:val="04A0" w:firstRow="1" w:lastRow="0" w:firstColumn="1" w:lastColumn="0" w:noHBand="0" w:noVBand="1"/>
      </w:tblPr>
      <w:tblGrid>
        <w:gridCol w:w="874"/>
        <w:gridCol w:w="1471"/>
        <w:gridCol w:w="1182"/>
        <w:gridCol w:w="683"/>
        <w:gridCol w:w="1515"/>
        <w:gridCol w:w="1515"/>
      </w:tblGrid>
      <w:tr w:rsidR="00445951" w:rsidRPr="00445951" w:rsidTr="00445951">
        <w:trPr>
          <w:trHeight w:val="290"/>
        </w:trPr>
        <w:tc>
          <w:tcPr>
            <w:tcW w:w="7240" w:type="dxa"/>
            <w:gridSpan w:val="6"/>
            <w:tcBorders>
              <w:top w:val="nil"/>
              <w:left w:val="nil"/>
              <w:bottom w:val="single" w:sz="4" w:space="0" w:color="auto"/>
              <w:right w:val="nil"/>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Results for UT Op 1</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Defect</w:t>
            </w:r>
          </w:p>
        </w:tc>
        <w:tc>
          <w:tcPr>
            <w:tcW w:w="1471"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True Depth</w:t>
            </w:r>
          </w:p>
        </w:tc>
        <w:tc>
          <w:tcPr>
            <w:tcW w:w="1182"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 xml:space="preserve">UT - </w:t>
            </w:r>
            <w:proofErr w:type="spellStart"/>
            <w:r w:rsidRPr="00445951">
              <w:rPr>
                <w:rFonts w:ascii="Calibri" w:eastAsia="Times New Roman" w:hAnsi="Calibri" w:cs="Calibri"/>
                <w:b/>
                <w:bCs/>
                <w:color w:val="000000"/>
                <w:sz w:val="22"/>
                <w:lang w:eastAsia="en-GB"/>
              </w:rPr>
              <w:t>OpA</w:t>
            </w:r>
            <w:proofErr w:type="spellEnd"/>
          </w:p>
        </w:tc>
        <w:tc>
          <w:tcPr>
            <w:tcW w:w="683"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Error</w:t>
            </w:r>
          </w:p>
        </w:tc>
        <w:tc>
          <w:tcPr>
            <w:tcW w:w="1515"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Lower limit</w:t>
            </w:r>
          </w:p>
        </w:tc>
        <w:tc>
          <w:tcPr>
            <w:tcW w:w="1515"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Upper limit</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-7.1212047</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17.6064047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21</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12</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-2.4507047</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22.2769047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26</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-18</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2.2197953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26.9474047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5.0220953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29.7497047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24</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6.8902953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31.6179047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24</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7.8243953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32.5520047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-17</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8.7584953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33.4861047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33.5</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-25.5</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9.2255453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33.9531547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13.4289953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38.1566047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34</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15.2971953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40.0248047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11</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17.1653953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41.8930047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12</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49.5</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-17.5</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24.1711453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48.8987547</w:t>
            </w:r>
          </w:p>
        </w:tc>
      </w:tr>
      <w:tr w:rsidR="00445951" w:rsidRPr="00445951" w:rsidTr="00445951">
        <w:trPr>
          <w:trHeight w:val="290"/>
        </w:trPr>
        <w:tc>
          <w:tcPr>
            <w:tcW w:w="874"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w:t>
            </w:r>
          </w:p>
        </w:tc>
        <w:tc>
          <w:tcPr>
            <w:tcW w:w="14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w:t>
            </w:r>
          </w:p>
        </w:tc>
        <w:tc>
          <w:tcPr>
            <w:tcW w:w="1182"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w:t>
            </w:r>
          </w:p>
        </w:tc>
        <w:tc>
          <w:tcPr>
            <w:tcW w:w="683"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27.4404953</w:t>
            </w:r>
          </w:p>
        </w:tc>
        <w:tc>
          <w:tcPr>
            <w:tcW w:w="1515"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52.1681047</w:t>
            </w:r>
          </w:p>
        </w:tc>
      </w:tr>
    </w:tbl>
    <w:p w:rsidR="00445951" w:rsidRDefault="00445951" w:rsidP="00BA66B9"/>
    <w:p w:rsidR="00445951" w:rsidRDefault="00BA66B9" w:rsidP="00BA66B9">
      <w:r>
        <w:rPr>
          <w:noProof/>
          <w:lang w:eastAsia="en-GB"/>
        </w:rPr>
        <w:drawing>
          <wp:inline distT="0" distB="0" distL="0" distR="0" wp14:anchorId="4E58B83E" wp14:editId="48D884B7">
            <wp:extent cx="5731510" cy="3183255"/>
            <wp:effectExtent l="0" t="0" r="2540" b="17145"/>
            <wp:docPr id="3" name="Chart 3">
              <a:extLst xmlns:a="http://schemas.openxmlformats.org/drawingml/2006/main">
                <a:ext uri="{FF2B5EF4-FFF2-40B4-BE49-F238E27FC236}">
                  <a16:creationId xmlns:a16="http://schemas.microsoft.com/office/drawing/2014/main" id="{1D1E4FE1-9250-4500-AE5F-9C99C4D035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02D0C" w:rsidRDefault="00E02D0C" w:rsidP="00E02D0C">
      <w:pPr>
        <w:pStyle w:val="Caption"/>
      </w:pPr>
      <w:bookmarkStart w:id="27" w:name="_Toc507413002"/>
      <w:bookmarkStart w:id="28" w:name="_Toc507415344"/>
      <w:r>
        <w:t xml:space="preserve">Figure </w:t>
      </w:r>
      <w:r w:rsidR="00ED4B81">
        <w:fldChar w:fldCharType="begin"/>
      </w:r>
      <w:r w:rsidR="00ED4B81">
        <w:instrText xml:space="preserve"> SEQ Figure \* ARABIC </w:instrText>
      </w:r>
      <w:r w:rsidR="00ED4B81">
        <w:fldChar w:fldCharType="separate"/>
      </w:r>
      <w:r w:rsidR="00E60C63">
        <w:rPr>
          <w:noProof/>
        </w:rPr>
        <w:t>6</w:t>
      </w:r>
      <w:r w:rsidR="00ED4B81">
        <w:rPr>
          <w:noProof/>
        </w:rPr>
        <w:fldChar w:fldCharType="end"/>
      </w:r>
      <w:r>
        <w:t xml:space="preserve"> – Graph showing the POS for the ultrasonic inspection method for operator 2</w:t>
      </w:r>
      <w:bookmarkEnd w:id="27"/>
      <w:bookmarkEnd w:id="28"/>
    </w:p>
    <w:p w:rsidR="00445951" w:rsidRDefault="00445951" w:rsidP="00445951"/>
    <w:p w:rsidR="00445951" w:rsidRDefault="00445951" w:rsidP="00445951"/>
    <w:p w:rsidR="00445951" w:rsidRDefault="00445951" w:rsidP="00445951"/>
    <w:p w:rsidR="00C17AC1" w:rsidRDefault="00C17AC1" w:rsidP="00445951"/>
    <w:p w:rsidR="00C17AC1" w:rsidRPr="00445951" w:rsidRDefault="00C17AC1" w:rsidP="00445951"/>
    <w:p w:rsidR="00445951" w:rsidRDefault="00445951" w:rsidP="00445951">
      <w:pPr>
        <w:pStyle w:val="Caption"/>
        <w:keepNext/>
      </w:pPr>
      <w:bookmarkStart w:id="29" w:name="_Toc507414164"/>
      <w:bookmarkStart w:id="30" w:name="_Toc507415327"/>
      <w:r>
        <w:lastRenderedPageBreak/>
        <w:t xml:space="preserve">Table </w:t>
      </w:r>
      <w:r>
        <w:fldChar w:fldCharType="begin"/>
      </w:r>
      <w:r>
        <w:instrText xml:space="preserve"> SEQ Table \* ARABIC </w:instrText>
      </w:r>
      <w:r>
        <w:fldChar w:fldCharType="separate"/>
      </w:r>
      <w:r>
        <w:rPr>
          <w:noProof/>
        </w:rPr>
        <w:t>3</w:t>
      </w:r>
      <w:r>
        <w:fldChar w:fldCharType="end"/>
      </w:r>
      <w:r w:rsidR="001A4016">
        <w:t xml:space="preserve"> - Data from</w:t>
      </w:r>
      <w:r>
        <w:t xml:space="preserve"> UT with operator 2</w:t>
      </w:r>
      <w:bookmarkEnd w:id="29"/>
      <w:bookmarkEnd w:id="30"/>
    </w:p>
    <w:tbl>
      <w:tblPr>
        <w:tblW w:w="7094" w:type="dxa"/>
        <w:tblLook w:val="04A0" w:firstRow="1" w:lastRow="0" w:firstColumn="1" w:lastColumn="0" w:noHBand="0" w:noVBand="1"/>
      </w:tblPr>
      <w:tblGrid>
        <w:gridCol w:w="825"/>
        <w:gridCol w:w="1386"/>
        <w:gridCol w:w="971"/>
        <w:gridCol w:w="677"/>
        <w:gridCol w:w="1661"/>
        <w:gridCol w:w="1574"/>
      </w:tblGrid>
      <w:tr w:rsidR="00445951" w:rsidRPr="00445951" w:rsidTr="00445951">
        <w:trPr>
          <w:trHeight w:val="290"/>
        </w:trPr>
        <w:tc>
          <w:tcPr>
            <w:tcW w:w="7094" w:type="dxa"/>
            <w:gridSpan w:val="6"/>
            <w:tcBorders>
              <w:top w:val="nil"/>
              <w:left w:val="nil"/>
              <w:bottom w:val="single" w:sz="4" w:space="0" w:color="auto"/>
              <w:right w:val="nil"/>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Results for UT Op 2</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Defect</w:t>
            </w:r>
          </w:p>
        </w:tc>
        <w:tc>
          <w:tcPr>
            <w:tcW w:w="1386"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True Depth</w:t>
            </w:r>
          </w:p>
        </w:tc>
        <w:tc>
          <w:tcPr>
            <w:tcW w:w="971"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UT-</w:t>
            </w:r>
            <w:proofErr w:type="spellStart"/>
            <w:r w:rsidRPr="00445951">
              <w:rPr>
                <w:rFonts w:ascii="Calibri" w:eastAsia="Times New Roman" w:hAnsi="Calibri" w:cs="Calibri"/>
                <w:b/>
                <w:bCs/>
                <w:color w:val="000000"/>
                <w:sz w:val="22"/>
                <w:lang w:eastAsia="en-GB"/>
              </w:rPr>
              <w:t>OpB</w:t>
            </w:r>
            <w:proofErr w:type="spellEnd"/>
          </w:p>
        </w:tc>
        <w:tc>
          <w:tcPr>
            <w:tcW w:w="677"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center"/>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Error</w:t>
            </w:r>
          </w:p>
        </w:tc>
        <w:tc>
          <w:tcPr>
            <w:tcW w:w="1661"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Lower limit</w:t>
            </w:r>
          </w:p>
        </w:tc>
        <w:tc>
          <w:tcPr>
            <w:tcW w:w="1574" w:type="dxa"/>
            <w:tcBorders>
              <w:top w:val="nil"/>
              <w:left w:val="nil"/>
              <w:bottom w:val="single" w:sz="4" w:space="0" w:color="auto"/>
              <w:right w:val="single" w:sz="4" w:space="0" w:color="auto"/>
            </w:tcBorders>
            <w:shd w:val="clear" w:color="000000" w:fill="D9D9D9"/>
            <w:noWrap/>
            <w:vAlign w:val="bottom"/>
            <w:hideMark/>
          </w:tcPr>
          <w:p w:rsidR="00445951" w:rsidRPr="00445951" w:rsidRDefault="00445951" w:rsidP="00445951">
            <w:pPr>
              <w:spacing w:after="0" w:line="240" w:lineRule="auto"/>
              <w:jc w:val="left"/>
              <w:rPr>
                <w:rFonts w:ascii="Calibri" w:eastAsia="Times New Roman" w:hAnsi="Calibri" w:cs="Calibri"/>
                <w:b/>
                <w:bCs/>
                <w:color w:val="000000"/>
                <w:sz w:val="22"/>
                <w:lang w:eastAsia="en-GB"/>
              </w:rPr>
            </w:pPr>
            <w:r w:rsidRPr="00445951">
              <w:rPr>
                <w:rFonts w:ascii="Calibri" w:eastAsia="Times New Roman" w:hAnsi="Calibri" w:cs="Calibri"/>
                <w:b/>
                <w:bCs/>
                <w:color w:val="000000"/>
                <w:sz w:val="22"/>
                <w:lang w:eastAsia="en-GB"/>
              </w:rPr>
              <w:t>Upper limit</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-16</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-8.135463908</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29.34906391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21</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-21</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-3.852463908</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33.63206391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26</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0.430536092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37.91506391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29</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24</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3.000336092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40.48486391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31</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4.713536092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42.19806391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32</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5.570136092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43.05466391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7</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6.426736092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43.91126391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8</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33.5</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28</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-5.5</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6.855036092</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44.33956391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9</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38</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10.70973609</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48.19426391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40</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25</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-15</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12.42293609</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49.90746391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11</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42</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23</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-19</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14.13613609</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51.62066391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12</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49.5</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39</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-10.5</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20.56063609</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58.04516391</w:t>
            </w:r>
          </w:p>
        </w:tc>
      </w:tr>
      <w:tr w:rsidR="00445951" w:rsidRPr="00445951" w:rsidTr="00445951">
        <w:trPr>
          <w:trHeight w:val="290"/>
        </w:trPr>
        <w:tc>
          <w:tcPr>
            <w:tcW w:w="825" w:type="dxa"/>
            <w:tcBorders>
              <w:top w:val="nil"/>
              <w:left w:val="single" w:sz="4" w:space="0" w:color="auto"/>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14</w:t>
            </w:r>
          </w:p>
        </w:tc>
        <w:tc>
          <w:tcPr>
            <w:tcW w:w="1386"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53</w:t>
            </w:r>
          </w:p>
        </w:tc>
        <w:tc>
          <w:tcPr>
            <w:tcW w:w="97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center"/>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35</w:t>
            </w:r>
          </w:p>
        </w:tc>
        <w:tc>
          <w:tcPr>
            <w:tcW w:w="677"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-18</w:t>
            </w:r>
          </w:p>
        </w:tc>
        <w:tc>
          <w:tcPr>
            <w:tcW w:w="1661"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23.55873609</w:t>
            </w:r>
          </w:p>
        </w:tc>
        <w:tc>
          <w:tcPr>
            <w:tcW w:w="1574" w:type="dxa"/>
            <w:tcBorders>
              <w:top w:val="nil"/>
              <w:left w:val="nil"/>
              <w:bottom w:val="single" w:sz="4" w:space="0" w:color="auto"/>
              <w:right w:val="single" w:sz="4" w:space="0" w:color="auto"/>
            </w:tcBorders>
            <w:shd w:val="clear" w:color="auto" w:fill="auto"/>
            <w:noWrap/>
            <w:vAlign w:val="bottom"/>
            <w:hideMark/>
          </w:tcPr>
          <w:p w:rsidR="00445951" w:rsidRPr="00445951" w:rsidRDefault="00445951" w:rsidP="00445951">
            <w:pPr>
              <w:spacing w:after="0" w:line="240" w:lineRule="auto"/>
              <w:jc w:val="right"/>
              <w:rPr>
                <w:rFonts w:ascii="Calibri" w:eastAsia="Times New Roman" w:hAnsi="Calibri" w:cs="Calibri"/>
                <w:color w:val="000000"/>
                <w:sz w:val="22"/>
                <w:lang w:eastAsia="en-GB"/>
              </w:rPr>
            </w:pPr>
            <w:r w:rsidRPr="00445951">
              <w:rPr>
                <w:rFonts w:ascii="Calibri" w:eastAsia="Times New Roman" w:hAnsi="Calibri" w:cs="Calibri"/>
                <w:color w:val="000000"/>
                <w:sz w:val="22"/>
                <w:lang w:eastAsia="en-GB"/>
              </w:rPr>
              <w:t>61.04326391</w:t>
            </w:r>
          </w:p>
        </w:tc>
      </w:tr>
    </w:tbl>
    <w:p w:rsidR="00445951" w:rsidRPr="00445951" w:rsidRDefault="00445951" w:rsidP="00445951"/>
    <w:p w:rsidR="00BC7B5B" w:rsidRDefault="00BC7B5B" w:rsidP="00310560"/>
    <w:p w:rsidR="00310560" w:rsidRDefault="00310560" w:rsidP="00310560">
      <w:pPr>
        <w:pStyle w:val="Heading3"/>
      </w:pPr>
      <w:bookmarkStart w:id="31" w:name="_Toc507415974"/>
      <w:r>
        <w:t>4.2.3 Accuracy Comparison</w:t>
      </w:r>
      <w:bookmarkEnd w:id="31"/>
    </w:p>
    <w:p w:rsidR="00310560" w:rsidRDefault="00310560" w:rsidP="00310560"/>
    <w:p w:rsidR="00310560" w:rsidRDefault="00310560" w:rsidP="00597336">
      <w:pPr>
        <w:spacing w:line="360" w:lineRule="auto"/>
      </w:pPr>
      <w:r>
        <w:t>Despite the MFL data being more consistent than the ultrasonic testing, there is good reason to believe that the ultrasonic data is more accurate than the MFL data. There a</w:t>
      </w:r>
      <w:r w:rsidR="00EA0E3C">
        <w:t>re a number of reasons for this and has already been touched on in section 4.2.1.</w:t>
      </w:r>
    </w:p>
    <w:p w:rsidR="00310560" w:rsidRDefault="00310560" w:rsidP="00597336">
      <w:pPr>
        <w:spacing w:line="360" w:lineRule="auto"/>
      </w:pPr>
      <w:r>
        <w:t xml:space="preserve">The two test methods are fundamentally different in how each collects its data. Both ultrasonic and MFL methods have their strengths and weaknesses. MFL receives its data by measuring flux leakage. The amount of flux leakage is directly proportional to the volume of material lost in the subject material, not the depth the material loss reaches. This makes MFL testing very effective at sizing defects by volume, however less effective at measuring depth. </w:t>
      </w:r>
    </w:p>
    <w:p w:rsidR="00310560" w:rsidRDefault="00310560" w:rsidP="00597336">
      <w:pPr>
        <w:spacing w:line="360" w:lineRule="auto"/>
      </w:pPr>
      <w:r>
        <w:t xml:space="preserve">Ultrasonic probes work in such a way in which they can effectively measure depth. This </w:t>
      </w:r>
      <w:r w:rsidR="00BC34BC">
        <w:t xml:space="preserve">owed to speed of sound in the subject material (time of flight). The shorter the time between the transmission of the initial signal and the return signal, the shallower the back wall of the subject material is. A long response time means the deeper the defect/backwall. This fundamental difference in operation means ultrasonic probes are much more effective at measuring depth, in this case how much of the wall thickness has been </w:t>
      </w:r>
      <w:r w:rsidR="00DC105D">
        <w:t>compromised. This is demonstrated in figure () where there are two defects, each has the same volume of material missing. This would cause the MFL to show each defect to be more similar than they actually are, negating the fact that one is shallow and the other protrudes deeply.</w:t>
      </w:r>
    </w:p>
    <w:p w:rsidR="00BC34BC" w:rsidRDefault="00BC34BC" w:rsidP="00310560">
      <w:r>
        <w:rPr>
          <w:noProof/>
          <w:lang w:eastAsia="en-GB"/>
        </w:rPr>
        <w:lastRenderedPageBreak/>
        <w:drawing>
          <wp:inline distT="0" distB="0" distL="0" distR="0" wp14:anchorId="708D1D5C" wp14:editId="2D43CDF2">
            <wp:extent cx="5884545" cy="1276196"/>
            <wp:effectExtent l="0" t="0" r="190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941" t="42672" r="21937" b="29134"/>
                    <a:stretch/>
                  </pic:blipFill>
                  <pic:spPr bwMode="auto">
                    <a:xfrm rot="10800000">
                      <a:off x="0" y="0"/>
                      <a:ext cx="5902729" cy="1280140"/>
                    </a:xfrm>
                    <a:prstGeom prst="rect">
                      <a:avLst/>
                    </a:prstGeom>
                    <a:ln>
                      <a:noFill/>
                    </a:ln>
                    <a:extLst>
                      <a:ext uri="{53640926-AAD7-44D8-BBD7-CCE9431645EC}">
                        <a14:shadowObscured xmlns:a14="http://schemas.microsoft.com/office/drawing/2010/main"/>
                      </a:ext>
                    </a:extLst>
                  </pic:spPr>
                </pic:pic>
              </a:graphicData>
            </a:graphic>
          </wp:inline>
        </w:drawing>
      </w:r>
    </w:p>
    <w:p w:rsidR="00BC34BC" w:rsidRDefault="00BC34BC" w:rsidP="00BC34BC">
      <w:pPr>
        <w:pStyle w:val="Caption"/>
      </w:pPr>
      <w:bookmarkStart w:id="32" w:name="_Toc507413003"/>
      <w:bookmarkStart w:id="33" w:name="_Toc507415345"/>
      <w:r>
        <w:t xml:space="preserve">Figure </w:t>
      </w:r>
      <w:r w:rsidR="00ED4B81">
        <w:fldChar w:fldCharType="begin"/>
      </w:r>
      <w:r w:rsidR="00ED4B81">
        <w:instrText xml:space="preserve"> SEQ Figure \* ARABIC </w:instrText>
      </w:r>
      <w:r w:rsidR="00ED4B81">
        <w:fldChar w:fldCharType="separate"/>
      </w:r>
      <w:r w:rsidR="00E60C63">
        <w:rPr>
          <w:noProof/>
        </w:rPr>
        <w:t>7</w:t>
      </w:r>
      <w:r w:rsidR="00ED4B81">
        <w:rPr>
          <w:noProof/>
        </w:rPr>
        <w:fldChar w:fldCharType="end"/>
      </w:r>
      <w:r>
        <w:t xml:space="preserve"> – Simple diagram showing two defects with the same material loss but penetrating different depths</w:t>
      </w:r>
      <w:bookmarkEnd w:id="32"/>
      <w:bookmarkEnd w:id="33"/>
    </w:p>
    <w:p w:rsidR="00E60C63" w:rsidRPr="00E60C63" w:rsidRDefault="00E60C63" w:rsidP="00C17AC1">
      <w:pPr>
        <w:spacing w:line="360" w:lineRule="auto"/>
      </w:pPr>
      <w:r>
        <w:t xml:space="preserve">Below in figure 8 shows similar defects (assume that volume of defects are the same) but with UT probes over each. The defect on the left is much shallower than the defect on the right. This means that the sound will take longer to travel to the back wall and reflect back to the probe. Knowing the speed of sound in the test material means that the distance from the surface to the defect can be calculated accurately (depending on equipment used accuracies of 0.5mm are not uncommon). When comparing to the probe on the right, the sound will reflect off the defect much sooner and so the probe will receive the return signal in less time than the probe on the left. This demonstrates again how the UT probes are much more adept at determining depths of defects and in this case percent of wall loss. </w:t>
      </w:r>
    </w:p>
    <w:p w:rsidR="00BC34BC" w:rsidRDefault="00BC34BC" w:rsidP="00310560"/>
    <w:p w:rsidR="00E60C63" w:rsidRDefault="00E60C63" w:rsidP="00E60C63">
      <w:pPr>
        <w:keepNext/>
      </w:pPr>
      <w:r>
        <w:rPr>
          <w:noProof/>
          <w:lang w:eastAsia="en-GB"/>
        </w:rPr>
        <w:drawing>
          <wp:inline distT="0" distB="0" distL="0" distR="0" wp14:anchorId="48D56D2B" wp14:editId="3A6A9C31">
            <wp:extent cx="5884545" cy="2546315"/>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650" t="16545" r="40838" b="42289"/>
                    <a:stretch/>
                  </pic:blipFill>
                  <pic:spPr bwMode="auto">
                    <a:xfrm>
                      <a:off x="0" y="0"/>
                      <a:ext cx="5930025" cy="2565995"/>
                    </a:xfrm>
                    <a:prstGeom prst="rect">
                      <a:avLst/>
                    </a:prstGeom>
                    <a:ln>
                      <a:noFill/>
                    </a:ln>
                    <a:extLst>
                      <a:ext uri="{53640926-AAD7-44D8-BBD7-CCE9431645EC}">
                        <a14:shadowObscured xmlns:a14="http://schemas.microsoft.com/office/drawing/2010/main"/>
                      </a:ext>
                    </a:extLst>
                  </pic:spPr>
                </pic:pic>
              </a:graphicData>
            </a:graphic>
          </wp:inline>
        </w:drawing>
      </w:r>
    </w:p>
    <w:p w:rsidR="00E60C63" w:rsidRDefault="00E60C63" w:rsidP="00E60C63">
      <w:pPr>
        <w:pStyle w:val="Caption"/>
      </w:pPr>
      <w:bookmarkStart w:id="34" w:name="_Toc507415346"/>
      <w:r>
        <w:t xml:space="preserve">Figure </w:t>
      </w:r>
      <w:r>
        <w:fldChar w:fldCharType="begin"/>
      </w:r>
      <w:r>
        <w:instrText xml:space="preserve"> SEQ Figure \* ARABIC </w:instrText>
      </w:r>
      <w:r>
        <w:fldChar w:fldCharType="separate"/>
      </w:r>
      <w:r>
        <w:rPr>
          <w:noProof/>
        </w:rPr>
        <w:t>8</w:t>
      </w:r>
      <w:r>
        <w:fldChar w:fldCharType="end"/>
      </w:r>
      <w:r>
        <w:t xml:space="preserve"> - Crude diagram showing the nature of UT distance measurement</w:t>
      </w:r>
      <w:bookmarkEnd w:id="34"/>
    </w:p>
    <w:p w:rsidR="00BC34BC" w:rsidRDefault="00BC34BC" w:rsidP="00310560"/>
    <w:p w:rsidR="00BC34BC" w:rsidRDefault="00BC34BC" w:rsidP="00310560"/>
    <w:p w:rsidR="00BC34BC" w:rsidRDefault="00BC34BC" w:rsidP="00310560"/>
    <w:p w:rsidR="00C046F3" w:rsidRDefault="00C046F3" w:rsidP="00310560"/>
    <w:p w:rsidR="00C046F3" w:rsidRDefault="00C046F3" w:rsidP="00310560"/>
    <w:p w:rsidR="00C44DC9" w:rsidRDefault="00C44DC9" w:rsidP="00310560"/>
    <w:p w:rsidR="00A82676" w:rsidRDefault="008E448B" w:rsidP="008E448B">
      <w:pPr>
        <w:pStyle w:val="Heading1"/>
      </w:pPr>
      <w:bookmarkStart w:id="35" w:name="_Toc507415975"/>
      <w:r>
        <w:t>5.0</w:t>
      </w:r>
      <w:r w:rsidR="00C046F3">
        <w:t>Conclusion</w:t>
      </w:r>
      <w:bookmarkEnd w:id="35"/>
    </w:p>
    <w:p w:rsidR="008E448B" w:rsidRDefault="00597336" w:rsidP="008E448B">
      <w:r>
        <w:t xml:space="preserve">Even though there were a lot of unknowns in the data a lot of useful information was still be able to be extracted. </w:t>
      </w:r>
    </w:p>
    <w:p w:rsidR="00597336" w:rsidRDefault="00597336" w:rsidP="008E448B">
      <w:r>
        <w:t xml:space="preserve">In the ROC data set it was concluded that the unspecified method 3 was the most effective method with the by far the highest </w:t>
      </w:r>
      <w:proofErr w:type="spellStart"/>
      <w:r>
        <w:t>PoD</w:t>
      </w:r>
      <w:proofErr w:type="spellEnd"/>
      <w:r>
        <w:t xml:space="preserve"> and joint lowest </w:t>
      </w:r>
      <w:proofErr w:type="spellStart"/>
      <w:r>
        <w:t>PoFA</w:t>
      </w:r>
      <w:proofErr w:type="spellEnd"/>
      <w:r>
        <w:t>. This indicates that method 3 is least afflicted by noise and thus true defects are more distinguishable and false positives are less likely to be made as mistaking noise for a defect.</w:t>
      </w:r>
    </w:p>
    <w:p w:rsidR="00052E42" w:rsidRDefault="00597336" w:rsidP="008E448B">
      <w:r>
        <w:t xml:space="preserve">In the POS analysis it is concluded that it is more likely that the UT data was more true to life as UT is highly </w:t>
      </w:r>
      <w:r w:rsidR="008F3AA4">
        <w:t>effective at measuring distances</w:t>
      </w:r>
      <w:r>
        <w:t xml:space="preserve"> from back walls and defects while the MFL is less adept at judging depth and more useful at determining defect size/volume.</w:t>
      </w:r>
      <w:r w:rsidR="00052E42">
        <w:t xml:space="preserve"> The MFL yielded more consistent results due to the linear nature of its operation and less room for error.</w:t>
      </w:r>
    </w:p>
    <w:p w:rsidR="00881545" w:rsidRDefault="00052E42" w:rsidP="00C046F3">
      <w:r>
        <w:t xml:space="preserve">Out of the two UT operators for POS, it was found that operator A was better than operator B as their results where more consistent. On top of that operator B completely failed to find the first two defects. </w:t>
      </w:r>
    </w:p>
    <w:bookmarkStart w:id="36" w:name="_Toc507415976" w:displacedByCustomXml="next"/>
    <w:sdt>
      <w:sdtPr>
        <w:rPr>
          <w:rFonts w:eastAsiaTheme="minorHAnsi" w:cstheme="minorBidi"/>
          <w:b w:val="0"/>
          <w:sz w:val="24"/>
          <w:szCs w:val="22"/>
        </w:rPr>
        <w:id w:val="1164126544"/>
        <w:docPartObj>
          <w:docPartGallery w:val="Bibliographies"/>
          <w:docPartUnique/>
        </w:docPartObj>
      </w:sdtPr>
      <w:sdtEndPr>
        <w:rPr>
          <w:bCs/>
        </w:rPr>
      </w:sdtEndPr>
      <w:sdtContent>
        <w:p w:rsidR="00881545" w:rsidRDefault="00881545">
          <w:pPr>
            <w:pStyle w:val="Heading1"/>
          </w:pPr>
          <w:r>
            <w:t>Works Cited</w:t>
          </w:r>
          <w:bookmarkEnd w:id="36"/>
        </w:p>
        <w:p w:rsidR="00912C1E" w:rsidRDefault="00881545" w:rsidP="00912C1E">
          <w:pPr>
            <w:pStyle w:val="Bibliography"/>
            <w:ind w:left="720" w:hanging="720"/>
            <w:rPr>
              <w:noProof/>
              <w:szCs w:val="24"/>
            </w:rPr>
          </w:pPr>
          <w:r>
            <w:fldChar w:fldCharType="begin"/>
          </w:r>
          <w:r>
            <w:instrText xml:space="preserve"> BIBLIOGRAPHY </w:instrText>
          </w:r>
          <w:r>
            <w:fldChar w:fldCharType="separate"/>
          </w:r>
          <w:r w:rsidR="00912C1E">
            <w:rPr>
              <w:noProof/>
            </w:rPr>
            <w:t xml:space="preserve">F. Fücsök, C. M. (2005). </w:t>
          </w:r>
          <w:r w:rsidR="00912C1E">
            <w:rPr>
              <w:i/>
              <w:iCs/>
              <w:noProof/>
            </w:rPr>
            <w:t>MEASURING OF THE RELIABILITY OF NDE.</w:t>
          </w:r>
          <w:r w:rsidR="00912C1E">
            <w:rPr>
              <w:noProof/>
            </w:rPr>
            <w:t xml:space="preserve"> Budapest: Federal Institute for Materials Research and Testing.</w:t>
          </w:r>
        </w:p>
        <w:p w:rsidR="00912C1E" w:rsidRDefault="00912C1E" w:rsidP="00912C1E">
          <w:pPr>
            <w:pStyle w:val="Bibliography"/>
            <w:ind w:left="720" w:hanging="720"/>
            <w:rPr>
              <w:noProof/>
            </w:rPr>
          </w:pPr>
          <w:r>
            <w:rPr>
              <w:noProof/>
            </w:rPr>
            <w:t xml:space="preserve">HSE. (2008). </w:t>
          </w:r>
          <w:r>
            <w:rPr>
              <w:i/>
              <w:iCs/>
              <w:noProof/>
            </w:rPr>
            <w:t>Ultrasonic Sizing Errors and Their Implication for Defect Assessment.</w:t>
          </w:r>
          <w:r>
            <w:rPr>
              <w:noProof/>
            </w:rPr>
            <w:t xml:space="preserve"> London: HSE.</w:t>
          </w:r>
        </w:p>
        <w:p w:rsidR="00912C1E" w:rsidRDefault="00912C1E" w:rsidP="00912C1E">
          <w:pPr>
            <w:pStyle w:val="Bibliography"/>
            <w:ind w:left="720" w:hanging="720"/>
            <w:rPr>
              <w:noProof/>
            </w:rPr>
          </w:pPr>
          <w:r>
            <w:rPr>
              <w:noProof/>
            </w:rPr>
            <w:t xml:space="preserve">Keprat, A. (2016). Probability of detection: History, Development and future. </w:t>
          </w:r>
          <w:r>
            <w:rPr>
              <w:i/>
              <w:iCs/>
              <w:noProof/>
            </w:rPr>
            <w:t>Research Gate</w:t>
          </w:r>
          <w:r>
            <w:rPr>
              <w:noProof/>
            </w:rPr>
            <w:t>.</w:t>
          </w:r>
        </w:p>
        <w:p w:rsidR="00912C1E" w:rsidRDefault="00912C1E" w:rsidP="00912C1E">
          <w:pPr>
            <w:pStyle w:val="Bibliography"/>
            <w:ind w:left="720" w:hanging="720"/>
            <w:rPr>
              <w:noProof/>
            </w:rPr>
          </w:pPr>
          <w:r>
            <w:rPr>
              <w:noProof/>
            </w:rPr>
            <w:t xml:space="preserve">Konchina, C. N.-R. (1994). </w:t>
          </w:r>
          <w:r>
            <w:rPr>
              <w:i/>
              <w:iCs/>
              <w:noProof/>
            </w:rPr>
            <w:t>Receiver Operating Characteristic (ROC) in Nondestructive Inspection.</w:t>
          </w:r>
          <w:r>
            <w:rPr>
              <w:noProof/>
            </w:rPr>
            <w:t xml:space="preserve"> Berlin: NSSE.</w:t>
          </w:r>
        </w:p>
        <w:p w:rsidR="00912C1E" w:rsidRDefault="00912C1E" w:rsidP="00912C1E">
          <w:pPr>
            <w:pStyle w:val="Bibliography"/>
            <w:ind w:left="720" w:hanging="720"/>
            <w:rPr>
              <w:noProof/>
            </w:rPr>
          </w:pPr>
          <w:r>
            <w:rPr>
              <w:noProof/>
            </w:rPr>
            <w:t xml:space="preserve">Schaefer, L. (2009, June 23). </w:t>
          </w:r>
          <w:r>
            <w:rPr>
              <w:i/>
              <w:iCs/>
              <w:noProof/>
            </w:rPr>
            <w:t>Reliability for NDT.</w:t>
          </w:r>
          <w:r>
            <w:rPr>
              <w:noProof/>
            </w:rPr>
            <w:t xml:space="preserve"> Retrieved from NDT.net: http://www.ndt.net/article/reliability2009/Inhalt/podadv~1.pdf</w:t>
          </w:r>
        </w:p>
        <w:p w:rsidR="00912C1E" w:rsidRDefault="00912C1E" w:rsidP="00912C1E">
          <w:pPr>
            <w:pStyle w:val="Bibliography"/>
            <w:ind w:left="720" w:hanging="720"/>
            <w:rPr>
              <w:noProof/>
            </w:rPr>
          </w:pPr>
          <w:r>
            <w:rPr>
              <w:noProof/>
            </w:rPr>
            <w:t>SliverWing. (2017). Retrieved from SliverWing: https://www.silverwingndt.com/magnetic-flux-leakage/floormap3di-mfl-tank-floor-scanner</w:t>
          </w:r>
        </w:p>
        <w:p w:rsidR="00881545" w:rsidRDefault="00881545" w:rsidP="00912C1E">
          <w:r>
            <w:rPr>
              <w:b/>
              <w:bCs/>
            </w:rPr>
            <w:fldChar w:fldCharType="end"/>
          </w:r>
        </w:p>
      </w:sdtContent>
    </w:sdt>
    <w:p w:rsidR="00881545" w:rsidRPr="00C046F3" w:rsidRDefault="00881545" w:rsidP="00C046F3"/>
    <w:sectPr w:rsidR="00881545" w:rsidRPr="00C046F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2C1E" w:rsidRDefault="00912C1E" w:rsidP="00912C1E">
      <w:pPr>
        <w:spacing w:after="0" w:line="240" w:lineRule="auto"/>
      </w:pPr>
      <w:r>
        <w:separator/>
      </w:r>
    </w:p>
  </w:endnote>
  <w:endnote w:type="continuationSeparator" w:id="0">
    <w:p w:rsidR="00912C1E" w:rsidRDefault="00912C1E" w:rsidP="00912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2C1E" w:rsidRDefault="00912C1E" w:rsidP="00912C1E">
      <w:pPr>
        <w:spacing w:after="0" w:line="240" w:lineRule="auto"/>
      </w:pPr>
      <w:r>
        <w:separator/>
      </w:r>
    </w:p>
  </w:footnote>
  <w:footnote w:type="continuationSeparator" w:id="0">
    <w:p w:rsidR="00912C1E" w:rsidRDefault="00912C1E" w:rsidP="00912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9963284"/>
      <w:docPartObj>
        <w:docPartGallery w:val="Page Numbers (Top of Page)"/>
        <w:docPartUnique/>
      </w:docPartObj>
    </w:sdtPr>
    <w:sdtEndPr>
      <w:rPr>
        <w:noProof/>
      </w:rPr>
    </w:sdtEndPr>
    <w:sdtContent>
      <w:p w:rsidR="00912C1E" w:rsidRDefault="00912C1E">
        <w:pPr>
          <w:pStyle w:val="Header"/>
        </w:pPr>
        <w:r>
          <w:fldChar w:fldCharType="begin"/>
        </w:r>
        <w:r>
          <w:instrText xml:space="preserve"> PAGE   \* MERGEFORMAT </w:instrText>
        </w:r>
        <w:r>
          <w:fldChar w:fldCharType="separate"/>
        </w:r>
        <w:r w:rsidR="00AB26E1">
          <w:rPr>
            <w:noProof/>
          </w:rPr>
          <w:t>5</w:t>
        </w:r>
        <w:r>
          <w:rPr>
            <w:noProof/>
          </w:rPr>
          <w:fldChar w:fldCharType="end"/>
        </w:r>
      </w:p>
    </w:sdtContent>
  </w:sdt>
  <w:p w:rsidR="00912C1E" w:rsidRDefault="00912C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B3E9A"/>
    <w:multiLevelType w:val="multilevel"/>
    <w:tmpl w:val="3EA49B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42146D6"/>
    <w:multiLevelType w:val="hybridMultilevel"/>
    <w:tmpl w:val="9EDA81E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5E7A2E25"/>
    <w:multiLevelType w:val="multilevel"/>
    <w:tmpl w:val="158C02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F6E"/>
    <w:rsid w:val="00052E42"/>
    <w:rsid w:val="000E57F8"/>
    <w:rsid w:val="000F0271"/>
    <w:rsid w:val="0013521F"/>
    <w:rsid w:val="00173CF3"/>
    <w:rsid w:val="001812F8"/>
    <w:rsid w:val="001A2D9A"/>
    <w:rsid w:val="001A4016"/>
    <w:rsid w:val="001F5AD5"/>
    <w:rsid w:val="00206D89"/>
    <w:rsid w:val="002235F7"/>
    <w:rsid w:val="0025043E"/>
    <w:rsid w:val="0026579D"/>
    <w:rsid w:val="00294A09"/>
    <w:rsid w:val="002C4911"/>
    <w:rsid w:val="00310560"/>
    <w:rsid w:val="003F7C0B"/>
    <w:rsid w:val="00422E1A"/>
    <w:rsid w:val="004245E6"/>
    <w:rsid w:val="00435FA8"/>
    <w:rsid w:val="00445951"/>
    <w:rsid w:val="004A2BA2"/>
    <w:rsid w:val="004A49DF"/>
    <w:rsid w:val="004B1E6D"/>
    <w:rsid w:val="00505C6B"/>
    <w:rsid w:val="00551E68"/>
    <w:rsid w:val="0057540F"/>
    <w:rsid w:val="00597336"/>
    <w:rsid w:val="00605BF1"/>
    <w:rsid w:val="006137C2"/>
    <w:rsid w:val="006B3295"/>
    <w:rsid w:val="00737D33"/>
    <w:rsid w:val="007B6F6E"/>
    <w:rsid w:val="007D3AC9"/>
    <w:rsid w:val="007D5350"/>
    <w:rsid w:val="007F3D19"/>
    <w:rsid w:val="00811C3A"/>
    <w:rsid w:val="00881545"/>
    <w:rsid w:val="00886AFC"/>
    <w:rsid w:val="008E3074"/>
    <w:rsid w:val="008E448B"/>
    <w:rsid w:val="008F3AA4"/>
    <w:rsid w:val="009008A4"/>
    <w:rsid w:val="00912C1E"/>
    <w:rsid w:val="009B69E1"/>
    <w:rsid w:val="009E65DB"/>
    <w:rsid w:val="00A319A6"/>
    <w:rsid w:val="00A43F11"/>
    <w:rsid w:val="00A44DEB"/>
    <w:rsid w:val="00A5617E"/>
    <w:rsid w:val="00A82676"/>
    <w:rsid w:val="00AA7766"/>
    <w:rsid w:val="00AB26E1"/>
    <w:rsid w:val="00AC6836"/>
    <w:rsid w:val="00B02A86"/>
    <w:rsid w:val="00B20E9A"/>
    <w:rsid w:val="00B34CB0"/>
    <w:rsid w:val="00B44452"/>
    <w:rsid w:val="00BA66B9"/>
    <w:rsid w:val="00BB5AB9"/>
    <w:rsid w:val="00BB748A"/>
    <w:rsid w:val="00BC34BC"/>
    <w:rsid w:val="00BC7B5B"/>
    <w:rsid w:val="00BF26A4"/>
    <w:rsid w:val="00C046F3"/>
    <w:rsid w:val="00C11FA9"/>
    <w:rsid w:val="00C17AC1"/>
    <w:rsid w:val="00C44DC9"/>
    <w:rsid w:val="00C560A7"/>
    <w:rsid w:val="00C74FA4"/>
    <w:rsid w:val="00C75B70"/>
    <w:rsid w:val="00CA0305"/>
    <w:rsid w:val="00CB3515"/>
    <w:rsid w:val="00D3179A"/>
    <w:rsid w:val="00D6332E"/>
    <w:rsid w:val="00D779C0"/>
    <w:rsid w:val="00DC105D"/>
    <w:rsid w:val="00DD1956"/>
    <w:rsid w:val="00E02D0C"/>
    <w:rsid w:val="00E14CAF"/>
    <w:rsid w:val="00E30A84"/>
    <w:rsid w:val="00E60C63"/>
    <w:rsid w:val="00EA0E3C"/>
    <w:rsid w:val="00EB3924"/>
    <w:rsid w:val="00ED4B81"/>
    <w:rsid w:val="00F12AF3"/>
    <w:rsid w:val="00FF6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597F5"/>
  <w15:chartTrackingRefBased/>
  <w15:docId w15:val="{C73FFE99-DB6C-48F9-8574-34CD60EB6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3D19"/>
    <w:pPr>
      <w:jc w:val="both"/>
    </w:pPr>
    <w:rPr>
      <w:rFonts w:ascii="Times New Roman" w:hAnsi="Times New Roman"/>
      <w:sz w:val="24"/>
    </w:rPr>
  </w:style>
  <w:style w:type="paragraph" w:styleId="Heading1">
    <w:name w:val="heading 1"/>
    <w:basedOn w:val="Normal"/>
    <w:next w:val="Normal"/>
    <w:link w:val="Heading1Char"/>
    <w:uiPriority w:val="9"/>
    <w:qFormat/>
    <w:rsid w:val="001F5A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5AD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A66B9"/>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AD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5AD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A66B9"/>
    <w:rPr>
      <w:rFonts w:ascii="Times New Roman" w:eastAsiaTheme="majorEastAsia" w:hAnsi="Times New Roman" w:cstheme="majorBidi"/>
      <w:i/>
      <w:sz w:val="24"/>
      <w:szCs w:val="24"/>
    </w:rPr>
  </w:style>
  <w:style w:type="paragraph" w:styleId="ListParagraph">
    <w:name w:val="List Paragraph"/>
    <w:basedOn w:val="Normal"/>
    <w:uiPriority w:val="34"/>
    <w:qFormat/>
    <w:rsid w:val="007B6F6E"/>
    <w:pPr>
      <w:ind w:left="720"/>
      <w:contextualSpacing/>
    </w:pPr>
  </w:style>
  <w:style w:type="paragraph" w:styleId="Caption">
    <w:name w:val="caption"/>
    <w:basedOn w:val="Normal"/>
    <w:next w:val="Normal"/>
    <w:uiPriority w:val="35"/>
    <w:unhideWhenUsed/>
    <w:qFormat/>
    <w:rsid w:val="00E02D0C"/>
    <w:pPr>
      <w:spacing w:after="200" w:line="240" w:lineRule="auto"/>
    </w:pPr>
    <w:rPr>
      <w:i/>
      <w:iCs/>
      <w:color w:val="44546A" w:themeColor="text2"/>
      <w:sz w:val="18"/>
      <w:szCs w:val="18"/>
    </w:rPr>
  </w:style>
  <w:style w:type="paragraph" w:customStyle="1" w:styleId="Authortext">
    <w:name w:val="Author text"/>
    <w:basedOn w:val="Normal"/>
    <w:rsid w:val="00EA0E3C"/>
    <w:pPr>
      <w:spacing w:after="0" w:line="240" w:lineRule="auto"/>
      <w:jc w:val="center"/>
    </w:pPr>
    <w:rPr>
      <w:rFonts w:eastAsia="Times New Roman" w:cs="Times New Roman"/>
      <w:szCs w:val="24"/>
      <w:lang w:eastAsia="de-DE"/>
    </w:rPr>
  </w:style>
  <w:style w:type="character" w:styleId="Hyperlink">
    <w:name w:val="Hyperlink"/>
    <w:uiPriority w:val="99"/>
    <w:rsid w:val="00EA0E3C"/>
    <w:rPr>
      <w:color w:val="0000FF"/>
      <w:u w:val="single"/>
    </w:rPr>
  </w:style>
  <w:style w:type="paragraph" w:styleId="TOCHeading">
    <w:name w:val="TOC Heading"/>
    <w:basedOn w:val="Heading1"/>
    <w:next w:val="Normal"/>
    <w:uiPriority w:val="39"/>
    <w:unhideWhenUsed/>
    <w:qFormat/>
    <w:rsid w:val="00EA0E3C"/>
    <w:pPr>
      <w:jc w:val="left"/>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EA0E3C"/>
    <w:pPr>
      <w:spacing w:after="100"/>
      <w:ind w:left="240"/>
    </w:pPr>
  </w:style>
  <w:style w:type="paragraph" w:styleId="TOC3">
    <w:name w:val="toc 3"/>
    <w:basedOn w:val="Normal"/>
    <w:next w:val="Normal"/>
    <w:autoRedefine/>
    <w:uiPriority w:val="39"/>
    <w:unhideWhenUsed/>
    <w:rsid w:val="00EA0E3C"/>
    <w:pPr>
      <w:spacing w:after="100"/>
      <w:ind w:left="480"/>
    </w:pPr>
  </w:style>
  <w:style w:type="paragraph" w:styleId="TOC1">
    <w:name w:val="toc 1"/>
    <w:basedOn w:val="Normal"/>
    <w:next w:val="Normal"/>
    <w:autoRedefine/>
    <w:uiPriority w:val="39"/>
    <w:unhideWhenUsed/>
    <w:rsid w:val="00EA0E3C"/>
    <w:pPr>
      <w:spacing w:after="100"/>
    </w:pPr>
  </w:style>
  <w:style w:type="paragraph" w:styleId="BalloonText">
    <w:name w:val="Balloon Text"/>
    <w:basedOn w:val="Normal"/>
    <w:link w:val="BalloonTextChar"/>
    <w:uiPriority w:val="99"/>
    <w:semiHidden/>
    <w:unhideWhenUsed/>
    <w:rsid w:val="00EA0E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E3C"/>
    <w:rPr>
      <w:rFonts w:ascii="Segoe UI" w:hAnsi="Segoe UI" w:cs="Segoe UI"/>
      <w:sz w:val="18"/>
      <w:szCs w:val="18"/>
    </w:rPr>
  </w:style>
  <w:style w:type="character" w:styleId="PlaceholderText">
    <w:name w:val="Placeholder Text"/>
    <w:basedOn w:val="DefaultParagraphFont"/>
    <w:uiPriority w:val="99"/>
    <w:semiHidden/>
    <w:rsid w:val="001812F8"/>
    <w:rPr>
      <w:color w:val="808080"/>
    </w:rPr>
  </w:style>
  <w:style w:type="paragraph" w:styleId="Bibliography">
    <w:name w:val="Bibliography"/>
    <w:basedOn w:val="Normal"/>
    <w:next w:val="Normal"/>
    <w:uiPriority w:val="37"/>
    <w:unhideWhenUsed/>
    <w:rsid w:val="00881545"/>
  </w:style>
  <w:style w:type="paragraph" w:styleId="Header">
    <w:name w:val="header"/>
    <w:basedOn w:val="Normal"/>
    <w:link w:val="HeaderChar"/>
    <w:uiPriority w:val="99"/>
    <w:unhideWhenUsed/>
    <w:rsid w:val="00912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C1E"/>
    <w:rPr>
      <w:rFonts w:ascii="Times New Roman" w:hAnsi="Times New Roman"/>
      <w:sz w:val="24"/>
    </w:rPr>
  </w:style>
  <w:style w:type="paragraph" w:styleId="Footer">
    <w:name w:val="footer"/>
    <w:basedOn w:val="Normal"/>
    <w:link w:val="FooterChar"/>
    <w:uiPriority w:val="99"/>
    <w:unhideWhenUsed/>
    <w:rsid w:val="00912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C1E"/>
    <w:rPr>
      <w:rFonts w:ascii="Times New Roman" w:hAnsi="Times New Roman"/>
      <w:sz w:val="24"/>
    </w:rPr>
  </w:style>
  <w:style w:type="paragraph" w:styleId="TableofFigures">
    <w:name w:val="table of figures"/>
    <w:basedOn w:val="Normal"/>
    <w:next w:val="Normal"/>
    <w:uiPriority w:val="99"/>
    <w:unhideWhenUsed/>
    <w:rsid w:val="00D317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054104">
      <w:bodyDiv w:val="1"/>
      <w:marLeft w:val="0"/>
      <w:marRight w:val="0"/>
      <w:marTop w:val="0"/>
      <w:marBottom w:val="0"/>
      <w:divBdr>
        <w:top w:val="none" w:sz="0" w:space="0" w:color="auto"/>
        <w:left w:val="none" w:sz="0" w:space="0" w:color="auto"/>
        <w:bottom w:val="none" w:sz="0" w:space="0" w:color="auto"/>
        <w:right w:val="none" w:sz="0" w:space="0" w:color="auto"/>
      </w:divBdr>
    </w:div>
    <w:div w:id="178738284">
      <w:bodyDiv w:val="1"/>
      <w:marLeft w:val="0"/>
      <w:marRight w:val="0"/>
      <w:marTop w:val="0"/>
      <w:marBottom w:val="0"/>
      <w:divBdr>
        <w:top w:val="none" w:sz="0" w:space="0" w:color="auto"/>
        <w:left w:val="none" w:sz="0" w:space="0" w:color="auto"/>
        <w:bottom w:val="none" w:sz="0" w:space="0" w:color="auto"/>
        <w:right w:val="none" w:sz="0" w:space="0" w:color="auto"/>
      </w:divBdr>
    </w:div>
    <w:div w:id="190800880">
      <w:bodyDiv w:val="1"/>
      <w:marLeft w:val="0"/>
      <w:marRight w:val="0"/>
      <w:marTop w:val="0"/>
      <w:marBottom w:val="0"/>
      <w:divBdr>
        <w:top w:val="none" w:sz="0" w:space="0" w:color="auto"/>
        <w:left w:val="none" w:sz="0" w:space="0" w:color="auto"/>
        <w:bottom w:val="none" w:sz="0" w:space="0" w:color="auto"/>
        <w:right w:val="none" w:sz="0" w:space="0" w:color="auto"/>
      </w:divBdr>
    </w:div>
    <w:div w:id="191501960">
      <w:bodyDiv w:val="1"/>
      <w:marLeft w:val="0"/>
      <w:marRight w:val="0"/>
      <w:marTop w:val="0"/>
      <w:marBottom w:val="0"/>
      <w:divBdr>
        <w:top w:val="none" w:sz="0" w:space="0" w:color="auto"/>
        <w:left w:val="none" w:sz="0" w:space="0" w:color="auto"/>
        <w:bottom w:val="none" w:sz="0" w:space="0" w:color="auto"/>
        <w:right w:val="none" w:sz="0" w:space="0" w:color="auto"/>
      </w:divBdr>
    </w:div>
    <w:div w:id="191962088">
      <w:bodyDiv w:val="1"/>
      <w:marLeft w:val="0"/>
      <w:marRight w:val="0"/>
      <w:marTop w:val="0"/>
      <w:marBottom w:val="0"/>
      <w:divBdr>
        <w:top w:val="none" w:sz="0" w:space="0" w:color="auto"/>
        <w:left w:val="none" w:sz="0" w:space="0" w:color="auto"/>
        <w:bottom w:val="none" w:sz="0" w:space="0" w:color="auto"/>
        <w:right w:val="none" w:sz="0" w:space="0" w:color="auto"/>
      </w:divBdr>
    </w:div>
    <w:div w:id="308216846">
      <w:bodyDiv w:val="1"/>
      <w:marLeft w:val="0"/>
      <w:marRight w:val="0"/>
      <w:marTop w:val="0"/>
      <w:marBottom w:val="0"/>
      <w:divBdr>
        <w:top w:val="none" w:sz="0" w:space="0" w:color="auto"/>
        <w:left w:val="none" w:sz="0" w:space="0" w:color="auto"/>
        <w:bottom w:val="none" w:sz="0" w:space="0" w:color="auto"/>
        <w:right w:val="none" w:sz="0" w:space="0" w:color="auto"/>
      </w:divBdr>
    </w:div>
    <w:div w:id="325864444">
      <w:bodyDiv w:val="1"/>
      <w:marLeft w:val="0"/>
      <w:marRight w:val="0"/>
      <w:marTop w:val="0"/>
      <w:marBottom w:val="0"/>
      <w:divBdr>
        <w:top w:val="none" w:sz="0" w:space="0" w:color="auto"/>
        <w:left w:val="none" w:sz="0" w:space="0" w:color="auto"/>
        <w:bottom w:val="none" w:sz="0" w:space="0" w:color="auto"/>
        <w:right w:val="none" w:sz="0" w:space="0" w:color="auto"/>
      </w:divBdr>
    </w:div>
    <w:div w:id="368920188">
      <w:bodyDiv w:val="1"/>
      <w:marLeft w:val="0"/>
      <w:marRight w:val="0"/>
      <w:marTop w:val="0"/>
      <w:marBottom w:val="0"/>
      <w:divBdr>
        <w:top w:val="none" w:sz="0" w:space="0" w:color="auto"/>
        <w:left w:val="none" w:sz="0" w:space="0" w:color="auto"/>
        <w:bottom w:val="none" w:sz="0" w:space="0" w:color="auto"/>
        <w:right w:val="none" w:sz="0" w:space="0" w:color="auto"/>
      </w:divBdr>
    </w:div>
    <w:div w:id="411659398">
      <w:bodyDiv w:val="1"/>
      <w:marLeft w:val="0"/>
      <w:marRight w:val="0"/>
      <w:marTop w:val="0"/>
      <w:marBottom w:val="0"/>
      <w:divBdr>
        <w:top w:val="none" w:sz="0" w:space="0" w:color="auto"/>
        <w:left w:val="none" w:sz="0" w:space="0" w:color="auto"/>
        <w:bottom w:val="none" w:sz="0" w:space="0" w:color="auto"/>
        <w:right w:val="none" w:sz="0" w:space="0" w:color="auto"/>
      </w:divBdr>
    </w:div>
    <w:div w:id="479462087">
      <w:bodyDiv w:val="1"/>
      <w:marLeft w:val="0"/>
      <w:marRight w:val="0"/>
      <w:marTop w:val="0"/>
      <w:marBottom w:val="0"/>
      <w:divBdr>
        <w:top w:val="none" w:sz="0" w:space="0" w:color="auto"/>
        <w:left w:val="none" w:sz="0" w:space="0" w:color="auto"/>
        <w:bottom w:val="none" w:sz="0" w:space="0" w:color="auto"/>
        <w:right w:val="none" w:sz="0" w:space="0" w:color="auto"/>
      </w:divBdr>
    </w:div>
    <w:div w:id="530530697">
      <w:bodyDiv w:val="1"/>
      <w:marLeft w:val="0"/>
      <w:marRight w:val="0"/>
      <w:marTop w:val="0"/>
      <w:marBottom w:val="0"/>
      <w:divBdr>
        <w:top w:val="none" w:sz="0" w:space="0" w:color="auto"/>
        <w:left w:val="none" w:sz="0" w:space="0" w:color="auto"/>
        <w:bottom w:val="none" w:sz="0" w:space="0" w:color="auto"/>
        <w:right w:val="none" w:sz="0" w:space="0" w:color="auto"/>
      </w:divBdr>
    </w:div>
    <w:div w:id="610236266">
      <w:bodyDiv w:val="1"/>
      <w:marLeft w:val="0"/>
      <w:marRight w:val="0"/>
      <w:marTop w:val="0"/>
      <w:marBottom w:val="0"/>
      <w:divBdr>
        <w:top w:val="none" w:sz="0" w:space="0" w:color="auto"/>
        <w:left w:val="none" w:sz="0" w:space="0" w:color="auto"/>
        <w:bottom w:val="none" w:sz="0" w:space="0" w:color="auto"/>
        <w:right w:val="none" w:sz="0" w:space="0" w:color="auto"/>
      </w:divBdr>
    </w:div>
    <w:div w:id="647435815">
      <w:bodyDiv w:val="1"/>
      <w:marLeft w:val="0"/>
      <w:marRight w:val="0"/>
      <w:marTop w:val="0"/>
      <w:marBottom w:val="0"/>
      <w:divBdr>
        <w:top w:val="none" w:sz="0" w:space="0" w:color="auto"/>
        <w:left w:val="none" w:sz="0" w:space="0" w:color="auto"/>
        <w:bottom w:val="none" w:sz="0" w:space="0" w:color="auto"/>
        <w:right w:val="none" w:sz="0" w:space="0" w:color="auto"/>
      </w:divBdr>
    </w:div>
    <w:div w:id="660036924">
      <w:bodyDiv w:val="1"/>
      <w:marLeft w:val="0"/>
      <w:marRight w:val="0"/>
      <w:marTop w:val="0"/>
      <w:marBottom w:val="0"/>
      <w:divBdr>
        <w:top w:val="none" w:sz="0" w:space="0" w:color="auto"/>
        <w:left w:val="none" w:sz="0" w:space="0" w:color="auto"/>
        <w:bottom w:val="none" w:sz="0" w:space="0" w:color="auto"/>
        <w:right w:val="none" w:sz="0" w:space="0" w:color="auto"/>
      </w:divBdr>
    </w:div>
    <w:div w:id="765728712">
      <w:bodyDiv w:val="1"/>
      <w:marLeft w:val="0"/>
      <w:marRight w:val="0"/>
      <w:marTop w:val="0"/>
      <w:marBottom w:val="0"/>
      <w:divBdr>
        <w:top w:val="none" w:sz="0" w:space="0" w:color="auto"/>
        <w:left w:val="none" w:sz="0" w:space="0" w:color="auto"/>
        <w:bottom w:val="none" w:sz="0" w:space="0" w:color="auto"/>
        <w:right w:val="none" w:sz="0" w:space="0" w:color="auto"/>
      </w:divBdr>
    </w:div>
    <w:div w:id="808976862">
      <w:bodyDiv w:val="1"/>
      <w:marLeft w:val="0"/>
      <w:marRight w:val="0"/>
      <w:marTop w:val="0"/>
      <w:marBottom w:val="0"/>
      <w:divBdr>
        <w:top w:val="none" w:sz="0" w:space="0" w:color="auto"/>
        <w:left w:val="none" w:sz="0" w:space="0" w:color="auto"/>
        <w:bottom w:val="none" w:sz="0" w:space="0" w:color="auto"/>
        <w:right w:val="none" w:sz="0" w:space="0" w:color="auto"/>
      </w:divBdr>
    </w:div>
    <w:div w:id="820074145">
      <w:bodyDiv w:val="1"/>
      <w:marLeft w:val="0"/>
      <w:marRight w:val="0"/>
      <w:marTop w:val="0"/>
      <w:marBottom w:val="0"/>
      <w:divBdr>
        <w:top w:val="none" w:sz="0" w:space="0" w:color="auto"/>
        <w:left w:val="none" w:sz="0" w:space="0" w:color="auto"/>
        <w:bottom w:val="none" w:sz="0" w:space="0" w:color="auto"/>
        <w:right w:val="none" w:sz="0" w:space="0" w:color="auto"/>
      </w:divBdr>
    </w:div>
    <w:div w:id="892279660">
      <w:bodyDiv w:val="1"/>
      <w:marLeft w:val="0"/>
      <w:marRight w:val="0"/>
      <w:marTop w:val="0"/>
      <w:marBottom w:val="0"/>
      <w:divBdr>
        <w:top w:val="none" w:sz="0" w:space="0" w:color="auto"/>
        <w:left w:val="none" w:sz="0" w:space="0" w:color="auto"/>
        <w:bottom w:val="none" w:sz="0" w:space="0" w:color="auto"/>
        <w:right w:val="none" w:sz="0" w:space="0" w:color="auto"/>
      </w:divBdr>
    </w:div>
    <w:div w:id="906498527">
      <w:bodyDiv w:val="1"/>
      <w:marLeft w:val="0"/>
      <w:marRight w:val="0"/>
      <w:marTop w:val="0"/>
      <w:marBottom w:val="0"/>
      <w:divBdr>
        <w:top w:val="none" w:sz="0" w:space="0" w:color="auto"/>
        <w:left w:val="none" w:sz="0" w:space="0" w:color="auto"/>
        <w:bottom w:val="none" w:sz="0" w:space="0" w:color="auto"/>
        <w:right w:val="none" w:sz="0" w:space="0" w:color="auto"/>
      </w:divBdr>
    </w:div>
    <w:div w:id="953512982">
      <w:bodyDiv w:val="1"/>
      <w:marLeft w:val="0"/>
      <w:marRight w:val="0"/>
      <w:marTop w:val="0"/>
      <w:marBottom w:val="0"/>
      <w:divBdr>
        <w:top w:val="none" w:sz="0" w:space="0" w:color="auto"/>
        <w:left w:val="none" w:sz="0" w:space="0" w:color="auto"/>
        <w:bottom w:val="none" w:sz="0" w:space="0" w:color="auto"/>
        <w:right w:val="none" w:sz="0" w:space="0" w:color="auto"/>
      </w:divBdr>
    </w:div>
    <w:div w:id="1021664454">
      <w:bodyDiv w:val="1"/>
      <w:marLeft w:val="0"/>
      <w:marRight w:val="0"/>
      <w:marTop w:val="0"/>
      <w:marBottom w:val="0"/>
      <w:divBdr>
        <w:top w:val="none" w:sz="0" w:space="0" w:color="auto"/>
        <w:left w:val="none" w:sz="0" w:space="0" w:color="auto"/>
        <w:bottom w:val="none" w:sz="0" w:space="0" w:color="auto"/>
        <w:right w:val="none" w:sz="0" w:space="0" w:color="auto"/>
      </w:divBdr>
    </w:div>
    <w:div w:id="1061752373">
      <w:bodyDiv w:val="1"/>
      <w:marLeft w:val="0"/>
      <w:marRight w:val="0"/>
      <w:marTop w:val="0"/>
      <w:marBottom w:val="0"/>
      <w:divBdr>
        <w:top w:val="none" w:sz="0" w:space="0" w:color="auto"/>
        <w:left w:val="none" w:sz="0" w:space="0" w:color="auto"/>
        <w:bottom w:val="none" w:sz="0" w:space="0" w:color="auto"/>
        <w:right w:val="none" w:sz="0" w:space="0" w:color="auto"/>
      </w:divBdr>
    </w:div>
    <w:div w:id="1156264676">
      <w:bodyDiv w:val="1"/>
      <w:marLeft w:val="0"/>
      <w:marRight w:val="0"/>
      <w:marTop w:val="0"/>
      <w:marBottom w:val="0"/>
      <w:divBdr>
        <w:top w:val="none" w:sz="0" w:space="0" w:color="auto"/>
        <w:left w:val="none" w:sz="0" w:space="0" w:color="auto"/>
        <w:bottom w:val="none" w:sz="0" w:space="0" w:color="auto"/>
        <w:right w:val="none" w:sz="0" w:space="0" w:color="auto"/>
      </w:divBdr>
    </w:div>
    <w:div w:id="1190340678">
      <w:bodyDiv w:val="1"/>
      <w:marLeft w:val="0"/>
      <w:marRight w:val="0"/>
      <w:marTop w:val="0"/>
      <w:marBottom w:val="0"/>
      <w:divBdr>
        <w:top w:val="none" w:sz="0" w:space="0" w:color="auto"/>
        <w:left w:val="none" w:sz="0" w:space="0" w:color="auto"/>
        <w:bottom w:val="none" w:sz="0" w:space="0" w:color="auto"/>
        <w:right w:val="none" w:sz="0" w:space="0" w:color="auto"/>
      </w:divBdr>
    </w:div>
    <w:div w:id="1291740738">
      <w:bodyDiv w:val="1"/>
      <w:marLeft w:val="0"/>
      <w:marRight w:val="0"/>
      <w:marTop w:val="0"/>
      <w:marBottom w:val="0"/>
      <w:divBdr>
        <w:top w:val="none" w:sz="0" w:space="0" w:color="auto"/>
        <w:left w:val="none" w:sz="0" w:space="0" w:color="auto"/>
        <w:bottom w:val="none" w:sz="0" w:space="0" w:color="auto"/>
        <w:right w:val="none" w:sz="0" w:space="0" w:color="auto"/>
      </w:divBdr>
    </w:div>
    <w:div w:id="1455950780">
      <w:bodyDiv w:val="1"/>
      <w:marLeft w:val="0"/>
      <w:marRight w:val="0"/>
      <w:marTop w:val="0"/>
      <w:marBottom w:val="0"/>
      <w:divBdr>
        <w:top w:val="none" w:sz="0" w:space="0" w:color="auto"/>
        <w:left w:val="none" w:sz="0" w:space="0" w:color="auto"/>
        <w:bottom w:val="none" w:sz="0" w:space="0" w:color="auto"/>
        <w:right w:val="none" w:sz="0" w:space="0" w:color="auto"/>
      </w:divBdr>
    </w:div>
    <w:div w:id="1519157039">
      <w:bodyDiv w:val="1"/>
      <w:marLeft w:val="0"/>
      <w:marRight w:val="0"/>
      <w:marTop w:val="0"/>
      <w:marBottom w:val="0"/>
      <w:divBdr>
        <w:top w:val="none" w:sz="0" w:space="0" w:color="auto"/>
        <w:left w:val="none" w:sz="0" w:space="0" w:color="auto"/>
        <w:bottom w:val="none" w:sz="0" w:space="0" w:color="auto"/>
        <w:right w:val="none" w:sz="0" w:space="0" w:color="auto"/>
      </w:divBdr>
    </w:div>
    <w:div w:id="1571306331">
      <w:bodyDiv w:val="1"/>
      <w:marLeft w:val="0"/>
      <w:marRight w:val="0"/>
      <w:marTop w:val="0"/>
      <w:marBottom w:val="0"/>
      <w:divBdr>
        <w:top w:val="none" w:sz="0" w:space="0" w:color="auto"/>
        <w:left w:val="none" w:sz="0" w:space="0" w:color="auto"/>
        <w:bottom w:val="none" w:sz="0" w:space="0" w:color="auto"/>
        <w:right w:val="none" w:sz="0" w:space="0" w:color="auto"/>
      </w:divBdr>
    </w:div>
    <w:div w:id="1625961022">
      <w:bodyDiv w:val="1"/>
      <w:marLeft w:val="0"/>
      <w:marRight w:val="0"/>
      <w:marTop w:val="0"/>
      <w:marBottom w:val="0"/>
      <w:divBdr>
        <w:top w:val="none" w:sz="0" w:space="0" w:color="auto"/>
        <w:left w:val="none" w:sz="0" w:space="0" w:color="auto"/>
        <w:bottom w:val="none" w:sz="0" w:space="0" w:color="auto"/>
        <w:right w:val="none" w:sz="0" w:space="0" w:color="auto"/>
      </w:divBdr>
    </w:div>
    <w:div w:id="1685669239">
      <w:bodyDiv w:val="1"/>
      <w:marLeft w:val="0"/>
      <w:marRight w:val="0"/>
      <w:marTop w:val="0"/>
      <w:marBottom w:val="0"/>
      <w:divBdr>
        <w:top w:val="none" w:sz="0" w:space="0" w:color="auto"/>
        <w:left w:val="none" w:sz="0" w:space="0" w:color="auto"/>
        <w:bottom w:val="none" w:sz="0" w:space="0" w:color="auto"/>
        <w:right w:val="none" w:sz="0" w:space="0" w:color="auto"/>
      </w:divBdr>
    </w:div>
    <w:div w:id="1781489925">
      <w:bodyDiv w:val="1"/>
      <w:marLeft w:val="0"/>
      <w:marRight w:val="0"/>
      <w:marTop w:val="0"/>
      <w:marBottom w:val="0"/>
      <w:divBdr>
        <w:top w:val="none" w:sz="0" w:space="0" w:color="auto"/>
        <w:left w:val="none" w:sz="0" w:space="0" w:color="auto"/>
        <w:bottom w:val="none" w:sz="0" w:space="0" w:color="auto"/>
        <w:right w:val="none" w:sz="0" w:space="0" w:color="auto"/>
      </w:divBdr>
    </w:div>
    <w:div w:id="1818452727">
      <w:bodyDiv w:val="1"/>
      <w:marLeft w:val="0"/>
      <w:marRight w:val="0"/>
      <w:marTop w:val="0"/>
      <w:marBottom w:val="0"/>
      <w:divBdr>
        <w:top w:val="none" w:sz="0" w:space="0" w:color="auto"/>
        <w:left w:val="none" w:sz="0" w:space="0" w:color="auto"/>
        <w:bottom w:val="none" w:sz="0" w:space="0" w:color="auto"/>
        <w:right w:val="none" w:sz="0" w:space="0" w:color="auto"/>
      </w:divBdr>
    </w:div>
    <w:div w:id="1884563760">
      <w:bodyDiv w:val="1"/>
      <w:marLeft w:val="0"/>
      <w:marRight w:val="0"/>
      <w:marTop w:val="0"/>
      <w:marBottom w:val="0"/>
      <w:divBdr>
        <w:top w:val="none" w:sz="0" w:space="0" w:color="auto"/>
        <w:left w:val="none" w:sz="0" w:space="0" w:color="auto"/>
        <w:bottom w:val="none" w:sz="0" w:space="0" w:color="auto"/>
        <w:right w:val="none" w:sz="0" w:space="0" w:color="auto"/>
      </w:divBdr>
    </w:div>
    <w:div w:id="1925870937">
      <w:bodyDiv w:val="1"/>
      <w:marLeft w:val="0"/>
      <w:marRight w:val="0"/>
      <w:marTop w:val="0"/>
      <w:marBottom w:val="0"/>
      <w:divBdr>
        <w:top w:val="none" w:sz="0" w:space="0" w:color="auto"/>
        <w:left w:val="none" w:sz="0" w:space="0" w:color="auto"/>
        <w:bottom w:val="none" w:sz="0" w:space="0" w:color="auto"/>
        <w:right w:val="none" w:sz="0" w:space="0" w:color="auto"/>
      </w:divBdr>
    </w:div>
    <w:div w:id="1943104853">
      <w:bodyDiv w:val="1"/>
      <w:marLeft w:val="0"/>
      <w:marRight w:val="0"/>
      <w:marTop w:val="0"/>
      <w:marBottom w:val="0"/>
      <w:divBdr>
        <w:top w:val="none" w:sz="0" w:space="0" w:color="auto"/>
        <w:left w:val="none" w:sz="0" w:space="0" w:color="auto"/>
        <w:bottom w:val="none" w:sz="0" w:space="0" w:color="auto"/>
        <w:right w:val="none" w:sz="0" w:space="0" w:color="auto"/>
      </w:divBdr>
    </w:div>
    <w:div w:id="1980957582">
      <w:bodyDiv w:val="1"/>
      <w:marLeft w:val="0"/>
      <w:marRight w:val="0"/>
      <w:marTop w:val="0"/>
      <w:marBottom w:val="0"/>
      <w:divBdr>
        <w:top w:val="none" w:sz="0" w:space="0" w:color="auto"/>
        <w:left w:val="none" w:sz="0" w:space="0" w:color="auto"/>
        <w:bottom w:val="none" w:sz="0" w:space="0" w:color="auto"/>
        <w:right w:val="none" w:sz="0" w:space="0" w:color="auto"/>
      </w:divBdr>
    </w:div>
    <w:div w:id="2038113684">
      <w:bodyDiv w:val="1"/>
      <w:marLeft w:val="0"/>
      <w:marRight w:val="0"/>
      <w:marTop w:val="0"/>
      <w:marBottom w:val="0"/>
      <w:divBdr>
        <w:top w:val="none" w:sz="0" w:space="0" w:color="auto"/>
        <w:left w:val="none" w:sz="0" w:space="0" w:color="auto"/>
        <w:bottom w:val="none" w:sz="0" w:space="0" w:color="auto"/>
        <w:right w:val="none" w:sz="0" w:space="0" w:color="auto"/>
      </w:divBdr>
    </w:div>
    <w:div w:id="2067294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scott.137237@student.uwtsd.ac.uk" TargetMode="Externa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urly\Downloads\ROC-Analysis-and-MFL-UT-Sizing-Raw-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NDT%20Principles%20Standards%20&amp;%20Applications\ROC-Analysis-and-MFL-UT-Sizing-Raw-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NDT%20Principles%20Standards%20&amp;%20Applications\ROC-Analysis-and-MFL-UT-Sizing-Raw-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NDT%20Principles%20Standards%20&amp;%20Applications\ROC-Analysis-and-MFL-UT-Sizing-Raw-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Porbability of detection against</a:t>
            </a:r>
            <a:r>
              <a:rPr lang="en-GB" baseline="0"/>
              <a:t> probability of false alarm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'[ROC-Analysis-and-MFL-UT-Sizing-Raw-Data.xlsx]Aircraft ROC Data'!$D$3</c:f>
              <c:strCache>
                <c:ptCount val="1"/>
                <c:pt idx="0">
                  <c:v>Method 1</c:v>
                </c:pt>
              </c:strCache>
            </c:strRef>
          </c:tx>
          <c:spPr>
            <a:ln w="25400" cap="rnd">
              <a:noFill/>
              <a:round/>
            </a:ln>
            <a:effectLst/>
          </c:spPr>
          <c:marker>
            <c:symbol val="circle"/>
            <c:size val="5"/>
            <c:spPr>
              <a:solidFill>
                <a:schemeClr val="accent1"/>
              </a:solidFill>
              <a:ln w="9525">
                <a:solidFill>
                  <a:schemeClr val="accent1"/>
                </a:solidFill>
              </a:ln>
              <a:effectLst/>
            </c:spPr>
          </c:marker>
          <c:xVal>
            <c:numRef>
              <c:f>'[ROC-Analysis-and-MFL-UT-Sizing-Raw-Data.xlsx]Aircraft ROC Data'!$D$15</c:f>
              <c:numCache>
                <c:formatCode>General</c:formatCode>
                <c:ptCount val="1"/>
                <c:pt idx="0">
                  <c:v>0.45454545454545453</c:v>
                </c:pt>
              </c:numCache>
            </c:numRef>
          </c:xVal>
          <c:yVal>
            <c:numRef>
              <c:f>'[ROC-Analysis-and-MFL-UT-Sizing-Raw-Data.xlsx]Aircraft ROC Data'!$D$25</c:f>
              <c:numCache>
                <c:formatCode>General</c:formatCode>
                <c:ptCount val="1"/>
                <c:pt idx="0">
                  <c:v>0.625</c:v>
                </c:pt>
              </c:numCache>
            </c:numRef>
          </c:yVal>
          <c:smooth val="0"/>
          <c:extLst>
            <c:ext xmlns:c16="http://schemas.microsoft.com/office/drawing/2014/chart" uri="{C3380CC4-5D6E-409C-BE32-E72D297353CC}">
              <c16:uniqueId val="{00000000-E754-4CDF-9027-3A740AD2DFEC}"/>
            </c:ext>
          </c:extLst>
        </c:ser>
        <c:ser>
          <c:idx val="1"/>
          <c:order val="1"/>
          <c:tx>
            <c:strRef>
              <c:f>'[ROC-Analysis-and-MFL-UT-Sizing-Raw-Data.xlsx]Aircraft ROC Data'!$H$3</c:f>
              <c:strCache>
                <c:ptCount val="1"/>
                <c:pt idx="0">
                  <c:v>Method 2</c:v>
                </c:pt>
              </c:strCache>
            </c:strRef>
          </c:tx>
          <c:spPr>
            <a:ln w="25400" cap="rnd">
              <a:noFill/>
              <a:round/>
            </a:ln>
            <a:effectLst/>
          </c:spPr>
          <c:marker>
            <c:symbol val="circle"/>
            <c:size val="5"/>
            <c:spPr>
              <a:solidFill>
                <a:schemeClr val="accent2"/>
              </a:solidFill>
              <a:ln w="9525">
                <a:solidFill>
                  <a:schemeClr val="accent2"/>
                </a:solidFill>
              </a:ln>
              <a:effectLst/>
            </c:spPr>
          </c:marker>
          <c:xVal>
            <c:numRef>
              <c:f>'[ROC-Analysis-and-MFL-UT-Sizing-Raw-Data.xlsx]Aircraft ROC Data'!$H$15</c:f>
              <c:numCache>
                <c:formatCode>General</c:formatCode>
                <c:ptCount val="1"/>
                <c:pt idx="0">
                  <c:v>0.18181818181818182</c:v>
                </c:pt>
              </c:numCache>
            </c:numRef>
          </c:xVal>
          <c:yVal>
            <c:numRef>
              <c:f>'[ROC-Analysis-and-MFL-UT-Sizing-Raw-Data.xlsx]Aircraft ROC Data'!$H$25</c:f>
              <c:numCache>
                <c:formatCode>General</c:formatCode>
                <c:ptCount val="1"/>
                <c:pt idx="0">
                  <c:v>0.5</c:v>
                </c:pt>
              </c:numCache>
            </c:numRef>
          </c:yVal>
          <c:smooth val="0"/>
          <c:extLst>
            <c:ext xmlns:c16="http://schemas.microsoft.com/office/drawing/2014/chart" uri="{C3380CC4-5D6E-409C-BE32-E72D297353CC}">
              <c16:uniqueId val="{00000001-E754-4CDF-9027-3A740AD2DFEC}"/>
            </c:ext>
          </c:extLst>
        </c:ser>
        <c:ser>
          <c:idx val="2"/>
          <c:order val="2"/>
          <c:tx>
            <c:strRef>
              <c:f>'[ROC-Analysis-and-MFL-UT-Sizing-Raw-Data.xlsx]Aircraft ROC Data'!$L$3</c:f>
              <c:strCache>
                <c:ptCount val="1"/>
                <c:pt idx="0">
                  <c:v>Method 3</c:v>
                </c:pt>
              </c:strCache>
            </c:strRef>
          </c:tx>
          <c:spPr>
            <a:ln w="25400" cap="rnd">
              <a:noFill/>
              <a:round/>
            </a:ln>
            <a:effectLst/>
          </c:spPr>
          <c:marker>
            <c:symbol val="circle"/>
            <c:size val="5"/>
            <c:spPr>
              <a:solidFill>
                <a:schemeClr val="accent3"/>
              </a:solidFill>
              <a:ln w="9525">
                <a:solidFill>
                  <a:schemeClr val="accent3"/>
                </a:solidFill>
              </a:ln>
              <a:effectLst/>
            </c:spPr>
          </c:marker>
          <c:xVal>
            <c:numRef>
              <c:f>'[ROC-Analysis-and-MFL-UT-Sizing-Raw-Data.xlsx]Aircraft ROC Data'!$L$15</c:f>
              <c:numCache>
                <c:formatCode>General</c:formatCode>
                <c:ptCount val="1"/>
                <c:pt idx="0">
                  <c:v>0.18181818181818182</c:v>
                </c:pt>
              </c:numCache>
            </c:numRef>
          </c:xVal>
          <c:yVal>
            <c:numRef>
              <c:f>'[ROC-Analysis-and-MFL-UT-Sizing-Raw-Data.xlsx]Aircraft ROC Data'!$L$25</c:f>
              <c:numCache>
                <c:formatCode>General</c:formatCode>
                <c:ptCount val="1"/>
                <c:pt idx="0">
                  <c:v>0.875</c:v>
                </c:pt>
              </c:numCache>
            </c:numRef>
          </c:yVal>
          <c:smooth val="0"/>
          <c:extLst>
            <c:ext xmlns:c16="http://schemas.microsoft.com/office/drawing/2014/chart" uri="{C3380CC4-5D6E-409C-BE32-E72D297353CC}">
              <c16:uniqueId val="{00000002-E754-4CDF-9027-3A740AD2DFEC}"/>
            </c:ext>
          </c:extLst>
        </c:ser>
        <c:dLbls>
          <c:showLegendKey val="0"/>
          <c:showVal val="0"/>
          <c:showCatName val="0"/>
          <c:showSerName val="0"/>
          <c:showPercent val="0"/>
          <c:showBubbleSize val="0"/>
        </c:dLbls>
        <c:axId val="509206904"/>
        <c:axId val="506905744"/>
      </c:scatterChart>
      <c:valAx>
        <c:axId val="509206904"/>
        <c:scaling>
          <c:orientation val="minMax"/>
          <c:max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PoFA</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905744"/>
        <c:crosses val="autoZero"/>
        <c:crossBetween val="midCat"/>
      </c:valAx>
      <c:valAx>
        <c:axId val="50690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PoD</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206904"/>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 for MFL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1"/>
            <c:dispEq val="1"/>
            <c:trendlineLbl>
              <c:layout>
                <c:manualLayout>
                  <c:x val="0.22911269424655259"/>
                  <c:y val="-4.2759102704229956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'MFL - UT Comparison'!$D$5:$D$17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Comparison'!$E$5:$E$17</c:f>
              <c:numCache>
                <c:formatCode>General</c:formatCode>
                <c:ptCount val="13"/>
                <c:pt idx="0">
                  <c:v>31</c:v>
                </c:pt>
                <c:pt idx="1">
                  <c:v>29</c:v>
                </c:pt>
                <c:pt idx="2">
                  <c:v>42</c:v>
                </c:pt>
                <c:pt idx="3">
                  <c:v>39</c:v>
                </c:pt>
                <c:pt idx="4">
                  <c:v>41.5</c:v>
                </c:pt>
                <c:pt idx="5">
                  <c:v>46</c:v>
                </c:pt>
                <c:pt idx="6">
                  <c:v>44.5</c:v>
                </c:pt>
                <c:pt idx="7">
                  <c:v>36</c:v>
                </c:pt>
                <c:pt idx="8">
                  <c:v>47</c:v>
                </c:pt>
                <c:pt idx="9">
                  <c:v>55</c:v>
                </c:pt>
                <c:pt idx="10">
                  <c:v>51</c:v>
                </c:pt>
                <c:pt idx="11">
                  <c:v>51.5</c:v>
                </c:pt>
                <c:pt idx="12">
                  <c:v>70</c:v>
                </c:pt>
              </c:numCache>
            </c:numRef>
          </c:yVal>
          <c:smooth val="0"/>
          <c:extLst>
            <c:ext xmlns:c16="http://schemas.microsoft.com/office/drawing/2014/chart" uri="{C3380CC4-5D6E-409C-BE32-E72D297353CC}">
              <c16:uniqueId val="{00000003-0521-4E62-9E3F-A143EDB508E9}"/>
            </c:ext>
          </c:extLst>
        </c:ser>
        <c:ser>
          <c:idx val="1"/>
          <c:order val="1"/>
          <c:tx>
            <c:strRef>
              <c:f>'MFL - UT Comparison'!$G$4</c:f>
              <c:strCache>
                <c:ptCount val="1"/>
                <c:pt idx="0">
                  <c:v>Lower limit</c:v>
                </c:pt>
              </c:strCache>
            </c:strRef>
          </c:tx>
          <c:spPr>
            <a:ln w="25400" cap="rnd">
              <a:solidFill>
                <a:srgbClr val="FF0000"/>
              </a:solidFill>
              <a:round/>
            </a:ln>
            <a:effectLst/>
          </c:spPr>
          <c:marker>
            <c:symbol val="none"/>
          </c:marker>
          <c:xVal>
            <c:numRef>
              <c:f>'MFL - UT Comparison'!$D$5:$D$17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Comparison'!$G$5:$G$17</c:f>
              <c:numCache>
                <c:formatCode>General</c:formatCode>
                <c:ptCount val="13"/>
                <c:pt idx="0">
                  <c:v>18.680289095731702</c:v>
                </c:pt>
                <c:pt idx="1">
                  <c:v>23.323289095731703</c:v>
                </c:pt>
                <c:pt idx="2">
                  <c:v>27.966289095731703</c:v>
                </c:pt>
                <c:pt idx="3">
                  <c:v>30.752089095731705</c:v>
                </c:pt>
                <c:pt idx="4">
                  <c:v>32.609289095731704</c:v>
                </c:pt>
                <c:pt idx="5">
                  <c:v>33.537889095731707</c:v>
                </c:pt>
                <c:pt idx="6">
                  <c:v>34.466489095731703</c:v>
                </c:pt>
                <c:pt idx="7">
                  <c:v>34.930789095731704</c:v>
                </c:pt>
                <c:pt idx="8">
                  <c:v>39.109489095731703</c:v>
                </c:pt>
                <c:pt idx="9">
                  <c:v>40.966689095731702</c:v>
                </c:pt>
                <c:pt idx="10">
                  <c:v>42.823889095731701</c:v>
                </c:pt>
                <c:pt idx="11">
                  <c:v>49.788389095731702</c:v>
                </c:pt>
                <c:pt idx="12">
                  <c:v>53.038489095731705</c:v>
                </c:pt>
              </c:numCache>
            </c:numRef>
          </c:yVal>
          <c:smooth val="0"/>
          <c:extLst>
            <c:ext xmlns:c16="http://schemas.microsoft.com/office/drawing/2014/chart" uri="{C3380CC4-5D6E-409C-BE32-E72D297353CC}">
              <c16:uniqueId val="{00000004-0521-4E62-9E3F-A143EDB508E9}"/>
            </c:ext>
          </c:extLst>
        </c:ser>
        <c:ser>
          <c:idx val="2"/>
          <c:order val="2"/>
          <c:tx>
            <c:strRef>
              <c:f>'MFL - UT Comparison'!$H$4</c:f>
              <c:strCache>
                <c:ptCount val="1"/>
                <c:pt idx="0">
                  <c:v>Upper limit</c:v>
                </c:pt>
              </c:strCache>
            </c:strRef>
          </c:tx>
          <c:spPr>
            <a:ln w="19050" cap="rnd">
              <a:solidFill>
                <a:srgbClr val="FF0000"/>
              </a:solidFill>
              <a:round/>
            </a:ln>
            <a:effectLst/>
          </c:spPr>
          <c:marker>
            <c:symbol val="none"/>
          </c:marker>
          <c:xVal>
            <c:numRef>
              <c:f>'MFL - UT Comparison'!$D$5:$D$18</c:f>
              <c:numCache>
                <c:formatCode>General</c:formatCode>
                <c:ptCount val="14"/>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Comparison'!$H$5:$H$17</c:f>
              <c:numCache>
                <c:formatCode>General</c:formatCode>
                <c:ptCount val="13"/>
                <c:pt idx="0">
                  <c:v>37.370910904268293</c:v>
                </c:pt>
                <c:pt idx="1">
                  <c:v>42.013910904268293</c:v>
                </c:pt>
                <c:pt idx="2">
                  <c:v>46.656910904268294</c:v>
                </c:pt>
                <c:pt idx="3">
                  <c:v>49.442710904268296</c:v>
                </c:pt>
                <c:pt idx="4">
                  <c:v>51.299910904268295</c:v>
                </c:pt>
                <c:pt idx="5">
                  <c:v>52.228510904268298</c:v>
                </c:pt>
                <c:pt idx="6">
                  <c:v>53.157110904268293</c:v>
                </c:pt>
                <c:pt idx="7">
                  <c:v>53.621410904268295</c:v>
                </c:pt>
                <c:pt idx="8">
                  <c:v>57.800110904268294</c:v>
                </c:pt>
                <c:pt idx="9">
                  <c:v>59.657310904268293</c:v>
                </c:pt>
                <c:pt idx="10">
                  <c:v>61.514510904268292</c:v>
                </c:pt>
                <c:pt idx="11">
                  <c:v>68.479010904268293</c:v>
                </c:pt>
                <c:pt idx="12">
                  <c:v>71.729110904268296</c:v>
                </c:pt>
              </c:numCache>
            </c:numRef>
          </c:yVal>
          <c:smooth val="0"/>
          <c:extLst>
            <c:ext xmlns:c16="http://schemas.microsoft.com/office/drawing/2014/chart" uri="{C3380CC4-5D6E-409C-BE32-E72D297353CC}">
              <c16:uniqueId val="{00000005-0521-4E62-9E3F-A143EDB508E9}"/>
            </c:ext>
          </c:extLst>
        </c:ser>
        <c:ser>
          <c:idx val="3"/>
          <c:order val="3"/>
          <c:tx>
            <c:v>True Line</c:v>
          </c:tx>
          <c:spPr>
            <a:ln w="25400" cap="rnd">
              <a:solidFill>
                <a:srgbClr val="FFC000"/>
              </a:solidFill>
              <a:round/>
            </a:ln>
            <a:effectLst/>
          </c:spPr>
          <c:marker>
            <c:symbol val="none"/>
          </c:marker>
          <c:xVal>
            <c:numRef>
              <c:f>'MFL - UT Comparison'!$D$19:$D$20</c:f>
              <c:numCache>
                <c:formatCode>General</c:formatCode>
                <c:ptCount val="2"/>
                <c:pt idx="0">
                  <c:v>0</c:v>
                </c:pt>
                <c:pt idx="1">
                  <c:v>75</c:v>
                </c:pt>
              </c:numCache>
            </c:numRef>
          </c:xVal>
          <c:yVal>
            <c:numRef>
              <c:f>'MFL - UT Comparison'!$D$19:$D$20</c:f>
              <c:numCache>
                <c:formatCode>General</c:formatCode>
                <c:ptCount val="2"/>
                <c:pt idx="0">
                  <c:v>0</c:v>
                </c:pt>
                <c:pt idx="1">
                  <c:v>75</c:v>
                </c:pt>
              </c:numCache>
            </c:numRef>
          </c:yVal>
          <c:smooth val="0"/>
          <c:extLst>
            <c:ext xmlns:c16="http://schemas.microsoft.com/office/drawing/2014/chart" uri="{C3380CC4-5D6E-409C-BE32-E72D297353CC}">
              <c16:uniqueId val="{00000006-0521-4E62-9E3F-A143EDB508E9}"/>
            </c:ext>
          </c:extLst>
        </c:ser>
        <c:dLbls>
          <c:showLegendKey val="0"/>
          <c:showVal val="0"/>
          <c:showCatName val="0"/>
          <c:showSerName val="0"/>
          <c:showPercent val="0"/>
          <c:showBubbleSize val="0"/>
        </c:dLbls>
        <c:axId val="644133088"/>
        <c:axId val="644129808"/>
      </c:scatterChart>
      <c:valAx>
        <c:axId val="644133088"/>
        <c:scaling>
          <c:orientation val="minMax"/>
          <c:max val="7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Depth (% through material)</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129808"/>
        <c:crosses val="autoZero"/>
        <c:crossBetween val="midCat"/>
      </c:valAx>
      <c:valAx>
        <c:axId val="644129808"/>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a:t>
                </a:r>
                <a:r>
                  <a:rPr lang="en-GB" baseline="0"/>
                  <a:t> Depth (% through material)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1330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 for UT</a:t>
            </a:r>
            <a:r>
              <a:rPr lang="en-GB" baseline="0"/>
              <a:t> - OpA</a:t>
            </a:r>
            <a:endParaRPr lang="en-GB"/>
          </a:p>
        </c:rich>
      </c:tx>
      <c:layout>
        <c:manualLayout>
          <c:xMode val="edge"/>
          <c:yMode val="edge"/>
          <c:x val="0.43827338484097939"/>
          <c:y val="2.272727272727272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18613097228146627"/>
                  <c:y val="-1.282927702219040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'MFL - UT Comparison'!$K$5:$K$17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Comparison'!$L$5:$L$17</c:f>
              <c:numCache>
                <c:formatCode>General</c:formatCode>
                <c:ptCount val="13"/>
                <c:pt idx="0">
                  <c:v>8</c:v>
                </c:pt>
                <c:pt idx="1">
                  <c:v>12</c:v>
                </c:pt>
                <c:pt idx="2">
                  <c:v>8</c:v>
                </c:pt>
                <c:pt idx="3">
                  <c:v>15</c:v>
                </c:pt>
                <c:pt idx="4">
                  <c:v>24</c:v>
                </c:pt>
                <c:pt idx="5">
                  <c:v>24</c:v>
                </c:pt>
                <c:pt idx="6">
                  <c:v>16</c:v>
                </c:pt>
                <c:pt idx="7">
                  <c:v>8</c:v>
                </c:pt>
                <c:pt idx="8">
                  <c:v>31</c:v>
                </c:pt>
                <c:pt idx="9">
                  <c:v>34</c:v>
                </c:pt>
                <c:pt idx="10">
                  <c:v>38</c:v>
                </c:pt>
                <c:pt idx="11">
                  <c:v>32</c:v>
                </c:pt>
                <c:pt idx="12">
                  <c:v>38</c:v>
                </c:pt>
              </c:numCache>
            </c:numRef>
          </c:yVal>
          <c:smooth val="0"/>
          <c:extLst>
            <c:ext xmlns:c16="http://schemas.microsoft.com/office/drawing/2014/chart" uri="{C3380CC4-5D6E-409C-BE32-E72D297353CC}">
              <c16:uniqueId val="{00000001-84C7-4651-AE07-C3D236C0F074}"/>
            </c:ext>
          </c:extLst>
        </c:ser>
        <c:ser>
          <c:idx val="1"/>
          <c:order val="1"/>
          <c:tx>
            <c:strRef>
              <c:f>'MFL - UT Comparison'!$N$4</c:f>
              <c:strCache>
                <c:ptCount val="1"/>
                <c:pt idx="0">
                  <c:v>Lower limit</c:v>
                </c:pt>
              </c:strCache>
            </c:strRef>
          </c:tx>
          <c:spPr>
            <a:ln w="25400" cap="rnd">
              <a:solidFill>
                <a:srgbClr val="FF0000"/>
              </a:solidFill>
              <a:round/>
            </a:ln>
            <a:effectLst/>
          </c:spPr>
          <c:marker>
            <c:symbol val="none"/>
          </c:marker>
          <c:xVal>
            <c:numRef>
              <c:f>'MFL - UT Comparison'!$K$5:$K$17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Comparison'!$N$5:$N$17</c:f>
              <c:numCache>
                <c:formatCode>General</c:formatCode>
                <c:ptCount val="13"/>
                <c:pt idx="0">
                  <c:v>-7.1212047002800336</c:v>
                </c:pt>
                <c:pt idx="1">
                  <c:v>-2.4507047002800348</c:v>
                </c:pt>
                <c:pt idx="2">
                  <c:v>2.2197952997199657</c:v>
                </c:pt>
                <c:pt idx="3">
                  <c:v>5.0220952997199682</c:v>
                </c:pt>
                <c:pt idx="4">
                  <c:v>6.8902952997199662</c:v>
                </c:pt>
                <c:pt idx="5">
                  <c:v>7.8243952997199671</c:v>
                </c:pt>
                <c:pt idx="6">
                  <c:v>8.7584952997199679</c:v>
                </c:pt>
                <c:pt idx="7">
                  <c:v>9.2255452997199683</c:v>
                </c:pt>
                <c:pt idx="8">
                  <c:v>13.428995299719968</c:v>
                </c:pt>
                <c:pt idx="9">
                  <c:v>15.29719529971997</c:v>
                </c:pt>
                <c:pt idx="10">
                  <c:v>17.165395299719965</c:v>
                </c:pt>
                <c:pt idx="11">
                  <c:v>24.171145299719974</c:v>
                </c:pt>
                <c:pt idx="12">
                  <c:v>27.440495299719963</c:v>
                </c:pt>
              </c:numCache>
            </c:numRef>
          </c:yVal>
          <c:smooth val="0"/>
          <c:extLst>
            <c:ext xmlns:c16="http://schemas.microsoft.com/office/drawing/2014/chart" uri="{C3380CC4-5D6E-409C-BE32-E72D297353CC}">
              <c16:uniqueId val="{00000002-84C7-4651-AE07-C3D236C0F074}"/>
            </c:ext>
          </c:extLst>
        </c:ser>
        <c:ser>
          <c:idx val="2"/>
          <c:order val="2"/>
          <c:tx>
            <c:strRef>
              <c:f>'MFL - UT Comparison'!$O$4</c:f>
              <c:strCache>
                <c:ptCount val="1"/>
                <c:pt idx="0">
                  <c:v>Upper limit</c:v>
                </c:pt>
              </c:strCache>
            </c:strRef>
          </c:tx>
          <c:spPr>
            <a:ln w="25400" cap="rnd">
              <a:solidFill>
                <a:srgbClr val="FF0000"/>
              </a:solidFill>
              <a:round/>
            </a:ln>
            <a:effectLst/>
          </c:spPr>
          <c:marker>
            <c:symbol val="none"/>
          </c:marker>
          <c:xVal>
            <c:numRef>
              <c:f>'MFL - UT Comparison'!$K$5:$K$17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Comparison'!$O$5:$O$17</c:f>
              <c:numCache>
                <c:formatCode>General</c:formatCode>
                <c:ptCount val="13"/>
                <c:pt idx="0">
                  <c:v>17.606404700280038</c:v>
                </c:pt>
                <c:pt idx="1">
                  <c:v>22.276904700280035</c:v>
                </c:pt>
                <c:pt idx="2">
                  <c:v>26.947404700280035</c:v>
                </c:pt>
                <c:pt idx="3">
                  <c:v>29.749704700280038</c:v>
                </c:pt>
                <c:pt idx="4">
                  <c:v>31.617904700280036</c:v>
                </c:pt>
                <c:pt idx="5">
                  <c:v>32.552004700280037</c:v>
                </c:pt>
                <c:pt idx="6">
                  <c:v>33.486104700280038</c:v>
                </c:pt>
                <c:pt idx="7">
                  <c:v>33.953154700280038</c:v>
                </c:pt>
                <c:pt idx="8">
                  <c:v>38.156604700280042</c:v>
                </c:pt>
                <c:pt idx="9">
                  <c:v>40.024804700280043</c:v>
                </c:pt>
                <c:pt idx="10">
                  <c:v>41.893004700280031</c:v>
                </c:pt>
                <c:pt idx="11">
                  <c:v>48.898754700280044</c:v>
                </c:pt>
                <c:pt idx="12">
                  <c:v>52.168104700280033</c:v>
                </c:pt>
              </c:numCache>
            </c:numRef>
          </c:yVal>
          <c:smooth val="0"/>
          <c:extLst>
            <c:ext xmlns:c16="http://schemas.microsoft.com/office/drawing/2014/chart" uri="{C3380CC4-5D6E-409C-BE32-E72D297353CC}">
              <c16:uniqueId val="{00000003-84C7-4651-AE07-C3D236C0F074}"/>
            </c:ext>
          </c:extLst>
        </c:ser>
        <c:ser>
          <c:idx val="3"/>
          <c:order val="3"/>
          <c:tx>
            <c:v>True Line</c:v>
          </c:tx>
          <c:spPr>
            <a:ln w="25400" cap="rnd">
              <a:solidFill>
                <a:srgbClr val="FFC000"/>
              </a:solidFill>
              <a:round/>
            </a:ln>
            <a:effectLst/>
          </c:spPr>
          <c:marker>
            <c:symbol val="none"/>
          </c:marker>
          <c:xVal>
            <c:numRef>
              <c:f>'MFL - UT Comparison'!$D$19:$D$20</c:f>
              <c:numCache>
                <c:formatCode>General</c:formatCode>
                <c:ptCount val="2"/>
                <c:pt idx="0">
                  <c:v>0</c:v>
                </c:pt>
                <c:pt idx="1">
                  <c:v>75</c:v>
                </c:pt>
              </c:numCache>
            </c:numRef>
          </c:xVal>
          <c:yVal>
            <c:numRef>
              <c:f>'MFL - UT Comparison'!$D$19:$D$20</c:f>
              <c:numCache>
                <c:formatCode>General</c:formatCode>
                <c:ptCount val="2"/>
                <c:pt idx="0">
                  <c:v>0</c:v>
                </c:pt>
                <c:pt idx="1">
                  <c:v>75</c:v>
                </c:pt>
              </c:numCache>
            </c:numRef>
          </c:yVal>
          <c:smooth val="0"/>
          <c:extLst>
            <c:ext xmlns:c16="http://schemas.microsoft.com/office/drawing/2014/chart" uri="{C3380CC4-5D6E-409C-BE32-E72D297353CC}">
              <c16:uniqueId val="{00000004-84C7-4651-AE07-C3D236C0F074}"/>
            </c:ext>
          </c:extLst>
        </c:ser>
        <c:dLbls>
          <c:showLegendKey val="0"/>
          <c:showVal val="0"/>
          <c:showCatName val="0"/>
          <c:showSerName val="0"/>
          <c:showPercent val="0"/>
          <c:showBubbleSize val="0"/>
        </c:dLbls>
        <c:axId val="521829752"/>
        <c:axId val="521831064"/>
      </c:scatterChart>
      <c:valAx>
        <c:axId val="521829752"/>
        <c:scaling>
          <c:orientation val="minMax"/>
          <c:max val="7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Depth (%</a:t>
                </a:r>
                <a:r>
                  <a:rPr lang="en-GB" baseline="0"/>
                  <a:t> through material)</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831064"/>
        <c:crosses val="autoZero"/>
        <c:crossBetween val="midCat"/>
      </c:valAx>
      <c:valAx>
        <c:axId val="521831064"/>
        <c:scaling>
          <c:orientation val="minMax"/>
          <c:max val="7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Measnured Depth (% through material)</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8297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 for Ut - OpB</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18263845974949341"/>
                  <c:y val="-4.974673037665163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'MFL - UT Comparison'!$R$5:$R$17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Comparison'!$S$5:$S$17</c:f>
              <c:numCache>
                <c:formatCode>General</c:formatCode>
                <c:ptCount val="13"/>
                <c:pt idx="0">
                  <c:v>0</c:v>
                </c:pt>
                <c:pt idx="1">
                  <c:v>0</c:v>
                </c:pt>
                <c:pt idx="2">
                  <c:v>30</c:v>
                </c:pt>
                <c:pt idx="3">
                  <c:v>24</c:v>
                </c:pt>
                <c:pt idx="4">
                  <c:v>30</c:v>
                </c:pt>
                <c:pt idx="5">
                  <c:v>40</c:v>
                </c:pt>
                <c:pt idx="6">
                  <c:v>30</c:v>
                </c:pt>
                <c:pt idx="7">
                  <c:v>28</c:v>
                </c:pt>
                <c:pt idx="8">
                  <c:v>40</c:v>
                </c:pt>
                <c:pt idx="9">
                  <c:v>25</c:v>
                </c:pt>
                <c:pt idx="10">
                  <c:v>23</c:v>
                </c:pt>
                <c:pt idx="11">
                  <c:v>39</c:v>
                </c:pt>
                <c:pt idx="12">
                  <c:v>35</c:v>
                </c:pt>
              </c:numCache>
            </c:numRef>
          </c:yVal>
          <c:smooth val="0"/>
          <c:extLst>
            <c:ext xmlns:c16="http://schemas.microsoft.com/office/drawing/2014/chart" uri="{C3380CC4-5D6E-409C-BE32-E72D297353CC}">
              <c16:uniqueId val="{00000001-8388-48E9-AB1C-5DAC41485068}"/>
            </c:ext>
          </c:extLst>
        </c:ser>
        <c:ser>
          <c:idx val="1"/>
          <c:order val="1"/>
          <c:tx>
            <c:strRef>
              <c:f>'MFL - UT Comparison'!$U$4</c:f>
              <c:strCache>
                <c:ptCount val="1"/>
                <c:pt idx="0">
                  <c:v>Lower limit</c:v>
                </c:pt>
              </c:strCache>
            </c:strRef>
          </c:tx>
          <c:spPr>
            <a:ln w="25400" cap="rnd">
              <a:solidFill>
                <a:srgbClr val="FF0000"/>
              </a:solidFill>
              <a:round/>
            </a:ln>
            <a:effectLst/>
          </c:spPr>
          <c:marker>
            <c:symbol val="none"/>
          </c:marker>
          <c:xVal>
            <c:numRef>
              <c:f>'MFL - UT Comparison'!$R$5:$R$17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Comparison'!$U$5:$U$17</c:f>
              <c:numCache>
                <c:formatCode>General</c:formatCode>
                <c:ptCount val="13"/>
                <c:pt idx="0">
                  <c:v>-8.135463908350463</c:v>
                </c:pt>
                <c:pt idx="1">
                  <c:v>-3.8524639083504617</c:v>
                </c:pt>
                <c:pt idx="2">
                  <c:v>0.43053609164953599</c:v>
                </c:pt>
                <c:pt idx="3">
                  <c:v>3.0003360916495367</c:v>
                </c:pt>
                <c:pt idx="4">
                  <c:v>4.7135360916495372</c:v>
                </c:pt>
                <c:pt idx="5">
                  <c:v>5.5701360916495375</c:v>
                </c:pt>
                <c:pt idx="6">
                  <c:v>6.4267360916495377</c:v>
                </c:pt>
                <c:pt idx="7">
                  <c:v>6.8550360916495379</c:v>
                </c:pt>
                <c:pt idx="8">
                  <c:v>10.709736091649539</c:v>
                </c:pt>
                <c:pt idx="9">
                  <c:v>12.422936091649539</c:v>
                </c:pt>
                <c:pt idx="10">
                  <c:v>14.136136091649544</c:v>
                </c:pt>
                <c:pt idx="11">
                  <c:v>20.560636091649538</c:v>
                </c:pt>
                <c:pt idx="12">
                  <c:v>23.558736091649539</c:v>
                </c:pt>
              </c:numCache>
            </c:numRef>
          </c:yVal>
          <c:smooth val="0"/>
          <c:extLst>
            <c:ext xmlns:c16="http://schemas.microsoft.com/office/drawing/2014/chart" uri="{C3380CC4-5D6E-409C-BE32-E72D297353CC}">
              <c16:uniqueId val="{00000002-8388-48E9-AB1C-5DAC41485068}"/>
            </c:ext>
          </c:extLst>
        </c:ser>
        <c:ser>
          <c:idx val="2"/>
          <c:order val="2"/>
          <c:tx>
            <c:strRef>
              <c:f>'MFL - UT Comparison'!$V$4</c:f>
              <c:strCache>
                <c:ptCount val="1"/>
                <c:pt idx="0">
                  <c:v>Upper limit</c:v>
                </c:pt>
              </c:strCache>
            </c:strRef>
          </c:tx>
          <c:spPr>
            <a:ln w="25400" cap="rnd">
              <a:solidFill>
                <a:srgbClr val="FF0000"/>
              </a:solidFill>
              <a:round/>
            </a:ln>
            <a:effectLst/>
          </c:spPr>
          <c:marker>
            <c:symbol val="none"/>
          </c:marker>
          <c:xVal>
            <c:numRef>
              <c:f>'MFL - UT Comparison'!$R$5:$R$17</c:f>
              <c:numCache>
                <c:formatCode>General</c:formatCode>
                <c:ptCount val="13"/>
                <c:pt idx="0">
                  <c:v>16</c:v>
                </c:pt>
                <c:pt idx="1">
                  <c:v>21</c:v>
                </c:pt>
                <c:pt idx="2">
                  <c:v>26</c:v>
                </c:pt>
                <c:pt idx="3">
                  <c:v>29</c:v>
                </c:pt>
                <c:pt idx="4">
                  <c:v>31</c:v>
                </c:pt>
                <c:pt idx="5">
                  <c:v>32</c:v>
                </c:pt>
                <c:pt idx="6">
                  <c:v>33</c:v>
                </c:pt>
                <c:pt idx="7">
                  <c:v>33.5</c:v>
                </c:pt>
                <c:pt idx="8">
                  <c:v>38</c:v>
                </c:pt>
                <c:pt idx="9">
                  <c:v>40</c:v>
                </c:pt>
                <c:pt idx="10">
                  <c:v>42</c:v>
                </c:pt>
                <c:pt idx="11">
                  <c:v>49.5</c:v>
                </c:pt>
                <c:pt idx="12">
                  <c:v>53</c:v>
                </c:pt>
              </c:numCache>
            </c:numRef>
          </c:xVal>
          <c:yVal>
            <c:numRef>
              <c:f>'MFL - UT Comparison'!$V$5:$V$17</c:f>
              <c:numCache>
                <c:formatCode>General</c:formatCode>
                <c:ptCount val="13"/>
                <c:pt idx="0">
                  <c:v>29.349063908350463</c:v>
                </c:pt>
                <c:pt idx="1">
                  <c:v>33.63206390835046</c:v>
                </c:pt>
                <c:pt idx="2">
                  <c:v>37.915063908350461</c:v>
                </c:pt>
                <c:pt idx="3">
                  <c:v>40.484863908350462</c:v>
                </c:pt>
                <c:pt idx="4">
                  <c:v>42.198063908350463</c:v>
                </c:pt>
                <c:pt idx="5">
                  <c:v>43.054663908350463</c:v>
                </c:pt>
                <c:pt idx="6">
                  <c:v>43.911263908350463</c:v>
                </c:pt>
                <c:pt idx="7">
                  <c:v>44.339563908350463</c:v>
                </c:pt>
                <c:pt idx="8">
                  <c:v>48.194263908350464</c:v>
                </c:pt>
                <c:pt idx="9">
                  <c:v>49.907463908350465</c:v>
                </c:pt>
                <c:pt idx="10">
                  <c:v>51.620663908350465</c:v>
                </c:pt>
                <c:pt idx="11">
                  <c:v>58.04516390835046</c:v>
                </c:pt>
                <c:pt idx="12">
                  <c:v>61.043263908350468</c:v>
                </c:pt>
              </c:numCache>
            </c:numRef>
          </c:yVal>
          <c:smooth val="0"/>
          <c:extLst>
            <c:ext xmlns:c16="http://schemas.microsoft.com/office/drawing/2014/chart" uri="{C3380CC4-5D6E-409C-BE32-E72D297353CC}">
              <c16:uniqueId val="{00000003-8388-48E9-AB1C-5DAC41485068}"/>
            </c:ext>
          </c:extLst>
        </c:ser>
        <c:ser>
          <c:idx val="3"/>
          <c:order val="3"/>
          <c:tx>
            <c:v>True LIne</c:v>
          </c:tx>
          <c:spPr>
            <a:ln w="25400" cap="rnd">
              <a:solidFill>
                <a:srgbClr val="FFC000"/>
              </a:solidFill>
              <a:round/>
            </a:ln>
            <a:effectLst/>
          </c:spPr>
          <c:marker>
            <c:symbol val="none"/>
          </c:marker>
          <c:xVal>
            <c:numRef>
              <c:f>'MFL - UT Comparison'!$D$19:$D$20</c:f>
              <c:numCache>
                <c:formatCode>General</c:formatCode>
                <c:ptCount val="2"/>
                <c:pt idx="0">
                  <c:v>0</c:v>
                </c:pt>
                <c:pt idx="1">
                  <c:v>75</c:v>
                </c:pt>
              </c:numCache>
            </c:numRef>
          </c:xVal>
          <c:yVal>
            <c:numRef>
              <c:f>'MFL - UT Comparison'!$D$19:$D$20</c:f>
              <c:numCache>
                <c:formatCode>General</c:formatCode>
                <c:ptCount val="2"/>
                <c:pt idx="0">
                  <c:v>0</c:v>
                </c:pt>
                <c:pt idx="1">
                  <c:v>75</c:v>
                </c:pt>
              </c:numCache>
            </c:numRef>
          </c:yVal>
          <c:smooth val="0"/>
          <c:extLst>
            <c:ext xmlns:c16="http://schemas.microsoft.com/office/drawing/2014/chart" uri="{C3380CC4-5D6E-409C-BE32-E72D297353CC}">
              <c16:uniqueId val="{00000004-8388-48E9-AB1C-5DAC41485068}"/>
            </c:ext>
          </c:extLst>
        </c:ser>
        <c:dLbls>
          <c:showLegendKey val="0"/>
          <c:showVal val="0"/>
          <c:showCatName val="0"/>
          <c:showSerName val="0"/>
          <c:showPercent val="0"/>
          <c:showBubbleSize val="0"/>
        </c:dLbls>
        <c:axId val="639219376"/>
        <c:axId val="639219704"/>
      </c:scatterChart>
      <c:valAx>
        <c:axId val="639219376"/>
        <c:scaling>
          <c:orientation val="minMax"/>
          <c:max val="7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Depth (% through material)</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219704"/>
        <c:crosses val="autoZero"/>
        <c:crossBetween val="midCat"/>
      </c:valAx>
      <c:valAx>
        <c:axId val="639219704"/>
        <c:scaling>
          <c:orientation val="minMax"/>
          <c:max val="75"/>
          <c:min val="0"/>
        </c:scaling>
        <c:delete val="0"/>
        <c:axPos val="l"/>
        <c:majorGridlines>
          <c:spPr>
            <a:ln w="9525" cap="flat" cmpd="sng" algn="ctr">
              <a:solidFill>
                <a:schemeClr val="tx1">
                  <a:lumMod val="15000"/>
                  <a:lumOff val="85000"/>
                </a:schemeClr>
              </a:solidFill>
              <a:round/>
            </a:ln>
            <a:effectLst/>
          </c:spPr>
        </c:majorGridlines>
        <c:title>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2193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HSE08</b:Tag>
    <b:SourceType>Report</b:SourceType>
    <b:Guid>{FE168C76-31ED-4B3A-B8EE-E0A29D904308}</b:Guid>
    <b:Title> Ultrasonic Sizing Errors and Their Implication for Defect Assessment</b:Title>
    <b:Year>2008</b:Year>
    <b:Author>
      <b:Author>
        <b:Corporate>HSE</b:Corporate>
      </b:Author>
    </b:Author>
    <b:Publisher>HSE</b:Publisher>
    <b:City>London</b:City>
    <b:RefOrder>1</b:RefOrder>
  </b:Source>
  <b:Source>
    <b:Tag>Sli17</b:Tag>
    <b:SourceType>InternetSite</b:SourceType>
    <b:Guid>{4B4E728B-E9B2-46BB-B539-737931D1D1D5}</b:Guid>
    <b:Author>
      <b:Author>
        <b:Corporate>SliverWing</b:Corporate>
      </b:Author>
    </b:Author>
    <b:InternetSiteTitle>SliverWing</b:InternetSiteTitle>
    <b:Year>2017</b:Year>
    <b:URL>https://www.silverwingndt.com/magnetic-flux-leakage/floormap3di-mfl-tank-floor-scanner</b:URL>
    <b:RefOrder>4</b:RefOrder>
  </b:Source>
  <b:Source>
    <b:Tag>Sch09</b:Tag>
    <b:SourceType>DocumentFromInternetSite</b:SourceType>
    <b:Guid>{161CB428-0CAC-4EAE-8AC8-03A81B73BD2D}</b:Guid>
    <b:Title>Reliability for NDT</b:Title>
    <b:Year>2009</b:Year>
    <b:Month>June</b:Month>
    <b:Day>23</b:Day>
    <b:Author>
      <b:Author>
        <b:NameList>
          <b:Person>
            <b:Last>Schaefer</b:Last>
            <b:First>L.</b:First>
          </b:Person>
        </b:NameList>
      </b:Author>
    </b:Author>
    <b:InternetSiteTitle>NDT.net</b:InternetSiteTitle>
    <b:URL>http://www.ndt.net/article/reliability2009/Inhalt/podadv~1.pdf</b:URL>
    <b:RefOrder>5</b:RefOrder>
  </b:Source>
  <b:Source>
    <b:Tag>Arv16</b:Tag>
    <b:SourceType>JournalArticle</b:SourceType>
    <b:Guid>{AF0EB84C-0FE2-4FF0-B169-361A715B9635}</b:Guid>
    <b:Title>Probability of detection: History, Development and future</b:Title>
    <b:Year>2016</b:Year>
    <b:Author>
      <b:Author>
        <b:NameList>
          <b:Person>
            <b:Last>Keprat</b:Last>
            <b:First>Arvind</b:First>
          </b:Person>
        </b:NameList>
      </b:Author>
    </b:Author>
    <b:JournalName>Research Gate</b:JournalName>
    <b:RefOrder>6</b:RefOrder>
  </b:Source>
  <b:Source>
    <b:Tag>FFü05</b:Tag>
    <b:SourceType>Report</b:SourceType>
    <b:Guid>{3A3CE5C9-D755-470A-93CC-04CB169FAF34}</b:Guid>
    <b:Title>MEASURING OF THE RELIABILITY OF NDE</b:Title>
    <b:Year>2005</b:Year>
    <b:Author>
      <b:Author>
        <b:NameList>
          <b:Person>
            <b:Last>F. Fücsök</b:Last>
            <b:First>C.</b:First>
            <b:Middle>Müller, M. Scharmach</b:Middle>
          </b:Person>
        </b:NameList>
      </b:Author>
    </b:Author>
    <b:Publisher>Federal Institute for Materials Research and Testing</b:Publisher>
    <b:City>Budapest</b:City>
    <b:RefOrder>2</b:RefOrder>
  </b:Source>
  <b:Source>
    <b:Tag>CNo94</b:Tag>
    <b:SourceType>Report</b:SourceType>
    <b:Guid>{F057EF0B-9749-4C44-BB63-A23417117F98}</b:Guid>
    <b:Author>
      <b:Author>
        <b:NameList>
          <b:Person>
            <b:Last>Konchina</b:Last>
            <b:First>C.</b:First>
            <b:Middle>NockemannG.-R. TillackH. WesselH. HeidtV.</b:Middle>
          </b:Person>
        </b:NameList>
      </b:Author>
    </b:Author>
    <b:Title>Receiver Operating Characteristic (ROC) in Nondestructive Inspection</b:Title>
    <b:Year>1994</b:Year>
    <b:Publisher>NSSE</b:Publisher>
    <b:City>Berlin</b:City>
    <b:RefOrder>3</b:RefOrder>
  </b:Source>
</b:Sources>
</file>

<file path=customXml/itemProps1.xml><?xml version="1.0" encoding="utf-8"?>
<ds:datastoreItem xmlns:ds="http://schemas.openxmlformats.org/officeDocument/2006/customXml" ds:itemID="{E5121469-5A28-4575-A362-287153358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18</Pages>
  <Words>3632</Words>
  <Characters>20707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Scott (P137237)</dc:creator>
  <cp:keywords/>
  <dc:description/>
  <cp:lastModifiedBy>Joseph Scott (P137237)</cp:lastModifiedBy>
  <cp:revision>57</cp:revision>
  <dcterms:created xsi:type="dcterms:W3CDTF">2018-02-12T09:51:00Z</dcterms:created>
  <dcterms:modified xsi:type="dcterms:W3CDTF">2018-02-26T13:47:00Z</dcterms:modified>
</cp:coreProperties>
</file>