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5503" w:rsidRDefault="00035503">
      <w:pPr>
        <w:rPr>
          <w:sz w:val="40"/>
          <w:szCs w:val="40"/>
        </w:rPr>
      </w:pPr>
    </w:p>
    <w:p w:rsidR="00D42209" w:rsidRDefault="00D42209">
      <w:pPr>
        <w:rPr>
          <w:sz w:val="40"/>
          <w:szCs w:val="40"/>
        </w:rPr>
      </w:pPr>
    </w:p>
    <w:p w:rsidR="00D42209" w:rsidRPr="00DC74A6" w:rsidRDefault="00D42209">
      <w:pPr>
        <w:rPr>
          <w:sz w:val="40"/>
          <w:szCs w:val="40"/>
        </w:rPr>
      </w:pPr>
    </w:p>
    <w:p w:rsidR="00035503" w:rsidRDefault="00035503"/>
    <w:p w:rsidR="00DC74A6" w:rsidRDefault="00DC74A6">
      <w:pPr>
        <w:rPr>
          <w:sz w:val="40"/>
          <w:szCs w:val="40"/>
        </w:rPr>
      </w:pPr>
      <w:r>
        <w:rPr>
          <w:sz w:val="40"/>
          <w:szCs w:val="40"/>
        </w:rPr>
        <w:t>UWTSD Trinity Saint David</w:t>
      </w:r>
    </w:p>
    <w:p w:rsidR="00DC74A6" w:rsidRDefault="00DC74A6">
      <w:pPr>
        <w:rPr>
          <w:sz w:val="40"/>
          <w:szCs w:val="40"/>
        </w:rPr>
      </w:pPr>
    </w:p>
    <w:p w:rsidR="00DC74A6" w:rsidRDefault="00DC74A6">
      <w:pPr>
        <w:rPr>
          <w:sz w:val="32"/>
          <w:szCs w:val="32"/>
        </w:rPr>
      </w:pPr>
      <w:r>
        <w:rPr>
          <w:sz w:val="32"/>
          <w:szCs w:val="32"/>
        </w:rPr>
        <w:t>Student: Valentina Vasileva</w:t>
      </w:r>
    </w:p>
    <w:p w:rsidR="00DC74A6" w:rsidRDefault="00DC74A6">
      <w:pPr>
        <w:rPr>
          <w:sz w:val="32"/>
          <w:szCs w:val="32"/>
        </w:rPr>
      </w:pPr>
      <w:r>
        <w:rPr>
          <w:sz w:val="32"/>
          <w:szCs w:val="32"/>
        </w:rPr>
        <w:t>Student number :1909485</w:t>
      </w:r>
    </w:p>
    <w:p w:rsidR="00DC74A6" w:rsidRDefault="00DC74A6">
      <w:pPr>
        <w:rPr>
          <w:sz w:val="32"/>
          <w:szCs w:val="32"/>
        </w:rPr>
      </w:pPr>
      <w:r>
        <w:rPr>
          <w:sz w:val="32"/>
          <w:szCs w:val="32"/>
        </w:rPr>
        <w:t>Assignment 2</w:t>
      </w:r>
      <w:r w:rsidR="005530FB">
        <w:rPr>
          <w:sz w:val="32"/>
          <w:szCs w:val="32"/>
        </w:rPr>
        <w:t xml:space="preserve">   Analysis and Evaluation- NESTLE</w:t>
      </w:r>
    </w:p>
    <w:p w:rsidR="00035503" w:rsidRDefault="00DC74A6">
      <w:pPr>
        <w:rPr>
          <w:sz w:val="40"/>
          <w:szCs w:val="40"/>
        </w:rPr>
      </w:pPr>
      <w:r>
        <w:rPr>
          <w:sz w:val="32"/>
          <w:szCs w:val="32"/>
        </w:rPr>
        <w:t xml:space="preserve">Marketing Fundamentals </w:t>
      </w:r>
      <w:r>
        <w:rPr>
          <w:sz w:val="40"/>
          <w:szCs w:val="40"/>
        </w:rPr>
        <w:t xml:space="preserve"> LCBB4004</w:t>
      </w:r>
    </w:p>
    <w:p w:rsidR="00DC74A6" w:rsidRPr="00B84AC7" w:rsidRDefault="00DC74A6">
      <w:pPr>
        <w:rPr>
          <w:sz w:val="32"/>
          <w:szCs w:val="32"/>
        </w:rPr>
      </w:pPr>
      <w:r w:rsidRPr="00B84AC7">
        <w:rPr>
          <w:sz w:val="32"/>
          <w:szCs w:val="32"/>
        </w:rPr>
        <w:t xml:space="preserve">Lecturer: </w:t>
      </w:r>
      <w:r w:rsidR="003F3505" w:rsidRPr="00B84AC7">
        <w:rPr>
          <w:sz w:val="32"/>
          <w:szCs w:val="32"/>
        </w:rPr>
        <w:t>Tushara Balendran</w:t>
      </w:r>
    </w:p>
    <w:p w:rsidR="00035503" w:rsidRDefault="00035503"/>
    <w:p w:rsidR="00035503" w:rsidRDefault="00035503"/>
    <w:p w:rsidR="00035503" w:rsidRDefault="00035503"/>
    <w:p w:rsidR="00035503" w:rsidRDefault="00035503"/>
    <w:p w:rsidR="00035503" w:rsidRDefault="00035503"/>
    <w:p w:rsidR="00035503" w:rsidRDefault="00035503"/>
    <w:p w:rsidR="00035503" w:rsidRDefault="00035503"/>
    <w:p w:rsidR="00672810" w:rsidRDefault="00672810" w:rsidP="003B1E6F">
      <w:pPr>
        <w:tabs>
          <w:tab w:val="left" w:pos="1848"/>
        </w:tabs>
      </w:pPr>
    </w:p>
    <w:p w:rsidR="003F3505" w:rsidRDefault="003F3505" w:rsidP="003B1E6F">
      <w:pPr>
        <w:tabs>
          <w:tab w:val="left" w:pos="1848"/>
        </w:tabs>
      </w:pPr>
    </w:p>
    <w:p w:rsidR="003F3505" w:rsidRDefault="003F3505" w:rsidP="003B1E6F">
      <w:pPr>
        <w:tabs>
          <w:tab w:val="left" w:pos="1848"/>
        </w:tabs>
      </w:pPr>
    </w:p>
    <w:p w:rsidR="003F3505" w:rsidRDefault="003F3505" w:rsidP="003B1E6F">
      <w:pPr>
        <w:tabs>
          <w:tab w:val="left" w:pos="1848"/>
        </w:tabs>
      </w:pPr>
    </w:p>
    <w:sdt>
      <w:sdtPr>
        <w:rPr>
          <w:rFonts w:ascii="Arial" w:eastAsiaTheme="minorHAnsi" w:hAnsi="Arial" w:cstheme="minorBidi"/>
          <w:b w:val="0"/>
          <w:bCs w:val="0"/>
          <w:color w:val="000000" w:themeColor="text1"/>
          <w:sz w:val="24"/>
          <w:szCs w:val="22"/>
          <w:lang w:val="en-IN"/>
        </w:rPr>
        <w:id w:val="3219518"/>
        <w:docPartObj>
          <w:docPartGallery w:val="Table of Contents"/>
          <w:docPartUnique/>
        </w:docPartObj>
      </w:sdtPr>
      <w:sdtEndPr>
        <w:rPr>
          <w:lang w:val="en-GB"/>
        </w:rPr>
      </w:sdtEndPr>
      <w:sdtContent>
        <w:p w:rsidR="00035503" w:rsidRDefault="00035503" w:rsidP="00D0539C">
          <w:pPr>
            <w:pStyle w:val="TOCHeading"/>
            <w:spacing w:line="240" w:lineRule="auto"/>
            <w:jc w:val="center"/>
            <w:rPr>
              <w:rFonts w:ascii="Arial" w:hAnsi="Arial" w:cs="Arial"/>
              <w:color w:val="000000" w:themeColor="text1"/>
            </w:rPr>
          </w:pPr>
          <w:r w:rsidRPr="00035503">
            <w:rPr>
              <w:rFonts w:ascii="Arial" w:hAnsi="Arial" w:cs="Arial"/>
              <w:color w:val="000000" w:themeColor="text1"/>
            </w:rPr>
            <w:t>Table of Contents</w:t>
          </w:r>
        </w:p>
        <w:p w:rsidR="00035503" w:rsidRPr="00035503" w:rsidRDefault="00035503" w:rsidP="00D0539C">
          <w:pPr>
            <w:spacing w:line="240" w:lineRule="auto"/>
            <w:rPr>
              <w:lang w:val="en-US"/>
            </w:rPr>
          </w:pPr>
        </w:p>
        <w:p w:rsidR="00D0539C" w:rsidRPr="008D7DF0" w:rsidRDefault="00FE47FF" w:rsidP="00D0539C">
          <w:pPr>
            <w:pStyle w:val="TOC1"/>
            <w:tabs>
              <w:tab w:val="right" w:leader="dot" w:pos="9016"/>
            </w:tabs>
            <w:spacing w:line="240" w:lineRule="auto"/>
            <w:rPr>
              <w:rFonts w:asciiTheme="minorHAnsi" w:eastAsiaTheme="minorEastAsia" w:hAnsiTheme="minorHAnsi"/>
              <w:i/>
              <w:noProof/>
              <w:color w:val="auto"/>
              <w:sz w:val="22"/>
              <w:lang w:val="en-IN" w:eastAsia="en-IN"/>
            </w:rPr>
          </w:pPr>
          <w:r>
            <w:fldChar w:fldCharType="begin"/>
          </w:r>
          <w:r w:rsidR="00035503">
            <w:instrText xml:space="preserve"> TOC \o "1-3" \h \z \u </w:instrText>
          </w:r>
          <w:r>
            <w:fldChar w:fldCharType="separate"/>
          </w:r>
          <w:hyperlink w:anchor="_Toc39062777" w:history="1">
            <w:r w:rsidR="00D0539C" w:rsidRPr="008D7DF0">
              <w:rPr>
                <w:rStyle w:val="Hyperlink"/>
                <w:i/>
                <w:noProof/>
              </w:rPr>
              <w:t>Task 1A</w:t>
            </w:r>
            <w:r w:rsidR="00D0539C" w:rsidRPr="008D7DF0">
              <w:rPr>
                <w:i/>
                <w:noProof/>
                <w:webHidden/>
              </w:rPr>
              <w:tab/>
            </w:r>
            <w:r w:rsidRPr="008D7DF0">
              <w:rPr>
                <w:i/>
                <w:noProof/>
                <w:webHidden/>
              </w:rPr>
              <w:fldChar w:fldCharType="begin"/>
            </w:r>
            <w:r w:rsidR="00D0539C" w:rsidRPr="008D7DF0">
              <w:rPr>
                <w:i/>
                <w:noProof/>
                <w:webHidden/>
              </w:rPr>
              <w:instrText xml:space="preserve"> PAGEREF _Toc39062777 \h </w:instrText>
            </w:r>
            <w:r w:rsidRPr="008D7DF0">
              <w:rPr>
                <w:i/>
                <w:noProof/>
                <w:webHidden/>
              </w:rPr>
            </w:r>
            <w:r w:rsidRPr="008D7DF0">
              <w:rPr>
                <w:i/>
                <w:noProof/>
                <w:webHidden/>
              </w:rPr>
              <w:fldChar w:fldCharType="separate"/>
            </w:r>
            <w:r w:rsidR="00D0539C" w:rsidRPr="008D7DF0">
              <w:rPr>
                <w:i/>
                <w:noProof/>
                <w:webHidden/>
              </w:rPr>
              <w:t>2</w:t>
            </w:r>
            <w:r w:rsidRPr="008D7DF0">
              <w:rPr>
                <w:i/>
                <w:noProof/>
                <w:webHidden/>
              </w:rPr>
              <w:fldChar w:fldCharType="end"/>
            </w:r>
          </w:hyperlink>
        </w:p>
        <w:p w:rsidR="00D0539C" w:rsidRPr="008D7DF0" w:rsidRDefault="00FE47FF" w:rsidP="00D0539C">
          <w:pPr>
            <w:pStyle w:val="TOC1"/>
            <w:tabs>
              <w:tab w:val="right" w:leader="dot" w:pos="9016"/>
            </w:tabs>
            <w:spacing w:line="240" w:lineRule="auto"/>
            <w:rPr>
              <w:rFonts w:asciiTheme="minorHAnsi" w:eastAsiaTheme="minorEastAsia" w:hAnsiTheme="minorHAnsi"/>
              <w:i/>
              <w:noProof/>
              <w:color w:val="auto"/>
              <w:sz w:val="22"/>
              <w:lang w:val="en-IN" w:eastAsia="en-IN"/>
            </w:rPr>
          </w:pPr>
          <w:hyperlink w:anchor="_Toc39062778" w:history="1">
            <w:r w:rsidR="00D0539C" w:rsidRPr="008D7DF0">
              <w:rPr>
                <w:rStyle w:val="Hyperlink"/>
                <w:i/>
                <w:noProof/>
              </w:rPr>
              <w:t>Introduction</w:t>
            </w:r>
            <w:r w:rsidR="00D0539C" w:rsidRPr="008D7DF0">
              <w:rPr>
                <w:i/>
                <w:noProof/>
                <w:webHidden/>
              </w:rPr>
              <w:tab/>
            </w:r>
            <w:r w:rsidRPr="008D7DF0">
              <w:rPr>
                <w:i/>
                <w:noProof/>
                <w:webHidden/>
              </w:rPr>
              <w:fldChar w:fldCharType="begin"/>
            </w:r>
            <w:r w:rsidR="00D0539C" w:rsidRPr="008D7DF0">
              <w:rPr>
                <w:i/>
                <w:noProof/>
                <w:webHidden/>
              </w:rPr>
              <w:instrText xml:space="preserve"> PAGEREF _Toc39062778 \h </w:instrText>
            </w:r>
            <w:r w:rsidRPr="008D7DF0">
              <w:rPr>
                <w:i/>
                <w:noProof/>
                <w:webHidden/>
              </w:rPr>
            </w:r>
            <w:r w:rsidRPr="008D7DF0">
              <w:rPr>
                <w:i/>
                <w:noProof/>
                <w:webHidden/>
              </w:rPr>
              <w:fldChar w:fldCharType="separate"/>
            </w:r>
            <w:r w:rsidR="00D0539C" w:rsidRPr="008D7DF0">
              <w:rPr>
                <w:i/>
                <w:noProof/>
                <w:webHidden/>
              </w:rPr>
              <w:t>2</w:t>
            </w:r>
            <w:r w:rsidRPr="008D7DF0">
              <w:rPr>
                <w:i/>
                <w:noProof/>
                <w:webHidden/>
              </w:rPr>
              <w:fldChar w:fldCharType="end"/>
            </w:r>
          </w:hyperlink>
        </w:p>
        <w:p w:rsidR="00D0539C" w:rsidRPr="008D7DF0" w:rsidRDefault="00FE47FF" w:rsidP="00D0539C">
          <w:pPr>
            <w:pStyle w:val="TOC1"/>
            <w:tabs>
              <w:tab w:val="right" w:leader="dot" w:pos="9016"/>
            </w:tabs>
            <w:spacing w:line="240" w:lineRule="auto"/>
            <w:rPr>
              <w:rFonts w:asciiTheme="minorHAnsi" w:eastAsiaTheme="minorEastAsia" w:hAnsiTheme="minorHAnsi"/>
              <w:i/>
              <w:noProof/>
              <w:color w:val="auto"/>
              <w:sz w:val="22"/>
              <w:lang w:val="en-IN" w:eastAsia="en-IN"/>
            </w:rPr>
          </w:pPr>
          <w:hyperlink w:anchor="_Toc39062779" w:history="1">
            <w:r w:rsidR="00D0539C" w:rsidRPr="008D7DF0">
              <w:rPr>
                <w:rStyle w:val="Hyperlink"/>
                <w:i/>
                <w:noProof/>
              </w:rPr>
              <w:t>1. Process and Stages of Marketing</w:t>
            </w:r>
            <w:r w:rsidR="00D0539C" w:rsidRPr="008D7DF0">
              <w:rPr>
                <w:i/>
                <w:noProof/>
                <w:webHidden/>
              </w:rPr>
              <w:tab/>
            </w:r>
            <w:r w:rsidRPr="008D7DF0">
              <w:rPr>
                <w:i/>
                <w:noProof/>
                <w:webHidden/>
              </w:rPr>
              <w:fldChar w:fldCharType="begin"/>
            </w:r>
            <w:r w:rsidR="00D0539C" w:rsidRPr="008D7DF0">
              <w:rPr>
                <w:i/>
                <w:noProof/>
                <w:webHidden/>
              </w:rPr>
              <w:instrText xml:space="preserve"> PAGEREF _Toc39062779 \h </w:instrText>
            </w:r>
            <w:r w:rsidRPr="008D7DF0">
              <w:rPr>
                <w:i/>
                <w:noProof/>
                <w:webHidden/>
              </w:rPr>
            </w:r>
            <w:r w:rsidRPr="008D7DF0">
              <w:rPr>
                <w:i/>
                <w:noProof/>
                <w:webHidden/>
              </w:rPr>
              <w:fldChar w:fldCharType="separate"/>
            </w:r>
            <w:r w:rsidR="00D0539C" w:rsidRPr="008D7DF0">
              <w:rPr>
                <w:i/>
                <w:noProof/>
                <w:webHidden/>
              </w:rPr>
              <w:t>2</w:t>
            </w:r>
            <w:r w:rsidRPr="008D7DF0">
              <w:rPr>
                <w:i/>
                <w:noProof/>
                <w:webHidden/>
              </w:rPr>
              <w:fldChar w:fldCharType="end"/>
            </w:r>
          </w:hyperlink>
        </w:p>
        <w:p w:rsidR="00D0539C" w:rsidRPr="008D7DF0" w:rsidRDefault="00FE47FF" w:rsidP="00D0539C">
          <w:pPr>
            <w:pStyle w:val="TOC3"/>
            <w:tabs>
              <w:tab w:val="right" w:leader="dot" w:pos="9016"/>
            </w:tabs>
            <w:spacing w:line="240" w:lineRule="auto"/>
            <w:rPr>
              <w:rFonts w:asciiTheme="minorHAnsi" w:eastAsiaTheme="minorEastAsia" w:hAnsiTheme="minorHAnsi"/>
              <w:i/>
              <w:noProof/>
              <w:color w:val="auto"/>
              <w:sz w:val="22"/>
              <w:lang w:val="en-IN" w:eastAsia="en-IN"/>
            </w:rPr>
          </w:pPr>
          <w:hyperlink w:anchor="_Toc39062782" w:history="1">
            <w:r w:rsidR="00D0539C" w:rsidRPr="008D7DF0">
              <w:rPr>
                <w:rStyle w:val="Hyperlink"/>
                <w:i/>
                <w:noProof/>
              </w:rPr>
              <w:t>SWOT</w:t>
            </w:r>
            <w:r w:rsidR="00D0539C" w:rsidRPr="008D7DF0">
              <w:rPr>
                <w:i/>
                <w:noProof/>
                <w:webHidden/>
              </w:rPr>
              <w:tab/>
            </w:r>
            <w:r w:rsidRPr="008D7DF0">
              <w:rPr>
                <w:i/>
                <w:noProof/>
                <w:webHidden/>
              </w:rPr>
              <w:fldChar w:fldCharType="begin"/>
            </w:r>
            <w:r w:rsidR="00D0539C" w:rsidRPr="008D7DF0">
              <w:rPr>
                <w:i/>
                <w:noProof/>
                <w:webHidden/>
              </w:rPr>
              <w:instrText xml:space="preserve"> PAGEREF _Toc39062782 \h </w:instrText>
            </w:r>
            <w:r w:rsidRPr="008D7DF0">
              <w:rPr>
                <w:i/>
                <w:noProof/>
                <w:webHidden/>
              </w:rPr>
            </w:r>
            <w:r w:rsidRPr="008D7DF0">
              <w:rPr>
                <w:i/>
                <w:noProof/>
                <w:webHidden/>
              </w:rPr>
              <w:fldChar w:fldCharType="separate"/>
            </w:r>
            <w:r w:rsidR="00D0539C" w:rsidRPr="008D7DF0">
              <w:rPr>
                <w:i/>
                <w:noProof/>
                <w:webHidden/>
              </w:rPr>
              <w:t>3</w:t>
            </w:r>
            <w:r w:rsidRPr="008D7DF0">
              <w:rPr>
                <w:i/>
                <w:noProof/>
                <w:webHidden/>
              </w:rPr>
              <w:fldChar w:fldCharType="end"/>
            </w:r>
          </w:hyperlink>
        </w:p>
        <w:p w:rsidR="00D0539C" w:rsidRPr="008D7DF0" w:rsidRDefault="00FE47FF" w:rsidP="00D0539C">
          <w:pPr>
            <w:pStyle w:val="TOC3"/>
            <w:tabs>
              <w:tab w:val="right" w:leader="dot" w:pos="9016"/>
            </w:tabs>
            <w:spacing w:line="240" w:lineRule="auto"/>
            <w:rPr>
              <w:rFonts w:asciiTheme="minorHAnsi" w:eastAsiaTheme="minorEastAsia" w:hAnsiTheme="minorHAnsi"/>
              <w:i/>
              <w:noProof/>
              <w:color w:val="auto"/>
              <w:sz w:val="22"/>
              <w:lang w:val="en-IN" w:eastAsia="en-IN"/>
            </w:rPr>
          </w:pPr>
          <w:hyperlink w:anchor="_Toc39062783" w:history="1">
            <w:r w:rsidR="00D0539C" w:rsidRPr="008D7DF0">
              <w:rPr>
                <w:rStyle w:val="Hyperlink"/>
                <w:i/>
                <w:noProof/>
              </w:rPr>
              <w:t>Porter’s Five Forces</w:t>
            </w:r>
            <w:r w:rsidR="00D0539C" w:rsidRPr="008D7DF0">
              <w:rPr>
                <w:i/>
                <w:noProof/>
                <w:webHidden/>
              </w:rPr>
              <w:tab/>
            </w:r>
            <w:r w:rsidR="008D7DF0" w:rsidRPr="008D7DF0">
              <w:rPr>
                <w:i/>
                <w:noProof/>
                <w:webHidden/>
              </w:rPr>
              <w:t>4</w:t>
            </w:r>
          </w:hyperlink>
        </w:p>
        <w:p w:rsidR="00D0539C" w:rsidRPr="008D7DF0" w:rsidRDefault="00FE47FF" w:rsidP="00D0539C">
          <w:pPr>
            <w:pStyle w:val="TOC3"/>
            <w:tabs>
              <w:tab w:val="right" w:leader="dot" w:pos="9016"/>
            </w:tabs>
            <w:spacing w:line="240" w:lineRule="auto"/>
            <w:rPr>
              <w:rFonts w:asciiTheme="minorHAnsi" w:eastAsiaTheme="minorEastAsia" w:hAnsiTheme="minorHAnsi"/>
              <w:i/>
              <w:noProof/>
              <w:color w:val="auto"/>
              <w:sz w:val="22"/>
              <w:lang w:val="en-IN" w:eastAsia="en-IN"/>
            </w:rPr>
          </w:pPr>
          <w:hyperlink w:anchor="_Toc39062785" w:history="1">
            <w:r w:rsidR="00D0539C" w:rsidRPr="008D7DF0">
              <w:rPr>
                <w:rStyle w:val="Hyperlink"/>
                <w:i/>
                <w:noProof/>
              </w:rPr>
              <w:t>Segmentation, Targeting and Positioning in Marketing Strategy of Nestle:</w:t>
            </w:r>
            <w:r w:rsidR="00D0539C" w:rsidRPr="008D7DF0">
              <w:rPr>
                <w:i/>
                <w:noProof/>
                <w:webHidden/>
              </w:rPr>
              <w:tab/>
            </w:r>
            <w:r w:rsidR="008D7DF0" w:rsidRPr="008D7DF0">
              <w:rPr>
                <w:i/>
                <w:noProof/>
                <w:webHidden/>
              </w:rPr>
              <w:t>6</w:t>
            </w:r>
          </w:hyperlink>
        </w:p>
        <w:p w:rsidR="00D0539C" w:rsidRPr="008D7DF0" w:rsidRDefault="00FE47FF" w:rsidP="00D0539C">
          <w:pPr>
            <w:pStyle w:val="TOC1"/>
            <w:tabs>
              <w:tab w:val="right" w:leader="dot" w:pos="9016"/>
            </w:tabs>
            <w:spacing w:line="240" w:lineRule="auto"/>
            <w:rPr>
              <w:rFonts w:asciiTheme="minorHAnsi" w:eastAsiaTheme="minorEastAsia" w:hAnsiTheme="minorHAnsi"/>
              <w:i/>
              <w:noProof/>
              <w:color w:val="auto"/>
              <w:sz w:val="22"/>
              <w:lang w:val="en-IN" w:eastAsia="en-IN"/>
            </w:rPr>
          </w:pPr>
          <w:hyperlink w:anchor="_Toc39062787" w:history="1">
            <w:r w:rsidR="00D0539C" w:rsidRPr="008D7DF0">
              <w:rPr>
                <w:rStyle w:val="Hyperlink"/>
                <w:i/>
                <w:noProof/>
              </w:rPr>
              <w:t>2. Role of marketing in creating value for consumers:</w:t>
            </w:r>
            <w:r w:rsidR="00D0539C" w:rsidRPr="008D7DF0">
              <w:rPr>
                <w:i/>
                <w:noProof/>
                <w:webHidden/>
              </w:rPr>
              <w:tab/>
            </w:r>
            <w:r w:rsidR="008D7DF0" w:rsidRPr="008D7DF0">
              <w:rPr>
                <w:i/>
                <w:noProof/>
                <w:webHidden/>
              </w:rPr>
              <w:t>9</w:t>
            </w:r>
          </w:hyperlink>
        </w:p>
        <w:p w:rsidR="00D0539C" w:rsidRPr="008D7DF0" w:rsidRDefault="00FE47FF" w:rsidP="00D0539C">
          <w:pPr>
            <w:pStyle w:val="TOC2"/>
            <w:tabs>
              <w:tab w:val="right" w:leader="dot" w:pos="9016"/>
            </w:tabs>
            <w:spacing w:line="240" w:lineRule="auto"/>
            <w:rPr>
              <w:rFonts w:asciiTheme="minorHAnsi" w:eastAsiaTheme="minorEastAsia" w:hAnsiTheme="minorHAnsi"/>
              <w:i/>
              <w:noProof/>
              <w:color w:val="auto"/>
              <w:sz w:val="22"/>
              <w:lang w:val="en-IN" w:eastAsia="en-IN"/>
            </w:rPr>
          </w:pPr>
          <w:hyperlink w:anchor="_Toc39062788" w:history="1">
            <w:r w:rsidR="00D0539C" w:rsidRPr="008D7DF0">
              <w:rPr>
                <w:rStyle w:val="Hyperlink"/>
                <w:i/>
                <w:noProof/>
              </w:rPr>
              <w:t>Marketing Concept</w:t>
            </w:r>
            <w:r w:rsidR="00D0539C" w:rsidRPr="008D7DF0">
              <w:rPr>
                <w:i/>
                <w:noProof/>
                <w:webHidden/>
              </w:rPr>
              <w:tab/>
            </w:r>
            <w:r w:rsidRPr="008D7DF0">
              <w:rPr>
                <w:i/>
                <w:noProof/>
                <w:webHidden/>
              </w:rPr>
              <w:fldChar w:fldCharType="begin"/>
            </w:r>
            <w:r w:rsidR="00D0539C" w:rsidRPr="008D7DF0">
              <w:rPr>
                <w:i/>
                <w:noProof/>
                <w:webHidden/>
              </w:rPr>
              <w:instrText xml:space="preserve"> PAGEREF _Toc39062788 \h </w:instrText>
            </w:r>
            <w:r w:rsidRPr="008D7DF0">
              <w:rPr>
                <w:i/>
                <w:noProof/>
                <w:webHidden/>
              </w:rPr>
            </w:r>
            <w:r w:rsidRPr="008D7DF0">
              <w:rPr>
                <w:i/>
                <w:noProof/>
                <w:webHidden/>
              </w:rPr>
              <w:fldChar w:fldCharType="separate"/>
            </w:r>
            <w:r w:rsidR="00D0539C" w:rsidRPr="008D7DF0">
              <w:rPr>
                <w:i/>
                <w:noProof/>
                <w:webHidden/>
              </w:rPr>
              <w:t>10</w:t>
            </w:r>
            <w:r w:rsidRPr="008D7DF0">
              <w:rPr>
                <w:i/>
                <w:noProof/>
                <w:webHidden/>
              </w:rPr>
              <w:fldChar w:fldCharType="end"/>
            </w:r>
          </w:hyperlink>
        </w:p>
        <w:p w:rsidR="00D0539C" w:rsidRPr="008D7DF0" w:rsidRDefault="00FE47FF" w:rsidP="00D0539C">
          <w:pPr>
            <w:pStyle w:val="TOC2"/>
            <w:tabs>
              <w:tab w:val="right" w:leader="dot" w:pos="9016"/>
            </w:tabs>
            <w:spacing w:line="240" w:lineRule="auto"/>
            <w:rPr>
              <w:rFonts w:asciiTheme="minorHAnsi" w:eastAsiaTheme="minorEastAsia" w:hAnsiTheme="minorHAnsi"/>
              <w:i/>
              <w:noProof/>
              <w:color w:val="auto"/>
              <w:sz w:val="22"/>
              <w:lang w:val="en-IN" w:eastAsia="en-IN"/>
            </w:rPr>
          </w:pPr>
          <w:hyperlink w:anchor="_Toc39062789" w:history="1">
            <w:r w:rsidR="00D0539C" w:rsidRPr="008D7DF0">
              <w:rPr>
                <w:rStyle w:val="Hyperlink"/>
                <w:i/>
                <w:noProof/>
              </w:rPr>
              <w:t>Branding</w:t>
            </w:r>
            <w:r w:rsidR="00D0539C" w:rsidRPr="008D7DF0">
              <w:rPr>
                <w:i/>
                <w:noProof/>
                <w:webHidden/>
              </w:rPr>
              <w:tab/>
            </w:r>
            <w:r w:rsidRPr="008D7DF0">
              <w:rPr>
                <w:i/>
                <w:noProof/>
                <w:webHidden/>
              </w:rPr>
              <w:fldChar w:fldCharType="begin"/>
            </w:r>
            <w:r w:rsidR="00D0539C" w:rsidRPr="008D7DF0">
              <w:rPr>
                <w:i/>
                <w:noProof/>
                <w:webHidden/>
              </w:rPr>
              <w:instrText xml:space="preserve"> PAGEREF _Toc39062789 \h </w:instrText>
            </w:r>
            <w:r w:rsidRPr="008D7DF0">
              <w:rPr>
                <w:i/>
                <w:noProof/>
                <w:webHidden/>
              </w:rPr>
            </w:r>
            <w:r w:rsidRPr="008D7DF0">
              <w:rPr>
                <w:i/>
                <w:noProof/>
                <w:webHidden/>
              </w:rPr>
              <w:fldChar w:fldCharType="separate"/>
            </w:r>
            <w:r w:rsidR="00D0539C" w:rsidRPr="008D7DF0">
              <w:rPr>
                <w:i/>
                <w:noProof/>
                <w:webHidden/>
              </w:rPr>
              <w:t>10</w:t>
            </w:r>
            <w:r w:rsidRPr="008D7DF0">
              <w:rPr>
                <w:i/>
                <w:noProof/>
                <w:webHidden/>
              </w:rPr>
              <w:fldChar w:fldCharType="end"/>
            </w:r>
          </w:hyperlink>
        </w:p>
        <w:p w:rsidR="00D0539C" w:rsidRPr="008D7DF0" w:rsidRDefault="00FE47FF" w:rsidP="00D0539C">
          <w:pPr>
            <w:pStyle w:val="TOC2"/>
            <w:tabs>
              <w:tab w:val="right" w:leader="dot" w:pos="9016"/>
            </w:tabs>
            <w:spacing w:line="240" w:lineRule="auto"/>
            <w:rPr>
              <w:rFonts w:asciiTheme="minorHAnsi" w:eastAsiaTheme="minorEastAsia" w:hAnsiTheme="minorHAnsi"/>
              <w:i/>
              <w:noProof/>
              <w:color w:val="auto"/>
              <w:sz w:val="22"/>
              <w:lang w:val="en-IN" w:eastAsia="en-IN"/>
            </w:rPr>
          </w:pPr>
          <w:hyperlink w:anchor="_Toc39062790" w:history="1">
            <w:r w:rsidR="00D0539C" w:rsidRPr="008D7DF0">
              <w:rPr>
                <w:rStyle w:val="Hyperlink"/>
                <w:i/>
                <w:noProof/>
              </w:rPr>
              <w:t>Advantages of branding</w:t>
            </w:r>
            <w:r w:rsidR="00D0539C" w:rsidRPr="008D7DF0">
              <w:rPr>
                <w:i/>
                <w:noProof/>
                <w:webHidden/>
              </w:rPr>
              <w:tab/>
            </w:r>
            <w:r w:rsidRPr="008D7DF0">
              <w:rPr>
                <w:i/>
                <w:noProof/>
                <w:webHidden/>
              </w:rPr>
              <w:fldChar w:fldCharType="begin"/>
            </w:r>
            <w:r w:rsidR="00D0539C" w:rsidRPr="008D7DF0">
              <w:rPr>
                <w:i/>
                <w:noProof/>
                <w:webHidden/>
              </w:rPr>
              <w:instrText xml:space="preserve"> PAGEREF _Toc39062790 \h </w:instrText>
            </w:r>
            <w:r w:rsidRPr="008D7DF0">
              <w:rPr>
                <w:i/>
                <w:noProof/>
                <w:webHidden/>
              </w:rPr>
            </w:r>
            <w:r w:rsidRPr="008D7DF0">
              <w:rPr>
                <w:i/>
                <w:noProof/>
                <w:webHidden/>
              </w:rPr>
              <w:fldChar w:fldCharType="separate"/>
            </w:r>
            <w:r w:rsidR="00D0539C" w:rsidRPr="008D7DF0">
              <w:rPr>
                <w:i/>
                <w:noProof/>
                <w:webHidden/>
              </w:rPr>
              <w:t>11</w:t>
            </w:r>
            <w:r w:rsidRPr="008D7DF0">
              <w:rPr>
                <w:i/>
                <w:noProof/>
                <w:webHidden/>
              </w:rPr>
              <w:fldChar w:fldCharType="end"/>
            </w:r>
          </w:hyperlink>
        </w:p>
        <w:p w:rsidR="00D0539C" w:rsidRPr="008D7DF0" w:rsidRDefault="00FE47FF" w:rsidP="00D0539C">
          <w:pPr>
            <w:pStyle w:val="TOC2"/>
            <w:tabs>
              <w:tab w:val="right" w:leader="dot" w:pos="9016"/>
            </w:tabs>
            <w:spacing w:line="240" w:lineRule="auto"/>
            <w:rPr>
              <w:rFonts w:asciiTheme="minorHAnsi" w:eastAsiaTheme="minorEastAsia" w:hAnsiTheme="minorHAnsi"/>
              <w:i/>
              <w:noProof/>
              <w:color w:val="auto"/>
              <w:sz w:val="22"/>
              <w:lang w:val="en-IN" w:eastAsia="en-IN"/>
            </w:rPr>
          </w:pPr>
          <w:hyperlink w:anchor="_Toc39062791" w:history="1">
            <w:r w:rsidR="00D0539C" w:rsidRPr="008D7DF0">
              <w:rPr>
                <w:rStyle w:val="Hyperlink"/>
                <w:i/>
                <w:noProof/>
              </w:rPr>
              <w:t>Ansoff Matrix:</w:t>
            </w:r>
            <w:r w:rsidR="00D0539C" w:rsidRPr="008D7DF0">
              <w:rPr>
                <w:i/>
                <w:noProof/>
                <w:webHidden/>
              </w:rPr>
              <w:tab/>
            </w:r>
            <w:r w:rsidR="008D7DF0" w:rsidRPr="008D7DF0">
              <w:rPr>
                <w:i/>
                <w:noProof/>
                <w:webHidden/>
              </w:rPr>
              <w:t>10</w:t>
            </w:r>
          </w:hyperlink>
        </w:p>
        <w:p w:rsidR="00D0539C" w:rsidRPr="008D7DF0" w:rsidRDefault="00FE47FF" w:rsidP="00D0539C">
          <w:pPr>
            <w:pStyle w:val="TOC2"/>
            <w:tabs>
              <w:tab w:val="right" w:leader="dot" w:pos="9016"/>
            </w:tabs>
            <w:spacing w:line="240" w:lineRule="auto"/>
            <w:rPr>
              <w:rFonts w:asciiTheme="minorHAnsi" w:eastAsiaTheme="minorEastAsia" w:hAnsiTheme="minorHAnsi"/>
              <w:i/>
              <w:noProof/>
              <w:color w:val="auto"/>
              <w:sz w:val="22"/>
              <w:lang w:val="en-IN" w:eastAsia="en-IN"/>
            </w:rPr>
          </w:pPr>
          <w:hyperlink w:anchor="_Toc39062792" w:history="1">
            <w:r w:rsidR="00D0539C" w:rsidRPr="008D7DF0">
              <w:rPr>
                <w:rStyle w:val="Hyperlink"/>
                <w:i/>
                <w:noProof/>
              </w:rPr>
              <w:t>Relationship Marketing:</w:t>
            </w:r>
            <w:r w:rsidR="00D0539C" w:rsidRPr="008D7DF0">
              <w:rPr>
                <w:i/>
                <w:noProof/>
                <w:webHidden/>
              </w:rPr>
              <w:tab/>
            </w:r>
            <w:r w:rsidRPr="008D7DF0">
              <w:rPr>
                <w:i/>
                <w:noProof/>
                <w:webHidden/>
              </w:rPr>
              <w:fldChar w:fldCharType="begin"/>
            </w:r>
            <w:r w:rsidR="00D0539C" w:rsidRPr="008D7DF0">
              <w:rPr>
                <w:i/>
                <w:noProof/>
                <w:webHidden/>
              </w:rPr>
              <w:instrText xml:space="preserve"> PAGEREF _Toc39062792 \h </w:instrText>
            </w:r>
            <w:r w:rsidRPr="008D7DF0">
              <w:rPr>
                <w:i/>
                <w:noProof/>
                <w:webHidden/>
              </w:rPr>
            </w:r>
            <w:r w:rsidRPr="008D7DF0">
              <w:rPr>
                <w:i/>
                <w:noProof/>
                <w:webHidden/>
              </w:rPr>
              <w:fldChar w:fldCharType="separate"/>
            </w:r>
            <w:r w:rsidR="00D0539C" w:rsidRPr="008D7DF0">
              <w:rPr>
                <w:i/>
                <w:noProof/>
                <w:webHidden/>
              </w:rPr>
              <w:t>12</w:t>
            </w:r>
            <w:r w:rsidRPr="008D7DF0">
              <w:rPr>
                <w:i/>
                <w:noProof/>
                <w:webHidden/>
              </w:rPr>
              <w:fldChar w:fldCharType="end"/>
            </w:r>
          </w:hyperlink>
        </w:p>
        <w:p w:rsidR="00D0539C" w:rsidRPr="008D7DF0" w:rsidRDefault="00FE47FF" w:rsidP="00D0539C">
          <w:pPr>
            <w:pStyle w:val="TOC1"/>
            <w:tabs>
              <w:tab w:val="right" w:leader="dot" w:pos="9016"/>
            </w:tabs>
            <w:spacing w:line="240" w:lineRule="auto"/>
            <w:rPr>
              <w:rFonts w:asciiTheme="minorHAnsi" w:eastAsiaTheme="minorEastAsia" w:hAnsiTheme="minorHAnsi"/>
              <w:i/>
              <w:noProof/>
              <w:color w:val="auto"/>
              <w:sz w:val="22"/>
              <w:lang w:val="en-IN" w:eastAsia="en-IN"/>
            </w:rPr>
          </w:pPr>
          <w:hyperlink w:anchor="_Toc39062793" w:history="1">
            <w:r w:rsidR="00D0539C" w:rsidRPr="008D7DF0">
              <w:rPr>
                <w:rStyle w:val="Hyperlink"/>
                <w:i/>
                <w:noProof/>
              </w:rPr>
              <w:t>3. Stakeholder engagement:</w:t>
            </w:r>
            <w:r w:rsidR="00D0539C" w:rsidRPr="008D7DF0">
              <w:rPr>
                <w:i/>
                <w:noProof/>
                <w:webHidden/>
              </w:rPr>
              <w:tab/>
            </w:r>
            <w:r w:rsidR="008D7DF0" w:rsidRPr="008D7DF0">
              <w:rPr>
                <w:i/>
                <w:noProof/>
                <w:webHidden/>
              </w:rPr>
              <w:t>11</w:t>
            </w:r>
          </w:hyperlink>
        </w:p>
        <w:p w:rsidR="00D0539C" w:rsidRPr="008D7DF0" w:rsidRDefault="00FE47FF" w:rsidP="00D0539C">
          <w:pPr>
            <w:pStyle w:val="TOC2"/>
            <w:tabs>
              <w:tab w:val="right" w:leader="dot" w:pos="9016"/>
            </w:tabs>
            <w:spacing w:line="240" w:lineRule="auto"/>
            <w:rPr>
              <w:rFonts w:asciiTheme="minorHAnsi" w:eastAsiaTheme="minorEastAsia" w:hAnsiTheme="minorHAnsi"/>
              <w:i/>
              <w:noProof/>
              <w:color w:val="auto"/>
              <w:sz w:val="22"/>
              <w:lang w:val="en-IN" w:eastAsia="en-IN"/>
            </w:rPr>
          </w:pPr>
          <w:hyperlink w:anchor="_Toc39062795" w:history="1">
            <w:r w:rsidR="00D0539C" w:rsidRPr="008D7DF0">
              <w:rPr>
                <w:rStyle w:val="Hyperlink"/>
                <w:i/>
                <w:noProof/>
              </w:rPr>
              <w:t>Internal Stakeholders</w:t>
            </w:r>
            <w:r w:rsidR="00D0539C" w:rsidRPr="008D7DF0">
              <w:rPr>
                <w:i/>
                <w:noProof/>
                <w:webHidden/>
              </w:rPr>
              <w:tab/>
            </w:r>
            <w:r w:rsidR="005B7150">
              <w:rPr>
                <w:i/>
                <w:noProof/>
                <w:webHidden/>
              </w:rPr>
              <w:t>11</w:t>
            </w:r>
          </w:hyperlink>
        </w:p>
        <w:p w:rsidR="00D0539C" w:rsidRPr="008D7DF0" w:rsidRDefault="00FE47FF" w:rsidP="00D0539C">
          <w:pPr>
            <w:pStyle w:val="TOC2"/>
            <w:tabs>
              <w:tab w:val="right" w:leader="dot" w:pos="9016"/>
            </w:tabs>
            <w:spacing w:line="240" w:lineRule="auto"/>
            <w:rPr>
              <w:rFonts w:asciiTheme="minorHAnsi" w:eastAsiaTheme="minorEastAsia" w:hAnsiTheme="minorHAnsi"/>
              <w:i/>
              <w:noProof/>
              <w:color w:val="auto"/>
              <w:sz w:val="22"/>
              <w:lang w:val="en-IN" w:eastAsia="en-IN"/>
            </w:rPr>
          </w:pPr>
          <w:hyperlink w:anchor="_Toc39062796" w:history="1">
            <w:r w:rsidR="00D0539C" w:rsidRPr="008D7DF0">
              <w:rPr>
                <w:rStyle w:val="Hyperlink"/>
                <w:i/>
                <w:noProof/>
              </w:rPr>
              <w:t>External Stakeholders</w:t>
            </w:r>
            <w:r w:rsidR="00D0539C" w:rsidRPr="008D7DF0">
              <w:rPr>
                <w:i/>
                <w:noProof/>
                <w:webHidden/>
              </w:rPr>
              <w:tab/>
            </w:r>
            <w:r w:rsidR="005B7150">
              <w:rPr>
                <w:i/>
                <w:noProof/>
                <w:webHidden/>
              </w:rPr>
              <w:t>11</w:t>
            </w:r>
          </w:hyperlink>
        </w:p>
        <w:p w:rsidR="00D0539C" w:rsidRPr="008D7DF0" w:rsidRDefault="00FE47FF" w:rsidP="00D0539C">
          <w:pPr>
            <w:pStyle w:val="TOC2"/>
            <w:tabs>
              <w:tab w:val="right" w:leader="dot" w:pos="9016"/>
            </w:tabs>
            <w:spacing w:line="240" w:lineRule="auto"/>
            <w:rPr>
              <w:rFonts w:asciiTheme="minorHAnsi" w:eastAsiaTheme="minorEastAsia" w:hAnsiTheme="minorHAnsi"/>
              <w:i/>
              <w:noProof/>
              <w:color w:val="auto"/>
              <w:sz w:val="22"/>
              <w:lang w:val="en-IN" w:eastAsia="en-IN"/>
            </w:rPr>
          </w:pPr>
          <w:hyperlink w:anchor="_Toc39062797" w:history="1">
            <w:r w:rsidR="00D0539C" w:rsidRPr="008D7DF0">
              <w:rPr>
                <w:rStyle w:val="Hyperlink"/>
                <w:i/>
                <w:noProof/>
              </w:rPr>
              <w:t>Communication with stakeholders</w:t>
            </w:r>
            <w:r w:rsidR="00D0539C" w:rsidRPr="008D7DF0">
              <w:rPr>
                <w:i/>
                <w:noProof/>
                <w:webHidden/>
              </w:rPr>
              <w:tab/>
            </w:r>
            <w:r w:rsidR="005B7150">
              <w:rPr>
                <w:i/>
                <w:noProof/>
                <w:webHidden/>
              </w:rPr>
              <w:t>12</w:t>
            </w:r>
          </w:hyperlink>
        </w:p>
        <w:p w:rsidR="00D0539C" w:rsidRPr="008D7DF0" w:rsidRDefault="00FE47FF" w:rsidP="00D0539C">
          <w:pPr>
            <w:pStyle w:val="TOC1"/>
            <w:tabs>
              <w:tab w:val="right" w:leader="dot" w:pos="9016"/>
            </w:tabs>
            <w:spacing w:line="240" w:lineRule="auto"/>
            <w:rPr>
              <w:rFonts w:asciiTheme="minorHAnsi" w:eastAsiaTheme="minorEastAsia" w:hAnsiTheme="minorHAnsi"/>
              <w:i/>
              <w:noProof/>
              <w:color w:val="auto"/>
              <w:sz w:val="22"/>
              <w:lang w:val="en-IN" w:eastAsia="en-IN"/>
            </w:rPr>
          </w:pPr>
          <w:hyperlink w:anchor="_Toc39062798" w:history="1">
            <w:r w:rsidR="00D0539C" w:rsidRPr="008D7DF0">
              <w:rPr>
                <w:rStyle w:val="Hyperlink"/>
                <w:i/>
                <w:noProof/>
              </w:rPr>
              <w:t>Task 1B</w:t>
            </w:r>
            <w:r w:rsidR="00D0539C" w:rsidRPr="008D7DF0">
              <w:rPr>
                <w:i/>
                <w:noProof/>
                <w:webHidden/>
              </w:rPr>
              <w:tab/>
            </w:r>
            <w:r w:rsidR="008D7DF0" w:rsidRPr="008D7DF0">
              <w:rPr>
                <w:i/>
                <w:noProof/>
                <w:webHidden/>
              </w:rPr>
              <w:t>13</w:t>
            </w:r>
          </w:hyperlink>
        </w:p>
        <w:p w:rsidR="00D0539C" w:rsidRPr="008D7DF0" w:rsidRDefault="00FE47FF" w:rsidP="00D0539C">
          <w:pPr>
            <w:pStyle w:val="TOC1"/>
            <w:tabs>
              <w:tab w:val="right" w:leader="dot" w:pos="9016"/>
            </w:tabs>
            <w:spacing w:line="240" w:lineRule="auto"/>
            <w:rPr>
              <w:rFonts w:asciiTheme="minorHAnsi" w:eastAsiaTheme="minorEastAsia" w:hAnsiTheme="minorHAnsi"/>
              <w:i/>
              <w:noProof/>
              <w:color w:val="auto"/>
              <w:sz w:val="22"/>
              <w:lang w:val="en-IN" w:eastAsia="en-IN"/>
            </w:rPr>
          </w:pPr>
          <w:hyperlink w:anchor="_Toc39062799" w:history="1">
            <w:r w:rsidR="00D0539C" w:rsidRPr="008D7DF0">
              <w:rPr>
                <w:rStyle w:val="Hyperlink"/>
                <w:i/>
                <w:noProof/>
              </w:rPr>
              <w:t>Conclusion</w:t>
            </w:r>
            <w:r w:rsidR="00D0539C" w:rsidRPr="008D7DF0">
              <w:rPr>
                <w:i/>
                <w:noProof/>
                <w:webHidden/>
              </w:rPr>
              <w:tab/>
            </w:r>
            <w:r w:rsidR="008D7DF0" w:rsidRPr="008D7DF0">
              <w:rPr>
                <w:i/>
                <w:noProof/>
                <w:webHidden/>
              </w:rPr>
              <w:t>13</w:t>
            </w:r>
          </w:hyperlink>
        </w:p>
        <w:p w:rsidR="00D0539C" w:rsidRPr="008D7DF0" w:rsidRDefault="00FE47FF" w:rsidP="00D0539C">
          <w:pPr>
            <w:pStyle w:val="TOC2"/>
            <w:tabs>
              <w:tab w:val="right" w:leader="dot" w:pos="9016"/>
            </w:tabs>
            <w:spacing w:line="240" w:lineRule="auto"/>
            <w:rPr>
              <w:rFonts w:asciiTheme="minorHAnsi" w:eastAsiaTheme="minorEastAsia" w:hAnsiTheme="minorHAnsi"/>
              <w:i/>
              <w:noProof/>
              <w:color w:val="auto"/>
              <w:sz w:val="22"/>
              <w:lang w:val="en-IN" w:eastAsia="en-IN"/>
            </w:rPr>
          </w:pPr>
          <w:hyperlink w:anchor="_Toc39062800" w:history="1">
            <w:r w:rsidR="00D0539C" w:rsidRPr="008D7DF0">
              <w:rPr>
                <w:rStyle w:val="Hyperlink"/>
                <w:i/>
                <w:noProof/>
              </w:rPr>
              <w:t>Reflection of tactical communication tools</w:t>
            </w:r>
            <w:r w:rsidR="00D0539C" w:rsidRPr="008D7DF0">
              <w:rPr>
                <w:i/>
                <w:noProof/>
                <w:webHidden/>
              </w:rPr>
              <w:tab/>
            </w:r>
            <w:r w:rsidR="005B7150">
              <w:rPr>
                <w:i/>
                <w:noProof/>
                <w:webHidden/>
              </w:rPr>
              <w:t>13</w:t>
            </w:r>
          </w:hyperlink>
        </w:p>
        <w:p w:rsidR="00D0539C" w:rsidRPr="008D7DF0" w:rsidRDefault="00FE47FF" w:rsidP="00D0539C">
          <w:pPr>
            <w:pStyle w:val="TOC2"/>
            <w:tabs>
              <w:tab w:val="right" w:leader="dot" w:pos="9016"/>
            </w:tabs>
            <w:spacing w:line="240" w:lineRule="auto"/>
            <w:rPr>
              <w:rFonts w:asciiTheme="minorHAnsi" w:eastAsiaTheme="minorEastAsia" w:hAnsiTheme="minorHAnsi"/>
              <w:i/>
              <w:noProof/>
              <w:color w:val="auto"/>
              <w:sz w:val="22"/>
              <w:lang w:val="en-IN" w:eastAsia="en-IN"/>
            </w:rPr>
          </w:pPr>
          <w:hyperlink w:anchor="_Toc39062801" w:history="1">
            <w:r w:rsidR="00D0539C" w:rsidRPr="008D7DF0">
              <w:rPr>
                <w:rStyle w:val="Hyperlink"/>
                <w:i/>
                <w:noProof/>
              </w:rPr>
              <w:t>Shannon and Weaver model of communication</w:t>
            </w:r>
            <w:r w:rsidR="00D0539C" w:rsidRPr="008D7DF0">
              <w:rPr>
                <w:i/>
                <w:noProof/>
                <w:webHidden/>
              </w:rPr>
              <w:tab/>
            </w:r>
            <w:r w:rsidR="008D7DF0">
              <w:rPr>
                <w:i/>
                <w:noProof/>
                <w:webHidden/>
              </w:rPr>
              <w:t>13</w:t>
            </w:r>
          </w:hyperlink>
        </w:p>
        <w:p w:rsidR="00D0539C" w:rsidRPr="008D7DF0" w:rsidRDefault="00FE47FF" w:rsidP="00D0539C">
          <w:pPr>
            <w:pStyle w:val="TOC2"/>
            <w:tabs>
              <w:tab w:val="right" w:leader="dot" w:pos="9016"/>
            </w:tabs>
            <w:spacing w:line="240" w:lineRule="auto"/>
            <w:rPr>
              <w:rFonts w:asciiTheme="minorHAnsi" w:eastAsiaTheme="minorEastAsia" w:hAnsiTheme="minorHAnsi"/>
              <w:i/>
              <w:noProof/>
              <w:color w:val="auto"/>
              <w:sz w:val="22"/>
              <w:lang w:val="en-IN" w:eastAsia="en-IN"/>
            </w:rPr>
          </w:pPr>
          <w:hyperlink w:anchor="_Toc39062802" w:history="1">
            <w:r w:rsidR="00D0539C" w:rsidRPr="008D7DF0">
              <w:rPr>
                <w:rStyle w:val="Hyperlink"/>
                <w:i/>
                <w:noProof/>
              </w:rPr>
              <w:t>Integrated Marketing Communication</w:t>
            </w:r>
            <w:r w:rsidR="00D0539C" w:rsidRPr="008D7DF0">
              <w:rPr>
                <w:i/>
                <w:noProof/>
                <w:webHidden/>
              </w:rPr>
              <w:tab/>
            </w:r>
            <w:r w:rsidRPr="008D7DF0">
              <w:rPr>
                <w:i/>
                <w:noProof/>
                <w:webHidden/>
              </w:rPr>
              <w:fldChar w:fldCharType="begin"/>
            </w:r>
            <w:r w:rsidR="00D0539C" w:rsidRPr="008D7DF0">
              <w:rPr>
                <w:i/>
                <w:noProof/>
                <w:webHidden/>
              </w:rPr>
              <w:instrText xml:space="preserve"> PAGEREF _Toc39062802 \h </w:instrText>
            </w:r>
            <w:r w:rsidRPr="008D7DF0">
              <w:rPr>
                <w:i/>
                <w:noProof/>
                <w:webHidden/>
              </w:rPr>
            </w:r>
            <w:r w:rsidRPr="008D7DF0">
              <w:rPr>
                <w:i/>
                <w:noProof/>
                <w:webHidden/>
              </w:rPr>
              <w:fldChar w:fldCharType="separate"/>
            </w:r>
            <w:r w:rsidR="00D0539C" w:rsidRPr="008D7DF0">
              <w:rPr>
                <w:i/>
                <w:noProof/>
                <w:webHidden/>
              </w:rPr>
              <w:t>16</w:t>
            </w:r>
            <w:r w:rsidRPr="008D7DF0">
              <w:rPr>
                <w:i/>
                <w:noProof/>
                <w:webHidden/>
              </w:rPr>
              <w:fldChar w:fldCharType="end"/>
            </w:r>
          </w:hyperlink>
        </w:p>
        <w:p w:rsidR="00D0539C" w:rsidRDefault="00FE47FF" w:rsidP="00D0539C">
          <w:pPr>
            <w:pStyle w:val="TOC2"/>
            <w:tabs>
              <w:tab w:val="right" w:leader="dot" w:pos="9016"/>
            </w:tabs>
            <w:spacing w:line="240" w:lineRule="auto"/>
            <w:rPr>
              <w:rFonts w:asciiTheme="minorHAnsi" w:eastAsiaTheme="minorEastAsia" w:hAnsiTheme="minorHAnsi"/>
              <w:noProof/>
              <w:color w:val="auto"/>
              <w:sz w:val="22"/>
              <w:lang w:val="en-IN" w:eastAsia="en-IN"/>
            </w:rPr>
          </w:pPr>
          <w:hyperlink w:anchor="_Toc39062803" w:history="1">
            <w:r w:rsidR="00D0539C" w:rsidRPr="006978A0">
              <w:rPr>
                <w:rStyle w:val="Hyperlink"/>
                <w:noProof/>
              </w:rPr>
              <w:t>Different types of promotion of Nestle:</w:t>
            </w:r>
            <w:r w:rsidR="00D0539C">
              <w:rPr>
                <w:noProof/>
                <w:webHidden/>
              </w:rPr>
              <w:tab/>
            </w:r>
            <w:r w:rsidR="005B7150">
              <w:rPr>
                <w:noProof/>
                <w:webHidden/>
              </w:rPr>
              <w:t>14</w:t>
            </w:r>
          </w:hyperlink>
        </w:p>
        <w:p w:rsidR="00D0539C" w:rsidRDefault="00FE47FF" w:rsidP="00D0539C">
          <w:pPr>
            <w:pStyle w:val="TOC1"/>
            <w:tabs>
              <w:tab w:val="right" w:leader="dot" w:pos="9016"/>
            </w:tabs>
            <w:spacing w:line="240" w:lineRule="auto"/>
            <w:rPr>
              <w:rFonts w:asciiTheme="minorHAnsi" w:eastAsiaTheme="minorEastAsia" w:hAnsiTheme="minorHAnsi"/>
              <w:noProof/>
              <w:color w:val="auto"/>
              <w:sz w:val="22"/>
              <w:lang w:val="en-IN" w:eastAsia="en-IN"/>
            </w:rPr>
          </w:pPr>
          <w:hyperlink w:anchor="_Toc39062804" w:history="1">
            <w:r w:rsidR="00D0539C" w:rsidRPr="006978A0">
              <w:rPr>
                <w:rStyle w:val="Hyperlink"/>
                <w:noProof/>
              </w:rPr>
              <w:t>References:</w:t>
            </w:r>
            <w:r w:rsidR="00D0539C">
              <w:rPr>
                <w:noProof/>
                <w:webHidden/>
              </w:rPr>
              <w:tab/>
            </w:r>
            <w:r w:rsidR="008D7DF0">
              <w:rPr>
                <w:noProof/>
                <w:webHidden/>
              </w:rPr>
              <w:t>16</w:t>
            </w:r>
          </w:hyperlink>
        </w:p>
        <w:p w:rsidR="00035503" w:rsidRDefault="00FE47FF" w:rsidP="00D0539C">
          <w:pPr>
            <w:spacing w:line="240" w:lineRule="auto"/>
          </w:pPr>
          <w:r>
            <w:fldChar w:fldCharType="end"/>
          </w:r>
        </w:p>
      </w:sdtContent>
    </w:sdt>
    <w:p w:rsidR="00032D7C" w:rsidRDefault="00032D7C">
      <w:pPr>
        <w:spacing w:line="276" w:lineRule="auto"/>
        <w:jc w:val="left"/>
        <w:rPr>
          <w:rFonts w:eastAsiaTheme="majorEastAsia" w:cstheme="majorBidi"/>
          <w:b/>
          <w:bCs/>
          <w:szCs w:val="28"/>
        </w:rPr>
      </w:pPr>
    </w:p>
    <w:p w:rsidR="00214E9E" w:rsidRDefault="00214E9E">
      <w:pPr>
        <w:spacing w:line="276" w:lineRule="auto"/>
        <w:jc w:val="left"/>
        <w:rPr>
          <w:rFonts w:eastAsiaTheme="majorEastAsia" w:cstheme="majorBidi"/>
          <w:b/>
          <w:bCs/>
          <w:szCs w:val="28"/>
        </w:rPr>
      </w:pPr>
    </w:p>
    <w:p w:rsidR="00214E9E" w:rsidRDefault="00214E9E">
      <w:pPr>
        <w:spacing w:line="276" w:lineRule="auto"/>
        <w:jc w:val="left"/>
        <w:rPr>
          <w:rFonts w:eastAsiaTheme="majorEastAsia" w:cstheme="majorBidi"/>
          <w:b/>
          <w:bCs/>
          <w:szCs w:val="28"/>
        </w:rPr>
      </w:pPr>
    </w:p>
    <w:p w:rsidR="00DB7B6C" w:rsidRDefault="00DB7B6C">
      <w:pPr>
        <w:spacing w:line="276" w:lineRule="auto"/>
        <w:jc w:val="left"/>
        <w:rPr>
          <w:rFonts w:eastAsiaTheme="majorEastAsia" w:cstheme="majorBidi"/>
          <w:b/>
          <w:bCs/>
          <w:szCs w:val="28"/>
        </w:rPr>
      </w:pPr>
    </w:p>
    <w:p w:rsidR="00E01FB2" w:rsidRDefault="00E01FB2" w:rsidP="00035503">
      <w:pPr>
        <w:pStyle w:val="Heading1"/>
      </w:pPr>
      <w:bookmarkStart w:id="0" w:name="_Toc39062777"/>
      <w:r>
        <w:lastRenderedPageBreak/>
        <w:t>Task 1A</w:t>
      </w:r>
      <w:bookmarkEnd w:id="0"/>
    </w:p>
    <w:p w:rsidR="004D0B00" w:rsidRPr="005B7150" w:rsidRDefault="004D0B00" w:rsidP="004D0B00">
      <w:pPr>
        <w:pStyle w:val="Heading1"/>
      </w:pPr>
      <w:bookmarkStart w:id="1" w:name="_Toc39062778"/>
      <w:r w:rsidRPr="005B7150">
        <w:t>Introduction</w:t>
      </w:r>
      <w:bookmarkEnd w:id="1"/>
    </w:p>
    <w:p w:rsidR="004D0B00" w:rsidRPr="004D0B00" w:rsidRDefault="004D0B00" w:rsidP="004D0B00">
      <w:r>
        <w:t xml:space="preserve">As defined by Philip Kotler marketing can be described as the art and science of investigating, generating besides delivering value in satisfying the target market’s need at a profit. Marketing classifies needs along with desires which are mostly unfulfilled. It identifies along with computes and quantifies the identified market’s size along with the profit prospective. It categorizes the segments that the company is competent in serving the best besides designing and promoting the fitting services and products. This report will be dealing with marketing concepts and associates the same with Nestle, the food and beverage industry giant. </w:t>
      </w:r>
    </w:p>
    <w:p w:rsidR="00E01FB2" w:rsidRDefault="00E01FB2" w:rsidP="00035503">
      <w:pPr>
        <w:pStyle w:val="Heading1"/>
      </w:pPr>
      <w:bookmarkStart w:id="2" w:name="_GoBack"/>
      <w:bookmarkStart w:id="3" w:name="_Toc39062779"/>
      <w:bookmarkEnd w:id="2"/>
      <w:r>
        <w:t>1. Process and Stages of Marketing</w:t>
      </w:r>
      <w:bookmarkEnd w:id="3"/>
    </w:p>
    <w:p w:rsidR="003A543F" w:rsidRPr="008F3DB7" w:rsidRDefault="003A543F" w:rsidP="00035503">
      <w:pPr>
        <w:pStyle w:val="Heading2"/>
        <w:rPr>
          <w:color w:val="auto"/>
        </w:rPr>
      </w:pPr>
      <w:r w:rsidRPr="008F3DB7">
        <w:rPr>
          <w:color w:val="auto"/>
        </w:rPr>
        <w:t>Marketing process</w:t>
      </w:r>
      <w:bookmarkStart w:id="4" w:name="_Toc39062780"/>
      <w:r w:rsidRPr="008F3DB7">
        <w:rPr>
          <w:color w:val="auto"/>
        </w:rPr>
        <w:t>:</w:t>
      </w:r>
      <w:bookmarkEnd w:id="4"/>
    </w:p>
    <w:p w:rsidR="003762AE" w:rsidRDefault="00481267">
      <w:r>
        <w:t>Under the concept of marketing, an organization requires finding a way in discovering consumer’s unfulfilled needs besides bringing to the market the products/services which tends to satisfy those needs. The process of performing so can be modelled in a series of steps: the situation is assessed in identifying opportunities, strategies being planned for value proposition, tactical decisions being taken, implementing the plan and monitoring the outcome</w:t>
      </w:r>
      <w:r w:rsidR="00B961FC">
        <w:t xml:space="preserve"> (Appiah-Adu and Amoako</w:t>
      </w:r>
      <w:r w:rsidR="00B961FC" w:rsidRPr="00657EE3">
        <w:t xml:space="preserve"> 2016</w:t>
      </w:r>
      <w:r w:rsidR="00B961FC">
        <w:t>)</w:t>
      </w:r>
      <w:r>
        <w:t xml:space="preserve">. </w:t>
      </w:r>
    </w:p>
    <w:p w:rsidR="00F15ACA" w:rsidRDefault="00F15ACA">
      <w:r>
        <w:rPr>
          <w:noProof/>
          <w:lang w:eastAsia="en-GB"/>
        </w:rPr>
        <w:drawing>
          <wp:inline distT="0" distB="0" distL="0" distR="0">
            <wp:extent cx="4798139" cy="2424023"/>
            <wp:effectExtent l="19050" t="0" r="2461" b="0"/>
            <wp:docPr id="2" name="Picture 1" descr="IC-Marketing-Process-over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Marketing-Process-overview.jpg"/>
                    <pic:cNvPicPr/>
                  </pic:nvPicPr>
                  <pic:blipFill>
                    <a:blip r:embed="rId7"/>
                    <a:stretch>
                      <a:fillRect/>
                    </a:stretch>
                  </pic:blipFill>
                  <pic:spPr>
                    <a:xfrm>
                      <a:off x="0" y="0"/>
                      <a:ext cx="4820989" cy="2435567"/>
                    </a:xfrm>
                    <a:prstGeom prst="rect">
                      <a:avLst/>
                    </a:prstGeom>
                  </pic:spPr>
                </pic:pic>
              </a:graphicData>
            </a:graphic>
          </wp:inline>
        </w:drawing>
      </w:r>
    </w:p>
    <w:p w:rsidR="00F15ACA" w:rsidRPr="00F15ACA" w:rsidRDefault="00F15ACA" w:rsidP="00F15ACA">
      <w:pPr>
        <w:jc w:val="center"/>
        <w:rPr>
          <w:b/>
        </w:rPr>
      </w:pPr>
      <w:r w:rsidRPr="00F15ACA">
        <w:rPr>
          <w:b/>
        </w:rPr>
        <w:t>Source: (Appiah-Adu and Amoako 2016)</w:t>
      </w:r>
    </w:p>
    <w:p w:rsidR="00377FBF" w:rsidRDefault="00377FBF">
      <w:r>
        <w:lastRenderedPageBreak/>
        <w:t>Mission Statement of Nestle:</w:t>
      </w:r>
    </w:p>
    <w:p w:rsidR="00377FBF" w:rsidRDefault="00377FBF">
      <w:r>
        <w:t xml:space="preserve">Nestle has been able to present itself as the world’s leading health, nutrition and wellness firm. Their mission of “Good Food, Good Life” is based on offering consumers with choices that are most nutritious and best in taste within a broader assortment of food and beverage class besides eating occasions, starting from morning to night. </w:t>
      </w:r>
    </w:p>
    <w:p w:rsidR="00377FBF" w:rsidRPr="008F3DB7" w:rsidRDefault="00377FBF" w:rsidP="00035503">
      <w:pPr>
        <w:pStyle w:val="Heading2"/>
        <w:rPr>
          <w:color w:val="auto"/>
        </w:rPr>
      </w:pPr>
      <w:bookmarkStart w:id="5" w:name="_Toc39062781"/>
      <w:r w:rsidRPr="008F3DB7">
        <w:rPr>
          <w:color w:val="auto"/>
        </w:rPr>
        <w:t xml:space="preserve"> Situational Analysis:</w:t>
      </w:r>
      <w:bookmarkEnd w:id="5"/>
    </w:p>
    <w:p w:rsidR="00377FBF" w:rsidRDefault="00B154F4">
      <w:r>
        <w:t xml:space="preserve">Investigation of the situation within which a corporation finds itself largely serves as the source for categorizing the options or prospects in satisfying the consumers’ unfulfilled needs. Situational analysis is being carried out in identifying the options within market and in gaining knowledge on the company’s own abilities. </w:t>
      </w:r>
      <w:r w:rsidR="00C70ED7">
        <w:t xml:space="preserve">The situational analysis of Nestle can be outlined via the SWOT framework. </w:t>
      </w:r>
    </w:p>
    <w:p w:rsidR="008D7DF0" w:rsidRDefault="008D7DF0"/>
    <w:p w:rsidR="00C70ED7" w:rsidRPr="008F3DB7" w:rsidRDefault="00C70ED7" w:rsidP="00035503">
      <w:pPr>
        <w:pStyle w:val="Heading3"/>
        <w:rPr>
          <w:color w:val="auto"/>
        </w:rPr>
      </w:pPr>
      <w:bookmarkStart w:id="6" w:name="_Toc39062782"/>
      <w:r w:rsidRPr="008F3DB7">
        <w:rPr>
          <w:color w:val="auto"/>
        </w:rPr>
        <w:t>SWOT</w:t>
      </w:r>
      <w:bookmarkEnd w:id="6"/>
    </w:p>
    <w:tbl>
      <w:tblPr>
        <w:tblStyle w:val="TableGrid"/>
        <w:tblW w:w="9606" w:type="dxa"/>
        <w:tblLook w:val="04A0"/>
      </w:tblPr>
      <w:tblGrid>
        <w:gridCol w:w="1647"/>
        <w:gridCol w:w="7959"/>
      </w:tblGrid>
      <w:tr w:rsidR="003B37B2" w:rsidTr="004D0B00">
        <w:tc>
          <w:tcPr>
            <w:tcW w:w="1647" w:type="dxa"/>
          </w:tcPr>
          <w:p w:rsidR="003B37B2" w:rsidRDefault="003B37B2">
            <w:r>
              <w:t>Strengths</w:t>
            </w:r>
          </w:p>
        </w:tc>
        <w:tc>
          <w:tcPr>
            <w:tcW w:w="7959" w:type="dxa"/>
          </w:tcPr>
          <w:p w:rsidR="003B37B2" w:rsidRDefault="003B37B2">
            <w:r>
              <w:t xml:space="preserve">Nestlé’s product portfolio is stated being </w:t>
            </w:r>
            <w:r w:rsidR="00DE7107">
              <w:t xml:space="preserve">broadand comes under various categories like cereals, bottled water, dairy, chilled &amp; frozen food, pet care, healthcare nutrition, coffee, chocolate &amp; confectionary besides baby foods. Nestle enjoys a product portfolio that is mostly unrivalled which assists the firm in gaining competitive edge over its rivals. </w:t>
            </w:r>
          </w:p>
          <w:p w:rsidR="00DE7107" w:rsidRDefault="00DE7107"/>
          <w:p w:rsidR="00DE7107" w:rsidRDefault="003F69E6">
            <w:r>
              <w:t xml:space="preserve">Nestlé’s </w:t>
            </w:r>
            <w:r w:rsidR="00320FE0">
              <w:t xml:space="preserve">base of suppliers is stated being extremely strong. The firm works with around 165,000 direct suppliers besides taking the services of 695,000 individual farmers at the global scale. This allows the firm in making sure the supply of materials in long-term remains sustainable and any challenges within supply chain are being managed in proper manner. </w:t>
            </w:r>
          </w:p>
        </w:tc>
      </w:tr>
      <w:tr w:rsidR="003B37B2" w:rsidTr="004D0B00">
        <w:tc>
          <w:tcPr>
            <w:tcW w:w="1647" w:type="dxa"/>
          </w:tcPr>
          <w:p w:rsidR="003B37B2" w:rsidRDefault="00F73C7E">
            <w:r>
              <w:t>Weaknesses</w:t>
            </w:r>
          </w:p>
        </w:tc>
        <w:tc>
          <w:tcPr>
            <w:tcW w:w="7959" w:type="dxa"/>
          </w:tcPr>
          <w:p w:rsidR="0064278B" w:rsidRDefault="0064278B">
            <w:r>
              <w:t>Product recall generally exhibits the commitment of a company towards its consumers’ safety</w:t>
            </w:r>
            <w:r w:rsidR="00D97BEB">
              <w:t xml:space="preserve">, though it also portrays its weakness within the supply chain. For instance, Nestle UK in 2017 had to recall a bunch of kitkats as the nuts and peanuts were not proclaimed on the label on the grounds of a mispacking incident that took place at its Sofia factory in Bulgaria. </w:t>
            </w:r>
          </w:p>
        </w:tc>
      </w:tr>
      <w:tr w:rsidR="003B37B2" w:rsidTr="004D0B00">
        <w:tc>
          <w:tcPr>
            <w:tcW w:w="1647" w:type="dxa"/>
          </w:tcPr>
          <w:p w:rsidR="003B37B2" w:rsidRDefault="00B96A3A">
            <w:r>
              <w:t>Opportunities</w:t>
            </w:r>
          </w:p>
        </w:tc>
        <w:tc>
          <w:tcPr>
            <w:tcW w:w="7959" w:type="dxa"/>
          </w:tcPr>
          <w:p w:rsidR="003B37B2" w:rsidRDefault="00B96A3A">
            <w:r>
              <w:t xml:space="preserve">Through market penetration Nestle can grow further. Additional growth is feasible within categories like pet-care, coffee, bottled water and infant nutrition within both developed and emerging markets as the firm enjoys significant </w:t>
            </w:r>
            <w:r>
              <w:lastRenderedPageBreak/>
              <w:t xml:space="preserve">share within its global market in such groups. With more customers developing into health-conscious, the firm can initiate more products which are health-based. </w:t>
            </w:r>
          </w:p>
        </w:tc>
      </w:tr>
      <w:tr w:rsidR="003B37B2" w:rsidTr="004D0B00">
        <w:tc>
          <w:tcPr>
            <w:tcW w:w="1647" w:type="dxa"/>
          </w:tcPr>
          <w:p w:rsidR="003B37B2" w:rsidRDefault="00B96A3A">
            <w:r>
              <w:lastRenderedPageBreak/>
              <w:t>Threats</w:t>
            </w:r>
          </w:p>
        </w:tc>
        <w:tc>
          <w:tcPr>
            <w:tcW w:w="7959" w:type="dxa"/>
          </w:tcPr>
          <w:p w:rsidR="003B37B2" w:rsidRDefault="009D379F">
            <w:r>
              <w:t>Nestle experiences stiff competition within its product categories. Some of its top rivals are Kellogg’s, Kraft Foods, Heinz, Unilever and Del-Monte. Apart from the rivalry aspect, Nestle also requires considering legal challenges</w:t>
            </w:r>
            <w:r w:rsidR="009D2880">
              <w:t xml:space="preserve"> as the firm in recent past has been sued quite a number of times. </w:t>
            </w:r>
          </w:p>
        </w:tc>
      </w:tr>
    </w:tbl>
    <w:p w:rsidR="00C70ED7" w:rsidRDefault="00C70ED7" w:rsidP="0043707E">
      <w:pPr>
        <w:jc w:val="center"/>
      </w:pPr>
    </w:p>
    <w:p w:rsidR="00DB7B6C" w:rsidRDefault="00DB7B6C" w:rsidP="0043707E">
      <w:pPr>
        <w:jc w:val="center"/>
      </w:pPr>
    </w:p>
    <w:p w:rsidR="00270391" w:rsidRPr="008F3DB7" w:rsidRDefault="00035503" w:rsidP="00035503">
      <w:pPr>
        <w:pStyle w:val="Heading3"/>
        <w:rPr>
          <w:color w:val="auto"/>
        </w:rPr>
      </w:pPr>
      <w:bookmarkStart w:id="7" w:name="_Toc39062783"/>
      <w:r w:rsidRPr="008F3DB7">
        <w:rPr>
          <w:color w:val="auto"/>
        </w:rPr>
        <w:t>Porter’s Five Forces</w:t>
      </w:r>
      <w:bookmarkEnd w:id="7"/>
    </w:p>
    <w:p w:rsidR="00F15ACA" w:rsidRDefault="00F15ACA" w:rsidP="00F15ACA">
      <w:pPr>
        <w:jc w:val="center"/>
      </w:pPr>
      <w:r>
        <w:rPr>
          <w:noProof/>
          <w:lang w:eastAsia="en-GB"/>
        </w:rPr>
        <w:drawing>
          <wp:inline distT="0" distB="0" distL="0" distR="0">
            <wp:extent cx="4861422" cy="3007605"/>
            <wp:effectExtent l="19050" t="0" r="0" b="0"/>
            <wp:docPr id="3" name="Picture 2" descr="porters-five-forc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ters-five-forces (1).jpg"/>
                    <pic:cNvPicPr/>
                  </pic:nvPicPr>
                  <pic:blipFill>
                    <a:blip r:embed="rId8"/>
                    <a:stretch>
                      <a:fillRect/>
                    </a:stretch>
                  </pic:blipFill>
                  <pic:spPr>
                    <a:xfrm>
                      <a:off x="0" y="0"/>
                      <a:ext cx="4857750" cy="3005333"/>
                    </a:xfrm>
                    <a:prstGeom prst="rect">
                      <a:avLst/>
                    </a:prstGeom>
                  </pic:spPr>
                </pic:pic>
              </a:graphicData>
            </a:graphic>
          </wp:inline>
        </w:drawing>
      </w:r>
    </w:p>
    <w:p w:rsidR="00F15ACA" w:rsidRDefault="00F15ACA" w:rsidP="00F15ACA">
      <w:pPr>
        <w:jc w:val="center"/>
        <w:rPr>
          <w:b/>
        </w:rPr>
      </w:pPr>
      <w:r w:rsidRPr="00F15ACA">
        <w:rPr>
          <w:b/>
        </w:rPr>
        <w:t>Sources: (Scrinis (2017)</w:t>
      </w:r>
    </w:p>
    <w:p w:rsidR="005B7150" w:rsidRPr="00F15ACA" w:rsidRDefault="005B7150" w:rsidP="00F15ACA">
      <w:pPr>
        <w:jc w:val="center"/>
        <w:rPr>
          <w:b/>
        </w:rPr>
      </w:pPr>
    </w:p>
    <w:p w:rsidR="00270391" w:rsidRDefault="00270391">
      <w:r>
        <w:t>a. Threat of Substitutes:</w:t>
      </w:r>
      <w:r w:rsidR="00D10B67">
        <w:t xml:space="preserve"> High</w:t>
      </w:r>
    </w:p>
    <w:p w:rsidR="00270391" w:rsidRDefault="00270391">
      <w:r>
        <w:t xml:space="preserve">In accordance to </w:t>
      </w:r>
      <w:r w:rsidR="00AC6089">
        <w:t>Akpoviroro, Amos and Olalekan(</w:t>
      </w:r>
      <w:r w:rsidR="00AC6089" w:rsidRPr="00657EE3">
        <w:t>2019</w:t>
      </w:r>
      <w:r w:rsidR="00AC6089">
        <w:t>)</w:t>
      </w:r>
      <w:r>
        <w:t xml:space="preserve">, the price which consumers are keen on paying for a product relies on the accessibility of products’ substitutes. The dearth of substitutes for a product signifies that consumers are reasonably insensitive to the pricing aspect. Nonetheless, the subsistence of close substitutes signifies that the consumers will be making a switch </w:t>
      </w:r>
      <w:r w:rsidR="00D10B67">
        <w:t xml:space="preserve">to the substitutes in retort to price augmentation of the product (demand is stated being elastic with regards to </w:t>
      </w:r>
      <w:r w:rsidR="00D10B67">
        <w:lastRenderedPageBreak/>
        <w:t>price). Nestle, on its part encounters higher substitute threat. Its substitutes are primarily homemade foods, milk and juices in substituting its baby formulas. Substitute for Nestle are a high threat on the grounds of them being cheaper if weighed against Nestlé’s products. There are also certain allegations against some of Nestlé’s products not being fit for consumption. This has led to augmentation within the sale of substitutes amidst people who are health conscious.</w:t>
      </w:r>
    </w:p>
    <w:p w:rsidR="00D10B67" w:rsidRDefault="00D10B67">
      <w:r>
        <w:t>b. Buyers bargaining power:</w:t>
      </w:r>
      <w:r w:rsidR="00C26AC0">
        <w:t xml:space="preserve"> High</w:t>
      </w:r>
    </w:p>
    <w:p w:rsidR="00D10B67" w:rsidRDefault="00D10B67">
      <w:r>
        <w:t xml:space="preserve">In accordance to </w:t>
      </w:r>
      <w:r w:rsidR="00AC6089">
        <w:t>Akpoviroro, Amos and Olalekan(</w:t>
      </w:r>
      <w:r w:rsidR="00AC6089" w:rsidRPr="00657EE3">
        <w:t>2019</w:t>
      </w:r>
      <w:r w:rsidR="00AC6089">
        <w:t>)</w:t>
      </w:r>
      <w:r>
        <w:t xml:space="preserve">, the bargaining power of consumers is usually decided by aspects such as cost and easiness in switching to buying products from the competitors of Nestle such as Pepsi, in addition to buyer information concerning food </w:t>
      </w:r>
      <w:r w:rsidR="009A300A">
        <w:t xml:space="preserve">and drinks </w:t>
      </w:r>
      <w:r>
        <w:t xml:space="preserve">prices </w:t>
      </w:r>
      <w:r w:rsidR="009A300A">
        <w:t xml:space="preserve">within the market. Taking in such aspects, it can be noted that the consumers of Nestle </w:t>
      </w:r>
      <w:r w:rsidR="00B83380">
        <w:t xml:space="preserve">possess a high bargaining power on the grounds of lower switching costs. Low switching costs are on the grounds of subsisting companies such as Coca-Cola and Anheuser-Busch amidst others which offers similar sort of products with identical </w:t>
      </w:r>
      <w:r w:rsidR="00C26AC0">
        <w:t xml:space="preserve">prices which lowers the switching costs of products. </w:t>
      </w:r>
    </w:p>
    <w:p w:rsidR="00C26AC0" w:rsidRDefault="00C26AC0">
      <w:r>
        <w:t>c. Bargaining power of suppliers:</w:t>
      </w:r>
      <w:r w:rsidR="00D41576">
        <w:t xml:space="preserve"> Low</w:t>
      </w:r>
    </w:p>
    <w:p w:rsidR="00C26AC0" w:rsidRDefault="00C26AC0">
      <w:r>
        <w:t xml:space="preserve">As per </w:t>
      </w:r>
      <w:r w:rsidR="00B961FC">
        <w:t>Appiah-Adu and Amoako(</w:t>
      </w:r>
      <w:r w:rsidR="00B961FC" w:rsidRPr="00657EE3">
        <w:t>2016</w:t>
      </w:r>
      <w:r w:rsidR="00B961FC">
        <w:t>)</w:t>
      </w:r>
      <w:r>
        <w:t xml:space="preserve">, the suppliers’ bargaining power has identical determinants such as the buyers’ bargaining power within an industry. The simple difference though lies in the fact that presently the firms within the sector are the buyers and suppliers are the manufacturer of inputs. Taking into account the industry of food and beverage, there are a lot of suppliers and the suppliers of Nestle such as Musim Mas that supplies palm oil possess lower bargaining power as Nestle along with Unilever buys nearly 4% of the production of palm oil at the global scale. </w:t>
      </w:r>
      <w:r w:rsidR="00D41576">
        <w:t>In addition, Nestle being one of the largest companies in the food and beverage sector globally in terms of revenues enjoys the power of getting foods from its suppliers at lowest feasible costs in improving its margin of profits.</w:t>
      </w:r>
    </w:p>
    <w:p w:rsidR="00D41576" w:rsidRDefault="00D41576">
      <w:r>
        <w:t xml:space="preserve">d. Threat of New Entry: </w:t>
      </w:r>
      <w:r w:rsidR="009356F3">
        <w:t>Moderate</w:t>
      </w:r>
    </w:p>
    <w:p w:rsidR="00D41576" w:rsidRDefault="00D41576">
      <w:r>
        <w:t xml:space="preserve">As per </w:t>
      </w:r>
      <w:r w:rsidR="00AC6089">
        <w:t>Scrinis (2017)</w:t>
      </w:r>
      <w:r>
        <w:t>, the simplicity with which the new entrants can have admittance into a m</w:t>
      </w:r>
      <w:r w:rsidR="008E649B">
        <w:t xml:space="preserve">arket relies on entry barriers and the effectuality of barriers set by the subsisting firms like Nestle, Anheuser-Busch, Pepsi, amidst others. Nestle </w:t>
      </w:r>
      <w:r w:rsidR="008E649B">
        <w:lastRenderedPageBreak/>
        <w:t xml:space="preserve">encounters a higher threat of entry </w:t>
      </w:r>
      <w:r w:rsidR="00FF44D4">
        <w:t xml:space="preserve">on the grounds of lower differentiation in products within the industry of food and beverage as most existing firms such as Nestle and Pepsi manufactures identical products. Moreover, a higher entry threat can be exhibited by the quick loss of Nestlé’s market share to its rivals. </w:t>
      </w:r>
    </w:p>
    <w:p w:rsidR="00FF44D4" w:rsidRDefault="00FF44D4">
      <w:r>
        <w:t>e. Competitive rivalry:</w:t>
      </w:r>
      <w:r w:rsidR="009356F3">
        <w:t xml:space="preserve"> High</w:t>
      </w:r>
    </w:p>
    <w:p w:rsidR="00FF44D4" w:rsidRDefault="00FF44D4">
      <w:r>
        <w:t xml:space="preserve">The intensity of competition is established by aspects like </w:t>
      </w:r>
      <w:r w:rsidR="00BD4ED8">
        <w:t xml:space="preserve">differentiation of products, seller concentration and diversity of rivals collectively with </w:t>
      </w:r>
      <w:r w:rsidR="00642A9A">
        <w:t xml:space="preserve">surpluscapacity alongside exit barriers in accordance to </w:t>
      </w:r>
      <w:r w:rsidR="00B961FC">
        <w:t>Appiah-Adu and Amoako(</w:t>
      </w:r>
      <w:r w:rsidR="00B961FC" w:rsidRPr="00657EE3">
        <w:t>2016</w:t>
      </w:r>
      <w:r w:rsidR="00B961FC">
        <w:t>)</w:t>
      </w:r>
      <w:r w:rsidR="00642A9A">
        <w:t xml:space="preserve">. Nestle encounters stiff competition from other brands such as Anheuser and Pepsi which has led to innovation in products, intense product marketing and advertising within the sector of food and beverage. Nonetheless, Nestle is categorized as one of the most admired global brands driving high consumer loyalty which has facilitated higher revenues as customers are attached to the brand. </w:t>
      </w:r>
    </w:p>
    <w:p w:rsidR="000A4614" w:rsidRPr="008F3DB7" w:rsidRDefault="000A4614" w:rsidP="00035503">
      <w:pPr>
        <w:pStyle w:val="Heading2"/>
        <w:rPr>
          <w:color w:val="auto"/>
        </w:rPr>
      </w:pPr>
      <w:bookmarkStart w:id="8" w:name="_Toc39062784"/>
      <w:r>
        <w:t xml:space="preserve"> </w:t>
      </w:r>
      <w:r w:rsidRPr="008F3DB7">
        <w:rPr>
          <w:color w:val="auto"/>
        </w:rPr>
        <w:t>Marketing Strategy:</w:t>
      </w:r>
      <w:bookmarkEnd w:id="8"/>
    </w:p>
    <w:p w:rsidR="000A4614" w:rsidRDefault="000A4614">
      <w:r>
        <w:t>After identifying the accessible marketing options, a strategic plan is being developed in following the options identified. An analysis is being carried out and the best option is selected.</w:t>
      </w:r>
    </w:p>
    <w:p w:rsidR="000A4614" w:rsidRPr="008F3DB7" w:rsidRDefault="000A4614" w:rsidP="00035503">
      <w:pPr>
        <w:pStyle w:val="Heading3"/>
        <w:rPr>
          <w:color w:val="auto"/>
        </w:rPr>
      </w:pPr>
      <w:bookmarkStart w:id="9" w:name="_Toc39062785"/>
      <w:r w:rsidRPr="008F3DB7">
        <w:rPr>
          <w:color w:val="auto"/>
        </w:rPr>
        <w:t>Segmentation, Targeting and Positioning in Marketing Strategy of Nestle:</w:t>
      </w:r>
      <w:bookmarkEnd w:id="9"/>
    </w:p>
    <w:p w:rsidR="000A4614" w:rsidRDefault="000A4614">
      <w:r>
        <w:t xml:space="preserve">Nestle has been identified as the leading FMCG firm at the global scale making use of various stratagems in different markets. It exercises demographic and behavioural segmentation policies in catering to the food and beverage sector’s changing needs. </w:t>
      </w:r>
    </w:p>
    <w:p w:rsidR="00DD4204" w:rsidRDefault="00DD4204">
      <w:r>
        <w:t>Demographic Age:</w:t>
      </w:r>
    </w:p>
    <w:p w:rsidR="00DD4204" w:rsidRDefault="00DD4204">
      <w:r>
        <w:t>Nestle segmented its market area for the key products based primarily on generation. For its products like Koko Krunch, Lactogen, Nido and Cerelac Nestle has segregated its market area section for new born babies alongside children emerging from different age groups</w:t>
      </w:r>
      <w:r w:rsidR="00805431">
        <w:t xml:space="preserve"> (Prakash 2012)</w:t>
      </w:r>
    </w:p>
    <w:p w:rsidR="00DD4204" w:rsidRDefault="00DD4204">
      <w:r>
        <w:t>Behavioural Benefits:</w:t>
      </w:r>
    </w:p>
    <w:p w:rsidR="00DD4204" w:rsidRDefault="00DD4204">
      <w:r>
        <w:t xml:space="preserve">Based on the benefit factor Nestle segregated their market effectively. Therefore they made accessible </w:t>
      </w:r>
      <w:r w:rsidR="00AC3C72">
        <w:t xml:space="preserve">Cerelac for those consumers who desires more profit from their consumed product as Cerelac engages higher nutrition for babies whose age is </w:t>
      </w:r>
      <w:r w:rsidR="00AC3C72">
        <w:lastRenderedPageBreak/>
        <w:t>below one year. Within Cerelac Nestle adds two very significant things in the form of milk and rice and on the other hand contains more minerals and vitamins essential for babies</w:t>
      </w:r>
      <w:r w:rsidR="00AC6089">
        <w:t xml:space="preserve"> (Scrinis 2017)</w:t>
      </w:r>
      <w:r w:rsidR="00AC3C72">
        <w:t xml:space="preserve">. </w:t>
      </w:r>
    </w:p>
    <w:p w:rsidR="003A3F4F" w:rsidRDefault="003A3F4F">
      <w:r>
        <w:t>Targeting:</w:t>
      </w:r>
    </w:p>
    <w:p w:rsidR="001C3448" w:rsidRDefault="003A3F4F">
      <w:r>
        <w:t xml:space="preserve">Differentiated targeting strategy also acknowledged as multi-segment marketing is a policy which facilitates a firm in appealing to multiple consumer sections along with target groups with a distinctive marketing message for each of them. Differentiated marketing possess the potential of generating greater sales. </w:t>
      </w:r>
      <w:r w:rsidR="0087736C">
        <w:t>Nestle exercises differentiated targeting strategy in order to aim for the homogeneous set of consumers that is people h</w:t>
      </w:r>
      <w:r w:rsidR="001C3448">
        <w:t>aving identical needs with its</w:t>
      </w:r>
      <w:r w:rsidR="0087736C">
        <w:t xml:space="preserve"> broader product portfolio. </w:t>
      </w:r>
      <w:r w:rsidR="001C3448">
        <w:t xml:space="preserve">Nestlé offers different products for its various market segments based on different ages and occupation. </w:t>
      </w:r>
    </w:p>
    <w:p w:rsidR="006019F2" w:rsidRDefault="006019F2">
      <w:r>
        <w:t>Positioning:</w:t>
      </w:r>
    </w:p>
    <w:p w:rsidR="003A3F4F" w:rsidRDefault="006019F2">
      <w:r>
        <w:t>Product positioning is stated being a marketing form which aims to present the benefits of a firm’s product to a particular</w:t>
      </w:r>
      <w:r w:rsidR="00D34AD2">
        <w:t xml:space="preserve"> </w:t>
      </w:r>
      <w:r>
        <w:t xml:space="preserve">target market. Through thorough market research, marketers can settle on the market they want to target based generally on the product’s favourable responses. </w:t>
      </w:r>
      <w:r w:rsidR="00132EF5">
        <w:t>Nestle exercises a mixture of product based and value based positioning schemes depending on the sort of product it is branding and the market within which it is selling its products</w:t>
      </w:r>
      <w:r w:rsidR="00AC6089">
        <w:t xml:space="preserve"> (Akpoviroro, Amos and Olalekan</w:t>
      </w:r>
      <w:r w:rsidR="00AC6089" w:rsidRPr="00657EE3">
        <w:t xml:space="preserve"> 2019</w:t>
      </w:r>
      <w:r w:rsidR="00AC6089">
        <w:t>)</w:t>
      </w:r>
      <w:r w:rsidR="00132EF5">
        <w:t xml:space="preserve">. </w:t>
      </w:r>
    </w:p>
    <w:p w:rsidR="005F53E4" w:rsidRPr="008F3DB7" w:rsidRDefault="005F53E4" w:rsidP="00035503">
      <w:pPr>
        <w:pStyle w:val="Heading2"/>
        <w:rPr>
          <w:color w:val="auto"/>
        </w:rPr>
      </w:pPr>
      <w:bookmarkStart w:id="10" w:name="_Toc39062786"/>
      <w:r>
        <w:t xml:space="preserve"> </w:t>
      </w:r>
      <w:r w:rsidRPr="008F3DB7">
        <w:rPr>
          <w:color w:val="auto"/>
        </w:rPr>
        <w:t>Marketing Mix Decisions:</w:t>
      </w:r>
      <w:bookmarkEnd w:id="10"/>
    </w:p>
    <w:p w:rsidR="005F53E4" w:rsidRDefault="005F53E4">
      <w:r>
        <w:t xml:space="preserve">Nestle within this stage will be taking detailed tactical decisions made for marketing mix’s controllable parameters. It engages decisions associated to development of product, distribution of product and product promotion. </w:t>
      </w:r>
    </w:p>
    <w:p w:rsidR="00D10B67" w:rsidRDefault="001F433D">
      <w:r>
        <w:t>Marketing Mix of Nestle:</w:t>
      </w:r>
    </w:p>
    <w:p w:rsidR="001F433D" w:rsidRDefault="001F433D">
      <w:r>
        <w:t>Product:</w:t>
      </w:r>
    </w:p>
    <w:p w:rsidR="001F433D" w:rsidRDefault="001F433D">
      <w:r>
        <w:t xml:space="preserve">Nestle provides broader assortment of products having stronger width and depth of the same. Nestle proffers different products in different nations and their decision regarding which product to sell where is largely based on costs of production, </w:t>
      </w:r>
      <w:r>
        <w:lastRenderedPageBreak/>
        <w:t>demographic factors and competition. Its product mix comprises of coffee, dairy products, chocolates &amp; confectionaries, chilled and frozen foods</w:t>
      </w:r>
      <w:r w:rsidR="00AC6089">
        <w:t xml:space="preserve"> (Carpenter 2017)</w:t>
      </w:r>
      <w:r>
        <w:t xml:space="preserve">. </w:t>
      </w:r>
    </w:p>
    <w:p w:rsidR="001F433D" w:rsidRDefault="001F433D">
      <w:r>
        <w:t>Price:</w:t>
      </w:r>
    </w:p>
    <w:p w:rsidR="001F433D" w:rsidRDefault="001F433D">
      <w:r>
        <w:t>Nestle exercises different strategies of pricing for its products along with variants.</w:t>
      </w:r>
    </w:p>
    <w:p w:rsidR="001F433D" w:rsidRDefault="001F433D">
      <w:r>
        <w:t>Competitive pricing:</w:t>
      </w:r>
    </w:p>
    <w:p w:rsidR="001F433D" w:rsidRDefault="001F433D">
      <w:r>
        <w:t>Bulk of Nestlé’s products is being offered at a pricing deemed competitive because of intense rivalry within the food and beverage sector. Products like Nestle Kitkat and Maggi having higher market demands are tendered at competitive prices</w:t>
      </w:r>
      <w:r w:rsidR="002B0469">
        <w:t xml:space="preserve"> (</w:t>
      </w:r>
      <w:r w:rsidR="002B0469" w:rsidRPr="00657EE3">
        <w:t>Kumar</w:t>
      </w:r>
      <w:r w:rsidR="002B0469">
        <w:t xml:space="preserve"> et al 2017)</w:t>
      </w:r>
      <w:r>
        <w:t xml:space="preserve">.  </w:t>
      </w:r>
    </w:p>
    <w:p w:rsidR="001F433D" w:rsidRDefault="001F433D">
      <w:r>
        <w:t>Skimming Pricing:</w:t>
      </w:r>
    </w:p>
    <w:p w:rsidR="00526598" w:rsidRPr="008F3DB7" w:rsidRDefault="001F433D" w:rsidP="008F3DB7">
      <w:r>
        <w:t>Certain products of Nestle such as Nestle A+ Slim and Nestle A+ Toned are being proffered at a price higher than its rivals. Such products are being targeted towards the individuals who are largely fitness enthusiasts alongside health conscious and consider quality over price</w:t>
      </w:r>
      <w:r w:rsidR="00F15ACA">
        <w:t xml:space="preserve"> (Akpoviroro, Amos and Olalekan</w:t>
      </w:r>
      <w:r w:rsidR="00F15ACA" w:rsidRPr="00657EE3">
        <w:t xml:space="preserve"> 2019</w:t>
      </w:r>
      <w:r w:rsidR="00F15ACA">
        <w:t>)</w:t>
      </w:r>
      <w:r>
        <w:t xml:space="preserve">. </w:t>
      </w:r>
    </w:p>
    <w:p w:rsidR="001F433D" w:rsidRDefault="001F433D">
      <w:r>
        <w:t>Place:</w:t>
      </w:r>
    </w:p>
    <w:p w:rsidR="001F433D" w:rsidRDefault="00AC6089">
      <w:r>
        <w:t>As per Scrinis (2017), t</w:t>
      </w:r>
      <w:r w:rsidR="00B23F0B">
        <w:t>he products of Nestle are accessible all across the world and on the grounds of its strong distribution channel; it has been capable of making bigger impact at the global scale. The brand has ensured its products are accessible globally and caters to the needs of its huge base of consumers. Nestlé’s products are accessible within both rural and urban areas, made possible through its robust distribution network. Nestle products are also available online as the brand has partnered with various online service providers.</w:t>
      </w:r>
    </w:p>
    <w:p w:rsidR="00B23F0B" w:rsidRDefault="00B23F0B">
      <w:r>
        <w:t>Promotion:</w:t>
      </w:r>
    </w:p>
    <w:p w:rsidR="00DB7B6C" w:rsidRPr="00DB7B6C" w:rsidRDefault="00E07943" w:rsidP="00DB7B6C">
      <w:r>
        <w:t xml:space="preserve">Promotion tends to play a key role within Nestlé’s marketing mix as the firm exercises a proper mix of BTL, ATL along with digital channels for generating consumer awareness and promotion of their products. Its strong product portfolio makes it different from its rivals and in showcasing them it utilizes different media platforms such as hoardings, online ads, print and TV. Nestle enjoys a strong presence on social media platforms that allows the brand to engage and interact with </w:t>
      </w:r>
      <w:r>
        <w:lastRenderedPageBreak/>
        <w:t>its consumers besides obtaining better insights about their products/services. Nestle also exercises BTL promotion, using Vernacular communication for endorsing themselves within various regions and states in order to connect with audience effectively</w:t>
      </w:r>
      <w:r w:rsidR="00AC6089">
        <w:t xml:space="preserve"> (Carpenter 2017)</w:t>
      </w:r>
      <w:r>
        <w:t>.</w:t>
      </w:r>
    </w:p>
    <w:p w:rsidR="00B23F0B" w:rsidRDefault="0077592E" w:rsidP="00035503">
      <w:pPr>
        <w:pStyle w:val="Heading1"/>
      </w:pPr>
      <w:bookmarkStart w:id="11" w:name="_Toc39062787"/>
      <w:r>
        <w:t>2. Role of marketing in creating value for consumers:</w:t>
      </w:r>
      <w:bookmarkEnd w:id="11"/>
    </w:p>
    <w:p w:rsidR="0077592E" w:rsidRPr="008F3DB7" w:rsidRDefault="0077592E" w:rsidP="00035503">
      <w:pPr>
        <w:pStyle w:val="Heading2"/>
        <w:rPr>
          <w:color w:val="auto"/>
        </w:rPr>
      </w:pPr>
      <w:bookmarkStart w:id="12" w:name="_Toc39062788"/>
      <w:r w:rsidRPr="008F3DB7">
        <w:rPr>
          <w:color w:val="auto"/>
        </w:rPr>
        <w:t>Marketing Concept</w:t>
      </w:r>
      <w:bookmarkEnd w:id="12"/>
      <w:r w:rsidR="00F47788" w:rsidRPr="008F3DB7">
        <w:rPr>
          <w:color w:val="auto"/>
        </w:rPr>
        <w:tab/>
      </w:r>
    </w:p>
    <w:p w:rsidR="00C96A40" w:rsidRDefault="0077592E">
      <w:r>
        <w:t xml:space="preserve">The marketing concept is stated being the values and beliefs which firms require analyzing concerning their consumers’ needs and then making decisions in satisfying those needs, better than the rivals. For the marketing conception, Nestle acquires local firms wherein they are able to rope in </w:t>
      </w:r>
      <w:r w:rsidR="00C96A40">
        <w:t xml:space="preserve">the locals as staffs and </w:t>
      </w:r>
      <w:r>
        <w:t xml:space="preserve">managers having knowledge </w:t>
      </w:r>
      <w:r w:rsidR="00C96A40">
        <w:t>about the local market’s culture than the others. This largely results in an effective reply to the local demand</w:t>
      </w:r>
      <w:r w:rsidR="00F15ACA">
        <w:t xml:space="preserve"> (Akpoviroro, Amos and Olalekan</w:t>
      </w:r>
      <w:r w:rsidR="00F15ACA" w:rsidRPr="00657EE3">
        <w:t xml:space="preserve"> 2019</w:t>
      </w:r>
      <w:r w:rsidR="00F15ACA">
        <w:t>)</w:t>
      </w:r>
      <w:r w:rsidR="00C96A40">
        <w:t>.</w:t>
      </w:r>
    </w:p>
    <w:p w:rsidR="00C96A40" w:rsidRPr="008F3DB7" w:rsidRDefault="00C81180" w:rsidP="00035503">
      <w:pPr>
        <w:pStyle w:val="Heading2"/>
        <w:rPr>
          <w:color w:val="auto"/>
        </w:rPr>
      </w:pPr>
      <w:bookmarkStart w:id="13" w:name="_Toc39062789"/>
      <w:r w:rsidRPr="008F3DB7">
        <w:rPr>
          <w:color w:val="auto"/>
        </w:rPr>
        <w:t>Branding</w:t>
      </w:r>
      <w:bookmarkEnd w:id="13"/>
    </w:p>
    <w:p w:rsidR="00C81180" w:rsidRDefault="00C81180">
      <w:r>
        <w:t>Branding is a marketing exercise of generating a name, design or symbol which identifies a product and differentiates the same from other products. Branding tells the consumers of what can be expected of a company’s products/services and it tends to differentiate the offerings of one company from that of its rivals</w:t>
      </w:r>
      <w:r w:rsidR="00AC6089">
        <w:t xml:space="preserve"> (Carpenter 2017)</w:t>
      </w:r>
      <w:r>
        <w:t xml:space="preserve">. </w:t>
      </w:r>
    </w:p>
    <w:p w:rsidR="007B16C9" w:rsidRPr="008F3DB7" w:rsidRDefault="007B16C9" w:rsidP="00035503">
      <w:pPr>
        <w:pStyle w:val="Heading2"/>
        <w:rPr>
          <w:color w:val="auto"/>
        </w:rPr>
      </w:pPr>
      <w:bookmarkStart w:id="14" w:name="_Toc39062790"/>
      <w:r w:rsidRPr="008F3DB7">
        <w:rPr>
          <w:color w:val="auto"/>
        </w:rPr>
        <w:t>Advantages of bran</w:t>
      </w:r>
      <w:r w:rsidR="00035503" w:rsidRPr="008F3DB7">
        <w:rPr>
          <w:color w:val="auto"/>
        </w:rPr>
        <w:t>ding</w:t>
      </w:r>
      <w:bookmarkEnd w:id="14"/>
    </w:p>
    <w:p w:rsidR="00D662F8" w:rsidRDefault="00D662F8">
      <w:r>
        <w:t>Awareness</w:t>
      </w:r>
    </w:p>
    <w:p w:rsidR="007B16C9" w:rsidRDefault="007B16C9">
      <w:r>
        <w:t xml:space="preserve">The harder a firm works on its branding aspect, the more consciousness it generates. For instance, Nestle as a brand is known across the globe, especially with having its presence in 190+ nations. </w:t>
      </w:r>
      <w:r w:rsidR="00D662F8">
        <w:t>The logo of Nestle is very popular and people coming in from different nations can identify it at once which symbolizes mother feeding to her children</w:t>
      </w:r>
      <w:r w:rsidR="00F940B7">
        <w:t xml:space="preserve"> (Samli 2018)</w:t>
      </w:r>
      <w:r w:rsidR="00D662F8">
        <w:t xml:space="preserve">. </w:t>
      </w:r>
    </w:p>
    <w:p w:rsidR="00D662F8" w:rsidRDefault="00D662F8">
      <w:r>
        <w:t>Consumer Loyalty</w:t>
      </w:r>
    </w:p>
    <w:p w:rsidR="00D662F8" w:rsidRDefault="00D662F8">
      <w:r>
        <w:t xml:space="preserve">Branding that is well-executed assists in creating consumer loyalty by supporting and underlining the buying of merchandise within the minds of consumers. Nestle has an </w:t>
      </w:r>
      <w:r>
        <w:lastRenderedPageBreak/>
        <w:t xml:space="preserve">extensive product portfolio that is targeted to different market segments ranging from baby food to health conscious products to chocolates and confectionaries. </w:t>
      </w:r>
      <w:r w:rsidR="00F001DC">
        <w:t>The brand’s commitment in continually delivering products at affordable rates and with better quality instils loyalty among its consumers</w:t>
      </w:r>
      <w:r w:rsidR="00AC6089">
        <w:t xml:space="preserve"> (Akpoviroro, Amos and Olalekan</w:t>
      </w:r>
      <w:r w:rsidR="00AC6089" w:rsidRPr="00657EE3">
        <w:t xml:space="preserve"> 2019</w:t>
      </w:r>
      <w:r w:rsidR="00AC6089">
        <w:t>)</w:t>
      </w:r>
      <w:r w:rsidR="00F001DC">
        <w:t xml:space="preserve">. </w:t>
      </w:r>
    </w:p>
    <w:p w:rsidR="00FA21C9" w:rsidRPr="008F3DB7" w:rsidRDefault="00FA21C9" w:rsidP="00035503">
      <w:pPr>
        <w:pStyle w:val="Heading2"/>
        <w:rPr>
          <w:color w:val="auto"/>
        </w:rPr>
      </w:pPr>
      <w:bookmarkStart w:id="15" w:name="_Toc39062791"/>
      <w:r w:rsidRPr="008F3DB7">
        <w:rPr>
          <w:color w:val="auto"/>
        </w:rPr>
        <w:t>Ansoff Matrix:</w:t>
      </w:r>
      <w:bookmarkEnd w:id="15"/>
    </w:p>
    <w:p w:rsidR="00FA21C9" w:rsidRDefault="00FA21C9">
      <w:r>
        <w:t xml:space="preserve">Product development has been Nestlé’s primary route and carried out by the firm’s R&amp;D team. Nestle believes in keeping pace with the expectation of the consumers </w:t>
      </w:r>
      <w:r w:rsidR="00C40FEC">
        <w:t>and in maintaining the same it has over the years continued to innovate so as to sustain its leadership position within marketplace. As a global company, market development too holds key for Nestle for augmenting its geographical coverage and the firm has done that by moving into 190+ countries where it has seen opportunity for itself. Nestle has also joint ventured with big brands like General Mills and Coca Cola in order to develop its market from the conventional marketing expertise on offer from the two big brands besides their distribution strength. Nestle in case of product diversification indulges in broader product portfolio that encompasses dairy products, breakfast cereals, chocolates and baby foods</w:t>
      </w:r>
      <w:r w:rsidR="00D261AC">
        <w:t xml:space="preserve"> (</w:t>
      </w:r>
      <w:r w:rsidR="00D261AC" w:rsidRPr="00D261AC">
        <w:t>S</w:t>
      </w:r>
      <w:r w:rsidR="00D261AC">
        <w:t>chawel and Billing 2018)</w:t>
      </w:r>
      <w:r w:rsidR="00C40FEC">
        <w:t xml:space="preserve">. </w:t>
      </w:r>
    </w:p>
    <w:p w:rsidR="00F15ACA" w:rsidRDefault="00F15ACA" w:rsidP="00F15ACA">
      <w:pPr>
        <w:jc w:val="center"/>
      </w:pPr>
      <w:r>
        <w:rPr>
          <w:noProof/>
          <w:lang w:eastAsia="en-GB"/>
        </w:rPr>
        <w:drawing>
          <wp:inline distT="0" distB="0" distL="0" distR="0">
            <wp:extent cx="4310579" cy="2544897"/>
            <wp:effectExtent l="19050" t="0" r="0" b="0"/>
            <wp:docPr id="1" name="Picture 1" descr="Ansoff Matrix | Business | tutor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 Business | tutor2u"/>
                    <pic:cNvPicPr>
                      <a:picLocks noChangeAspect="1" noChangeArrowheads="1"/>
                    </pic:cNvPicPr>
                  </pic:nvPicPr>
                  <pic:blipFill>
                    <a:blip r:embed="rId9"/>
                    <a:srcRect l="13310" t="10616" r="11686" b="10274"/>
                    <a:stretch>
                      <a:fillRect/>
                    </a:stretch>
                  </pic:blipFill>
                  <pic:spPr bwMode="auto">
                    <a:xfrm>
                      <a:off x="0" y="0"/>
                      <a:ext cx="4310579" cy="2544897"/>
                    </a:xfrm>
                    <a:prstGeom prst="rect">
                      <a:avLst/>
                    </a:prstGeom>
                    <a:noFill/>
                    <a:ln w="9525">
                      <a:noFill/>
                      <a:miter lim="800000"/>
                      <a:headEnd/>
                      <a:tailEnd/>
                    </a:ln>
                  </pic:spPr>
                </pic:pic>
              </a:graphicData>
            </a:graphic>
          </wp:inline>
        </w:drawing>
      </w:r>
    </w:p>
    <w:p w:rsidR="00F15ACA" w:rsidRDefault="00F15ACA" w:rsidP="00F15ACA">
      <w:pPr>
        <w:jc w:val="center"/>
        <w:rPr>
          <w:b/>
        </w:rPr>
      </w:pPr>
      <w:r w:rsidRPr="00F15ACA">
        <w:rPr>
          <w:b/>
        </w:rPr>
        <w:t>Source: (Schawel and Billing 2018)</w:t>
      </w:r>
    </w:p>
    <w:p w:rsidR="00DB7B6C" w:rsidRPr="00F15ACA" w:rsidRDefault="00DB7B6C" w:rsidP="00F15ACA">
      <w:pPr>
        <w:jc w:val="center"/>
        <w:rPr>
          <w:b/>
        </w:rPr>
      </w:pPr>
    </w:p>
    <w:p w:rsidR="006876C6" w:rsidRPr="008F3DB7" w:rsidRDefault="006876C6" w:rsidP="00035503">
      <w:pPr>
        <w:pStyle w:val="Heading2"/>
        <w:rPr>
          <w:color w:val="auto"/>
        </w:rPr>
      </w:pPr>
      <w:bookmarkStart w:id="16" w:name="_Toc39062792"/>
      <w:r w:rsidRPr="008F3DB7">
        <w:rPr>
          <w:color w:val="auto"/>
        </w:rPr>
        <w:lastRenderedPageBreak/>
        <w:t>Relationship Marketing:</w:t>
      </w:r>
      <w:bookmarkEnd w:id="16"/>
    </w:p>
    <w:p w:rsidR="006876C6" w:rsidRDefault="006876C6">
      <w:r>
        <w:t>Nestle has always positioned communication at the heart of its campaigns and this enables them in winning on the experiences of consumers. In 2018 Nestle was able to gather and segregate 100,000+ new profile by prioritizing the experiences of interactive marketing and investing within the platform of Qualifo that permits a company in engaging its audiences further. Qualifo assists Nestle in taking the aspect of audience engagement to next level</w:t>
      </w:r>
      <w:r w:rsidR="00076463">
        <w:t>, getting to know and understand their audience, one customer at a time. The data obtained from such interactive campaigns facilitates Nestle in adapting and personalizing its interactions in making sure that it is able to fit what each consumer is focusing on</w:t>
      </w:r>
      <w:r w:rsidR="002B0469">
        <w:t xml:space="preserve"> (</w:t>
      </w:r>
      <w:r w:rsidR="002B0469" w:rsidRPr="00657EE3">
        <w:t>Kumar</w:t>
      </w:r>
      <w:r w:rsidR="002B0469">
        <w:t xml:space="preserve"> et al 2017)</w:t>
      </w:r>
      <w:r w:rsidR="00076463">
        <w:t xml:space="preserve">. </w:t>
      </w:r>
    </w:p>
    <w:p w:rsidR="009356F3" w:rsidRDefault="009356F3" w:rsidP="00035503">
      <w:pPr>
        <w:pStyle w:val="Heading1"/>
      </w:pPr>
      <w:bookmarkStart w:id="17" w:name="_Toc39062793"/>
      <w:r>
        <w:t>3. Stakeholder engagement:</w:t>
      </w:r>
      <w:bookmarkEnd w:id="17"/>
    </w:p>
    <w:p w:rsidR="009356F3" w:rsidRPr="008F3DB7" w:rsidRDefault="009356F3" w:rsidP="00035503">
      <w:pPr>
        <w:pStyle w:val="Heading2"/>
        <w:rPr>
          <w:color w:val="auto"/>
        </w:rPr>
      </w:pPr>
      <w:bookmarkStart w:id="18" w:name="_Toc39062794"/>
      <w:r w:rsidRPr="008F3DB7">
        <w:rPr>
          <w:color w:val="auto"/>
        </w:rPr>
        <w:t>Definition of Stakeholder</w:t>
      </w:r>
      <w:bookmarkEnd w:id="18"/>
    </w:p>
    <w:p w:rsidR="009356F3" w:rsidRDefault="009356F3">
      <w:r>
        <w:t xml:space="preserve">A stakeholder is identified as a party having interest within a company and can either be affected by the business or have an effect on the same. </w:t>
      </w:r>
      <w:r w:rsidR="00AB1209">
        <w:t xml:space="preserve">The key stakeholders within a typical corporation are its employees, suppliers, investors and consumers. </w:t>
      </w:r>
    </w:p>
    <w:p w:rsidR="00AB1209" w:rsidRPr="008F3DB7" w:rsidRDefault="008F7157" w:rsidP="00035503">
      <w:pPr>
        <w:pStyle w:val="Heading2"/>
        <w:rPr>
          <w:color w:val="auto"/>
        </w:rPr>
      </w:pPr>
      <w:bookmarkStart w:id="19" w:name="_Toc39062795"/>
      <w:r w:rsidRPr="008F3DB7">
        <w:rPr>
          <w:color w:val="auto"/>
        </w:rPr>
        <w:t xml:space="preserve">Internal </w:t>
      </w:r>
      <w:r w:rsidR="00AB1209" w:rsidRPr="008F3DB7">
        <w:rPr>
          <w:color w:val="auto"/>
        </w:rPr>
        <w:t>Stakeholders</w:t>
      </w:r>
      <w:bookmarkEnd w:id="19"/>
    </w:p>
    <w:p w:rsidR="00AB1209" w:rsidRDefault="00AB1209">
      <w:r>
        <w:t>Internal stakeholders are stated being groups or individuals who are engaged financially and directly within the firm’s operational system. This includes owners, employees and managers. Each of the stated groups is potentially being compensated or rewarded for the company’s success</w:t>
      </w:r>
      <w:r w:rsidR="00F940B7">
        <w:t xml:space="preserve"> (Samli 2018)</w:t>
      </w:r>
      <w:r>
        <w:t xml:space="preserve">. </w:t>
      </w:r>
    </w:p>
    <w:p w:rsidR="00AB1209" w:rsidRDefault="00AB1209">
      <w:r>
        <w:t>Employees:</w:t>
      </w:r>
    </w:p>
    <w:p w:rsidR="00C40FEC" w:rsidRDefault="00AB1209">
      <w:r>
        <w:t xml:space="preserve">Employees are identified as Nestlé’s prime internal stakeholders. Employees possess significant time and financial investments within associations, playing a defining role in form of tactics and operations the organization performs. </w:t>
      </w:r>
    </w:p>
    <w:p w:rsidR="00AB1209" w:rsidRDefault="00AB1209">
      <w:r>
        <w:t>Managers:</w:t>
      </w:r>
    </w:p>
    <w:p w:rsidR="00AB1209" w:rsidRDefault="00AB1209">
      <w:r>
        <w:t xml:space="preserve">Managers tend to play a considerable role in establishing Nestlé’s strategy, voicing significant opinions in the firm’s operational decisions. Managers are accountable for decisions made besides acting as a contact point between Board of Directors and shareholders. </w:t>
      </w:r>
    </w:p>
    <w:p w:rsidR="008F7157" w:rsidRPr="008F3DB7" w:rsidRDefault="008F7157" w:rsidP="00035503">
      <w:pPr>
        <w:pStyle w:val="Heading2"/>
        <w:rPr>
          <w:color w:val="auto"/>
        </w:rPr>
      </w:pPr>
      <w:bookmarkStart w:id="20" w:name="_Toc39062796"/>
      <w:r w:rsidRPr="008F3DB7">
        <w:rPr>
          <w:color w:val="auto"/>
        </w:rPr>
        <w:lastRenderedPageBreak/>
        <w:t>External Stakeholders</w:t>
      </w:r>
      <w:bookmarkEnd w:id="20"/>
    </w:p>
    <w:p w:rsidR="008F7157" w:rsidRDefault="008F7157">
      <w:r>
        <w:t xml:space="preserve">An organization like Nestle possess quite a number of external stakeholders that they need to keep in mind while making decisions and performing operations. </w:t>
      </w:r>
      <w:r w:rsidR="00D670E7">
        <w:t>These consist</w:t>
      </w:r>
      <w:r>
        <w:t xml:space="preserve"> of but are not restricted to suppliers, creditors and consumers</w:t>
      </w:r>
      <w:r w:rsidR="00613FCA">
        <w:t xml:space="preserve"> (</w:t>
      </w:r>
      <w:r w:rsidR="00613FCA" w:rsidRPr="00442228">
        <w:t>Nestlé Global. 2020</w:t>
      </w:r>
      <w:r w:rsidR="00613FCA">
        <w:t>)</w:t>
      </w:r>
      <w:r>
        <w:t xml:space="preserve">. </w:t>
      </w:r>
    </w:p>
    <w:p w:rsidR="00FA21C9" w:rsidRDefault="00440D01">
      <w:r>
        <w:t>Consumers</w:t>
      </w:r>
    </w:p>
    <w:p w:rsidR="00440D01" w:rsidRDefault="00440D01">
      <w:r>
        <w:t xml:space="preserve">The main lifeline for Nestle over the years has been its consumers where Nestle have started to work with their food service providers along with retailers in fostering environments which promotes healthier lifestyle and diet. </w:t>
      </w:r>
    </w:p>
    <w:p w:rsidR="00440D01" w:rsidRDefault="00440D01">
      <w:r>
        <w:t>Suppliers</w:t>
      </w:r>
    </w:p>
    <w:p w:rsidR="00440D01" w:rsidRDefault="00440D01">
      <w:r>
        <w:t xml:space="preserve">Suppliers form an important part of Nestle business as they are the source of the brand’s raw materials that gets processed into different final products. Nestle via Nescafe Plan assisted smallholder coffee farmers within Indonesia’s Lampung province to enhance productivity besides their Robusta coffee’s quality. </w:t>
      </w:r>
    </w:p>
    <w:p w:rsidR="00440D01" w:rsidRDefault="00440D01" w:rsidP="00035503">
      <w:pPr>
        <w:pStyle w:val="Heading2"/>
        <w:rPr>
          <w:color w:val="auto"/>
        </w:rPr>
      </w:pPr>
      <w:bookmarkStart w:id="21" w:name="_Toc39062797"/>
      <w:r w:rsidRPr="008F3DB7">
        <w:rPr>
          <w:color w:val="auto"/>
        </w:rPr>
        <w:t>Communication with stakeholders</w:t>
      </w:r>
      <w:bookmarkEnd w:id="21"/>
    </w:p>
    <w:p w:rsidR="00DB7B6C" w:rsidRPr="00DB7B6C" w:rsidRDefault="00DB7B6C" w:rsidP="00DB7B6C"/>
    <w:p w:rsidR="00440D01" w:rsidRDefault="00440D01">
      <w:r>
        <w:t xml:space="preserve">Nestle aims in engaging with, listening to and responding to broader assortment of stakeholders on continuous basis. Through engagement of meaningful sort, the stakeholders of Nestle </w:t>
      </w:r>
      <w:r w:rsidR="002F1FC3">
        <w:t>have assisted in developing and setting priorities for their strategy related to ‘Creating Shared Value’. The stakeholder workshops, convening besides other events offer opportunities in deepening that discussion, exchange of ideas, building on their knowledge of significant societal problems. The dialogue assists their teams in developing their people’s abilities, promoting trust besides facilitating communal action</w:t>
      </w:r>
      <w:r w:rsidR="00F940B7">
        <w:t xml:space="preserve"> (</w:t>
      </w:r>
      <w:r w:rsidR="0043707E" w:rsidRPr="00442228">
        <w:t>Nestlé Global. 2020</w:t>
      </w:r>
      <w:r w:rsidR="00F940B7">
        <w:t>)</w:t>
      </w:r>
      <w:r w:rsidR="002F1FC3">
        <w:t xml:space="preserve">. </w:t>
      </w:r>
    </w:p>
    <w:p w:rsidR="00D662F8" w:rsidRDefault="00D662F8"/>
    <w:p w:rsidR="00526598" w:rsidRDefault="00526598">
      <w:pPr>
        <w:spacing w:line="276" w:lineRule="auto"/>
        <w:jc w:val="left"/>
        <w:rPr>
          <w:rFonts w:eastAsiaTheme="majorEastAsia" w:cstheme="majorBidi"/>
          <w:b/>
          <w:bCs/>
          <w:szCs w:val="28"/>
        </w:rPr>
      </w:pPr>
      <w:r>
        <w:br w:type="page"/>
      </w:r>
    </w:p>
    <w:p w:rsidR="00D57B3E" w:rsidRDefault="00D57B3E" w:rsidP="00035503">
      <w:pPr>
        <w:pStyle w:val="Heading1"/>
      </w:pPr>
      <w:bookmarkStart w:id="22" w:name="_Toc39062798"/>
      <w:r>
        <w:lastRenderedPageBreak/>
        <w:t>Task 1B</w:t>
      </w:r>
      <w:bookmarkEnd w:id="22"/>
    </w:p>
    <w:p w:rsidR="00D57B3E" w:rsidRDefault="00D57B3E" w:rsidP="00035503">
      <w:pPr>
        <w:pStyle w:val="Heading1"/>
      </w:pPr>
      <w:bookmarkStart w:id="23" w:name="_Toc39062799"/>
      <w:r>
        <w:t>Conclusion</w:t>
      </w:r>
      <w:bookmarkEnd w:id="23"/>
    </w:p>
    <w:p w:rsidR="00CF647D" w:rsidRDefault="00CF647D">
      <w:r>
        <w:t>The discussion that has been carried out above leads to a conclusion that for a global brand like Nestle that has its operations in more than 190 countries it is essential in putting its marketing strategies right. More so because the company operates within a sector that is highly competitive and has some of th</w:t>
      </w:r>
      <w:r w:rsidR="00B703BB">
        <w:t xml:space="preserve">e big names the world has known. Therefore, various tools like SWOT and Porter’s Five Forces were used in this report to assess where Nestle stands and the amount of risk and opportunity it has to manage and take note of. The marketing mix </w:t>
      </w:r>
      <w:r w:rsidR="00E01FB2">
        <w:t>decisions of the company have</w:t>
      </w:r>
      <w:r w:rsidR="00B703BB">
        <w:t xml:space="preserve"> also been considered along with the way it deals with its consumers and communicates with its other stakeholders to keep them engaged all the time. </w:t>
      </w:r>
    </w:p>
    <w:p w:rsidR="00D57B3E" w:rsidRPr="008F3DB7" w:rsidRDefault="00D57B3E" w:rsidP="00035503">
      <w:pPr>
        <w:pStyle w:val="Heading2"/>
        <w:rPr>
          <w:color w:val="auto"/>
        </w:rPr>
      </w:pPr>
      <w:bookmarkStart w:id="24" w:name="_Toc39062800"/>
      <w:r w:rsidRPr="008F3DB7">
        <w:rPr>
          <w:color w:val="auto"/>
        </w:rPr>
        <w:t>Reflection of tactical communication tools</w:t>
      </w:r>
      <w:bookmarkEnd w:id="24"/>
    </w:p>
    <w:p w:rsidR="00D57B3E" w:rsidRDefault="00D57B3E">
      <w:r>
        <w:t xml:space="preserve">Communication can be defined as the act of information transferring from one place to another by an individual or group of individuals. However, communication is more than just information transmission. The actual term needs a constituent of success in imparting any message, whether ideas, information or emotions. </w:t>
      </w:r>
    </w:p>
    <w:p w:rsidR="003A04FC" w:rsidRPr="008F3DB7" w:rsidRDefault="003A04FC" w:rsidP="00035503">
      <w:pPr>
        <w:pStyle w:val="Heading2"/>
        <w:rPr>
          <w:color w:val="auto"/>
        </w:rPr>
      </w:pPr>
      <w:bookmarkStart w:id="25" w:name="_Toc39062801"/>
      <w:r w:rsidRPr="008F3DB7">
        <w:rPr>
          <w:color w:val="auto"/>
        </w:rPr>
        <w:t>Shannon and Weaver model of communication</w:t>
      </w:r>
      <w:bookmarkEnd w:id="25"/>
    </w:p>
    <w:p w:rsidR="003A04FC" w:rsidRDefault="003A04FC">
      <w:r>
        <w:t xml:space="preserve">The communication model put forward by Shannon and Weaver argues that the communication factor can be segregated into six principal concepts which are the sender, encoder, channel, noise, decoder and receiver. </w:t>
      </w:r>
      <w:r w:rsidR="00CF647D">
        <w:t xml:space="preserve">Warren Weaver in a later version came up with a seventh version which is feedback that transformed the model from being linear to more cyclical. This model is being designed specifically in developing the effectual communication between the sender and the receiver. The </w:t>
      </w:r>
      <w:r w:rsidR="00D261AC">
        <w:t>model manages several conceptions like source of information, noise, channel, receiver, destination of information and encodes</w:t>
      </w:r>
      <w:r w:rsidR="00613FCA">
        <w:t xml:space="preserve"> (Al-Fedaghi 2017</w:t>
      </w:r>
      <w:r w:rsidR="006A56AD">
        <w:t>`</w:t>
      </w:r>
      <w:r w:rsidR="00613FCA">
        <w:t>)</w:t>
      </w:r>
      <w:r w:rsidR="00CF647D">
        <w:t xml:space="preserve">. </w:t>
      </w:r>
    </w:p>
    <w:p w:rsidR="006A56AD" w:rsidRDefault="006A56AD">
      <w:r>
        <w:rPr>
          <w:noProof/>
          <w:lang w:eastAsia="en-GB"/>
        </w:rPr>
        <w:lastRenderedPageBreak/>
        <w:drawing>
          <wp:inline distT="0" distB="0" distL="0" distR="0">
            <wp:extent cx="5731510" cy="2981325"/>
            <wp:effectExtent l="19050" t="0" r="2540" b="0"/>
            <wp:docPr id="5" name="Picture 4" descr="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annon_weaver_model.jpg"/>
                    <pic:cNvPicPr/>
                  </pic:nvPicPr>
                  <pic:blipFill>
                    <a:blip r:embed="rId10"/>
                    <a:stretch>
                      <a:fillRect/>
                    </a:stretch>
                  </pic:blipFill>
                  <pic:spPr>
                    <a:xfrm>
                      <a:off x="0" y="0"/>
                      <a:ext cx="5731510" cy="2981325"/>
                    </a:xfrm>
                    <a:prstGeom prst="rect">
                      <a:avLst/>
                    </a:prstGeom>
                  </pic:spPr>
                </pic:pic>
              </a:graphicData>
            </a:graphic>
          </wp:inline>
        </w:drawing>
      </w:r>
    </w:p>
    <w:p w:rsidR="006A56AD" w:rsidRDefault="006A56AD" w:rsidP="006A56AD">
      <w:pPr>
        <w:jc w:val="center"/>
        <w:rPr>
          <w:b/>
        </w:rPr>
      </w:pPr>
      <w:r w:rsidRPr="006A56AD">
        <w:rPr>
          <w:b/>
        </w:rPr>
        <w:t>Sourcre: (Al-Fedaghi 2017)</w:t>
      </w:r>
    </w:p>
    <w:p w:rsidR="008D7DF0" w:rsidRPr="006A56AD" w:rsidRDefault="008D7DF0" w:rsidP="006A56AD">
      <w:pPr>
        <w:jc w:val="center"/>
        <w:rPr>
          <w:b/>
        </w:rPr>
      </w:pPr>
    </w:p>
    <w:p w:rsidR="00CF647D" w:rsidRPr="008F3DB7" w:rsidRDefault="00CF647D" w:rsidP="00035503">
      <w:pPr>
        <w:pStyle w:val="Heading2"/>
        <w:rPr>
          <w:color w:val="auto"/>
        </w:rPr>
      </w:pPr>
      <w:bookmarkStart w:id="26" w:name="_Toc39062802"/>
      <w:r w:rsidRPr="008F3DB7">
        <w:rPr>
          <w:color w:val="auto"/>
        </w:rPr>
        <w:t>Integrated Marketing Communication</w:t>
      </w:r>
      <w:bookmarkEnd w:id="26"/>
    </w:p>
    <w:p w:rsidR="00CF647D" w:rsidRDefault="00CF647D">
      <w:r>
        <w:t xml:space="preserve">Integrated Marketing Communication is identified as a concept wherein a firm cautiously incorporates and coordinates its many channels of communication in delivering a message that is consistent and clear. It intends in making sure the message’s consistency and the corresponding use of media. </w:t>
      </w:r>
    </w:p>
    <w:p w:rsidR="00B703BB" w:rsidRPr="008F3DB7" w:rsidRDefault="00B703BB" w:rsidP="00035503">
      <w:pPr>
        <w:pStyle w:val="Heading2"/>
        <w:rPr>
          <w:color w:val="auto"/>
        </w:rPr>
      </w:pPr>
      <w:bookmarkStart w:id="27" w:name="_Toc39062803"/>
      <w:r w:rsidRPr="008F3DB7">
        <w:rPr>
          <w:color w:val="auto"/>
        </w:rPr>
        <w:t>Different types of promotion of Nestle:</w:t>
      </w:r>
      <w:bookmarkEnd w:id="27"/>
    </w:p>
    <w:p w:rsidR="008F3DB7" w:rsidRPr="008F3DB7" w:rsidRDefault="00B703BB" w:rsidP="008F3DB7">
      <w:r>
        <w:t>Nestle exercises ‘Above the Line’ or ATL marketing in promoting its products. Nestle has an extensive product portfolio and needs to have a mass appeal and therefore uses ATL techniques</w:t>
      </w:r>
      <w:r w:rsidR="00BC001C">
        <w:t xml:space="preserve"> which is generally meant for products having mass appeal and where it is difficult to have a target market. Nestle needs to spend high on its marketing activities that brings about brand recall which in turn takes care of sale. The typical media vehicles assisting Nestle are television, print media and out of home media. The benefit of ATL lies in its reach which helps Nestle reach to its audience far and wide. Moreover, with proper combination of visual and audio, ATL’s penetration level is higher than other advertising types</w:t>
      </w:r>
      <w:r w:rsidR="002B0469">
        <w:t xml:space="preserve"> (</w:t>
      </w:r>
      <w:r w:rsidR="002B0469" w:rsidRPr="00657EE3">
        <w:t>Kumar</w:t>
      </w:r>
      <w:r w:rsidR="002B0469">
        <w:t xml:space="preserve"> et al 2017)</w:t>
      </w:r>
      <w:r w:rsidR="00BC001C">
        <w:t>.</w:t>
      </w:r>
    </w:p>
    <w:p w:rsidR="00BC001C" w:rsidRDefault="00BC001C">
      <w:r>
        <w:t xml:space="preserve">Nestle also promotes its products via definite social networking sites in order to connect with people and making them conscious with certain sort of products which </w:t>
      </w:r>
      <w:r>
        <w:lastRenderedPageBreak/>
        <w:t xml:space="preserve">they come up with after certain intervals. Nestle generally connects with people on Google Plus, Facebook, Twitter and LinkedIn for reaching its audiences. Nestle makes attempts in making it a public-oriented brand. It aims to ensure that its products are being placed with the most fitting of audiences, making its advertising ideas creative to have a mass appeal. The benefit of </w:t>
      </w:r>
      <w:r w:rsidR="00E01FB2">
        <w:t xml:space="preserve">social media marketing for Nestle lies in its cost-effective nature and </w:t>
      </w:r>
      <w:r w:rsidR="00657EE3">
        <w:t>augmented</w:t>
      </w:r>
      <w:r w:rsidR="00E01FB2">
        <w:t xml:space="preserve"> brand awareness as such channels have become popular with the global people</w:t>
      </w:r>
      <w:r w:rsidR="006A56AD">
        <w:t xml:space="preserve"> (</w:t>
      </w:r>
      <w:r w:rsidR="006A56AD" w:rsidRPr="006A56AD">
        <w:t>Roblek</w:t>
      </w:r>
      <w:r w:rsidR="006A56AD">
        <w:t xml:space="preserve"> et al 2018)</w:t>
      </w:r>
      <w:r w:rsidR="00E01FB2">
        <w:t xml:space="preserve">. </w:t>
      </w:r>
    </w:p>
    <w:p w:rsidR="00657EE3" w:rsidRDefault="00657EE3"/>
    <w:p w:rsidR="00657EE3" w:rsidRDefault="00657EE3"/>
    <w:p w:rsidR="00657EE3" w:rsidRDefault="00657EE3"/>
    <w:p w:rsidR="00657EE3" w:rsidRDefault="00657EE3"/>
    <w:p w:rsidR="00657EE3" w:rsidRDefault="00657EE3"/>
    <w:p w:rsidR="00657EE3" w:rsidRDefault="00657EE3"/>
    <w:p w:rsidR="00657EE3" w:rsidRDefault="00657EE3"/>
    <w:p w:rsidR="00657EE3" w:rsidRDefault="00657EE3"/>
    <w:p w:rsidR="006A56AD" w:rsidRDefault="006A56AD">
      <w:pPr>
        <w:spacing w:line="276" w:lineRule="auto"/>
        <w:jc w:val="left"/>
        <w:rPr>
          <w:rFonts w:eastAsiaTheme="majorEastAsia" w:cstheme="majorBidi"/>
          <w:b/>
          <w:bCs/>
          <w:szCs w:val="28"/>
        </w:rPr>
      </w:pPr>
      <w:r>
        <w:br w:type="page"/>
      </w:r>
    </w:p>
    <w:p w:rsidR="00657EE3" w:rsidRDefault="00657EE3" w:rsidP="00657EE3">
      <w:pPr>
        <w:pStyle w:val="Heading1"/>
      </w:pPr>
      <w:bookmarkStart w:id="28" w:name="_Toc39062804"/>
      <w:r>
        <w:lastRenderedPageBreak/>
        <w:t>References</w:t>
      </w:r>
      <w:bookmarkEnd w:id="28"/>
      <w:r w:rsidR="00B84AC7">
        <w:t>:</w:t>
      </w:r>
    </w:p>
    <w:p w:rsidR="00346FB1" w:rsidRPr="00346FB1" w:rsidRDefault="00346FB1" w:rsidP="00346FB1"/>
    <w:p w:rsidR="00346FB1" w:rsidRDefault="00346FB1" w:rsidP="00346FB1">
      <w:r w:rsidRPr="00411447">
        <w:rPr>
          <w:color w:val="auto"/>
        </w:rPr>
        <w:t>Akpoviroro, K.S.</w:t>
      </w:r>
      <w:r>
        <w:rPr>
          <w:color w:val="auto"/>
        </w:rPr>
        <w:t>, Amos, A.O. and Olalekan, A.O.(</w:t>
      </w:r>
      <w:r w:rsidRPr="00411447">
        <w:rPr>
          <w:color w:val="auto"/>
        </w:rPr>
        <w:t>2019</w:t>
      </w:r>
      <w:r>
        <w:rPr>
          <w:color w:val="auto"/>
        </w:rPr>
        <w:t>)</w:t>
      </w:r>
      <w:r w:rsidRPr="00411447">
        <w:rPr>
          <w:color w:val="auto"/>
        </w:rPr>
        <w:t xml:space="preserve">. </w:t>
      </w:r>
      <w:r w:rsidRPr="00B44444">
        <w:rPr>
          <w:i/>
          <w:color w:val="auto"/>
        </w:rPr>
        <w:t>Exploring the Link Between Competitive Strategies and Organizational Performance in Beverage Industry.(A</w:t>
      </w:r>
      <w:r w:rsidRPr="00411447">
        <w:rPr>
          <w:color w:val="auto"/>
        </w:rPr>
        <w:t xml:space="preserve"> </w:t>
      </w:r>
      <w:r w:rsidR="00D46D11">
        <w:rPr>
          <w:i/>
          <w:color w:val="auto"/>
        </w:rPr>
        <w:t>case</w:t>
      </w:r>
      <w:r w:rsidRPr="00B44444">
        <w:rPr>
          <w:i/>
          <w:color w:val="auto"/>
        </w:rPr>
        <w:t>of Nestle PLC).</w:t>
      </w:r>
      <w:r w:rsidRPr="00852DE6">
        <w:t xml:space="preserve"> </w:t>
      </w:r>
      <w:r w:rsidR="00D46D11">
        <w:t>[online]:Available at</w:t>
      </w:r>
      <w:r w:rsidR="00457D5D">
        <w:t>:</w:t>
      </w:r>
    </w:p>
    <w:p w:rsidR="00457D5D" w:rsidRPr="00D46D11" w:rsidRDefault="0002080B" w:rsidP="00346FB1">
      <w:pPr>
        <w:rPr>
          <w:color w:val="auto"/>
        </w:rPr>
      </w:pPr>
      <w:r w:rsidRPr="0002080B">
        <w:rPr>
          <w:color w:val="auto"/>
        </w:rPr>
        <w:t>&lt;</w:t>
      </w:r>
      <w:hyperlink r:id="rId11" w:history="1">
        <w:r w:rsidRPr="0002080B">
          <w:rPr>
            <w:rStyle w:val="Hyperlink"/>
            <w:color w:val="auto"/>
          </w:rPr>
          <w:t>http://armgpublishing.sumdu.edu.ua</w:t>
        </w:r>
      </w:hyperlink>
      <w:r>
        <w:rPr>
          <w:color w:val="auto"/>
        </w:rPr>
        <w:t>&gt;</w:t>
      </w:r>
      <w:r w:rsidRPr="0002080B">
        <w:rPr>
          <w:color w:val="auto"/>
        </w:rPr>
        <w:t>journals&gt;article-9&gt;</w:t>
      </w:r>
    </w:p>
    <w:p w:rsidR="00B84AC7" w:rsidRDefault="00346FB1" w:rsidP="00B84AC7">
      <w:pPr>
        <w:rPr>
          <w:color w:val="auto"/>
        </w:rPr>
      </w:pPr>
      <w:r>
        <w:rPr>
          <w:color w:val="auto"/>
        </w:rPr>
        <w:t>Al-Fedaghi, S.(</w:t>
      </w:r>
      <w:r w:rsidRPr="00411447">
        <w:rPr>
          <w:color w:val="auto"/>
        </w:rPr>
        <w:t>2017</w:t>
      </w:r>
      <w:r>
        <w:rPr>
          <w:color w:val="auto"/>
        </w:rPr>
        <w:t>)</w:t>
      </w:r>
      <w:r w:rsidRPr="00411447">
        <w:rPr>
          <w:color w:val="auto"/>
        </w:rPr>
        <w:t xml:space="preserve">. </w:t>
      </w:r>
      <w:r w:rsidRPr="00311B57">
        <w:rPr>
          <w:i/>
          <w:color w:val="auto"/>
        </w:rPr>
        <w:t>A conceptual foundation for the Shannon-Weaver model of</w:t>
      </w:r>
      <w:r w:rsidRPr="00411447">
        <w:rPr>
          <w:color w:val="auto"/>
        </w:rPr>
        <w:t xml:space="preserve"> </w:t>
      </w:r>
      <w:r w:rsidRPr="00311B57">
        <w:rPr>
          <w:i/>
          <w:color w:val="auto"/>
        </w:rPr>
        <w:t>communication</w:t>
      </w:r>
      <w:r w:rsidRPr="00411447">
        <w:rPr>
          <w:color w:val="auto"/>
        </w:rPr>
        <w:t>. </w:t>
      </w:r>
      <w:r w:rsidRPr="00311B57">
        <w:rPr>
          <w:iCs/>
          <w:color w:val="auto"/>
        </w:rPr>
        <w:t>International Journal of Soft Computing</w:t>
      </w:r>
      <w:r w:rsidRPr="00311B57">
        <w:rPr>
          <w:color w:val="auto"/>
        </w:rPr>
        <w:t>, </w:t>
      </w:r>
      <w:r w:rsidRPr="00311B57">
        <w:rPr>
          <w:iCs/>
          <w:color w:val="auto"/>
        </w:rPr>
        <w:t>7</w:t>
      </w:r>
      <w:r w:rsidRPr="00311B57">
        <w:rPr>
          <w:color w:val="auto"/>
        </w:rPr>
        <w:t>(1), pp.12-19</w:t>
      </w:r>
      <w:r w:rsidRPr="00411447">
        <w:rPr>
          <w:color w:val="auto"/>
        </w:rPr>
        <w:t>.</w:t>
      </w:r>
    </w:p>
    <w:p w:rsidR="00346FB1" w:rsidRPr="00311B57" w:rsidRDefault="00346FB1" w:rsidP="00346FB1">
      <w:pPr>
        <w:rPr>
          <w:color w:val="auto"/>
        </w:rPr>
      </w:pPr>
      <w:r>
        <w:rPr>
          <w:color w:val="auto"/>
        </w:rPr>
        <w:t>Appiah-Adu, K. and Amoako,G.K.(</w:t>
      </w:r>
      <w:r w:rsidRPr="00411447">
        <w:rPr>
          <w:color w:val="auto"/>
        </w:rPr>
        <w:t>2016</w:t>
      </w:r>
      <w:r>
        <w:rPr>
          <w:color w:val="auto"/>
        </w:rPr>
        <w:t>)</w:t>
      </w:r>
      <w:r w:rsidRPr="00411447">
        <w:rPr>
          <w:color w:val="auto"/>
        </w:rPr>
        <w:t xml:space="preserve">. </w:t>
      </w:r>
      <w:r w:rsidRPr="00311B57">
        <w:rPr>
          <w:i/>
          <w:color w:val="auto"/>
        </w:rPr>
        <w:t>The execution of marketing strategies in a</w:t>
      </w:r>
      <w:r w:rsidRPr="00411447">
        <w:rPr>
          <w:color w:val="auto"/>
        </w:rPr>
        <w:t xml:space="preserve"> </w:t>
      </w:r>
      <w:r w:rsidRPr="00311B57">
        <w:rPr>
          <w:i/>
          <w:color w:val="auto"/>
        </w:rPr>
        <w:t>developing economy</w:t>
      </w:r>
      <w:r w:rsidRPr="00411447">
        <w:rPr>
          <w:color w:val="auto"/>
        </w:rPr>
        <w:t>. </w:t>
      </w:r>
      <w:r w:rsidRPr="00311B57">
        <w:rPr>
          <w:iCs/>
          <w:color w:val="auto"/>
        </w:rPr>
        <w:t>African Journal of Economic and Management Studies</w:t>
      </w:r>
      <w:r w:rsidRPr="00311B57">
        <w:rPr>
          <w:color w:val="auto"/>
        </w:rPr>
        <w:t>.</w:t>
      </w:r>
    </w:p>
    <w:p w:rsidR="00346FB1" w:rsidRPr="0049156C" w:rsidRDefault="00346FB1" w:rsidP="00346FB1">
      <w:pPr>
        <w:rPr>
          <w:color w:val="auto"/>
        </w:rPr>
      </w:pPr>
      <w:r>
        <w:rPr>
          <w:color w:val="auto"/>
        </w:rPr>
        <w:t>Carpenter,G.S.(</w:t>
      </w:r>
      <w:r w:rsidRPr="00411447">
        <w:rPr>
          <w:color w:val="auto"/>
        </w:rPr>
        <w:t>2017</w:t>
      </w:r>
      <w:r>
        <w:rPr>
          <w:color w:val="auto"/>
        </w:rPr>
        <w:t>)</w:t>
      </w:r>
      <w:r w:rsidRPr="00411447">
        <w:rPr>
          <w:color w:val="auto"/>
        </w:rPr>
        <w:t xml:space="preserve">. </w:t>
      </w:r>
      <w:r w:rsidRPr="0049156C">
        <w:rPr>
          <w:i/>
          <w:color w:val="auto"/>
        </w:rPr>
        <w:t>Modeling competitive marketing strategies: the impact of</w:t>
      </w:r>
      <w:r w:rsidRPr="00411447">
        <w:rPr>
          <w:color w:val="auto"/>
        </w:rPr>
        <w:t xml:space="preserve"> </w:t>
      </w:r>
      <w:r w:rsidRPr="0049156C">
        <w:rPr>
          <w:i/>
          <w:color w:val="auto"/>
        </w:rPr>
        <w:t>marketing-mix relationships and industry structure</w:t>
      </w:r>
      <w:r w:rsidRPr="00411447">
        <w:rPr>
          <w:color w:val="auto"/>
        </w:rPr>
        <w:t>. </w:t>
      </w:r>
      <w:r w:rsidRPr="0049156C">
        <w:rPr>
          <w:iCs/>
          <w:color w:val="auto"/>
        </w:rPr>
        <w:t>Marketing Science</w:t>
      </w:r>
      <w:r w:rsidRPr="0049156C">
        <w:rPr>
          <w:color w:val="auto"/>
        </w:rPr>
        <w:t>, </w:t>
      </w:r>
      <w:r w:rsidRPr="0049156C">
        <w:rPr>
          <w:iCs/>
          <w:color w:val="auto"/>
        </w:rPr>
        <w:t>6</w:t>
      </w:r>
      <w:r w:rsidRPr="0049156C">
        <w:rPr>
          <w:color w:val="auto"/>
        </w:rPr>
        <w:t>(2), pp.208-221.</w:t>
      </w:r>
    </w:p>
    <w:p w:rsidR="00346FB1" w:rsidRPr="00346FB1" w:rsidRDefault="00346FB1" w:rsidP="00B84AC7">
      <w:pPr>
        <w:rPr>
          <w:color w:val="auto"/>
        </w:rPr>
      </w:pPr>
      <w:r>
        <w:rPr>
          <w:color w:val="auto"/>
        </w:rPr>
        <w:t>Kumar,A. at al.(</w:t>
      </w:r>
      <w:r w:rsidRPr="00411447">
        <w:rPr>
          <w:color w:val="auto"/>
        </w:rPr>
        <w:t>2017</w:t>
      </w:r>
      <w:r w:rsidRPr="0049156C">
        <w:rPr>
          <w:i/>
          <w:color w:val="auto"/>
        </w:rPr>
        <w:t>). Advertising and Consumer Buying Behaviour: A Study with</w:t>
      </w:r>
      <w:r w:rsidRPr="00411447">
        <w:rPr>
          <w:color w:val="auto"/>
        </w:rPr>
        <w:t xml:space="preserve"> </w:t>
      </w:r>
      <w:r w:rsidRPr="0049156C">
        <w:rPr>
          <w:i/>
          <w:color w:val="auto"/>
        </w:rPr>
        <w:t>special reference to Nestle ltd</w:t>
      </w:r>
      <w:r w:rsidRPr="00411447">
        <w:rPr>
          <w:color w:val="auto"/>
        </w:rPr>
        <w:t>. </w:t>
      </w:r>
      <w:r w:rsidRPr="0049156C">
        <w:rPr>
          <w:iCs/>
          <w:color w:val="auto"/>
        </w:rPr>
        <w:t>International Journal of Research in Commerce &amp;</w:t>
      </w:r>
      <w:r w:rsidRPr="00411447">
        <w:rPr>
          <w:i/>
          <w:iCs/>
          <w:color w:val="auto"/>
        </w:rPr>
        <w:t xml:space="preserve"> </w:t>
      </w:r>
      <w:r w:rsidRPr="0049156C">
        <w:rPr>
          <w:iCs/>
          <w:color w:val="auto"/>
        </w:rPr>
        <w:t>Management</w:t>
      </w:r>
      <w:r w:rsidRPr="0049156C">
        <w:rPr>
          <w:color w:val="auto"/>
        </w:rPr>
        <w:t>, </w:t>
      </w:r>
      <w:r w:rsidRPr="0049156C">
        <w:rPr>
          <w:iCs/>
          <w:color w:val="auto"/>
        </w:rPr>
        <w:t>2</w:t>
      </w:r>
      <w:r w:rsidRPr="0049156C">
        <w:rPr>
          <w:color w:val="auto"/>
        </w:rPr>
        <w:t>(10).</w:t>
      </w:r>
    </w:p>
    <w:p w:rsidR="006A56AD" w:rsidRDefault="006A56AD" w:rsidP="00657EE3">
      <w:r w:rsidRPr="00442228">
        <w:t>Nestlé Global. 2020. </w:t>
      </w:r>
      <w:r w:rsidRPr="00442228">
        <w:rPr>
          <w:i/>
          <w:iCs/>
        </w:rPr>
        <w:t>Stakeholder Engagement</w:t>
      </w:r>
      <w:r w:rsidRPr="00442228">
        <w:t>. [online] Available at: &lt;https://www.nestle.com/csv/what-is-csv/stakeholder-engagement&gt; [Accessed 29 April 2020].</w:t>
      </w:r>
    </w:p>
    <w:p w:rsidR="00452AC1" w:rsidRPr="00452AC1" w:rsidRDefault="00452AC1" w:rsidP="00657EE3">
      <w:pPr>
        <w:rPr>
          <w:color w:val="auto"/>
        </w:rPr>
      </w:pPr>
      <w:r>
        <w:rPr>
          <w:color w:val="auto"/>
        </w:rPr>
        <w:t>Prakash Sethi S.(2012)</w:t>
      </w:r>
      <w:r w:rsidRPr="00411447">
        <w:rPr>
          <w:color w:val="auto"/>
        </w:rPr>
        <w:t xml:space="preserve"> </w:t>
      </w:r>
      <w:r w:rsidRPr="00B44444">
        <w:rPr>
          <w:i/>
          <w:color w:val="auto"/>
        </w:rPr>
        <w:t>Multinational corporations and the impact of public advocacy on corporate strategy: Nestlé and the infant formula controversy.</w:t>
      </w:r>
      <w:r>
        <w:rPr>
          <w:color w:val="auto"/>
        </w:rPr>
        <w:t>Springler Science&amp;Business Media</w:t>
      </w:r>
    </w:p>
    <w:p w:rsidR="00346FB1" w:rsidRPr="00411447" w:rsidRDefault="00346FB1" w:rsidP="00346FB1">
      <w:pPr>
        <w:rPr>
          <w:color w:val="auto"/>
        </w:rPr>
      </w:pPr>
      <w:r>
        <w:rPr>
          <w:color w:val="auto"/>
        </w:rPr>
        <w:t>Roblek, V.Bach,M.P. Meško, M. and Bertoncelj, A.(</w:t>
      </w:r>
      <w:r w:rsidRPr="00411447">
        <w:rPr>
          <w:color w:val="auto"/>
        </w:rPr>
        <w:t>2018</w:t>
      </w:r>
      <w:r>
        <w:rPr>
          <w:color w:val="auto"/>
        </w:rPr>
        <w:t>)</w:t>
      </w:r>
      <w:r w:rsidRPr="00411447">
        <w:rPr>
          <w:color w:val="auto"/>
        </w:rPr>
        <w:t xml:space="preserve">. </w:t>
      </w:r>
      <w:r w:rsidRPr="00C61D35">
        <w:rPr>
          <w:i/>
          <w:color w:val="auto"/>
        </w:rPr>
        <w:t>The impact of social</w:t>
      </w:r>
      <w:r w:rsidRPr="00411447">
        <w:rPr>
          <w:color w:val="auto"/>
        </w:rPr>
        <w:t xml:space="preserve"> </w:t>
      </w:r>
      <w:r w:rsidRPr="00C61D35">
        <w:rPr>
          <w:i/>
          <w:color w:val="auto"/>
        </w:rPr>
        <w:t>media to value added in knowledge</w:t>
      </w:r>
      <w:r w:rsidRPr="00C61D35">
        <w:rPr>
          <w:rFonts w:ascii="Cambria Math" w:hAnsi="Cambria Math" w:cs="Cambria Math"/>
          <w:i/>
          <w:color w:val="auto"/>
        </w:rPr>
        <w:t>‐</w:t>
      </w:r>
      <w:r w:rsidRPr="00C61D35">
        <w:rPr>
          <w:rFonts w:cs="Arial"/>
          <w:i/>
          <w:color w:val="auto"/>
        </w:rPr>
        <w:t>based industries</w:t>
      </w:r>
      <w:r w:rsidRPr="00C61D35">
        <w:rPr>
          <w:rFonts w:cs="Arial"/>
          <w:color w:val="auto"/>
        </w:rPr>
        <w:t>. </w:t>
      </w:r>
      <w:r w:rsidRPr="00C61D35">
        <w:rPr>
          <w:iCs/>
          <w:color w:val="auto"/>
        </w:rPr>
        <w:t>Kybernetes</w:t>
      </w:r>
      <w:r w:rsidRPr="00C61D35">
        <w:rPr>
          <w:color w:val="auto"/>
        </w:rPr>
        <w:t>.</w:t>
      </w:r>
    </w:p>
    <w:p w:rsidR="00346FB1" w:rsidRPr="00411447" w:rsidRDefault="00346FB1" w:rsidP="00346FB1">
      <w:pPr>
        <w:rPr>
          <w:color w:val="auto"/>
        </w:rPr>
      </w:pPr>
      <w:r>
        <w:rPr>
          <w:color w:val="auto"/>
        </w:rPr>
        <w:t>Samli, A.C.(</w:t>
      </w:r>
      <w:r w:rsidRPr="00411447">
        <w:rPr>
          <w:color w:val="auto"/>
        </w:rPr>
        <w:t>2018</w:t>
      </w:r>
      <w:r>
        <w:rPr>
          <w:color w:val="auto"/>
        </w:rPr>
        <w:t>)</w:t>
      </w:r>
      <w:r w:rsidRPr="00411447">
        <w:rPr>
          <w:color w:val="auto"/>
        </w:rPr>
        <w:t>. </w:t>
      </w:r>
      <w:r w:rsidRPr="00411447">
        <w:rPr>
          <w:i/>
          <w:iCs/>
          <w:color w:val="auto"/>
        </w:rPr>
        <w:t>International consumer behavior: Its impact on marketing strategy development</w:t>
      </w:r>
      <w:r w:rsidRPr="00411447">
        <w:rPr>
          <w:color w:val="auto"/>
        </w:rPr>
        <w:t>. Greenwood Publishing Group.</w:t>
      </w:r>
    </w:p>
    <w:p w:rsidR="00346FB1" w:rsidRPr="00411447" w:rsidRDefault="00346FB1" w:rsidP="00346FB1">
      <w:pPr>
        <w:rPr>
          <w:color w:val="auto"/>
        </w:rPr>
      </w:pPr>
      <w:r>
        <w:rPr>
          <w:color w:val="auto"/>
        </w:rPr>
        <w:t>Schawel, C. and Billing, F.(</w:t>
      </w:r>
      <w:r w:rsidRPr="00411447">
        <w:rPr>
          <w:color w:val="auto"/>
        </w:rPr>
        <w:t xml:space="preserve"> 2018</w:t>
      </w:r>
      <w:r>
        <w:rPr>
          <w:color w:val="auto"/>
        </w:rPr>
        <w:t>)</w:t>
      </w:r>
      <w:r w:rsidRPr="00411447">
        <w:rPr>
          <w:color w:val="auto"/>
        </w:rPr>
        <w:t xml:space="preserve">. </w:t>
      </w:r>
      <w:r w:rsidRPr="00C61D35">
        <w:rPr>
          <w:i/>
          <w:color w:val="auto"/>
        </w:rPr>
        <w:t>Ansoff-Matrix</w:t>
      </w:r>
      <w:r w:rsidRPr="00411447">
        <w:rPr>
          <w:color w:val="auto"/>
        </w:rPr>
        <w:t>. In </w:t>
      </w:r>
      <w:r w:rsidRPr="00C61D35">
        <w:rPr>
          <w:iCs/>
          <w:color w:val="auto"/>
        </w:rPr>
        <w:t>Top 100 management tools</w:t>
      </w:r>
      <w:r w:rsidRPr="00411447">
        <w:rPr>
          <w:color w:val="auto"/>
        </w:rPr>
        <w:t> (pp. 30-31). Gabler.</w:t>
      </w:r>
    </w:p>
    <w:p w:rsidR="00346FB1" w:rsidRPr="00C61D35" w:rsidRDefault="00346FB1" w:rsidP="00346FB1">
      <w:pPr>
        <w:rPr>
          <w:color w:val="auto"/>
        </w:rPr>
      </w:pPr>
      <w:r w:rsidRPr="00411447">
        <w:rPr>
          <w:color w:val="auto"/>
        </w:rPr>
        <w:lastRenderedPageBreak/>
        <w:t>Scrinis</w:t>
      </w:r>
      <w:r>
        <w:rPr>
          <w:color w:val="auto"/>
        </w:rPr>
        <w:t>,G.(</w:t>
      </w:r>
      <w:r w:rsidRPr="00411447">
        <w:rPr>
          <w:color w:val="auto"/>
        </w:rPr>
        <w:t>2017</w:t>
      </w:r>
      <w:r>
        <w:rPr>
          <w:color w:val="auto"/>
        </w:rPr>
        <w:t>)</w:t>
      </w:r>
      <w:r w:rsidRPr="00411447">
        <w:rPr>
          <w:color w:val="auto"/>
        </w:rPr>
        <w:t xml:space="preserve">. </w:t>
      </w:r>
      <w:r w:rsidRPr="00C61D35">
        <w:rPr>
          <w:i/>
          <w:color w:val="auto"/>
        </w:rPr>
        <w:t>Reformulation, fortification and functionalization: Big Food corporations’ nutritional engineering and marketing strategies. </w:t>
      </w:r>
      <w:r w:rsidRPr="00C61D35">
        <w:rPr>
          <w:iCs/>
          <w:color w:val="auto"/>
        </w:rPr>
        <w:t>The Journal of Peasant Studies</w:t>
      </w:r>
      <w:r w:rsidRPr="00C61D35">
        <w:rPr>
          <w:color w:val="auto"/>
        </w:rPr>
        <w:t>, </w:t>
      </w:r>
      <w:r w:rsidRPr="00C61D35">
        <w:rPr>
          <w:iCs/>
          <w:color w:val="auto"/>
        </w:rPr>
        <w:t>43</w:t>
      </w:r>
      <w:r w:rsidRPr="00C61D35">
        <w:rPr>
          <w:color w:val="auto"/>
        </w:rPr>
        <w:t>(1), pp.17-37.</w:t>
      </w:r>
    </w:p>
    <w:p w:rsidR="00346FB1" w:rsidRDefault="00346FB1" w:rsidP="00657EE3"/>
    <w:p w:rsidR="006A56AD" w:rsidRDefault="006A56AD" w:rsidP="00657EE3"/>
    <w:sectPr w:rsidR="006A56AD" w:rsidSect="00214B4B">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97B34" w:rsidRDefault="00B97B34" w:rsidP="00214B4B">
      <w:pPr>
        <w:spacing w:after="0" w:line="240" w:lineRule="auto"/>
      </w:pPr>
      <w:r>
        <w:separator/>
      </w:r>
    </w:p>
  </w:endnote>
  <w:endnote w:type="continuationSeparator" w:id="1">
    <w:p w:rsidR="00B97B34" w:rsidRDefault="00B97B34" w:rsidP="00214B4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D06BE" w:rsidRDefault="00FD06B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D06BE" w:rsidRDefault="00FD06B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D06BE" w:rsidRDefault="00FD06B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97B34" w:rsidRDefault="00B97B34" w:rsidP="00214B4B">
      <w:pPr>
        <w:spacing w:after="0" w:line="240" w:lineRule="auto"/>
      </w:pPr>
      <w:r>
        <w:separator/>
      </w:r>
    </w:p>
  </w:footnote>
  <w:footnote w:type="continuationSeparator" w:id="1">
    <w:p w:rsidR="00B97B34" w:rsidRDefault="00B97B34" w:rsidP="00214B4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736CC" w:rsidRDefault="003C387F">
    <w:r>
      <w:cr/>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3707E" w:rsidRDefault="00FE47FF">
    <w:pPr>
      <w:pStyle w:val="Header"/>
    </w:pPr>
    <w:r w:rsidRPr="00FE47FF">
      <w:rPr>
        <w:noProof/>
        <w:lang w:val="en-US" w:eastAsia="zh-TW"/>
      </w:rPr>
      <w:pict>
        <v:shapetype id="_x0000_t202" coordsize="21600,21600" o:spt="202" path="m,l,21600r21600,l21600,xe">
          <v:stroke joinstyle="miter"/>
          <v:path gradientshapeok="t" o:connecttype="rect"/>
        </v:shapetype>
        <v:shape id="_x0000_s2049" type="#_x0000_t202" alt="" style="position:absolute;left:0;text-align:left;margin-left:244.8pt;margin-top:0;width:1in;height:13.8pt;z-index:251660288;mso-wrap-edited:f;mso-width-percent:1000;mso-position-horizontal:right;mso-position-horizontal-relative:page;mso-position-vertical:center;mso-position-vertical-relative:top-margin-area;mso-width-percent:1000;mso-width-relative:right-margin-area;v-text-anchor:middle" o:allowincell="f" fillcolor="#4f81bd [3204]" stroked="f">
          <v:textbox style="mso-fit-shape-to-text:t" inset=",0,,0">
            <w:txbxContent>
              <w:p w:rsidR="0043707E" w:rsidRDefault="00FE47FF">
                <w:pPr>
                  <w:spacing w:after="0" w:line="240" w:lineRule="auto"/>
                  <w:rPr>
                    <w:color w:val="FFFFFF" w:themeColor="background1"/>
                  </w:rPr>
                </w:pPr>
                <w:r w:rsidRPr="00FE47FF">
                  <w:fldChar w:fldCharType="begin"/>
                </w:r>
                <w:r w:rsidR="003C790C">
                  <w:instrText xml:space="preserve"> PAGE   \* MERGEFORMAT </w:instrText>
                </w:r>
                <w:r w:rsidRPr="00FE47FF">
                  <w:fldChar w:fldCharType="separate"/>
                </w:r>
                <w:r w:rsidR="005530FB" w:rsidRPr="005530FB">
                  <w:rPr>
                    <w:noProof/>
                    <w:color w:val="FFFFFF" w:themeColor="background1"/>
                  </w:rPr>
                  <w:t>1</w:t>
                </w:r>
                <w:r>
                  <w:rPr>
                    <w:noProof/>
                    <w:color w:val="FFFFFF" w:themeColor="background1"/>
                  </w:rPr>
                  <w:fldChar w:fldCharType="end"/>
                </w:r>
              </w:p>
            </w:txbxContent>
          </v:textbox>
          <w10:wrap anchorx="page" anchory="margin"/>
        </v:shape>
      </w:pic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3707E" w:rsidRDefault="0043707E">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removePersonalInformation/>
  <w:removeDateAndTime/>
  <w:defaultTabStop w:val="720"/>
  <w:drawingGridHorizontalSpacing w:val="120"/>
  <w:displayHorizontalDrawingGridEvery w:val="2"/>
  <w:characterSpacingControl w:val="doNotCompress"/>
  <w:hdrShapeDefaults>
    <o:shapedefaults v:ext="edit" spidmax="16386"/>
    <o:shapelayout v:ext="edit">
      <o:idmap v:ext="edit" data="2"/>
    </o:shapelayout>
  </w:hdrShapeDefaults>
  <w:footnotePr>
    <w:footnote w:id="0"/>
    <w:footnote w:id="1"/>
  </w:footnotePr>
  <w:endnotePr>
    <w:endnote w:id="0"/>
    <w:endnote w:id="1"/>
  </w:endnotePr>
  <w:compat/>
  <w:rsids>
    <w:rsidRoot w:val="00DD7069"/>
    <w:rsid w:val="00001903"/>
    <w:rsid w:val="00002BB4"/>
    <w:rsid w:val="000058A9"/>
    <w:rsid w:val="00010CEE"/>
    <w:rsid w:val="00011FB7"/>
    <w:rsid w:val="00016B15"/>
    <w:rsid w:val="0001738C"/>
    <w:rsid w:val="00017707"/>
    <w:rsid w:val="0002080B"/>
    <w:rsid w:val="000213A8"/>
    <w:rsid w:val="000223C8"/>
    <w:rsid w:val="00022F48"/>
    <w:rsid w:val="00023898"/>
    <w:rsid w:val="00024A5F"/>
    <w:rsid w:val="000251C2"/>
    <w:rsid w:val="00027469"/>
    <w:rsid w:val="00032D7C"/>
    <w:rsid w:val="00033627"/>
    <w:rsid w:val="00033807"/>
    <w:rsid w:val="00034532"/>
    <w:rsid w:val="00034D0F"/>
    <w:rsid w:val="00035503"/>
    <w:rsid w:val="000365BA"/>
    <w:rsid w:val="00037978"/>
    <w:rsid w:val="00043AB2"/>
    <w:rsid w:val="00045A1F"/>
    <w:rsid w:val="00047A7F"/>
    <w:rsid w:val="000523CC"/>
    <w:rsid w:val="00052C93"/>
    <w:rsid w:val="00054336"/>
    <w:rsid w:val="000557BD"/>
    <w:rsid w:val="00056281"/>
    <w:rsid w:val="00060333"/>
    <w:rsid w:val="00060D51"/>
    <w:rsid w:val="00062B8B"/>
    <w:rsid w:val="00063180"/>
    <w:rsid w:val="00064C50"/>
    <w:rsid w:val="0006720E"/>
    <w:rsid w:val="00067694"/>
    <w:rsid w:val="00070DAE"/>
    <w:rsid w:val="00073A54"/>
    <w:rsid w:val="00074F82"/>
    <w:rsid w:val="0007509F"/>
    <w:rsid w:val="00075148"/>
    <w:rsid w:val="00075847"/>
    <w:rsid w:val="00075F41"/>
    <w:rsid w:val="00076463"/>
    <w:rsid w:val="000822FD"/>
    <w:rsid w:val="000827B1"/>
    <w:rsid w:val="00082A60"/>
    <w:rsid w:val="00083CB0"/>
    <w:rsid w:val="00084F1A"/>
    <w:rsid w:val="0009081E"/>
    <w:rsid w:val="0009095E"/>
    <w:rsid w:val="00090C5A"/>
    <w:rsid w:val="00091690"/>
    <w:rsid w:val="00093E55"/>
    <w:rsid w:val="00094DAF"/>
    <w:rsid w:val="0009567A"/>
    <w:rsid w:val="0009570F"/>
    <w:rsid w:val="00095D4D"/>
    <w:rsid w:val="000A0816"/>
    <w:rsid w:val="000A0B55"/>
    <w:rsid w:val="000A108B"/>
    <w:rsid w:val="000A2741"/>
    <w:rsid w:val="000A2E31"/>
    <w:rsid w:val="000A4614"/>
    <w:rsid w:val="000A6346"/>
    <w:rsid w:val="000A6DD4"/>
    <w:rsid w:val="000A6E93"/>
    <w:rsid w:val="000B083F"/>
    <w:rsid w:val="000B1B88"/>
    <w:rsid w:val="000B3E10"/>
    <w:rsid w:val="000B561E"/>
    <w:rsid w:val="000C1CDD"/>
    <w:rsid w:val="000C4768"/>
    <w:rsid w:val="000C47E9"/>
    <w:rsid w:val="000C5B3B"/>
    <w:rsid w:val="000C638B"/>
    <w:rsid w:val="000C6FF3"/>
    <w:rsid w:val="000D0EB9"/>
    <w:rsid w:val="000D21A2"/>
    <w:rsid w:val="000D2B5F"/>
    <w:rsid w:val="000D316A"/>
    <w:rsid w:val="000D3477"/>
    <w:rsid w:val="000D50BC"/>
    <w:rsid w:val="000E11FB"/>
    <w:rsid w:val="000E33EA"/>
    <w:rsid w:val="000E5E41"/>
    <w:rsid w:val="000E65C3"/>
    <w:rsid w:val="000E7A2F"/>
    <w:rsid w:val="000F08C7"/>
    <w:rsid w:val="000F15D2"/>
    <w:rsid w:val="000F17F4"/>
    <w:rsid w:val="000F25DF"/>
    <w:rsid w:val="000F4E6A"/>
    <w:rsid w:val="000F67B4"/>
    <w:rsid w:val="000F6F0E"/>
    <w:rsid w:val="00100BC5"/>
    <w:rsid w:val="00104263"/>
    <w:rsid w:val="001059DB"/>
    <w:rsid w:val="001063D9"/>
    <w:rsid w:val="001109C0"/>
    <w:rsid w:val="001116F5"/>
    <w:rsid w:val="00113F62"/>
    <w:rsid w:val="00122DA7"/>
    <w:rsid w:val="001232D0"/>
    <w:rsid w:val="0012385B"/>
    <w:rsid w:val="001244D6"/>
    <w:rsid w:val="001246B4"/>
    <w:rsid w:val="00124819"/>
    <w:rsid w:val="00124C54"/>
    <w:rsid w:val="001267D2"/>
    <w:rsid w:val="0013056F"/>
    <w:rsid w:val="001314ED"/>
    <w:rsid w:val="0013161C"/>
    <w:rsid w:val="00132EF5"/>
    <w:rsid w:val="00133E0B"/>
    <w:rsid w:val="001353B5"/>
    <w:rsid w:val="00136175"/>
    <w:rsid w:val="0013726C"/>
    <w:rsid w:val="001379A6"/>
    <w:rsid w:val="00140437"/>
    <w:rsid w:val="00141288"/>
    <w:rsid w:val="001417C1"/>
    <w:rsid w:val="00141BEE"/>
    <w:rsid w:val="0014277F"/>
    <w:rsid w:val="00144901"/>
    <w:rsid w:val="0014490F"/>
    <w:rsid w:val="001461AC"/>
    <w:rsid w:val="00152429"/>
    <w:rsid w:val="00152E99"/>
    <w:rsid w:val="0015337D"/>
    <w:rsid w:val="00153DDE"/>
    <w:rsid w:val="00154B43"/>
    <w:rsid w:val="00155469"/>
    <w:rsid w:val="001573C2"/>
    <w:rsid w:val="001579C3"/>
    <w:rsid w:val="00160B74"/>
    <w:rsid w:val="00164A72"/>
    <w:rsid w:val="0016544F"/>
    <w:rsid w:val="00165757"/>
    <w:rsid w:val="00165B95"/>
    <w:rsid w:val="001712A5"/>
    <w:rsid w:val="001712D0"/>
    <w:rsid w:val="001717D4"/>
    <w:rsid w:val="001722E5"/>
    <w:rsid w:val="001727EF"/>
    <w:rsid w:val="00173AB2"/>
    <w:rsid w:val="00173B3B"/>
    <w:rsid w:val="00173BA2"/>
    <w:rsid w:val="00173DC0"/>
    <w:rsid w:val="001767EE"/>
    <w:rsid w:val="00176D62"/>
    <w:rsid w:val="00191993"/>
    <w:rsid w:val="00192339"/>
    <w:rsid w:val="001979A5"/>
    <w:rsid w:val="001A0514"/>
    <w:rsid w:val="001A0BEE"/>
    <w:rsid w:val="001A1AD5"/>
    <w:rsid w:val="001A7A56"/>
    <w:rsid w:val="001B1B68"/>
    <w:rsid w:val="001B37BB"/>
    <w:rsid w:val="001B5353"/>
    <w:rsid w:val="001B5741"/>
    <w:rsid w:val="001B5D86"/>
    <w:rsid w:val="001B72B4"/>
    <w:rsid w:val="001B781B"/>
    <w:rsid w:val="001C0490"/>
    <w:rsid w:val="001C0666"/>
    <w:rsid w:val="001C126C"/>
    <w:rsid w:val="001C15AA"/>
    <w:rsid w:val="001C21EA"/>
    <w:rsid w:val="001C2C6C"/>
    <w:rsid w:val="001C2EB8"/>
    <w:rsid w:val="001C3070"/>
    <w:rsid w:val="001C3448"/>
    <w:rsid w:val="001C3EFC"/>
    <w:rsid w:val="001C57D1"/>
    <w:rsid w:val="001C7116"/>
    <w:rsid w:val="001D0015"/>
    <w:rsid w:val="001D2486"/>
    <w:rsid w:val="001D554A"/>
    <w:rsid w:val="001D71E7"/>
    <w:rsid w:val="001D794B"/>
    <w:rsid w:val="001E00D2"/>
    <w:rsid w:val="001E1532"/>
    <w:rsid w:val="001E16D4"/>
    <w:rsid w:val="001E1B9C"/>
    <w:rsid w:val="001E1D9B"/>
    <w:rsid w:val="001E3152"/>
    <w:rsid w:val="001E35C4"/>
    <w:rsid w:val="001E381E"/>
    <w:rsid w:val="001E5E0D"/>
    <w:rsid w:val="001E642A"/>
    <w:rsid w:val="001E715F"/>
    <w:rsid w:val="001F1F74"/>
    <w:rsid w:val="001F3D02"/>
    <w:rsid w:val="001F433D"/>
    <w:rsid w:val="001F55D5"/>
    <w:rsid w:val="001F5A3D"/>
    <w:rsid w:val="001F5BF3"/>
    <w:rsid w:val="00201561"/>
    <w:rsid w:val="00201F09"/>
    <w:rsid w:val="00202678"/>
    <w:rsid w:val="0020552A"/>
    <w:rsid w:val="00207502"/>
    <w:rsid w:val="00211137"/>
    <w:rsid w:val="0021297C"/>
    <w:rsid w:val="0021371D"/>
    <w:rsid w:val="00213999"/>
    <w:rsid w:val="00214B4B"/>
    <w:rsid w:val="00214E9E"/>
    <w:rsid w:val="0021678C"/>
    <w:rsid w:val="0021692E"/>
    <w:rsid w:val="00220061"/>
    <w:rsid w:val="002205AF"/>
    <w:rsid w:val="00220781"/>
    <w:rsid w:val="00222B4C"/>
    <w:rsid w:val="0022460C"/>
    <w:rsid w:val="00224797"/>
    <w:rsid w:val="00225DAB"/>
    <w:rsid w:val="00226871"/>
    <w:rsid w:val="002268A5"/>
    <w:rsid w:val="00227926"/>
    <w:rsid w:val="00230319"/>
    <w:rsid w:val="00231CB7"/>
    <w:rsid w:val="002321FA"/>
    <w:rsid w:val="0023532A"/>
    <w:rsid w:val="0023591F"/>
    <w:rsid w:val="00237FAF"/>
    <w:rsid w:val="00241BF6"/>
    <w:rsid w:val="002431AA"/>
    <w:rsid w:val="00244BF9"/>
    <w:rsid w:val="0025277A"/>
    <w:rsid w:val="00254908"/>
    <w:rsid w:val="00254C2D"/>
    <w:rsid w:val="00256D87"/>
    <w:rsid w:val="00256E00"/>
    <w:rsid w:val="00256FF0"/>
    <w:rsid w:val="0025734C"/>
    <w:rsid w:val="00260E1B"/>
    <w:rsid w:val="00266208"/>
    <w:rsid w:val="00270391"/>
    <w:rsid w:val="0027137A"/>
    <w:rsid w:val="00272197"/>
    <w:rsid w:val="00272C03"/>
    <w:rsid w:val="002740F3"/>
    <w:rsid w:val="00275ECC"/>
    <w:rsid w:val="002766C5"/>
    <w:rsid w:val="002777BB"/>
    <w:rsid w:val="00277FF4"/>
    <w:rsid w:val="002808CC"/>
    <w:rsid w:val="00280DA3"/>
    <w:rsid w:val="00280E13"/>
    <w:rsid w:val="00281015"/>
    <w:rsid w:val="002810CD"/>
    <w:rsid w:val="00281E88"/>
    <w:rsid w:val="00284B1E"/>
    <w:rsid w:val="002853DA"/>
    <w:rsid w:val="00285EBB"/>
    <w:rsid w:val="00286126"/>
    <w:rsid w:val="00286243"/>
    <w:rsid w:val="002868EA"/>
    <w:rsid w:val="00290D21"/>
    <w:rsid w:val="00292AE3"/>
    <w:rsid w:val="0029333D"/>
    <w:rsid w:val="00293EA9"/>
    <w:rsid w:val="00296053"/>
    <w:rsid w:val="00297219"/>
    <w:rsid w:val="002A13DF"/>
    <w:rsid w:val="002A1740"/>
    <w:rsid w:val="002A1C3C"/>
    <w:rsid w:val="002A2EC5"/>
    <w:rsid w:val="002A300D"/>
    <w:rsid w:val="002A49F3"/>
    <w:rsid w:val="002A5F2A"/>
    <w:rsid w:val="002A60BF"/>
    <w:rsid w:val="002B0469"/>
    <w:rsid w:val="002B0D07"/>
    <w:rsid w:val="002B19A0"/>
    <w:rsid w:val="002B33C7"/>
    <w:rsid w:val="002B3CF9"/>
    <w:rsid w:val="002B4E8C"/>
    <w:rsid w:val="002B57D5"/>
    <w:rsid w:val="002B610F"/>
    <w:rsid w:val="002B652A"/>
    <w:rsid w:val="002C1667"/>
    <w:rsid w:val="002C3A34"/>
    <w:rsid w:val="002C51BC"/>
    <w:rsid w:val="002C6FDB"/>
    <w:rsid w:val="002C74FD"/>
    <w:rsid w:val="002C794D"/>
    <w:rsid w:val="002D0043"/>
    <w:rsid w:val="002D0320"/>
    <w:rsid w:val="002D0FC8"/>
    <w:rsid w:val="002D2BA7"/>
    <w:rsid w:val="002D4117"/>
    <w:rsid w:val="002D4539"/>
    <w:rsid w:val="002D49DB"/>
    <w:rsid w:val="002E228C"/>
    <w:rsid w:val="002E233F"/>
    <w:rsid w:val="002E6438"/>
    <w:rsid w:val="002F1FC3"/>
    <w:rsid w:val="002F6197"/>
    <w:rsid w:val="002F655F"/>
    <w:rsid w:val="002F7896"/>
    <w:rsid w:val="002F7FD6"/>
    <w:rsid w:val="0030371E"/>
    <w:rsid w:val="00304288"/>
    <w:rsid w:val="003054FB"/>
    <w:rsid w:val="00305CDB"/>
    <w:rsid w:val="00307719"/>
    <w:rsid w:val="00311587"/>
    <w:rsid w:val="00316DB9"/>
    <w:rsid w:val="00320FE0"/>
    <w:rsid w:val="0032374B"/>
    <w:rsid w:val="00323D0B"/>
    <w:rsid w:val="0032431F"/>
    <w:rsid w:val="00325247"/>
    <w:rsid w:val="003253D9"/>
    <w:rsid w:val="00325806"/>
    <w:rsid w:val="0032616F"/>
    <w:rsid w:val="00332D12"/>
    <w:rsid w:val="00332E64"/>
    <w:rsid w:val="00334027"/>
    <w:rsid w:val="003346C2"/>
    <w:rsid w:val="003349E2"/>
    <w:rsid w:val="00334FF9"/>
    <w:rsid w:val="003375ED"/>
    <w:rsid w:val="00341D38"/>
    <w:rsid w:val="00342100"/>
    <w:rsid w:val="0034286E"/>
    <w:rsid w:val="003433F8"/>
    <w:rsid w:val="00343AAA"/>
    <w:rsid w:val="00344B38"/>
    <w:rsid w:val="00345AC8"/>
    <w:rsid w:val="00346FB1"/>
    <w:rsid w:val="00347296"/>
    <w:rsid w:val="0034755E"/>
    <w:rsid w:val="00351D03"/>
    <w:rsid w:val="00353A6C"/>
    <w:rsid w:val="003563BA"/>
    <w:rsid w:val="00356A0B"/>
    <w:rsid w:val="00357086"/>
    <w:rsid w:val="00357BA4"/>
    <w:rsid w:val="00360620"/>
    <w:rsid w:val="00360C7F"/>
    <w:rsid w:val="0036159D"/>
    <w:rsid w:val="00366050"/>
    <w:rsid w:val="0036663A"/>
    <w:rsid w:val="003710D6"/>
    <w:rsid w:val="003718CA"/>
    <w:rsid w:val="00371E1D"/>
    <w:rsid w:val="00373564"/>
    <w:rsid w:val="003745CE"/>
    <w:rsid w:val="003762AE"/>
    <w:rsid w:val="0037681F"/>
    <w:rsid w:val="00377FBF"/>
    <w:rsid w:val="003811FC"/>
    <w:rsid w:val="00382319"/>
    <w:rsid w:val="0038607C"/>
    <w:rsid w:val="00387D07"/>
    <w:rsid w:val="00387F4F"/>
    <w:rsid w:val="0039170A"/>
    <w:rsid w:val="0039187B"/>
    <w:rsid w:val="00391E10"/>
    <w:rsid w:val="00393F31"/>
    <w:rsid w:val="0039431C"/>
    <w:rsid w:val="00394A9D"/>
    <w:rsid w:val="003A04FC"/>
    <w:rsid w:val="003A16DD"/>
    <w:rsid w:val="003A238B"/>
    <w:rsid w:val="003A3F4F"/>
    <w:rsid w:val="003A45D3"/>
    <w:rsid w:val="003A50EB"/>
    <w:rsid w:val="003A543F"/>
    <w:rsid w:val="003A5CFB"/>
    <w:rsid w:val="003A63DE"/>
    <w:rsid w:val="003B10B5"/>
    <w:rsid w:val="003B1E6F"/>
    <w:rsid w:val="003B37B2"/>
    <w:rsid w:val="003B619E"/>
    <w:rsid w:val="003C1A72"/>
    <w:rsid w:val="003C22D5"/>
    <w:rsid w:val="003C249D"/>
    <w:rsid w:val="003C2990"/>
    <w:rsid w:val="003C2EEE"/>
    <w:rsid w:val="003C387F"/>
    <w:rsid w:val="003C535B"/>
    <w:rsid w:val="003C5A1F"/>
    <w:rsid w:val="003C6C6E"/>
    <w:rsid w:val="003C790C"/>
    <w:rsid w:val="003D1F29"/>
    <w:rsid w:val="003D2687"/>
    <w:rsid w:val="003D2BC2"/>
    <w:rsid w:val="003D38EA"/>
    <w:rsid w:val="003D3DB9"/>
    <w:rsid w:val="003D5E4E"/>
    <w:rsid w:val="003D5F39"/>
    <w:rsid w:val="003D64A1"/>
    <w:rsid w:val="003D7A98"/>
    <w:rsid w:val="003E057C"/>
    <w:rsid w:val="003E3923"/>
    <w:rsid w:val="003E3B9F"/>
    <w:rsid w:val="003E479E"/>
    <w:rsid w:val="003E4895"/>
    <w:rsid w:val="003E586E"/>
    <w:rsid w:val="003E59C9"/>
    <w:rsid w:val="003F0137"/>
    <w:rsid w:val="003F0E40"/>
    <w:rsid w:val="003F18B1"/>
    <w:rsid w:val="003F2229"/>
    <w:rsid w:val="003F2C41"/>
    <w:rsid w:val="003F3025"/>
    <w:rsid w:val="003F3195"/>
    <w:rsid w:val="003F3505"/>
    <w:rsid w:val="003F4743"/>
    <w:rsid w:val="003F507A"/>
    <w:rsid w:val="003F587B"/>
    <w:rsid w:val="003F63E7"/>
    <w:rsid w:val="003F64FA"/>
    <w:rsid w:val="003F69E6"/>
    <w:rsid w:val="003F6B27"/>
    <w:rsid w:val="003F7084"/>
    <w:rsid w:val="003F7660"/>
    <w:rsid w:val="00402507"/>
    <w:rsid w:val="00403408"/>
    <w:rsid w:val="00403D60"/>
    <w:rsid w:val="00406CDE"/>
    <w:rsid w:val="00406F10"/>
    <w:rsid w:val="0041018A"/>
    <w:rsid w:val="00414C50"/>
    <w:rsid w:val="004209AF"/>
    <w:rsid w:val="00420C41"/>
    <w:rsid w:val="00426783"/>
    <w:rsid w:val="00426A38"/>
    <w:rsid w:val="00426DAD"/>
    <w:rsid w:val="004333A0"/>
    <w:rsid w:val="004337BE"/>
    <w:rsid w:val="0043707E"/>
    <w:rsid w:val="00440D01"/>
    <w:rsid w:val="00441E15"/>
    <w:rsid w:val="00441FCE"/>
    <w:rsid w:val="00442228"/>
    <w:rsid w:val="00443ED9"/>
    <w:rsid w:val="00446D21"/>
    <w:rsid w:val="0045240B"/>
    <w:rsid w:val="00452AC1"/>
    <w:rsid w:val="00452F3C"/>
    <w:rsid w:val="0045315C"/>
    <w:rsid w:val="00453658"/>
    <w:rsid w:val="00454AC7"/>
    <w:rsid w:val="0045579E"/>
    <w:rsid w:val="004570B4"/>
    <w:rsid w:val="00457D5D"/>
    <w:rsid w:val="00460C8E"/>
    <w:rsid w:val="00462F37"/>
    <w:rsid w:val="00464D65"/>
    <w:rsid w:val="004709A9"/>
    <w:rsid w:val="00470E65"/>
    <w:rsid w:val="00471CD3"/>
    <w:rsid w:val="00471DC0"/>
    <w:rsid w:val="00472E0F"/>
    <w:rsid w:val="00474C08"/>
    <w:rsid w:val="00474E8A"/>
    <w:rsid w:val="00476504"/>
    <w:rsid w:val="00476E39"/>
    <w:rsid w:val="00477CDC"/>
    <w:rsid w:val="00477F78"/>
    <w:rsid w:val="00481267"/>
    <w:rsid w:val="00481CAF"/>
    <w:rsid w:val="004862E6"/>
    <w:rsid w:val="00486A80"/>
    <w:rsid w:val="00487FFB"/>
    <w:rsid w:val="00491EF8"/>
    <w:rsid w:val="00492802"/>
    <w:rsid w:val="00493967"/>
    <w:rsid w:val="00494103"/>
    <w:rsid w:val="00495765"/>
    <w:rsid w:val="004A0250"/>
    <w:rsid w:val="004A45AF"/>
    <w:rsid w:val="004A56C1"/>
    <w:rsid w:val="004A7DE5"/>
    <w:rsid w:val="004B1655"/>
    <w:rsid w:val="004B2BC0"/>
    <w:rsid w:val="004B3E18"/>
    <w:rsid w:val="004B41BD"/>
    <w:rsid w:val="004B4E7F"/>
    <w:rsid w:val="004B6447"/>
    <w:rsid w:val="004C12E6"/>
    <w:rsid w:val="004C1BEA"/>
    <w:rsid w:val="004C27C9"/>
    <w:rsid w:val="004C4B0F"/>
    <w:rsid w:val="004C5C83"/>
    <w:rsid w:val="004C62DA"/>
    <w:rsid w:val="004C7101"/>
    <w:rsid w:val="004D0B00"/>
    <w:rsid w:val="004D0D5C"/>
    <w:rsid w:val="004D19B3"/>
    <w:rsid w:val="004D2712"/>
    <w:rsid w:val="004D3050"/>
    <w:rsid w:val="004D5547"/>
    <w:rsid w:val="004D6106"/>
    <w:rsid w:val="004D6911"/>
    <w:rsid w:val="004D7B07"/>
    <w:rsid w:val="004E2D63"/>
    <w:rsid w:val="004E2F8C"/>
    <w:rsid w:val="004E47B1"/>
    <w:rsid w:val="004E4F37"/>
    <w:rsid w:val="004E5FB3"/>
    <w:rsid w:val="004E69EF"/>
    <w:rsid w:val="004E6A44"/>
    <w:rsid w:val="004E7DB0"/>
    <w:rsid w:val="004F0342"/>
    <w:rsid w:val="004F1678"/>
    <w:rsid w:val="004F27E3"/>
    <w:rsid w:val="004F488B"/>
    <w:rsid w:val="004F587D"/>
    <w:rsid w:val="004F626F"/>
    <w:rsid w:val="004F6999"/>
    <w:rsid w:val="0050004A"/>
    <w:rsid w:val="00500397"/>
    <w:rsid w:val="00501B56"/>
    <w:rsid w:val="00501D9A"/>
    <w:rsid w:val="00502E48"/>
    <w:rsid w:val="005036D3"/>
    <w:rsid w:val="0050464A"/>
    <w:rsid w:val="005046D4"/>
    <w:rsid w:val="00505903"/>
    <w:rsid w:val="00505952"/>
    <w:rsid w:val="00506C87"/>
    <w:rsid w:val="0051074D"/>
    <w:rsid w:val="00510A37"/>
    <w:rsid w:val="00511368"/>
    <w:rsid w:val="00511A2B"/>
    <w:rsid w:val="00512B9D"/>
    <w:rsid w:val="005136AD"/>
    <w:rsid w:val="00513FB3"/>
    <w:rsid w:val="00514973"/>
    <w:rsid w:val="00516F17"/>
    <w:rsid w:val="0051783A"/>
    <w:rsid w:val="00522D01"/>
    <w:rsid w:val="00525319"/>
    <w:rsid w:val="0052648F"/>
    <w:rsid w:val="00526598"/>
    <w:rsid w:val="00530321"/>
    <w:rsid w:val="00530E3F"/>
    <w:rsid w:val="0053516C"/>
    <w:rsid w:val="005359F3"/>
    <w:rsid w:val="00535A6E"/>
    <w:rsid w:val="00536238"/>
    <w:rsid w:val="00536272"/>
    <w:rsid w:val="00537D98"/>
    <w:rsid w:val="00537ED2"/>
    <w:rsid w:val="00544D24"/>
    <w:rsid w:val="005458CF"/>
    <w:rsid w:val="00546462"/>
    <w:rsid w:val="00546C1F"/>
    <w:rsid w:val="00546D76"/>
    <w:rsid w:val="00547C02"/>
    <w:rsid w:val="00547C1A"/>
    <w:rsid w:val="00547F5E"/>
    <w:rsid w:val="005530FB"/>
    <w:rsid w:val="005536AA"/>
    <w:rsid w:val="00560FF6"/>
    <w:rsid w:val="005616D6"/>
    <w:rsid w:val="0056362E"/>
    <w:rsid w:val="00566121"/>
    <w:rsid w:val="0056635A"/>
    <w:rsid w:val="00567B88"/>
    <w:rsid w:val="005700FE"/>
    <w:rsid w:val="00570601"/>
    <w:rsid w:val="00573280"/>
    <w:rsid w:val="00573B46"/>
    <w:rsid w:val="00574CE8"/>
    <w:rsid w:val="0057552C"/>
    <w:rsid w:val="005762B4"/>
    <w:rsid w:val="005772E2"/>
    <w:rsid w:val="005809AE"/>
    <w:rsid w:val="00580CF7"/>
    <w:rsid w:val="0058158A"/>
    <w:rsid w:val="00581B16"/>
    <w:rsid w:val="00584547"/>
    <w:rsid w:val="005845B3"/>
    <w:rsid w:val="0058516B"/>
    <w:rsid w:val="005864F4"/>
    <w:rsid w:val="00587E09"/>
    <w:rsid w:val="00596EA8"/>
    <w:rsid w:val="005A14BF"/>
    <w:rsid w:val="005A1B24"/>
    <w:rsid w:val="005A282F"/>
    <w:rsid w:val="005A2DA3"/>
    <w:rsid w:val="005A4E08"/>
    <w:rsid w:val="005A569C"/>
    <w:rsid w:val="005A5723"/>
    <w:rsid w:val="005A61D7"/>
    <w:rsid w:val="005A7346"/>
    <w:rsid w:val="005B2C1C"/>
    <w:rsid w:val="005B2FF5"/>
    <w:rsid w:val="005B6CA3"/>
    <w:rsid w:val="005B7150"/>
    <w:rsid w:val="005C0BEE"/>
    <w:rsid w:val="005C2701"/>
    <w:rsid w:val="005C4704"/>
    <w:rsid w:val="005C6726"/>
    <w:rsid w:val="005C6A44"/>
    <w:rsid w:val="005C6AB7"/>
    <w:rsid w:val="005C71D3"/>
    <w:rsid w:val="005D2624"/>
    <w:rsid w:val="005D2E64"/>
    <w:rsid w:val="005D32C8"/>
    <w:rsid w:val="005D4458"/>
    <w:rsid w:val="005D4F1A"/>
    <w:rsid w:val="005E0BD3"/>
    <w:rsid w:val="005E19D7"/>
    <w:rsid w:val="005E28CB"/>
    <w:rsid w:val="005E3F2A"/>
    <w:rsid w:val="005E66A9"/>
    <w:rsid w:val="005E715B"/>
    <w:rsid w:val="005E7D3D"/>
    <w:rsid w:val="005E7FAE"/>
    <w:rsid w:val="005F1FB9"/>
    <w:rsid w:val="005F2043"/>
    <w:rsid w:val="005F2B97"/>
    <w:rsid w:val="005F46DC"/>
    <w:rsid w:val="005F53E4"/>
    <w:rsid w:val="005F6F7A"/>
    <w:rsid w:val="00600572"/>
    <w:rsid w:val="006019D5"/>
    <w:rsid w:val="006019F2"/>
    <w:rsid w:val="00601FF4"/>
    <w:rsid w:val="00602B2E"/>
    <w:rsid w:val="006038E8"/>
    <w:rsid w:val="00603B2B"/>
    <w:rsid w:val="0060402E"/>
    <w:rsid w:val="00604526"/>
    <w:rsid w:val="00604962"/>
    <w:rsid w:val="006071F6"/>
    <w:rsid w:val="006106CB"/>
    <w:rsid w:val="00613FCA"/>
    <w:rsid w:val="00614CA3"/>
    <w:rsid w:val="006152C2"/>
    <w:rsid w:val="00617544"/>
    <w:rsid w:val="00617D35"/>
    <w:rsid w:val="00620FD6"/>
    <w:rsid w:val="00621728"/>
    <w:rsid w:val="00621BFB"/>
    <w:rsid w:val="00622939"/>
    <w:rsid w:val="0062386E"/>
    <w:rsid w:val="00623F86"/>
    <w:rsid w:val="006272DF"/>
    <w:rsid w:val="00632685"/>
    <w:rsid w:val="00633002"/>
    <w:rsid w:val="00633503"/>
    <w:rsid w:val="00635162"/>
    <w:rsid w:val="00637C49"/>
    <w:rsid w:val="00640BAB"/>
    <w:rsid w:val="00640CDA"/>
    <w:rsid w:val="0064257D"/>
    <w:rsid w:val="0064278B"/>
    <w:rsid w:val="00642A9A"/>
    <w:rsid w:val="00643B90"/>
    <w:rsid w:val="0064581C"/>
    <w:rsid w:val="00646811"/>
    <w:rsid w:val="00647536"/>
    <w:rsid w:val="00650049"/>
    <w:rsid w:val="00650619"/>
    <w:rsid w:val="00651883"/>
    <w:rsid w:val="00651939"/>
    <w:rsid w:val="00652344"/>
    <w:rsid w:val="00654E95"/>
    <w:rsid w:val="00655185"/>
    <w:rsid w:val="00656799"/>
    <w:rsid w:val="00657EE3"/>
    <w:rsid w:val="00661816"/>
    <w:rsid w:val="006635AD"/>
    <w:rsid w:val="0066388C"/>
    <w:rsid w:val="006644BF"/>
    <w:rsid w:val="006656C4"/>
    <w:rsid w:val="00665CBF"/>
    <w:rsid w:val="00665D37"/>
    <w:rsid w:val="00666128"/>
    <w:rsid w:val="00666D7C"/>
    <w:rsid w:val="00670ED4"/>
    <w:rsid w:val="00671C38"/>
    <w:rsid w:val="00672810"/>
    <w:rsid w:val="00672B4B"/>
    <w:rsid w:val="00673520"/>
    <w:rsid w:val="006735F3"/>
    <w:rsid w:val="00674D12"/>
    <w:rsid w:val="00676AEA"/>
    <w:rsid w:val="00682B18"/>
    <w:rsid w:val="006831CD"/>
    <w:rsid w:val="00683CB3"/>
    <w:rsid w:val="006876C6"/>
    <w:rsid w:val="00690BC0"/>
    <w:rsid w:val="0069108F"/>
    <w:rsid w:val="00691CB7"/>
    <w:rsid w:val="00694105"/>
    <w:rsid w:val="00694512"/>
    <w:rsid w:val="00695163"/>
    <w:rsid w:val="00696915"/>
    <w:rsid w:val="00697BD5"/>
    <w:rsid w:val="00697CA0"/>
    <w:rsid w:val="006A2D3D"/>
    <w:rsid w:val="006A56AD"/>
    <w:rsid w:val="006A613A"/>
    <w:rsid w:val="006A6E12"/>
    <w:rsid w:val="006A7116"/>
    <w:rsid w:val="006A7A67"/>
    <w:rsid w:val="006B0260"/>
    <w:rsid w:val="006B02D0"/>
    <w:rsid w:val="006B2A53"/>
    <w:rsid w:val="006B3194"/>
    <w:rsid w:val="006B698C"/>
    <w:rsid w:val="006B781F"/>
    <w:rsid w:val="006B7B8D"/>
    <w:rsid w:val="006C086A"/>
    <w:rsid w:val="006C0AEE"/>
    <w:rsid w:val="006C12BD"/>
    <w:rsid w:val="006C3748"/>
    <w:rsid w:val="006C4053"/>
    <w:rsid w:val="006C5B59"/>
    <w:rsid w:val="006C6754"/>
    <w:rsid w:val="006D0D36"/>
    <w:rsid w:val="006D13F3"/>
    <w:rsid w:val="006D1D70"/>
    <w:rsid w:val="006D3A92"/>
    <w:rsid w:val="006D3DEC"/>
    <w:rsid w:val="006D45F7"/>
    <w:rsid w:val="006D5BA9"/>
    <w:rsid w:val="006D74DD"/>
    <w:rsid w:val="006E0973"/>
    <w:rsid w:val="006E0C93"/>
    <w:rsid w:val="006E1B58"/>
    <w:rsid w:val="006E2156"/>
    <w:rsid w:val="006E4818"/>
    <w:rsid w:val="006F0702"/>
    <w:rsid w:val="006F0732"/>
    <w:rsid w:val="006F2400"/>
    <w:rsid w:val="006F32C4"/>
    <w:rsid w:val="006F3CBF"/>
    <w:rsid w:val="006F3F47"/>
    <w:rsid w:val="006F4A5B"/>
    <w:rsid w:val="006F5872"/>
    <w:rsid w:val="006F5F25"/>
    <w:rsid w:val="006F65BA"/>
    <w:rsid w:val="006F7BC9"/>
    <w:rsid w:val="00700426"/>
    <w:rsid w:val="007020CD"/>
    <w:rsid w:val="007036CC"/>
    <w:rsid w:val="00703970"/>
    <w:rsid w:val="00704A1B"/>
    <w:rsid w:val="00706083"/>
    <w:rsid w:val="00712282"/>
    <w:rsid w:val="007124B9"/>
    <w:rsid w:val="0071268A"/>
    <w:rsid w:val="00712B27"/>
    <w:rsid w:val="00712D50"/>
    <w:rsid w:val="0071374A"/>
    <w:rsid w:val="00715A5B"/>
    <w:rsid w:val="00720128"/>
    <w:rsid w:val="007221AA"/>
    <w:rsid w:val="00722CF5"/>
    <w:rsid w:val="007236FD"/>
    <w:rsid w:val="007238DC"/>
    <w:rsid w:val="0072477F"/>
    <w:rsid w:val="0072745E"/>
    <w:rsid w:val="0073059F"/>
    <w:rsid w:val="0073080D"/>
    <w:rsid w:val="0073107D"/>
    <w:rsid w:val="0073351C"/>
    <w:rsid w:val="007338A0"/>
    <w:rsid w:val="00733A58"/>
    <w:rsid w:val="00733C74"/>
    <w:rsid w:val="00735AEC"/>
    <w:rsid w:val="00736B56"/>
    <w:rsid w:val="0073743D"/>
    <w:rsid w:val="0073780A"/>
    <w:rsid w:val="007378DF"/>
    <w:rsid w:val="0074074E"/>
    <w:rsid w:val="007418C9"/>
    <w:rsid w:val="00742302"/>
    <w:rsid w:val="0074247B"/>
    <w:rsid w:val="007427ED"/>
    <w:rsid w:val="007428C6"/>
    <w:rsid w:val="0074316F"/>
    <w:rsid w:val="007433AB"/>
    <w:rsid w:val="007445F7"/>
    <w:rsid w:val="00745E94"/>
    <w:rsid w:val="0075063D"/>
    <w:rsid w:val="00751101"/>
    <w:rsid w:val="00753477"/>
    <w:rsid w:val="00753ABF"/>
    <w:rsid w:val="007542A9"/>
    <w:rsid w:val="0075495B"/>
    <w:rsid w:val="00755F47"/>
    <w:rsid w:val="0076076D"/>
    <w:rsid w:val="00760BCB"/>
    <w:rsid w:val="00761D61"/>
    <w:rsid w:val="00761E8B"/>
    <w:rsid w:val="007624BE"/>
    <w:rsid w:val="00765AD8"/>
    <w:rsid w:val="007660F7"/>
    <w:rsid w:val="00767879"/>
    <w:rsid w:val="00772FC5"/>
    <w:rsid w:val="007734FC"/>
    <w:rsid w:val="007736CC"/>
    <w:rsid w:val="0077592E"/>
    <w:rsid w:val="0077710A"/>
    <w:rsid w:val="0078021F"/>
    <w:rsid w:val="00780897"/>
    <w:rsid w:val="007823C5"/>
    <w:rsid w:val="00782574"/>
    <w:rsid w:val="00785134"/>
    <w:rsid w:val="007854BB"/>
    <w:rsid w:val="00785657"/>
    <w:rsid w:val="00794D37"/>
    <w:rsid w:val="007964E4"/>
    <w:rsid w:val="00796A37"/>
    <w:rsid w:val="00797AD6"/>
    <w:rsid w:val="00797F11"/>
    <w:rsid w:val="007A01EF"/>
    <w:rsid w:val="007A2F3D"/>
    <w:rsid w:val="007A3EE0"/>
    <w:rsid w:val="007A5309"/>
    <w:rsid w:val="007A57E1"/>
    <w:rsid w:val="007A6361"/>
    <w:rsid w:val="007A6CCF"/>
    <w:rsid w:val="007A7475"/>
    <w:rsid w:val="007B08DD"/>
    <w:rsid w:val="007B1376"/>
    <w:rsid w:val="007B16C9"/>
    <w:rsid w:val="007B3197"/>
    <w:rsid w:val="007B366F"/>
    <w:rsid w:val="007B66B0"/>
    <w:rsid w:val="007B7EC8"/>
    <w:rsid w:val="007C0F69"/>
    <w:rsid w:val="007C2E47"/>
    <w:rsid w:val="007C2F90"/>
    <w:rsid w:val="007C431F"/>
    <w:rsid w:val="007C5DBC"/>
    <w:rsid w:val="007C78AC"/>
    <w:rsid w:val="007D1D93"/>
    <w:rsid w:val="007D1F34"/>
    <w:rsid w:val="007D20A6"/>
    <w:rsid w:val="007D5A14"/>
    <w:rsid w:val="007E0FFA"/>
    <w:rsid w:val="007E40C2"/>
    <w:rsid w:val="007E522B"/>
    <w:rsid w:val="007E5B40"/>
    <w:rsid w:val="007E6161"/>
    <w:rsid w:val="007E754F"/>
    <w:rsid w:val="007F02B3"/>
    <w:rsid w:val="007F0427"/>
    <w:rsid w:val="007F098A"/>
    <w:rsid w:val="007F0BC2"/>
    <w:rsid w:val="007F144F"/>
    <w:rsid w:val="007F40C1"/>
    <w:rsid w:val="007F4D75"/>
    <w:rsid w:val="008017F5"/>
    <w:rsid w:val="00802A09"/>
    <w:rsid w:val="0080386D"/>
    <w:rsid w:val="00804E82"/>
    <w:rsid w:val="0080525F"/>
    <w:rsid w:val="00805431"/>
    <w:rsid w:val="0080649C"/>
    <w:rsid w:val="00806AF5"/>
    <w:rsid w:val="00807488"/>
    <w:rsid w:val="008118BB"/>
    <w:rsid w:val="00812D7D"/>
    <w:rsid w:val="0081496B"/>
    <w:rsid w:val="00814B32"/>
    <w:rsid w:val="008158B8"/>
    <w:rsid w:val="0081751B"/>
    <w:rsid w:val="00823B6A"/>
    <w:rsid w:val="008256B8"/>
    <w:rsid w:val="008256C0"/>
    <w:rsid w:val="00825D2D"/>
    <w:rsid w:val="00826169"/>
    <w:rsid w:val="00827024"/>
    <w:rsid w:val="00827ABD"/>
    <w:rsid w:val="0083123B"/>
    <w:rsid w:val="0083336C"/>
    <w:rsid w:val="00833A4B"/>
    <w:rsid w:val="008344F7"/>
    <w:rsid w:val="008358D3"/>
    <w:rsid w:val="0084195C"/>
    <w:rsid w:val="00841D72"/>
    <w:rsid w:val="00841F6C"/>
    <w:rsid w:val="00843D85"/>
    <w:rsid w:val="00843DCA"/>
    <w:rsid w:val="008445D7"/>
    <w:rsid w:val="008447F5"/>
    <w:rsid w:val="0084499E"/>
    <w:rsid w:val="00844DDC"/>
    <w:rsid w:val="008454B2"/>
    <w:rsid w:val="00846D2A"/>
    <w:rsid w:val="00846F73"/>
    <w:rsid w:val="008500EE"/>
    <w:rsid w:val="008503A8"/>
    <w:rsid w:val="008513BA"/>
    <w:rsid w:val="0085228C"/>
    <w:rsid w:val="0085309D"/>
    <w:rsid w:val="00854214"/>
    <w:rsid w:val="00854D0C"/>
    <w:rsid w:val="00855984"/>
    <w:rsid w:val="008569CE"/>
    <w:rsid w:val="00861466"/>
    <w:rsid w:val="008616B2"/>
    <w:rsid w:val="008620B3"/>
    <w:rsid w:val="0086295F"/>
    <w:rsid w:val="00863C4F"/>
    <w:rsid w:val="00864992"/>
    <w:rsid w:val="00865641"/>
    <w:rsid w:val="0086565D"/>
    <w:rsid w:val="008704CB"/>
    <w:rsid w:val="00871C4C"/>
    <w:rsid w:val="00873CC6"/>
    <w:rsid w:val="0087514A"/>
    <w:rsid w:val="0087736C"/>
    <w:rsid w:val="008776BA"/>
    <w:rsid w:val="00877D3B"/>
    <w:rsid w:val="008807C1"/>
    <w:rsid w:val="00880863"/>
    <w:rsid w:val="008828E2"/>
    <w:rsid w:val="00882E67"/>
    <w:rsid w:val="00883324"/>
    <w:rsid w:val="00883AB8"/>
    <w:rsid w:val="00885520"/>
    <w:rsid w:val="0088584A"/>
    <w:rsid w:val="00885D22"/>
    <w:rsid w:val="00886165"/>
    <w:rsid w:val="008861AB"/>
    <w:rsid w:val="00890FF9"/>
    <w:rsid w:val="00892AB9"/>
    <w:rsid w:val="00894387"/>
    <w:rsid w:val="0089471F"/>
    <w:rsid w:val="00896970"/>
    <w:rsid w:val="00897E9B"/>
    <w:rsid w:val="008A0F11"/>
    <w:rsid w:val="008A2DE2"/>
    <w:rsid w:val="008A46D9"/>
    <w:rsid w:val="008A4C8A"/>
    <w:rsid w:val="008A5D0F"/>
    <w:rsid w:val="008A6107"/>
    <w:rsid w:val="008B0A68"/>
    <w:rsid w:val="008B3689"/>
    <w:rsid w:val="008C0756"/>
    <w:rsid w:val="008C07AA"/>
    <w:rsid w:val="008C108D"/>
    <w:rsid w:val="008C1BF4"/>
    <w:rsid w:val="008C20AC"/>
    <w:rsid w:val="008C413A"/>
    <w:rsid w:val="008C42FA"/>
    <w:rsid w:val="008C48AD"/>
    <w:rsid w:val="008C5F5A"/>
    <w:rsid w:val="008C6BE5"/>
    <w:rsid w:val="008C6ED0"/>
    <w:rsid w:val="008D080A"/>
    <w:rsid w:val="008D25D7"/>
    <w:rsid w:val="008D2CDD"/>
    <w:rsid w:val="008D727B"/>
    <w:rsid w:val="008D7BE2"/>
    <w:rsid w:val="008D7DF0"/>
    <w:rsid w:val="008E085D"/>
    <w:rsid w:val="008E1651"/>
    <w:rsid w:val="008E256C"/>
    <w:rsid w:val="008E3CE7"/>
    <w:rsid w:val="008E4AFB"/>
    <w:rsid w:val="008E4EE4"/>
    <w:rsid w:val="008E4FB9"/>
    <w:rsid w:val="008E59C5"/>
    <w:rsid w:val="008E649B"/>
    <w:rsid w:val="008E7FA5"/>
    <w:rsid w:val="008F118A"/>
    <w:rsid w:val="008F3586"/>
    <w:rsid w:val="008F3C49"/>
    <w:rsid w:val="008F3DB7"/>
    <w:rsid w:val="008F7157"/>
    <w:rsid w:val="008F74A4"/>
    <w:rsid w:val="008F786A"/>
    <w:rsid w:val="008F78C3"/>
    <w:rsid w:val="009069B9"/>
    <w:rsid w:val="00907316"/>
    <w:rsid w:val="00907A65"/>
    <w:rsid w:val="00911EEE"/>
    <w:rsid w:val="00914B7C"/>
    <w:rsid w:val="009155A6"/>
    <w:rsid w:val="0091620F"/>
    <w:rsid w:val="00916CEC"/>
    <w:rsid w:val="0091799D"/>
    <w:rsid w:val="009201C1"/>
    <w:rsid w:val="00920A34"/>
    <w:rsid w:val="009212A1"/>
    <w:rsid w:val="00921376"/>
    <w:rsid w:val="00921F9F"/>
    <w:rsid w:val="0092300D"/>
    <w:rsid w:val="009251B7"/>
    <w:rsid w:val="009265F4"/>
    <w:rsid w:val="00927376"/>
    <w:rsid w:val="00927537"/>
    <w:rsid w:val="00930E99"/>
    <w:rsid w:val="00932267"/>
    <w:rsid w:val="009328BB"/>
    <w:rsid w:val="00932E95"/>
    <w:rsid w:val="0093311A"/>
    <w:rsid w:val="00933A30"/>
    <w:rsid w:val="00933C34"/>
    <w:rsid w:val="00935131"/>
    <w:rsid w:val="009356F3"/>
    <w:rsid w:val="00935A1A"/>
    <w:rsid w:val="00935D34"/>
    <w:rsid w:val="00935E60"/>
    <w:rsid w:val="009364AB"/>
    <w:rsid w:val="009367FB"/>
    <w:rsid w:val="009406D1"/>
    <w:rsid w:val="00940928"/>
    <w:rsid w:val="009410CC"/>
    <w:rsid w:val="0094124E"/>
    <w:rsid w:val="00943EF8"/>
    <w:rsid w:val="00945709"/>
    <w:rsid w:val="00945C63"/>
    <w:rsid w:val="009505DA"/>
    <w:rsid w:val="00951EB4"/>
    <w:rsid w:val="009528AC"/>
    <w:rsid w:val="009554F4"/>
    <w:rsid w:val="00955A3A"/>
    <w:rsid w:val="00956BAB"/>
    <w:rsid w:val="00960138"/>
    <w:rsid w:val="00962D0C"/>
    <w:rsid w:val="0096336F"/>
    <w:rsid w:val="00963C50"/>
    <w:rsid w:val="0096430E"/>
    <w:rsid w:val="009672D2"/>
    <w:rsid w:val="00970455"/>
    <w:rsid w:val="009707B6"/>
    <w:rsid w:val="009720F1"/>
    <w:rsid w:val="00972B15"/>
    <w:rsid w:val="00975270"/>
    <w:rsid w:val="00975B40"/>
    <w:rsid w:val="00980DF3"/>
    <w:rsid w:val="00982C09"/>
    <w:rsid w:val="00982D07"/>
    <w:rsid w:val="00983095"/>
    <w:rsid w:val="00984208"/>
    <w:rsid w:val="00984CF5"/>
    <w:rsid w:val="0098767D"/>
    <w:rsid w:val="009968C2"/>
    <w:rsid w:val="0099799B"/>
    <w:rsid w:val="009A0CC8"/>
    <w:rsid w:val="009A300A"/>
    <w:rsid w:val="009A42EE"/>
    <w:rsid w:val="009A46D3"/>
    <w:rsid w:val="009A6883"/>
    <w:rsid w:val="009B0949"/>
    <w:rsid w:val="009B0E7B"/>
    <w:rsid w:val="009B1D53"/>
    <w:rsid w:val="009B2738"/>
    <w:rsid w:val="009B6A27"/>
    <w:rsid w:val="009C1C2E"/>
    <w:rsid w:val="009C4B3E"/>
    <w:rsid w:val="009C6599"/>
    <w:rsid w:val="009D2282"/>
    <w:rsid w:val="009D2880"/>
    <w:rsid w:val="009D2BAA"/>
    <w:rsid w:val="009D379F"/>
    <w:rsid w:val="009D5196"/>
    <w:rsid w:val="009E10EC"/>
    <w:rsid w:val="009E2343"/>
    <w:rsid w:val="009E2828"/>
    <w:rsid w:val="009E3D57"/>
    <w:rsid w:val="009E48BC"/>
    <w:rsid w:val="009E5452"/>
    <w:rsid w:val="009E5EAB"/>
    <w:rsid w:val="009F0CC7"/>
    <w:rsid w:val="009F0F52"/>
    <w:rsid w:val="009F2B5F"/>
    <w:rsid w:val="009F3257"/>
    <w:rsid w:val="009F3986"/>
    <w:rsid w:val="009F3CF0"/>
    <w:rsid w:val="009F595F"/>
    <w:rsid w:val="009F6421"/>
    <w:rsid w:val="009F6BE0"/>
    <w:rsid w:val="009F6C67"/>
    <w:rsid w:val="009F7FCE"/>
    <w:rsid w:val="00A01159"/>
    <w:rsid w:val="00A01C93"/>
    <w:rsid w:val="00A02076"/>
    <w:rsid w:val="00A02D53"/>
    <w:rsid w:val="00A02D61"/>
    <w:rsid w:val="00A03A63"/>
    <w:rsid w:val="00A03C86"/>
    <w:rsid w:val="00A040F5"/>
    <w:rsid w:val="00A07162"/>
    <w:rsid w:val="00A1007E"/>
    <w:rsid w:val="00A103C0"/>
    <w:rsid w:val="00A124BD"/>
    <w:rsid w:val="00A1321E"/>
    <w:rsid w:val="00A14E7B"/>
    <w:rsid w:val="00A17C6E"/>
    <w:rsid w:val="00A20F0F"/>
    <w:rsid w:val="00A21524"/>
    <w:rsid w:val="00A22014"/>
    <w:rsid w:val="00A221F8"/>
    <w:rsid w:val="00A2310C"/>
    <w:rsid w:val="00A2475B"/>
    <w:rsid w:val="00A25B29"/>
    <w:rsid w:val="00A25B85"/>
    <w:rsid w:val="00A26380"/>
    <w:rsid w:val="00A2684C"/>
    <w:rsid w:val="00A27A71"/>
    <w:rsid w:val="00A3049D"/>
    <w:rsid w:val="00A32836"/>
    <w:rsid w:val="00A33218"/>
    <w:rsid w:val="00A3345E"/>
    <w:rsid w:val="00A33BF9"/>
    <w:rsid w:val="00A3718E"/>
    <w:rsid w:val="00A41A7F"/>
    <w:rsid w:val="00A4290F"/>
    <w:rsid w:val="00A4587C"/>
    <w:rsid w:val="00A47580"/>
    <w:rsid w:val="00A5044C"/>
    <w:rsid w:val="00A53962"/>
    <w:rsid w:val="00A5488A"/>
    <w:rsid w:val="00A54F32"/>
    <w:rsid w:val="00A55443"/>
    <w:rsid w:val="00A606B5"/>
    <w:rsid w:val="00A62915"/>
    <w:rsid w:val="00A64053"/>
    <w:rsid w:val="00A65449"/>
    <w:rsid w:val="00A66FBA"/>
    <w:rsid w:val="00A679C2"/>
    <w:rsid w:val="00A701A5"/>
    <w:rsid w:val="00A70B3F"/>
    <w:rsid w:val="00A72422"/>
    <w:rsid w:val="00A730AD"/>
    <w:rsid w:val="00A73361"/>
    <w:rsid w:val="00A7520D"/>
    <w:rsid w:val="00A800F0"/>
    <w:rsid w:val="00A8099E"/>
    <w:rsid w:val="00A82354"/>
    <w:rsid w:val="00A827E8"/>
    <w:rsid w:val="00A84982"/>
    <w:rsid w:val="00A84F4A"/>
    <w:rsid w:val="00A850C4"/>
    <w:rsid w:val="00A85C86"/>
    <w:rsid w:val="00A874EE"/>
    <w:rsid w:val="00A91F63"/>
    <w:rsid w:val="00A9230E"/>
    <w:rsid w:val="00A96376"/>
    <w:rsid w:val="00A965E3"/>
    <w:rsid w:val="00A97677"/>
    <w:rsid w:val="00AA0444"/>
    <w:rsid w:val="00AA09F0"/>
    <w:rsid w:val="00AA136F"/>
    <w:rsid w:val="00AA1AC9"/>
    <w:rsid w:val="00AA1F79"/>
    <w:rsid w:val="00AA25D9"/>
    <w:rsid w:val="00AA4FC9"/>
    <w:rsid w:val="00AA6807"/>
    <w:rsid w:val="00AA6BC1"/>
    <w:rsid w:val="00AA78D8"/>
    <w:rsid w:val="00AA7CE3"/>
    <w:rsid w:val="00AB1209"/>
    <w:rsid w:val="00AB2D52"/>
    <w:rsid w:val="00AB56B5"/>
    <w:rsid w:val="00AB5CE0"/>
    <w:rsid w:val="00AB6DDD"/>
    <w:rsid w:val="00AB728F"/>
    <w:rsid w:val="00AB7333"/>
    <w:rsid w:val="00AC01E1"/>
    <w:rsid w:val="00AC0C55"/>
    <w:rsid w:val="00AC0D0A"/>
    <w:rsid w:val="00AC1542"/>
    <w:rsid w:val="00AC3C2D"/>
    <w:rsid w:val="00AC3C72"/>
    <w:rsid w:val="00AC6089"/>
    <w:rsid w:val="00AC697A"/>
    <w:rsid w:val="00AC75C6"/>
    <w:rsid w:val="00AD0233"/>
    <w:rsid w:val="00AD688A"/>
    <w:rsid w:val="00AD6EDA"/>
    <w:rsid w:val="00AD75C0"/>
    <w:rsid w:val="00AE427C"/>
    <w:rsid w:val="00AE4BBB"/>
    <w:rsid w:val="00AF11D3"/>
    <w:rsid w:val="00AF403D"/>
    <w:rsid w:val="00AF5BF0"/>
    <w:rsid w:val="00AF7891"/>
    <w:rsid w:val="00B02779"/>
    <w:rsid w:val="00B04DC3"/>
    <w:rsid w:val="00B0581F"/>
    <w:rsid w:val="00B05937"/>
    <w:rsid w:val="00B06993"/>
    <w:rsid w:val="00B06E6D"/>
    <w:rsid w:val="00B10C43"/>
    <w:rsid w:val="00B13FCF"/>
    <w:rsid w:val="00B154F4"/>
    <w:rsid w:val="00B2112F"/>
    <w:rsid w:val="00B2166C"/>
    <w:rsid w:val="00B23F0B"/>
    <w:rsid w:val="00B25457"/>
    <w:rsid w:val="00B255F6"/>
    <w:rsid w:val="00B25C06"/>
    <w:rsid w:val="00B2657B"/>
    <w:rsid w:val="00B314EA"/>
    <w:rsid w:val="00B35BE1"/>
    <w:rsid w:val="00B35C3E"/>
    <w:rsid w:val="00B35EE9"/>
    <w:rsid w:val="00B36497"/>
    <w:rsid w:val="00B416B2"/>
    <w:rsid w:val="00B45543"/>
    <w:rsid w:val="00B468D0"/>
    <w:rsid w:val="00B50ABC"/>
    <w:rsid w:val="00B50B75"/>
    <w:rsid w:val="00B52781"/>
    <w:rsid w:val="00B54D7A"/>
    <w:rsid w:val="00B563EC"/>
    <w:rsid w:val="00B617C7"/>
    <w:rsid w:val="00B63D04"/>
    <w:rsid w:val="00B63DDD"/>
    <w:rsid w:val="00B642B5"/>
    <w:rsid w:val="00B647A3"/>
    <w:rsid w:val="00B64D22"/>
    <w:rsid w:val="00B6555A"/>
    <w:rsid w:val="00B656FE"/>
    <w:rsid w:val="00B66C1A"/>
    <w:rsid w:val="00B66FC9"/>
    <w:rsid w:val="00B703BB"/>
    <w:rsid w:val="00B707FC"/>
    <w:rsid w:val="00B70D3F"/>
    <w:rsid w:val="00B70EC7"/>
    <w:rsid w:val="00B71B29"/>
    <w:rsid w:val="00B72114"/>
    <w:rsid w:val="00B72D95"/>
    <w:rsid w:val="00B73D0F"/>
    <w:rsid w:val="00B742FC"/>
    <w:rsid w:val="00B76DD7"/>
    <w:rsid w:val="00B778C2"/>
    <w:rsid w:val="00B8099D"/>
    <w:rsid w:val="00B82A99"/>
    <w:rsid w:val="00B83019"/>
    <w:rsid w:val="00B83380"/>
    <w:rsid w:val="00B837C9"/>
    <w:rsid w:val="00B84AC7"/>
    <w:rsid w:val="00B85E5A"/>
    <w:rsid w:val="00B86E2E"/>
    <w:rsid w:val="00B87B2C"/>
    <w:rsid w:val="00B90785"/>
    <w:rsid w:val="00B90F9B"/>
    <w:rsid w:val="00B957DC"/>
    <w:rsid w:val="00B961FC"/>
    <w:rsid w:val="00B96A3A"/>
    <w:rsid w:val="00B97B34"/>
    <w:rsid w:val="00BA1306"/>
    <w:rsid w:val="00BA1665"/>
    <w:rsid w:val="00BA5468"/>
    <w:rsid w:val="00BB0244"/>
    <w:rsid w:val="00BB0469"/>
    <w:rsid w:val="00BB06E9"/>
    <w:rsid w:val="00BB0F88"/>
    <w:rsid w:val="00BB3D4B"/>
    <w:rsid w:val="00BB3F56"/>
    <w:rsid w:val="00BB5219"/>
    <w:rsid w:val="00BB559D"/>
    <w:rsid w:val="00BB6464"/>
    <w:rsid w:val="00BC001C"/>
    <w:rsid w:val="00BC02A0"/>
    <w:rsid w:val="00BC18CF"/>
    <w:rsid w:val="00BC2991"/>
    <w:rsid w:val="00BC4931"/>
    <w:rsid w:val="00BC6993"/>
    <w:rsid w:val="00BC731B"/>
    <w:rsid w:val="00BD0212"/>
    <w:rsid w:val="00BD2FD0"/>
    <w:rsid w:val="00BD4ED8"/>
    <w:rsid w:val="00BD6F5A"/>
    <w:rsid w:val="00BD725F"/>
    <w:rsid w:val="00BE0810"/>
    <w:rsid w:val="00BE132E"/>
    <w:rsid w:val="00BE2604"/>
    <w:rsid w:val="00BE28CA"/>
    <w:rsid w:val="00BE29A2"/>
    <w:rsid w:val="00BE3295"/>
    <w:rsid w:val="00BE35B0"/>
    <w:rsid w:val="00BE3862"/>
    <w:rsid w:val="00BE7933"/>
    <w:rsid w:val="00BE7B31"/>
    <w:rsid w:val="00BF0DE5"/>
    <w:rsid w:val="00BF3F6A"/>
    <w:rsid w:val="00BF6069"/>
    <w:rsid w:val="00BF69BA"/>
    <w:rsid w:val="00C00E70"/>
    <w:rsid w:val="00C0166A"/>
    <w:rsid w:val="00C02888"/>
    <w:rsid w:val="00C05F19"/>
    <w:rsid w:val="00C06845"/>
    <w:rsid w:val="00C07405"/>
    <w:rsid w:val="00C11B62"/>
    <w:rsid w:val="00C12B89"/>
    <w:rsid w:val="00C135DB"/>
    <w:rsid w:val="00C13822"/>
    <w:rsid w:val="00C14168"/>
    <w:rsid w:val="00C14713"/>
    <w:rsid w:val="00C150A0"/>
    <w:rsid w:val="00C1615A"/>
    <w:rsid w:val="00C161AC"/>
    <w:rsid w:val="00C201F7"/>
    <w:rsid w:val="00C229F3"/>
    <w:rsid w:val="00C22A2B"/>
    <w:rsid w:val="00C26A01"/>
    <w:rsid w:val="00C26AC0"/>
    <w:rsid w:val="00C26F47"/>
    <w:rsid w:val="00C279BE"/>
    <w:rsid w:val="00C32D07"/>
    <w:rsid w:val="00C34330"/>
    <w:rsid w:val="00C36066"/>
    <w:rsid w:val="00C40123"/>
    <w:rsid w:val="00C40FEC"/>
    <w:rsid w:val="00C43A7B"/>
    <w:rsid w:val="00C44D09"/>
    <w:rsid w:val="00C45A7C"/>
    <w:rsid w:val="00C463B4"/>
    <w:rsid w:val="00C47167"/>
    <w:rsid w:val="00C50146"/>
    <w:rsid w:val="00C50FC7"/>
    <w:rsid w:val="00C51F48"/>
    <w:rsid w:val="00C52F09"/>
    <w:rsid w:val="00C53CA1"/>
    <w:rsid w:val="00C5420F"/>
    <w:rsid w:val="00C54BFB"/>
    <w:rsid w:val="00C550A9"/>
    <w:rsid w:val="00C57D05"/>
    <w:rsid w:val="00C62D97"/>
    <w:rsid w:val="00C63B19"/>
    <w:rsid w:val="00C64538"/>
    <w:rsid w:val="00C675A7"/>
    <w:rsid w:val="00C70ED7"/>
    <w:rsid w:val="00C71308"/>
    <w:rsid w:val="00C720C0"/>
    <w:rsid w:val="00C738B4"/>
    <w:rsid w:val="00C738F5"/>
    <w:rsid w:val="00C7525C"/>
    <w:rsid w:val="00C75C75"/>
    <w:rsid w:val="00C77102"/>
    <w:rsid w:val="00C80A0A"/>
    <w:rsid w:val="00C81180"/>
    <w:rsid w:val="00C83759"/>
    <w:rsid w:val="00C847BE"/>
    <w:rsid w:val="00C850FE"/>
    <w:rsid w:val="00C86740"/>
    <w:rsid w:val="00C87AF7"/>
    <w:rsid w:val="00C921DD"/>
    <w:rsid w:val="00C955ED"/>
    <w:rsid w:val="00C96A40"/>
    <w:rsid w:val="00CA1E38"/>
    <w:rsid w:val="00CA3F1A"/>
    <w:rsid w:val="00CA57C7"/>
    <w:rsid w:val="00CA6255"/>
    <w:rsid w:val="00CB19EF"/>
    <w:rsid w:val="00CB1F68"/>
    <w:rsid w:val="00CB2B65"/>
    <w:rsid w:val="00CB422F"/>
    <w:rsid w:val="00CB43C8"/>
    <w:rsid w:val="00CB5716"/>
    <w:rsid w:val="00CB62F3"/>
    <w:rsid w:val="00CB636F"/>
    <w:rsid w:val="00CB64FE"/>
    <w:rsid w:val="00CB7FA2"/>
    <w:rsid w:val="00CC08E8"/>
    <w:rsid w:val="00CC103B"/>
    <w:rsid w:val="00CC2AE1"/>
    <w:rsid w:val="00CC3011"/>
    <w:rsid w:val="00CC32CD"/>
    <w:rsid w:val="00CC38C7"/>
    <w:rsid w:val="00CC4637"/>
    <w:rsid w:val="00CC6044"/>
    <w:rsid w:val="00CC7323"/>
    <w:rsid w:val="00CD26EA"/>
    <w:rsid w:val="00CD3822"/>
    <w:rsid w:val="00CD3ABC"/>
    <w:rsid w:val="00CD46FA"/>
    <w:rsid w:val="00CD4891"/>
    <w:rsid w:val="00CD5966"/>
    <w:rsid w:val="00CD643C"/>
    <w:rsid w:val="00CD6EA3"/>
    <w:rsid w:val="00CE0CF6"/>
    <w:rsid w:val="00CE113F"/>
    <w:rsid w:val="00CE174D"/>
    <w:rsid w:val="00CE1C1D"/>
    <w:rsid w:val="00CE1F2F"/>
    <w:rsid w:val="00CE2150"/>
    <w:rsid w:val="00CE3653"/>
    <w:rsid w:val="00CE38AB"/>
    <w:rsid w:val="00CE412E"/>
    <w:rsid w:val="00CE5EB4"/>
    <w:rsid w:val="00CE6808"/>
    <w:rsid w:val="00CE7C84"/>
    <w:rsid w:val="00CF033C"/>
    <w:rsid w:val="00CF2791"/>
    <w:rsid w:val="00CF4651"/>
    <w:rsid w:val="00CF647D"/>
    <w:rsid w:val="00D00698"/>
    <w:rsid w:val="00D0157F"/>
    <w:rsid w:val="00D026B7"/>
    <w:rsid w:val="00D02B7A"/>
    <w:rsid w:val="00D03BC8"/>
    <w:rsid w:val="00D0539C"/>
    <w:rsid w:val="00D05B7F"/>
    <w:rsid w:val="00D101DF"/>
    <w:rsid w:val="00D10B67"/>
    <w:rsid w:val="00D10FAC"/>
    <w:rsid w:val="00D10FE5"/>
    <w:rsid w:val="00D13D01"/>
    <w:rsid w:val="00D1427A"/>
    <w:rsid w:val="00D162AD"/>
    <w:rsid w:val="00D17E3E"/>
    <w:rsid w:val="00D2002F"/>
    <w:rsid w:val="00D206EB"/>
    <w:rsid w:val="00D21475"/>
    <w:rsid w:val="00D23873"/>
    <w:rsid w:val="00D24ECC"/>
    <w:rsid w:val="00D25274"/>
    <w:rsid w:val="00D25FA3"/>
    <w:rsid w:val="00D261AC"/>
    <w:rsid w:val="00D26FDB"/>
    <w:rsid w:val="00D30E8A"/>
    <w:rsid w:val="00D31052"/>
    <w:rsid w:val="00D34AD2"/>
    <w:rsid w:val="00D352D5"/>
    <w:rsid w:val="00D41576"/>
    <w:rsid w:val="00D42209"/>
    <w:rsid w:val="00D42248"/>
    <w:rsid w:val="00D437A4"/>
    <w:rsid w:val="00D45AFF"/>
    <w:rsid w:val="00D46D11"/>
    <w:rsid w:val="00D470C9"/>
    <w:rsid w:val="00D47B2D"/>
    <w:rsid w:val="00D47C4A"/>
    <w:rsid w:val="00D505A0"/>
    <w:rsid w:val="00D508B2"/>
    <w:rsid w:val="00D50B3A"/>
    <w:rsid w:val="00D52317"/>
    <w:rsid w:val="00D53328"/>
    <w:rsid w:val="00D54151"/>
    <w:rsid w:val="00D54832"/>
    <w:rsid w:val="00D551DA"/>
    <w:rsid w:val="00D557AE"/>
    <w:rsid w:val="00D55888"/>
    <w:rsid w:val="00D559E9"/>
    <w:rsid w:val="00D579B6"/>
    <w:rsid w:val="00D57B3E"/>
    <w:rsid w:val="00D60126"/>
    <w:rsid w:val="00D662F8"/>
    <w:rsid w:val="00D668F8"/>
    <w:rsid w:val="00D670E7"/>
    <w:rsid w:val="00D676F2"/>
    <w:rsid w:val="00D701BD"/>
    <w:rsid w:val="00D7085F"/>
    <w:rsid w:val="00D71CAB"/>
    <w:rsid w:val="00D72588"/>
    <w:rsid w:val="00D725AA"/>
    <w:rsid w:val="00D73151"/>
    <w:rsid w:val="00D73C1B"/>
    <w:rsid w:val="00D760AE"/>
    <w:rsid w:val="00D76D01"/>
    <w:rsid w:val="00D77788"/>
    <w:rsid w:val="00D8045F"/>
    <w:rsid w:val="00D81199"/>
    <w:rsid w:val="00D8437D"/>
    <w:rsid w:val="00D859B0"/>
    <w:rsid w:val="00D85B60"/>
    <w:rsid w:val="00D87B26"/>
    <w:rsid w:val="00D948D8"/>
    <w:rsid w:val="00D94ADF"/>
    <w:rsid w:val="00D94CE3"/>
    <w:rsid w:val="00D9619A"/>
    <w:rsid w:val="00D97BEB"/>
    <w:rsid w:val="00D97F23"/>
    <w:rsid w:val="00DA1049"/>
    <w:rsid w:val="00DA1E8E"/>
    <w:rsid w:val="00DA421D"/>
    <w:rsid w:val="00DA519F"/>
    <w:rsid w:val="00DA51A2"/>
    <w:rsid w:val="00DA5C41"/>
    <w:rsid w:val="00DB118C"/>
    <w:rsid w:val="00DB14F5"/>
    <w:rsid w:val="00DB2A86"/>
    <w:rsid w:val="00DB5B29"/>
    <w:rsid w:val="00DB7B6C"/>
    <w:rsid w:val="00DB7F2F"/>
    <w:rsid w:val="00DC06AC"/>
    <w:rsid w:val="00DC169F"/>
    <w:rsid w:val="00DC20CF"/>
    <w:rsid w:val="00DC259F"/>
    <w:rsid w:val="00DC2E63"/>
    <w:rsid w:val="00DC2E9A"/>
    <w:rsid w:val="00DC467F"/>
    <w:rsid w:val="00DC4D5E"/>
    <w:rsid w:val="00DC5184"/>
    <w:rsid w:val="00DC529F"/>
    <w:rsid w:val="00DC5DE3"/>
    <w:rsid w:val="00DC604A"/>
    <w:rsid w:val="00DC6982"/>
    <w:rsid w:val="00DC7187"/>
    <w:rsid w:val="00DC74A6"/>
    <w:rsid w:val="00DC7E47"/>
    <w:rsid w:val="00DD048B"/>
    <w:rsid w:val="00DD051A"/>
    <w:rsid w:val="00DD1603"/>
    <w:rsid w:val="00DD313C"/>
    <w:rsid w:val="00DD4204"/>
    <w:rsid w:val="00DD5046"/>
    <w:rsid w:val="00DD5BDE"/>
    <w:rsid w:val="00DD7069"/>
    <w:rsid w:val="00DD7E56"/>
    <w:rsid w:val="00DE0799"/>
    <w:rsid w:val="00DE3398"/>
    <w:rsid w:val="00DE3E2A"/>
    <w:rsid w:val="00DE3EF2"/>
    <w:rsid w:val="00DE6067"/>
    <w:rsid w:val="00DE6EC3"/>
    <w:rsid w:val="00DE7107"/>
    <w:rsid w:val="00DF4CBE"/>
    <w:rsid w:val="00DF5821"/>
    <w:rsid w:val="00DF60C7"/>
    <w:rsid w:val="00E005EC"/>
    <w:rsid w:val="00E00940"/>
    <w:rsid w:val="00E0173E"/>
    <w:rsid w:val="00E01FB2"/>
    <w:rsid w:val="00E02CE6"/>
    <w:rsid w:val="00E04B9D"/>
    <w:rsid w:val="00E0557F"/>
    <w:rsid w:val="00E07621"/>
    <w:rsid w:val="00E0785B"/>
    <w:rsid w:val="00E07943"/>
    <w:rsid w:val="00E10BD7"/>
    <w:rsid w:val="00E12472"/>
    <w:rsid w:val="00E14D8A"/>
    <w:rsid w:val="00E15A58"/>
    <w:rsid w:val="00E15DDE"/>
    <w:rsid w:val="00E17CB7"/>
    <w:rsid w:val="00E23B4F"/>
    <w:rsid w:val="00E24296"/>
    <w:rsid w:val="00E30C30"/>
    <w:rsid w:val="00E32F18"/>
    <w:rsid w:val="00E3436A"/>
    <w:rsid w:val="00E34A93"/>
    <w:rsid w:val="00E35A2F"/>
    <w:rsid w:val="00E36A55"/>
    <w:rsid w:val="00E37D55"/>
    <w:rsid w:val="00E4060D"/>
    <w:rsid w:val="00E409CF"/>
    <w:rsid w:val="00E40B17"/>
    <w:rsid w:val="00E40D27"/>
    <w:rsid w:val="00E44543"/>
    <w:rsid w:val="00E46F7B"/>
    <w:rsid w:val="00E4750E"/>
    <w:rsid w:val="00E47E91"/>
    <w:rsid w:val="00E50700"/>
    <w:rsid w:val="00E509E6"/>
    <w:rsid w:val="00E51B69"/>
    <w:rsid w:val="00E52285"/>
    <w:rsid w:val="00E52C20"/>
    <w:rsid w:val="00E546A7"/>
    <w:rsid w:val="00E558B0"/>
    <w:rsid w:val="00E57773"/>
    <w:rsid w:val="00E607F2"/>
    <w:rsid w:val="00E63E28"/>
    <w:rsid w:val="00E64735"/>
    <w:rsid w:val="00E6653A"/>
    <w:rsid w:val="00E701AF"/>
    <w:rsid w:val="00E701D5"/>
    <w:rsid w:val="00E70CEF"/>
    <w:rsid w:val="00E72BD2"/>
    <w:rsid w:val="00E76C1B"/>
    <w:rsid w:val="00E771C8"/>
    <w:rsid w:val="00E809DF"/>
    <w:rsid w:val="00E8306B"/>
    <w:rsid w:val="00E855B5"/>
    <w:rsid w:val="00E85D2E"/>
    <w:rsid w:val="00E86CEE"/>
    <w:rsid w:val="00E92550"/>
    <w:rsid w:val="00E93FF4"/>
    <w:rsid w:val="00E9405E"/>
    <w:rsid w:val="00E94858"/>
    <w:rsid w:val="00E9700F"/>
    <w:rsid w:val="00E97524"/>
    <w:rsid w:val="00E976D2"/>
    <w:rsid w:val="00E97ACF"/>
    <w:rsid w:val="00EA018A"/>
    <w:rsid w:val="00EA0593"/>
    <w:rsid w:val="00EA05DC"/>
    <w:rsid w:val="00EB263E"/>
    <w:rsid w:val="00EB418C"/>
    <w:rsid w:val="00EB4C08"/>
    <w:rsid w:val="00EB4D0B"/>
    <w:rsid w:val="00EB6A49"/>
    <w:rsid w:val="00EB6B6B"/>
    <w:rsid w:val="00EB7906"/>
    <w:rsid w:val="00EB7942"/>
    <w:rsid w:val="00EC00F7"/>
    <w:rsid w:val="00EC047D"/>
    <w:rsid w:val="00EC4492"/>
    <w:rsid w:val="00ED1D96"/>
    <w:rsid w:val="00ED246D"/>
    <w:rsid w:val="00ED4A6E"/>
    <w:rsid w:val="00ED51AB"/>
    <w:rsid w:val="00ED5B9D"/>
    <w:rsid w:val="00ED6618"/>
    <w:rsid w:val="00ED7B8C"/>
    <w:rsid w:val="00EE3A42"/>
    <w:rsid w:val="00EE5296"/>
    <w:rsid w:val="00EE656D"/>
    <w:rsid w:val="00EF01B5"/>
    <w:rsid w:val="00EF09B0"/>
    <w:rsid w:val="00EF0A64"/>
    <w:rsid w:val="00EF34C3"/>
    <w:rsid w:val="00EF38A6"/>
    <w:rsid w:val="00EF3C8B"/>
    <w:rsid w:val="00EF43E7"/>
    <w:rsid w:val="00EF4AE5"/>
    <w:rsid w:val="00F0010D"/>
    <w:rsid w:val="00F001DC"/>
    <w:rsid w:val="00F008FD"/>
    <w:rsid w:val="00F0409C"/>
    <w:rsid w:val="00F05F2A"/>
    <w:rsid w:val="00F111C0"/>
    <w:rsid w:val="00F14855"/>
    <w:rsid w:val="00F1547D"/>
    <w:rsid w:val="00F15ACA"/>
    <w:rsid w:val="00F174F8"/>
    <w:rsid w:val="00F21892"/>
    <w:rsid w:val="00F224DF"/>
    <w:rsid w:val="00F24FD1"/>
    <w:rsid w:val="00F256A1"/>
    <w:rsid w:val="00F25739"/>
    <w:rsid w:val="00F25C55"/>
    <w:rsid w:val="00F313BE"/>
    <w:rsid w:val="00F32C8E"/>
    <w:rsid w:val="00F33DD8"/>
    <w:rsid w:val="00F34896"/>
    <w:rsid w:val="00F35429"/>
    <w:rsid w:val="00F35D83"/>
    <w:rsid w:val="00F363DC"/>
    <w:rsid w:val="00F404C5"/>
    <w:rsid w:val="00F449A2"/>
    <w:rsid w:val="00F44E39"/>
    <w:rsid w:val="00F4541E"/>
    <w:rsid w:val="00F47788"/>
    <w:rsid w:val="00F51C85"/>
    <w:rsid w:val="00F51D0B"/>
    <w:rsid w:val="00F53B52"/>
    <w:rsid w:val="00F54AA2"/>
    <w:rsid w:val="00F55F9F"/>
    <w:rsid w:val="00F57351"/>
    <w:rsid w:val="00F57F8F"/>
    <w:rsid w:val="00F60656"/>
    <w:rsid w:val="00F61243"/>
    <w:rsid w:val="00F61404"/>
    <w:rsid w:val="00F659D4"/>
    <w:rsid w:val="00F70FC3"/>
    <w:rsid w:val="00F73C37"/>
    <w:rsid w:val="00F73C7E"/>
    <w:rsid w:val="00F74E52"/>
    <w:rsid w:val="00F81B8F"/>
    <w:rsid w:val="00F8254A"/>
    <w:rsid w:val="00F8341B"/>
    <w:rsid w:val="00F84B3D"/>
    <w:rsid w:val="00F85039"/>
    <w:rsid w:val="00F852E7"/>
    <w:rsid w:val="00F855EC"/>
    <w:rsid w:val="00F8651A"/>
    <w:rsid w:val="00F87275"/>
    <w:rsid w:val="00F93A2A"/>
    <w:rsid w:val="00F93C67"/>
    <w:rsid w:val="00F940B7"/>
    <w:rsid w:val="00F95E39"/>
    <w:rsid w:val="00F967CF"/>
    <w:rsid w:val="00F96918"/>
    <w:rsid w:val="00F97C53"/>
    <w:rsid w:val="00F97E83"/>
    <w:rsid w:val="00F97FAE"/>
    <w:rsid w:val="00FA0BA5"/>
    <w:rsid w:val="00FA0C25"/>
    <w:rsid w:val="00FA124E"/>
    <w:rsid w:val="00FA21C9"/>
    <w:rsid w:val="00FA2AB3"/>
    <w:rsid w:val="00FA2CE9"/>
    <w:rsid w:val="00FA3865"/>
    <w:rsid w:val="00FA57BF"/>
    <w:rsid w:val="00FA6A44"/>
    <w:rsid w:val="00FB0FB5"/>
    <w:rsid w:val="00FB1656"/>
    <w:rsid w:val="00FB36C5"/>
    <w:rsid w:val="00FB3B75"/>
    <w:rsid w:val="00FB4C13"/>
    <w:rsid w:val="00FB7A19"/>
    <w:rsid w:val="00FC18E2"/>
    <w:rsid w:val="00FC2833"/>
    <w:rsid w:val="00FC2C0D"/>
    <w:rsid w:val="00FC46E5"/>
    <w:rsid w:val="00FC60B0"/>
    <w:rsid w:val="00FC6A4A"/>
    <w:rsid w:val="00FC702A"/>
    <w:rsid w:val="00FD06BE"/>
    <w:rsid w:val="00FD0815"/>
    <w:rsid w:val="00FD111F"/>
    <w:rsid w:val="00FD1B16"/>
    <w:rsid w:val="00FD2748"/>
    <w:rsid w:val="00FD4AB9"/>
    <w:rsid w:val="00FD4F31"/>
    <w:rsid w:val="00FD70BE"/>
    <w:rsid w:val="00FE178F"/>
    <w:rsid w:val="00FE47FF"/>
    <w:rsid w:val="00FE4CFF"/>
    <w:rsid w:val="00FE4E99"/>
    <w:rsid w:val="00FE6148"/>
    <w:rsid w:val="00FE6341"/>
    <w:rsid w:val="00FE692C"/>
    <w:rsid w:val="00FE6A3A"/>
    <w:rsid w:val="00FF00D8"/>
    <w:rsid w:val="00FF184B"/>
    <w:rsid w:val="00FF1BB6"/>
    <w:rsid w:val="00FF1CE2"/>
    <w:rsid w:val="00FF2A1A"/>
    <w:rsid w:val="00FF2B2B"/>
    <w:rsid w:val="00FF2D36"/>
    <w:rsid w:val="00FF44D4"/>
    <w:rsid w:val="00FF4AC8"/>
    <w:rsid w:val="00FF5390"/>
    <w:rsid w:val="00FF54D5"/>
    <w:rsid w:val="00FF656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0B00"/>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DD7069"/>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03550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3550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069"/>
    <w:rPr>
      <w:rFonts w:ascii="Arial" w:eastAsiaTheme="majorEastAsia" w:hAnsi="Arial" w:cstheme="majorBidi"/>
      <w:b/>
      <w:bCs/>
      <w:color w:val="000000" w:themeColor="text1"/>
      <w:sz w:val="24"/>
      <w:szCs w:val="28"/>
    </w:rPr>
  </w:style>
  <w:style w:type="table" w:styleId="TableGrid">
    <w:name w:val="Table Grid"/>
    <w:basedOn w:val="TableNormal"/>
    <w:uiPriority w:val="59"/>
    <w:rsid w:val="003B37B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03550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35503"/>
    <w:rPr>
      <w:rFonts w:asciiTheme="majorHAnsi" w:eastAsiaTheme="majorEastAsia" w:hAnsiTheme="majorHAnsi" w:cstheme="majorBidi"/>
      <w:b/>
      <w:bCs/>
      <w:color w:val="4F81BD" w:themeColor="accent1"/>
      <w:sz w:val="24"/>
    </w:rPr>
  </w:style>
  <w:style w:type="paragraph" w:styleId="TOCHeading">
    <w:name w:val="TOC Heading"/>
    <w:basedOn w:val="Heading1"/>
    <w:next w:val="Normal"/>
    <w:uiPriority w:val="39"/>
    <w:semiHidden/>
    <w:unhideWhenUsed/>
    <w:qFormat/>
    <w:rsid w:val="00035503"/>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35503"/>
    <w:pPr>
      <w:spacing w:after="100"/>
    </w:pPr>
  </w:style>
  <w:style w:type="paragraph" w:styleId="TOC2">
    <w:name w:val="toc 2"/>
    <w:basedOn w:val="Normal"/>
    <w:next w:val="Normal"/>
    <w:autoRedefine/>
    <w:uiPriority w:val="39"/>
    <w:unhideWhenUsed/>
    <w:rsid w:val="00035503"/>
    <w:pPr>
      <w:spacing w:after="100"/>
      <w:ind w:left="240"/>
    </w:pPr>
  </w:style>
  <w:style w:type="paragraph" w:styleId="TOC3">
    <w:name w:val="toc 3"/>
    <w:basedOn w:val="Normal"/>
    <w:next w:val="Normal"/>
    <w:autoRedefine/>
    <w:uiPriority w:val="39"/>
    <w:unhideWhenUsed/>
    <w:rsid w:val="00035503"/>
    <w:pPr>
      <w:spacing w:after="100"/>
      <w:ind w:left="480"/>
    </w:pPr>
  </w:style>
  <w:style w:type="character" w:styleId="Hyperlink">
    <w:name w:val="Hyperlink"/>
    <w:basedOn w:val="DefaultParagraphFont"/>
    <w:uiPriority w:val="99"/>
    <w:unhideWhenUsed/>
    <w:rsid w:val="00035503"/>
    <w:rPr>
      <w:color w:val="0000FF" w:themeColor="hyperlink"/>
      <w:u w:val="single"/>
    </w:rPr>
  </w:style>
  <w:style w:type="paragraph" w:styleId="BalloonText">
    <w:name w:val="Balloon Text"/>
    <w:basedOn w:val="Normal"/>
    <w:link w:val="BalloonTextChar"/>
    <w:uiPriority w:val="99"/>
    <w:semiHidden/>
    <w:unhideWhenUsed/>
    <w:rsid w:val="000355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5503"/>
    <w:rPr>
      <w:rFonts w:ascii="Tahoma" w:hAnsi="Tahoma" w:cs="Tahoma"/>
      <w:color w:val="000000" w:themeColor="text1"/>
      <w:sz w:val="16"/>
      <w:szCs w:val="16"/>
    </w:rPr>
  </w:style>
  <w:style w:type="paragraph" w:styleId="Header">
    <w:name w:val="header"/>
    <w:basedOn w:val="Normal"/>
    <w:link w:val="HeaderChar"/>
    <w:uiPriority w:val="99"/>
    <w:semiHidden/>
    <w:unhideWhenUsed/>
    <w:rsid w:val="00214B4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14B4B"/>
    <w:rPr>
      <w:rFonts w:ascii="Arial" w:hAnsi="Arial"/>
      <w:color w:val="000000" w:themeColor="text1"/>
      <w:sz w:val="24"/>
    </w:rPr>
  </w:style>
  <w:style w:type="paragraph" w:styleId="Footer">
    <w:name w:val="footer"/>
    <w:basedOn w:val="Normal"/>
    <w:link w:val="FooterChar"/>
    <w:uiPriority w:val="99"/>
    <w:semiHidden/>
    <w:unhideWhenUsed/>
    <w:rsid w:val="00214B4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14B4B"/>
    <w:rPr>
      <w:rFonts w:ascii="Arial" w:hAnsi="Arial"/>
      <w:color w:val="000000" w:themeColor="text1"/>
      <w:sz w:val="24"/>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armgpublishing.sumdu.edu.ua"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BE1A48-E3CB-9048-858A-8FD5A0B2A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485</TotalTime>
  <Pages>1</Pages>
  <Words>3953</Words>
  <Characters>22534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60</cp:revision>
  <dcterms:created xsi:type="dcterms:W3CDTF">2020-04-28T06:40:00Z</dcterms:created>
  <dcterms:modified xsi:type="dcterms:W3CDTF">2020-05-11T17:50:00Z</dcterms:modified>
</cp:coreProperties>
</file>