
<file path=[Content_Types].xml><?xml version="1.0" encoding="utf-8"?>
<Types xmlns="http://schemas.openxmlformats.org/package/2006/content-types">
  <Default Extension="xml" ContentType="application/xml"/>
  <Default Extension="rels" ContentType="application/vnd.openxmlformats-package.relationships+xml"/>
  <Default Extension="jpeg" ContentType="image/jpg"/>
  <Default Extension="png" ContentType="image/png"/>
  <Default Extension="bmp" ContentType="image/bmp"/>
  <Default Extension="gif" ContentType="image/gif"/>
  <Default Extension="tif" ContentType="image/tif"/>
  <Default Extension="pdf" ContentType="application/pdf"/>
  <Default Extension="mov" ContentType="application/movie"/>
  <Default Extension="vml" ContentType="application/vnd.openxmlformats-officedocument.vmlDrawing"/>
  <Default Extension="xlsx" ContentType="application/vnd.openxmlformats-officedocument.spreadsheetml.sheet"/>
  <Override PartName="/docProps/core.xml" ContentType="application/vnd.openxmlformats-package.core-properties+xml"/>
  <Override PartName="/docProps/app.xml" ContentType="application/vnd.openxmlformats-officedocument.extended-properties+xml"/>
  <Override PartName="/word/document.xml" ContentType="application/vnd.openxmlformats-officedocument.wordprocessingml.document.main+xml"/>
  <Override PartName="/word/settings.xml" ContentType="application/vnd.openxmlformats-officedocument.wordprocessingml.settings+xml"/>
  <Override PartName="/word/fontTable.xml" ContentType="application/vnd.openxmlformats-officedocument.wordprocessingml.fontTable+xml"/>
  <Override PartName="/word/styles.xml" ContentType="application/vnd.openxmlformats-officedocument.wordprocessingml.styles+xml"/>
  <Override PartName="/word/header1.xml" ContentType="application/vnd.openxmlformats-officedocument.wordprocessingml.header+xml"/>
  <Override PartName="/word/footer1.xml" ContentType="application/vnd.openxmlformats-officedocument.wordprocessingml.footer+xml"/>
  <Override PartName="/word/theme/theme1.xml" ContentType="application/vnd.openxmlformats-officedocument.theme+xml"/>
</Types>
</file>

<file path=_rels/.rels><?xml version="1.0" encoding="UTF-8"?>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officeDocument" Target="word/document.xml"/></Relationships>

</file>

<file path=word/document.xml><?xml version="1.0" encoding="utf-8"?>
<w:document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background w:color="FFFFFF"/>
  <w:body>
    <w:p>
      <w:pPr>
        <w:pStyle w:val="Text body"/>
        <w:rPr>
          <w:rFonts w:ascii="Calibri" w:cs="Calibri" w:hAnsi="Calibri" w:eastAsia="Calibri"/>
          <w:b w:val="1"/>
          <w:bCs w:val="1"/>
          <w:color w:val="000000"/>
          <w:sz w:val="32"/>
          <w:szCs w:val="32"/>
          <w:u w:color="000000"/>
        </w:rPr>
      </w:pPr>
      <w:r>
        <w:rPr>
          <w:rFonts w:ascii="Calibri" w:cs="Calibri" w:hAnsi="Calibri" w:eastAsia="Calibri"/>
          <w:b w:val="1"/>
          <w:bCs w:val="1"/>
          <w:color w:val="000000"/>
          <w:sz w:val="32"/>
          <w:szCs w:val="32"/>
          <w:u w:color="000000"/>
          <w:rtl w:val="0"/>
          <w:lang w:val="en-US"/>
        </w:rPr>
        <w:t xml:space="preserve">Closing the Socio-Economic Attainment Gap: English Departmental Report to the </w:t>
      </w:r>
      <w:r>
        <w:rPr>
          <w:rFonts w:ascii="Calibri" w:cs="Calibri" w:hAnsi="Calibri" w:eastAsia="Calibri"/>
          <w:b w:val="1"/>
          <w:bCs w:val="1"/>
          <w:color w:val="000000"/>
          <w:sz w:val="32"/>
          <w:szCs w:val="32"/>
          <w:u w:color="000000"/>
          <w:rtl w:val="0"/>
          <w:lang w:val="en-US"/>
        </w:rPr>
        <w:t>‘</w:t>
      </w:r>
      <w:r>
        <w:rPr>
          <w:rFonts w:ascii="Calibri" w:cs="Calibri" w:hAnsi="Calibri" w:eastAsia="Calibri"/>
          <w:b w:val="1"/>
          <w:bCs w:val="1"/>
          <w:color w:val="000000"/>
          <w:sz w:val="32"/>
          <w:szCs w:val="32"/>
          <w:u w:color="000000"/>
          <w:rtl w:val="0"/>
          <w:lang w:val="en-US"/>
        </w:rPr>
        <w:t>The School</w:t>
      </w:r>
      <w:r>
        <w:rPr>
          <w:rFonts w:ascii="Calibri" w:cs="Calibri" w:hAnsi="Calibri" w:eastAsia="Calibri"/>
          <w:b w:val="1"/>
          <w:bCs w:val="1"/>
          <w:color w:val="000000"/>
          <w:sz w:val="32"/>
          <w:szCs w:val="32"/>
          <w:u w:color="000000"/>
          <w:rtl w:val="0"/>
          <w:lang w:val="en-US"/>
        </w:rPr>
        <w:t xml:space="preserve">’ </w:t>
      </w:r>
      <w:r>
        <w:rPr>
          <w:rFonts w:ascii="Calibri" w:cs="Calibri" w:hAnsi="Calibri" w:eastAsia="Calibri"/>
          <w:b w:val="1"/>
          <w:bCs w:val="1"/>
          <w:color w:val="000000"/>
          <w:sz w:val="32"/>
          <w:szCs w:val="32"/>
          <w:u w:color="000000"/>
          <w:rtl w:val="0"/>
          <w:lang w:val="en-US"/>
        </w:rPr>
        <w:t>Board of Governors</w:t>
      </w:r>
    </w:p>
    <w:p>
      <w:pPr>
        <w:pStyle w:val="Text body"/>
        <w:rPr>
          <w:color w:val="000000"/>
          <w:u w:color="000000"/>
        </w:rPr>
      </w:pPr>
    </w:p>
    <w:p>
      <w:pPr>
        <w:pStyle w:val="Text body"/>
        <w:rPr>
          <w:b w:val="1"/>
          <w:bCs w:val="1"/>
          <w:color w:val="ce181e"/>
          <w:u w:color="ce181e"/>
        </w:rPr>
      </w:pPr>
    </w:p>
    <w:p>
      <w:pPr>
        <w:pStyle w:val="Text body"/>
        <w:rPr>
          <w:color w:val="000000"/>
          <w:u w:color="000000"/>
        </w:rPr>
      </w:pPr>
      <w:r>
        <w:rPr>
          <w:rFonts w:ascii="Calibri" w:cs="Calibri" w:hAnsi="Calibri" w:eastAsia="Calibri"/>
          <w:b w:val="1"/>
          <w:bCs w:val="1"/>
          <w:color w:val="000000"/>
          <w:u w:color="000000"/>
          <w:rtl w:val="0"/>
          <w:lang w:val="en-US"/>
        </w:rPr>
        <w:t>1.  INTRODUCTION</w:t>
      </w:r>
    </w:p>
    <w:p>
      <w:pPr>
        <w:pStyle w:val="Text body"/>
        <w:rPr>
          <w:color w:val="000000"/>
          <w:u w:color="000000"/>
        </w:rPr>
      </w:pPr>
      <w:r>
        <w:rPr>
          <w:rtl w:val="0"/>
        </w:rPr>
        <w:t xml:space="preserve">The main indicator of socio-economic deprivation in schools is eligibility for free school meals (eFSM) (mylocalschool, 2018). </w:t>
      </w:r>
      <w:r>
        <w:rPr>
          <w:color w:val="000000"/>
          <w:u w:color="000000"/>
          <w:rtl w:val="0"/>
          <w:lang w:val="en-US"/>
        </w:rPr>
        <w:t>This report concerns the academic attainment gap between children eligible for free school meals and those not entitled to free school meals (nFSM)</w:t>
      </w:r>
      <w:r>
        <w:rPr>
          <w:color w:val="000000"/>
          <w:u w:color="000000"/>
          <w:rtl w:val="0"/>
          <w:lang w:val="en-US"/>
        </w:rPr>
        <w:t xml:space="preserve"> at the school</w:t>
      </w:r>
      <w:r>
        <w:rPr>
          <w:color w:val="000000"/>
          <w:u w:color="000000"/>
          <w:rtl w:val="0"/>
          <w:lang w:val="en-US"/>
        </w:rPr>
        <w:t>. It examines recent educational research into possible causes of the eFSM attainment gap and suggests ways identified in the research that the gap could be reduced.</w:t>
      </w:r>
    </w:p>
    <w:p>
      <w:pPr>
        <w:pStyle w:val="Text body"/>
      </w:pPr>
      <w:r>
        <w:rPr>
          <w:color w:val="000000"/>
          <w:u w:color="000000"/>
          <w:rtl w:val="0"/>
          <w:lang w:val="en-US"/>
        </w:rPr>
        <w:t xml:space="preserve">The UK has a greater wealth disparity than most other leading industrialised nations (Reay, 2006), and because of the </w:t>
      </w:r>
      <w:r>
        <w:rPr>
          <w:rtl w:val="0"/>
        </w:rPr>
        <w:t xml:space="preserve">strong correlation between wealth and educational attainment, successive governments have tried to eliminate or reduce the attainment gap as a means of engineering social mobility </w:t>
      </w:r>
      <w:r>
        <w:rPr>
          <w:color w:val="000000"/>
          <w:u w:color="000000"/>
          <w:rtl w:val="0"/>
          <w:lang w:val="en-US"/>
        </w:rPr>
        <w:t>(Reay, 2006)</w:t>
      </w:r>
      <w:r>
        <w:rPr>
          <w:rtl w:val="0"/>
        </w:rPr>
        <w:t xml:space="preserve">. However, </w:t>
      </w:r>
      <w:r>
        <w:rPr>
          <w:color w:val="000000"/>
          <w:u w:color="000000"/>
          <w:rtl w:val="0"/>
          <w:lang w:val="en-US"/>
        </w:rPr>
        <w:t>despite over 50 years of policy initiatives, no meaningful progress has been made (Reay, 2006). The socio-economic level of the school</w:t>
      </w:r>
      <w:r>
        <w:rPr>
          <w:color w:val="000000"/>
          <w:u w:color="000000"/>
          <w:rtl w:val="0"/>
          <w:lang w:val="en-US"/>
        </w:rPr>
        <w:t>’</w:t>
      </w:r>
      <w:r>
        <w:rPr>
          <w:color w:val="000000"/>
          <w:u w:color="000000"/>
          <w:rtl w:val="0"/>
          <w:lang w:val="en-US"/>
        </w:rPr>
        <w:t xml:space="preserve">s catchment area means the school is provided with an above average intake of children with eFSM, and a greater initial attainment-deficit than most other secondary schools in Wales (mylocalschool, 2018; Estyn, 2015). The school has made some progress in raising overall attainment levels but, in common with schools throughout the UK, this has not led to a reduction in the eFSM attainment gap (mylocalschool, 2018; Estyn, 2015). </w:t>
      </w:r>
    </w:p>
    <w:p>
      <w:pPr>
        <w:pStyle w:val="Text body"/>
        <w:rPr>
          <w:color w:val="000000"/>
          <w:u w:color="000000"/>
        </w:rPr>
      </w:pPr>
      <w:r>
        <w:rPr>
          <w:color w:val="000000"/>
          <w:u w:color="000000"/>
          <w:rtl w:val="0"/>
          <w:lang w:val="en-US"/>
        </w:rPr>
        <w:t xml:space="preserve">Targeted intervention programmes to try to raise eFSM attainment levels are in place in the school. A </w:t>
      </w:r>
      <w:r>
        <w:rPr>
          <w:color w:val="000000"/>
          <w:u w:color="000000"/>
          <w:rtl w:val="0"/>
          <w:lang w:val="en-US"/>
        </w:rPr>
        <w:t>‘</w:t>
      </w:r>
      <w:r>
        <w:rPr>
          <w:color w:val="000000"/>
          <w:u w:color="000000"/>
          <w:rtl w:val="0"/>
          <w:lang w:val="en-US"/>
        </w:rPr>
        <w:t>Team around the family</w:t>
      </w:r>
      <w:r>
        <w:rPr>
          <w:color w:val="000000"/>
          <w:u w:color="000000"/>
          <w:rtl w:val="0"/>
          <w:lang w:val="en-US"/>
        </w:rPr>
        <w:t xml:space="preserve">’ </w:t>
      </w:r>
      <w:r>
        <w:rPr>
          <w:color w:val="000000"/>
          <w:u w:color="000000"/>
          <w:rtl w:val="0"/>
          <w:lang w:val="en-US"/>
        </w:rPr>
        <w:t>feeder programme to raise attainment levels prior to joining the school has been in operation since 2012. Feeder programmes of this kind have had some success in raising attainment of eFSM children (Estyn, 2013). An Accelerated Reader programme to raise eFSM reading levels is thought to have increased the amount of time pupils spent reading in the school but many researchers feel the method does not affect the eFSM attainment gap (Biggers, 2001; Boone, 2017). Other measures examined are the factors affecting eFSM pupil</w:t>
      </w:r>
      <w:r>
        <w:rPr>
          <w:color w:val="000000"/>
          <w:u w:color="000000"/>
          <w:rtl w:val="0"/>
          <w:lang w:val="en-US"/>
        </w:rPr>
        <w:t>’</w:t>
      </w:r>
      <w:r>
        <w:rPr>
          <w:color w:val="000000"/>
          <w:u w:color="000000"/>
          <w:rtl w:val="0"/>
          <w:lang w:val="en-US"/>
        </w:rPr>
        <w:t>s motivation and engagement, and the detrimental effect of streaming and class sets (</w:t>
      </w:r>
      <w:r>
        <w:rPr>
          <w:rtl w:val="0"/>
        </w:rPr>
        <w:t>Hodgen, 2007; Taylor et al., 2017</w:t>
      </w:r>
      <w:r>
        <w:rPr>
          <w:color w:val="000000"/>
          <w:u w:color="000000"/>
          <w:rtl w:val="0"/>
          <w:lang w:val="en-US"/>
        </w:rPr>
        <w:t>).</w:t>
      </w:r>
    </w:p>
    <w:p>
      <w:pPr>
        <w:pStyle w:val="Text body"/>
      </w:pPr>
      <w:r>
        <w:rPr>
          <w:color w:val="000000"/>
          <w:u w:color="000000"/>
          <w:rtl w:val="0"/>
          <w:lang w:val="en-US"/>
        </w:rPr>
        <w:t>After looking at evidence from the school and recent per-reviewed research, seven recommendations are made. All are supported by recent educational research, and all require an additional ongoing investment in teacher time. Research shows that at present teachers are too over-scheduled and do not have the resources and opportunities to implement the necessary innovations required to realistically tackle the eFSM attainment gap (Taylor, 2017). Crucially, however, teacher effectiveness has been shown to be a major factor for raising eFSM attainment levels, and a major factor for raising teacher effectiveness, is high-quality continuing professional development (</w:t>
      </w:r>
      <w:r>
        <w:rPr>
          <w:rtl w:val="0"/>
        </w:rPr>
        <w:t xml:space="preserve">Day, 2015; </w:t>
      </w:r>
      <w:r>
        <w:rPr>
          <w:color w:val="000000"/>
          <w:u w:color="000000"/>
          <w:rtl w:val="0"/>
          <w:lang w:val="en-US"/>
        </w:rPr>
        <w:t xml:space="preserve">Greaves et al., 2019).    </w:t>
      </w:r>
    </w:p>
    <w:p>
      <w:pPr>
        <w:pStyle w:val="Text body"/>
      </w:pPr>
    </w:p>
    <w:p>
      <w:pPr>
        <w:pStyle w:val="Text body"/>
        <w:rPr>
          <w:rFonts w:ascii="Calibri" w:cs="Calibri" w:hAnsi="Calibri" w:eastAsia="Calibri"/>
          <w:b w:val="1"/>
          <w:bCs w:val="1"/>
          <w:color w:val="000000"/>
          <w:u w:color="000000"/>
        </w:rPr>
      </w:pPr>
      <w:r>
        <w:rPr>
          <w:rFonts w:ascii="Calibri" w:cs="Calibri" w:hAnsi="Calibri" w:eastAsia="Calibri"/>
          <w:b w:val="1"/>
          <w:bCs w:val="1"/>
          <w:color w:val="000000"/>
          <w:u w:color="000000"/>
          <w:rtl w:val="0"/>
          <w:lang w:val="en-US"/>
        </w:rPr>
        <w:t xml:space="preserve">2.  OVERVIEW OF THE DEPARTMENTAL APPROACH TO CLOSING THE ATTAINMENT GAP </w:t>
      </w:r>
    </w:p>
    <w:p>
      <w:pPr>
        <w:pStyle w:val="Text body"/>
      </w:pPr>
      <w:r>
        <w:rPr>
          <w:rtl w:val="0"/>
        </w:rPr>
        <w:t xml:space="preserve">The English Departmental Improvement Plan for 2018 (Appendix 1) has an overarching priority to </w:t>
      </w:r>
      <w:r>
        <w:rPr>
          <w:rtl w:val="0"/>
        </w:rPr>
        <w:t>‘</w:t>
      </w:r>
      <w:r>
        <w:rPr>
          <w:rtl w:val="0"/>
        </w:rPr>
        <w:t xml:space="preserve">Raise standards and improve performance across key stage 3 and key stage 4, </w:t>
      </w:r>
      <w:r>
        <w:rPr>
          <w:rFonts w:ascii="Calibri" w:cs="Calibri" w:hAnsi="Calibri" w:eastAsia="Calibri"/>
          <w:i w:val="1"/>
          <w:iCs w:val="1"/>
          <w:rtl w:val="0"/>
          <w:lang w:val="en-US"/>
        </w:rPr>
        <w:t>particularly that of eFSM pupils</w:t>
      </w:r>
      <w:r>
        <w:rPr>
          <w:rtl w:val="0"/>
        </w:rPr>
        <w:t xml:space="preserve">’ </w:t>
      </w:r>
      <w:r>
        <w:rPr>
          <w:rtl w:val="0"/>
        </w:rPr>
        <w:t xml:space="preserve">(Appendix 1 p. 2 </w:t>
      </w:r>
      <w:r>
        <w:rPr>
          <w:rtl w:val="0"/>
        </w:rPr>
        <w:t xml:space="preserve">– </w:t>
      </w:r>
      <w:r>
        <w:rPr>
          <w:rtl w:val="0"/>
        </w:rPr>
        <w:t>emphasis added).</w:t>
      </w:r>
    </w:p>
    <w:p>
      <w:pPr>
        <w:pStyle w:val="Text body"/>
      </w:pPr>
      <w:r>
        <w:rPr>
          <w:rtl w:val="0"/>
        </w:rPr>
        <w:t xml:space="preserve">Two main performance targets were set. The first is to increase overall percentages of pupils achieving set goals, to raise the school outcomes to levels comparable to other similar schools. At KS4, this means at least 40 percent of eFSM should achieve a </w:t>
      </w:r>
      <w:r>
        <w:rPr>
          <w:rtl w:val="0"/>
        </w:rPr>
        <w:t>‘</w:t>
      </w:r>
      <w:r>
        <w:rPr>
          <w:rtl w:val="0"/>
        </w:rPr>
        <w:t>C</w:t>
      </w:r>
      <w:r>
        <w:rPr>
          <w:rtl w:val="0"/>
        </w:rPr>
        <w:t xml:space="preserve">’ </w:t>
      </w:r>
      <w:r>
        <w:rPr>
          <w:rtl w:val="0"/>
        </w:rPr>
        <w:t xml:space="preserve">grade at GCSE, with 62 percent overall. </w:t>
      </w:r>
    </w:p>
    <w:p>
      <w:pPr>
        <w:pStyle w:val="Text body"/>
      </w:pPr>
      <w:r>
        <w:rPr>
          <w:rtl w:val="0"/>
        </w:rPr>
        <w:t xml:space="preserve">The second is to reduce the attainment gap between eFSM and nFSM pupils. Success in the second target is expected to contribute significantly to the first. </w:t>
      </w:r>
    </w:p>
    <w:p>
      <w:pPr>
        <w:pStyle w:val="Text body"/>
      </w:pPr>
      <w:r>
        <w:rPr>
          <w:rtl w:val="0"/>
        </w:rPr>
        <w:t xml:space="preserve">To achieve these targets, four strategic objectives have been implemented, each with its own action plan, allocated resources, and performance monitoring in place.  </w:t>
      </w:r>
    </w:p>
    <w:p>
      <w:pPr>
        <w:pStyle w:val="Text body"/>
      </w:pPr>
      <w:r>
        <w:rPr>
          <w:rtl w:val="0"/>
        </w:rPr>
        <w:t>The first two objectives relate to performance data and intervention strategies. All staff are expected to understand how key data about pupils</w:t>
      </w:r>
      <w:r>
        <w:rPr>
          <w:rtl w:val="0"/>
        </w:rPr>
        <w:t xml:space="preserve">’ </w:t>
      </w:r>
      <w:r>
        <w:rPr>
          <w:rtl w:val="0"/>
        </w:rPr>
        <w:t>performance can be used to identify weakness and to plan, develop and implement, targeted, short-term, interventions.</w:t>
      </w:r>
    </w:p>
    <w:p>
      <w:pPr>
        <w:pStyle w:val="Text body"/>
      </w:pPr>
      <w:r>
        <w:rPr>
          <w:rtl w:val="0"/>
        </w:rPr>
        <w:t>The third and fourth objectives relate to encouraging learning and improving outcomes by ensuring lessons are challenging and stimulating. Many of the actions related to these objectives involve providing professional development opportunities for staff, especially in the area of differentiation.</w:t>
      </w:r>
    </w:p>
    <w:p>
      <w:pPr>
        <w:pStyle w:val="Text body"/>
      </w:pPr>
    </w:p>
    <w:p>
      <w:pPr>
        <w:pStyle w:val="Text body"/>
        <w:rPr>
          <w:rFonts w:ascii="Calibri" w:cs="Calibri" w:hAnsi="Calibri" w:eastAsia="Calibri"/>
          <w:b w:val="1"/>
          <w:bCs w:val="1"/>
          <w:color w:val="000000"/>
          <w:u w:color="000000"/>
        </w:rPr>
      </w:pPr>
      <w:r>
        <w:rPr>
          <w:rFonts w:ascii="Calibri" w:cs="Calibri" w:hAnsi="Calibri" w:eastAsia="Calibri"/>
          <w:b w:val="1"/>
          <w:bCs w:val="1"/>
          <w:color w:val="000000"/>
          <w:u w:color="000000"/>
          <w:rtl w:val="0"/>
          <w:lang w:val="en-US"/>
        </w:rPr>
        <w:t>3.  OVERVIEW OF THE SCHOOL</w:t>
      </w:r>
      <w:r>
        <w:rPr>
          <w:rFonts w:ascii="Calibri" w:cs="Calibri" w:hAnsi="Calibri" w:eastAsia="Calibri"/>
          <w:b w:val="1"/>
          <w:bCs w:val="1"/>
          <w:color w:val="000000"/>
          <w:u w:color="000000"/>
          <w:rtl w:val="0"/>
          <w:lang w:val="en-US"/>
        </w:rPr>
        <w:t>’</w:t>
      </w:r>
      <w:r>
        <w:rPr>
          <w:rFonts w:ascii="Calibri" w:cs="Calibri" w:hAnsi="Calibri" w:eastAsia="Calibri"/>
          <w:b w:val="1"/>
          <w:bCs w:val="1"/>
          <w:color w:val="000000"/>
          <w:u w:color="000000"/>
          <w:rtl w:val="0"/>
          <w:lang w:val="en-US"/>
        </w:rPr>
        <w:t xml:space="preserve">S APPROACH TO CLOSING THE ATTAINMENT GAP </w:t>
      </w:r>
    </w:p>
    <w:p>
      <w:pPr>
        <w:pStyle w:val="Text body"/>
      </w:pPr>
      <w:r>
        <w:rPr>
          <w:rtl w:val="0"/>
        </w:rPr>
        <w:t>The School Three-Year Headline Priorities for 2015</w:t>
      </w:r>
      <w:r>
        <w:rPr>
          <w:rtl w:val="0"/>
        </w:rPr>
        <w:t>–</w:t>
      </w:r>
      <w:r>
        <w:rPr>
          <w:rtl w:val="0"/>
        </w:rPr>
        <w:t>2018 (Appendix 2) contains ten high-level priorities, two of which contain action items applicable to attainment standards of eFSM learners (for details see Appendix 2 pp. 4</w:t>
      </w:r>
      <w:r>
        <w:rPr>
          <w:rtl w:val="0"/>
        </w:rPr>
        <w:t>–</w:t>
      </w:r>
      <w:r>
        <w:rPr>
          <w:rtl w:val="0"/>
        </w:rPr>
        <w:t>5).</w:t>
      </w:r>
    </w:p>
    <w:p>
      <w:pPr>
        <w:pStyle w:val="Text body"/>
      </w:pPr>
      <w:r>
        <w:rPr>
          <w:rtl w:val="0"/>
        </w:rPr>
        <w:t xml:space="preserve">Section 1.1 </w:t>
      </w:r>
      <w:r>
        <w:rPr>
          <w:rtl w:val="0"/>
        </w:rPr>
        <w:t>‘</w:t>
      </w:r>
      <w:r>
        <w:rPr>
          <w:rtl w:val="0"/>
        </w:rPr>
        <w:t>Standards</w:t>
      </w:r>
      <w:r>
        <w:rPr>
          <w:rtl w:val="0"/>
        </w:rPr>
        <w:t>’</w:t>
      </w:r>
      <w:r>
        <w:rPr>
          <w:rtl w:val="0"/>
        </w:rPr>
        <w:t>, is to raise outcomes of eFSM learners to school targets, and to ensure national reading and numeracy test outcomes are brought into line with other schools.</w:t>
      </w:r>
    </w:p>
    <w:p>
      <w:pPr>
        <w:pStyle w:val="Text body"/>
      </w:pPr>
      <w:r>
        <w:rPr>
          <w:rtl w:val="0"/>
        </w:rPr>
        <w:t xml:space="preserve">Section 1.2 </w:t>
      </w:r>
      <w:r>
        <w:rPr>
          <w:rtl w:val="0"/>
        </w:rPr>
        <w:t>‘</w:t>
      </w:r>
      <w:r>
        <w:rPr>
          <w:rtl w:val="0"/>
        </w:rPr>
        <w:t>Well-being</w:t>
      </w:r>
      <w:r>
        <w:rPr>
          <w:rtl w:val="0"/>
        </w:rPr>
        <w:t>’</w:t>
      </w:r>
      <w:r>
        <w:rPr>
          <w:rtl w:val="0"/>
        </w:rPr>
        <w:t>, ensures safety in the context of emotional feelings, and refers to attendance, persistent absenteeism, and fixed-term exclusions all of which are more prevalent in eFSM learners than nFSM learners, and contribute to attainment outcomes.</w:t>
      </w:r>
    </w:p>
    <w:p>
      <w:pPr>
        <w:pStyle w:val="Text body"/>
      </w:pPr>
      <w:r>
        <w:rPr>
          <w:rtl w:val="0"/>
        </w:rPr>
        <w:t>Tackling the causes of low attainment in eFSM pupils and its associated feelings of low motivation and self-esteem is crucial if the department and school objectives are to be met.</w:t>
      </w:r>
    </w:p>
    <w:p>
      <w:pPr>
        <w:pStyle w:val="Text body"/>
      </w:pPr>
    </w:p>
    <w:p>
      <w:pPr>
        <w:pStyle w:val="Text body"/>
        <w:rPr>
          <w:rFonts w:ascii="Calibri" w:cs="Calibri" w:hAnsi="Calibri" w:eastAsia="Calibri"/>
          <w:b w:val="1"/>
          <w:bCs w:val="1"/>
          <w:color w:val="000000"/>
          <w:u w:color="000000"/>
        </w:rPr>
      </w:pPr>
      <w:r>
        <w:rPr>
          <w:rFonts w:ascii="Calibri" w:cs="Calibri" w:hAnsi="Calibri" w:eastAsia="Calibri"/>
          <w:b w:val="1"/>
          <w:bCs w:val="1"/>
          <w:color w:val="000000"/>
          <w:u w:color="000000"/>
          <w:rtl w:val="0"/>
          <w:lang w:val="en-US"/>
        </w:rPr>
        <w:t>4.  STRATEGIC PLANNING RELATED TO THE ATTAINMENT GAP</w:t>
      </w:r>
    </w:p>
    <w:p>
      <w:pPr>
        <w:pStyle w:val="Text body"/>
        <w:rPr>
          <w:rFonts w:ascii="Calibri" w:cs="Calibri" w:hAnsi="Calibri" w:eastAsia="Calibri"/>
          <w:b w:val="1"/>
          <w:bCs w:val="1"/>
        </w:rPr>
      </w:pPr>
      <w:r>
        <w:rPr>
          <w:rFonts w:ascii="Calibri" w:cs="Calibri" w:hAnsi="Calibri" w:eastAsia="Calibri"/>
          <w:b w:val="1"/>
          <w:bCs w:val="1"/>
          <w:rtl w:val="0"/>
          <w:lang w:val="en-US"/>
        </w:rPr>
        <w:t>Importance of strategic planning to schools</w:t>
      </w:r>
    </w:p>
    <w:p>
      <w:pPr>
        <w:pStyle w:val="Text body"/>
      </w:pPr>
      <w:r>
        <w:rPr>
          <w:rtl w:val="0"/>
        </w:rPr>
        <w:t>Rutherford (</w:t>
      </w:r>
      <w:r>
        <w:rPr>
          <w:color w:val="000000"/>
          <w:u w:color="000000"/>
          <w:rtl w:val="0"/>
          <w:lang w:val="en-US"/>
        </w:rPr>
        <w:t>2009</w:t>
      </w:r>
      <w:r>
        <w:rPr>
          <w:rtl w:val="0"/>
        </w:rPr>
        <w:t>) reminds us, in an analysis of the importance of strategic planning in today</w:t>
      </w:r>
      <w:r>
        <w:rPr>
          <w:rtl w:val="0"/>
        </w:rPr>
        <w:t>’</w:t>
      </w:r>
      <w:r>
        <w:rPr>
          <w:rtl w:val="0"/>
        </w:rPr>
        <w:t xml:space="preserve">s educational landscape, of the contextual adage that </w:t>
      </w:r>
      <w:r>
        <w:rPr>
          <w:rtl w:val="0"/>
        </w:rPr>
        <w:t>‘</w:t>
      </w:r>
      <w:r>
        <w:rPr>
          <w:rtl w:val="0"/>
        </w:rPr>
        <w:t>those who plan to learn, must learn to plan</w:t>
      </w:r>
      <w:r>
        <w:rPr>
          <w:rtl w:val="0"/>
        </w:rPr>
        <w:t>’</w:t>
      </w:r>
      <w:r>
        <w:rPr>
          <w:rtl w:val="0"/>
        </w:rPr>
        <w:t>. Strategic planning is vital in successfully integrating continual policy and curriculum reforms, and meeting ever-changing political and societal expectations of teachers and schools. Ellis and Sosu (</w:t>
      </w:r>
      <w:r>
        <w:rPr>
          <w:color w:val="000000"/>
          <w:u w:color="000000"/>
          <w:rtl w:val="0"/>
          <w:lang w:val="en-US"/>
        </w:rPr>
        <w:t>2015</w:t>
      </w:r>
      <w:r>
        <w:rPr>
          <w:rtl w:val="0"/>
        </w:rPr>
        <w:t>) identified strategic planning as the single most effective system for focussing everyone</w:t>
      </w:r>
      <w:r>
        <w:rPr>
          <w:rtl w:val="0"/>
        </w:rPr>
        <w:t>’</w:t>
      </w:r>
      <w:r>
        <w:rPr>
          <w:rtl w:val="0"/>
        </w:rPr>
        <w:t xml:space="preserve">s attention on the attainment and poverty gap in schools. </w:t>
      </w:r>
    </w:p>
    <w:p>
      <w:pPr>
        <w:pStyle w:val="Text body"/>
        <w:rPr>
          <w:rFonts w:ascii="Calibri" w:cs="Calibri" w:hAnsi="Calibri" w:eastAsia="Calibri"/>
          <w:b w:val="1"/>
          <w:bCs w:val="1"/>
        </w:rPr>
      </w:pPr>
      <w:r>
        <w:rPr>
          <w:rFonts w:ascii="Calibri" w:cs="Calibri" w:hAnsi="Calibri" w:eastAsia="Calibri"/>
          <w:b w:val="1"/>
          <w:bCs w:val="1"/>
          <w:rtl w:val="0"/>
          <w:lang w:val="en-US"/>
        </w:rPr>
        <w:t>Phases of strategic planning in schools</w:t>
      </w:r>
    </w:p>
    <w:p>
      <w:pPr>
        <w:pStyle w:val="Text body"/>
      </w:pPr>
      <w:r>
        <w:rPr>
          <w:rtl w:val="0"/>
        </w:rPr>
        <w:t>Most strategic planning methodologies have three distinct phases: initiation, implementation and institutionalization Rutherford (</w:t>
      </w:r>
      <w:r>
        <w:rPr>
          <w:color w:val="000000"/>
          <w:u w:color="000000"/>
          <w:rtl w:val="0"/>
          <w:lang w:val="en-US"/>
        </w:rPr>
        <w:t>2009</w:t>
      </w:r>
      <w:r>
        <w:rPr>
          <w:rtl w:val="0"/>
        </w:rPr>
        <w:t xml:space="preserve">). Initiation encompasses all the planning right up to the final decision to proceed (Fullan, 1997, in Rutherford, </w:t>
      </w:r>
      <w:r>
        <w:rPr>
          <w:color w:val="000000"/>
          <w:u w:color="000000"/>
          <w:rtl w:val="0"/>
          <w:lang w:val="en-US"/>
        </w:rPr>
        <w:t>2009</w:t>
      </w:r>
      <w:r>
        <w:rPr>
          <w:rtl w:val="0"/>
        </w:rPr>
        <w:t xml:space="preserve">); implementation includes the pilot schemes and special projects where the utility is established and wrinkles ironed out; in the final phase, institutionalization, the change has become incorporated into the day-to-day routine of the school (Berman &amp; McLaughlin, 1976, in Rutherford, </w:t>
      </w:r>
      <w:r>
        <w:rPr>
          <w:color w:val="000000"/>
          <w:u w:color="000000"/>
          <w:rtl w:val="0"/>
          <w:lang w:val="en-US"/>
        </w:rPr>
        <w:t>2009</w:t>
      </w:r>
      <w:r>
        <w:rPr>
          <w:rtl w:val="0"/>
        </w:rPr>
        <w:t>).</w:t>
      </w:r>
    </w:p>
    <w:p>
      <w:pPr>
        <w:pStyle w:val="Text body"/>
      </w:pPr>
      <w:r>
        <w:rPr>
          <w:rtl w:val="0"/>
        </w:rPr>
        <w:t>Rutherford (</w:t>
      </w:r>
      <w:r>
        <w:rPr>
          <w:color w:val="000000"/>
          <w:u w:color="000000"/>
          <w:rtl w:val="0"/>
          <w:lang w:val="en-US"/>
        </w:rPr>
        <w:t>2009</w:t>
      </w:r>
      <w:r>
        <w:rPr>
          <w:rtl w:val="0"/>
        </w:rPr>
        <w:t xml:space="preserve">) emphasised the importance of strategic planning methodologies that prioritise the initial planning stage, as it plays a disproportionate role in implementing change and poor planning at this stage will detrimentally ripple through all subsequent activities. Equally important for transforming policies into actual skills and practices that foster meaningful and lasting change (Fullan, 1997, in Rutherford, </w:t>
      </w:r>
      <w:r>
        <w:rPr>
          <w:color w:val="000000"/>
          <w:u w:color="000000"/>
          <w:rtl w:val="0"/>
          <w:lang w:val="en-US"/>
        </w:rPr>
        <w:t>2009</w:t>
      </w:r>
      <w:r>
        <w:rPr>
          <w:rtl w:val="0"/>
        </w:rPr>
        <w:t xml:space="preserve">), is to adopt planning methodologies that are sympathetic to the cultural setting of the school (OBrien, 1991, in Rutherford, </w:t>
      </w:r>
      <w:r>
        <w:rPr>
          <w:color w:val="000000"/>
          <w:u w:color="000000"/>
          <w:rtl w:val="0"/>
          <w:lang w:val="en-US"/>
        </w:rPr>
        <w:t>2009</w:t>
      </w:r>
      <w:r>
        <w:rPr>
          <w:rtl w:val="0"/>
        </w:rPr>
        <w:t>) and not ones more suited to profit-driven corporate cultures (D</w:t>
      </w:r>
      <w:r>
        <w:rPr>
          <w:rtl w:val="0"/>
        </w:rPr>
        <w:t>’</w:t>
      </w:r>
      <w:r>
        <w:rPr>
          <w:rtl w:val="0"/>
        </w:rPr>
        <w:t xml:space="preserve">Amico, 1989, in Rutherford, </w:t>
      </w:r>
      <w:r>
        <w:rPr>
          <w:color w:val="000000"/>
          <w:u w:color="000000"/>
          <w:rtl w:val="0"/>
          <w:lang w:val="en-US"/>
        </w:rPr>
        <w:t>2009</w:t>
      </w:r>
      <w:r>
        <w:rPr>
          <w:rtl w:val="0"/>
        </w:rPr>
        <w:t xml:space="preserve">) or that lack substantial stakeholder participation (Bryson, 1995, in Rutherford, </w:t>
      </w:r>
      <w:r>
        <w:rPr>
          <w:color w:val="000000"/>
          <w:u w:color="000000"/>
          <w:rtl w:val="0"/>
          <w:lang w:val="en-US"/>
        </w:rPr>
        <w:t>2009</w:t>
      </w:r>
      <w:r>
        <w:rPr>
          <w:rtl w:val="0"/>
        </w:rPr>
        <w:t>).</w:t>
      </w:r>
    </w:p>
    <w:p>
      <w:pPr>
        <w:pStyle w:val="Text body"/>
      </w:pPr>
    </w:p>
    <w:p>
      <w:pPr>
        <w:pStyle w:val="Text body"/>
        <w:rPr>
          <w:rFonts w:ascii="Calibri" w:cs="Calibri" w:hAnsi="Calibri" w:eastAsia="Calibri"/>
          <w:b w:val="1"/>
          <w:bCs w:val="1"/>
          <w:color w:val="000000"/>
          <w:u w:color="000000"/>
        </w:rPr>
      </w:pPr>
      <w:r>
        <w:rPr>
          <w:rFonts w:ascii="Calibri" w:cs="Calibri" w:hAnsi="Calibri" w:eastAsia="Calibri"/>
          <w:b w:val="1"/>
          <w:bCs w:val="1"/>
          <w:color w:val="000000"/>
          <w:u w:color="000000"/>
          <w:rtl w:val="0"/>
          <w:lang w:val="en-US"/>
        </w:rPr>
        <w:t xml:space="preserve">5.  UNDERSTANDING THE ATTAINMENT GAP </w:t>
      </w:r>
    </w:p>
    <w:p>
      <w:pPr>
        <w:pStyle w:val="Text body"/>
        <w:rPr>
          <w:rFonts w:ascii="Calibri" w:cs="Calibri" w:hAnsi="Calibri" w:eastAsia="Calibri"/>
          <w:b w:val="1"/>
          <w:bCs w:val="1"/>
          <w:color w:val="000000"/>
          <w:u w:color="000000"/>
        </w:rPr>
      </w:pPr>
      <w:r>
        <w:rPr>
          <w:rFonts w:ascii="Calibri" w:cs="Calibri" w:hAnsi="Calibri" w:eastAsia="Calibri"/>
          <w:b w:val="1"/>
          <w:bCs w:val="1"/>
          <w:color w:val="000000"/>
          <w:u w:color="000000"/>
          <w:rtl w:val="0"/>
          <w:lang w:val="en-US"/>
        </w:rPr>
        <w:t>Historical pervasiveness</w:t>
      </w:r>
    </w:p>
    <w:p>
      <w:pPr>
        <w:pStyle w:val="Text body"/>
      </w:pPr>
      <w:r>
        <w:rPr>
          <w:color w:val="000000"/>
          <w:u w:color="000000"/>
          <w:rtl w:val="0"/>
          <w:lang w:val="en-US"/>
        </w:rPr>
        <w:t>Compared to other leading industrial nations, the UK exhibits greater socio-economic inequalities in education attainment and employment prospects: the wealth-correlated attainment gap at age 15 is greater, fewer children aged 17 are in education, and a quarter of children still lack basic qualifications by the time they are 19 years old (Hirsch, 2006, in Dunne, M. and Gazeley, L., 2008). The wealth-based attainment gap has remained resistant to change despite over 50 years of continual policy changes and new initiatives (Reay, 2006).</w:t>
      </w:r>
    </w:p>
    <w:p>
      <w:pPr>
        <w:pStyle w:val="Text body"/>
        <w:rPr>
          <w:rFonts w:ascii="Calibri" w:cs="Calibri" w:hAnsi="Calibri" w:eastAsia="Calibri"/>
          <w:b w:val="1"/>
          <w:bCs w:val="1"/>
        </w:rPr>
      </w:pPr>
      <w:r>
        <w:rPr>
          <w:rFonts w:ascii="Calibri" w:cs="Calibri" w:hAnsi="Calibri" w:eastAsia="Calibri"/>
          <w:b w:val="1"/>
          <w:bCs w:val="1"/>
          <w:rtl w:val="0"/>
          <w:lang w:val="en-US"/>
        </w:rPr>
        <w:t>Correlation between wealth, attainment and free school meals</w:t>
      </w:r>
    </w:p>
    <w:p>
      <w:pPr>
        <w:pStyle w:val="Text body"/>
      </w:pPr>
      <w:r>
        <w:rPr>
          <w:rtl w:val="0"/>
        </w:rPr>
        <w:t xml:space="preserve">The correlation between wealth and attainment has been well documented. Not only is eligibility for free school meals regarded as the main indicator of social deprivation in schools (mylocalschool, 2018), it is also the main predictor of children continuing to higher or further education, obtaining qualifications leading to a job, and avoiding poverty as adults (Joseph Rowntree Foundation, 2018, p26-p27). On average, children from higher income families achieve much higher educational outcomes than those from lower income families, and as educational outcomes invariably predicate occupation, society becomes, and remains, stratified by social class (Jerrim &amp; Macmillan, 2014, in Francis et al., </w:t>
      </w:r>
      <w:r>
        <w:rPr>
          <w:color w:val="000000"/>
          <w:u w:color="000000"/>
          <w:rtl w:val="0"/>
          <w:lang w:val="en-US"/>
        </w:rPr>
        <w:t>2017</w:t>
      </w:r>
      <w:r>
        <w:rPr>
          <w:rtl w:val="0"/>
        </w:rPr>
        <w:t>).</w:t>
      </w:r>
    </w:p>
    <w:p>
      <w:pPr>
        <w:pStyle w:val="Text body"/>
      </w:pPr>
      <w:r>
        <w:rPr>
          <w:rtl w:val="0"/>
        </w:rPr>
        <w:t xml:space="preserve">In addition to inter-school socio-economic attainment gaps, intra-school gaps, especially those evidenced by eFSM status, are equally pervasive and are arguably even more detrimental to lower-attaining learners. Socio-economic stratification occurs within all schools regardless of whether they are private or state, affluent or deprived, or have high or low Ofsted ratings (Francis et al., </w:t>
      </w:r>
      <w:r>
        <w:rPr>
          <w:color w:val="000000"/>
          <w:u w:color="000000"/>
          <w:rtl w:val="0"/>
          <w:lang w:val="en-US"/>
        </w:rPr>
        <w:t>2017</w:t>
      </w:r>
      <w:r>
        <w:rPr>
          <w:rtl w:val="0"/>
        </w:rPr>
        <w:t xml:space="preserve">). </w:t>
      </w:r>
    </w:p>
    <w:p>
      <w:pPr>
        <w:pStyle w:val="Text body"/>
      </w:pPr>
      <w:r>
        <w:rPr>
          <w:rtl w:val="0"/>
        </w:rPr>
        <w:t>Although overall attainment levels in Wales have increased every year over the last decade, and there has been some progress in closing the educational attainment gap between rich and poor households (defined in terms of eligibility or otherwise for free school meals), attainment by children from more affluent households is still significantly better than that of children from less affluent households (Joseph Rowntree Foundation, 2018). The most recent information available from the Welsh Government</w:t>
      </w:r>
      <w:r>
        <w:rPr>
          <w:rtl w:val="0"/>
        </w:rPr>
        <w:t>’</w:t>
      </w:r>
      <w:r>
        <w:rPr>
          <w:rtl w:val="0"/>
        </w:rPr>
        <w:t>s Research and Statistics arm confirms Reay</w:t>
      </w:r>
      <w:r>
        <w:rPr>
          <w:rtl w:val="0"/>
        </w:rPr>
        <w:t>’</w:t>
      </w:r>
      <w:r>
        <w:rPr>
          <w:rtl w:val="0"/>
        </w:rPr>
        <w:t xml:space="preserve">s (2016) observation that </w:t>
      </w:r>
      <w:r>
        <w:rPr>
          <w:rtl w:val="0"/>
        </w:rPr>
        <w:t>‘</w:t>
      </w:r>
      <w:r>
        <w:rPr>
          <w:rtl w:val="0"/>
        </w:rPr>
        <w:t>the more things change the more they stay the same</w:t>
      </w:r>
      <w:r>
        <w:rPr>
          <w:rtl w:val="0"/>
        </w:rPr>
        <w:t>’</w:t>
      </w:r>
      <w:r>
        <w:rPr>
          <w:rtl w:val="0"/>
        </w:rPr>
        <w:t xml:space="preserve">, as they report that there is still </w:t>
      </w:r>
      <w:r>
        <w:rPr>
          <w:rtl w:val="0"/>
        </w:rPr>
        <w:t>‘</w:t>
      </w:r>
      <w:r>
        <w:rPr>
          <w:rtl w:val="0"/>
        </w:rPr>
        <w:t>a strong link between achievement and the level of entitlement to free school meals in schools: as the level of free school meals entitlement increases, the level of achievement decreases</w:t>
      </w:r>
      <w:r>
        <w:rPr>
          <w:rtl w:val="0"/>
        </w:rPr>
        <w:t xml:space="preserve">’ </w:t>
      </w:r>
      <w:r>
        <w:rPr>
          <w:rtl w:val="0"/>
        </w:rPr>
        <w:t>(Cymru, 2019).</w:t>
      </w:r>
    </w:p>
    <w:p>
      <w:pPr>
        <w:pStyle w:val="Text body"/>
        <w:rPr>
          <w:rFonts w:ascii="Calibri" w:cs="Calibri" w:hAnsi="Calibri" w:eastAsia="Calibri"/>
          <w:b w:val="1"/>
          <w:bCs w:val="1"/>
        </w:rPr>
      </w:pPr>
      <w:r>
        <w:rPr>
          <w:rFonts w:ascii="Calibri" w:cs="Calibri" w:hAnsi="Calibri" w:eastAsia="Calibri"/>
          <w:b w:val="1"/>
          <w:bCs w:val="1"/>
          <w:rtl w:val="0"/>
          <w:lang w:val="en-US"/>
        </w:rPr>
        <w:t>Correlation between teacher competence and attainment</w:t>
      </w:r>
    </w:p>
    <w:p>
      <w:pPr>
        <w:pStyle w:val="Text body"/>
      </w:pPr>
      <w:r>
        <w:rPr>
          <w:rtl w:val="0"/>
        </w:rPr>
        <w:t xml:space="preserve">In an analysis of the root causes of the attainment gap, Hattie (2003) quantified the major contributors to variance in student achievement. Student ability accounted for half the variance, with home, school and peer pressure accounting in equal measure for another 20 percent. Hattie attributed home variance to levels of </w:t>
      </w:r>
      <w:r>
        <w:rPr>
          <w:rtl w:val="0"/>
        </w:rPr>
        <w:t>‘</w:t>
      </w:r>
      <w:r>
        <w:rPr>
          <w:rtl w:val="0"/>
        </w:rPr>
        <w:t>expectation and encouragement</w:t>
      </w:r>
      <w:r>
        <w:rPr>
          <w:rtl w:val="0"/>
        </w:rPr>
        <w:t xml:space="preserve">’ </w:t>
      </w:r>
      <w:r>
        <w:rPr>
          <w:rtl w:val="0"/>
        </w:rPr>
        <w:t xml:space="preserve">but not to levels of parental involvement; school variance encompassed differences in funding, facilities, size and management; and although peer pressure can be positive or negative, its contribution to attainment variance was far less than might be reputationally expected. Taken together, these factors account for 70 percent of the variance in attainment, but realistically, they are not easily influenced. The remaining 30 percent relates entirely to teacher effectiveness, and as this can be directly addressed, Hattie concluded it should the priority target for reducing the attainment gap (Hattie, 2003). </w:t>
      </w:r>
    </w:p>
    <w:p>
      <w:pPr>
        <w:pStyle w:val="Text body"/>
      </w:pPr>
      <w:r>
        <w:rPr>
          <w:rtl w:val="0"/>
        </w:rPr>
        <w:t xml:space="preserve">This immediately raises questions about the use of trainee teachers in the classroom and the wide-spread belief that they have a detrimental effect on attainment, but recent empirical research suggests otherwise (Greaves et al., 2019). What is clear, however, is that the most successful schools from lower socio-economic areas lay great emphasis on staff professional development and school-wide </w:t>
      </w:r>
      <w:r>
        <w:rPr>
          <w:rtl w:val="0"/>
        </w:rPr>
        <w:t>‘</w:t>
      </w:r>
      <w:r>
        <w:rPr>
          <w:rtl w:val="0"/>
        </w:rPr>
        <w:t>teamwork</w:t>
      </w:r>
      <w:r>
        <w:rPr>
          <w:rtl w:val="0"/>
        </w:rPr>
        <w:t xml:space="preserve">’ </w:t>
      </w:r>
      <w:r>
        <w:rPr>
          <w:rtl w:val="0"/>
        </w:rPr>
        <w:t>based ethe to training and literacy intervention (Harrison, 2002).</w:t>
      </w:r>
    </w:p>
    <w:p>
      <w:pPr>
        <w:pStyle w:val="Text body"/>
        <w:rPr>
          <w:rFonts w:ascii="Calibri" w:cs="Calibri" w:hAnsi="Calibri" w:eastAsia="Calibri"/>
          <w:b w:val="1"/>
          <w:bCs w:val="1"/>
        </w:rPr>
      </w:pPr>
      <w:r>
        <w:rPr>
          <w:rFonts w:ascii="Calibri" w:cs="Calibri" w:hAnsi="Calibri" w:eastAsia="Calibri"/>
          <w:b w:val="1"/>
          <w:bCs w:val="1"/>
          <w:rtl w:val="0"/>
          <w:lang w:val="en-US"/>
        </w:rPr>
        <w:t>Correlation between school quality and attainment</w:t>
      </w:r>
    </w:p>
    <w:p>
      <w:pPr>
        <w:pStyle w:val="Text body"/>
      </w:pPr>
      <w:r>
        <w:rPr>
          <w:rtl w:val="0"/>
        </w:rPr>
        <w:t xml:space="preserve">Crucially however, the most important consideration is that the overall quality of school has no bearing on the size of attachment gap. Attainment gaps are present in all schools regardless of their socio-economic intake, and crucially, low socio-economic students from highly effective schools perform significantly better than high socio-economic students from less effective schools (Strand, 2014), or as the Rt. Hon. Michael Gove put it, </w:t>
      </w:r>
      <w:r>
        <w:rPr>
          <w:rtl w:val="0"/>
        </w:rPr>
        <w:t>‘</w:t>
      </w:r>
      <w:r>
        <w:rPr>
          <w:rtl w:val="0"/>
        </w:rPr>
        <w:t>Rich, thick kids do better than clever, poor kids</w:t>
      </w:r>
      <w:r>
        <w:rPr>
          <w:rtl w:val="0"/>
        </w:rPr>
        <w:t>’</w:t>
      </w:r>
      <w:r>
        <w:rPr>
          <w:rtl w:val="0"/>
        </w:rPr>
        <w:t xml:space="preserve">. </w:t>
      </w:r>
    </w:p>
    <w:p>
      <w:pPr>
        <w:pStyle w:val="Text body"/>
        <w:rPr>
          <w:rFonts w:ascii="Calibri" w:cs="Calibri" w:hAnsi="Calibri" w:eastAsia="Calibri"/>
          <w:b w:val="1"/>
          <w:bCs w:val="1"/>
        </w:rPr>
      </w:pPr>
      <w:r>
        <w:rPr>
          <w:rFonts w:ascii="Calibri" w:cs="Calibri" w:hAnsi="Calibri" w:eastAsia="Calibri"/>
          <w:b w:val="1"/>
          <w:bCs w:val="1"/>
          <w:rtl w:val="0"/>
          <w:lang w:val="en-US"/>
        </w:rPr>
        <w:t>Identifying underachievement</w:t>
      </w:r>
    </w:p>
    <w:p>
      <w:pPr>
        <w:pStyle w:val="Text body"/>
      </w:pPr>
      <w:r>
        <w:rPr>
          <w:rtl w:val="0"/>
        </w:rPr>
        <w:t>Although underachievement is highly correlated with socio-economic attainment gap as evidenced by eligibility for free school meals, great care must be taken when identifying underachievers. Despite claims to the contrary, there is a danger that subjective rather than objective criteria are often used with the eFSM status of new pupils colouring teachers</w:t>
      </w:r>
      <w:r>
        <w:rPr>
          <w:rtl w:val="0"/>
        </w:rPr>
        <w:t xml:space="preserve">’ </w:t>
      </w:r>
      <w:r>
        <w:rPr>
          <w:rtl w:val="0"/>
        </w:rPr>
        <w:t xml:space="preserve">initial evaluations (Dunne and Gazeley, 2008; Francis et al., </w:t>
      </w:r>
      <w:r>
        <w:rPr>
          <w:color w:val="000000"/>
          <w:u w:color="000000"/>
          <w:rtl w:val="0"/>
          <w:lang w:val="en-US"/>
        </w:rPr>
        <w:t>2017</w:t>
      </w:r>
      <w:r>
        <w:rPr>
          <w:rtl w:val="0"/>
        </w:rPr>
        <w:t>).</w:t>
      </w:r>
    </w:p>
    <w:p>
      <w:pPr>
        <w:pStyle w:val="Text body"/>
      </w:pPr>
    </w:p>
    <w:p>
      <w:pPr>
        <w:pStyle w:val="Text body"/>
        <w:rPr>
          <w:color w:val="000000"/>
          <w:u w:color="000000"/>
        </w:rPr>
      </w:pPr>
      <w:r>
        <w:rPr>
          <w:rFonts w:ascii="Calibri" w:cs="Calibri" w:hAnsi="Calibri" w:eastAsia="Calibri"/>
          <w:b w:val="1"/>
          <w:bCs w:val="1"/>
          <w:color w:val="000000"/>
          <w:u w:color="000000"/>
          <w:rtl w:val="0"/>
          <w:lang w:val="en-US"/>
        </w:rPr>
        <w:t xml:space="preserve">6.  EVIDENCE OF THE ATTAINMENT GAP IN THE SCHOOL </w:t>
      </w:r>
    </w:p>
    <w:p>
      <w:pPr>
        <w:pStyle w:val="Text body"/>
      </w:pPr>
      <w:r>
        <w:rPr>
          <w:rtl w:val="0"/>
        </w:rPr>
        <w:t>According to each reported measure of social inequality and deprivation, the most recent Estyn Inspection Report (Estyn, 2015) shows the school to be well above the national average for Wales. 25 percent of pupils are eFSM compared to the national average of 17 percent; 44 percent live in the 20 percent most deprived areas of Wales; 60 percent, compared to 22 percent, are on the additional needs register; and four percent, compared to two percent, have statements of special educational needs.</w:t>
      </w:r>
    </w:p>
    <w:p>
      <w:pPr>
        <w:pStyle w:val="Text body"/>
      </w:pPr>
      <w:r>
        <w:rPr>
          <w:rtl w:val="0"/>
        </w:rPr>
        <w:t xml:space="preserve">The attainment of these pupils is of great concern to the school. The two attainment metrics of particular concern are achieving a Level 4 at KS2 and achieving five or more grade C passes at GCSE in the core subjects (English or Welsh as a first language, mathematics and science) as these broadly correspond to attainment targets of children entering and leaving secondary school (Estyn, 2015). </w:t>
      </w:r>
    </w:p>
    <w:p>
      <w:pPr>
        <w:pStyle w:val="Text body"/>
      </w:pPr>
      <w:r>
        <w:rPr>
          <w:rtl w:val="0"/>
        </w:rPr>
        <w:t xml:space="preserve">Significantly, the attainment gap at KS2 Level 4 decreased from 24 percent to 15 percent, with eFSM children achieving comparable results in 2016 (77 percent pass) to those the nFSM children were achieving a decade ago (a 78 percent pass rate in 2007, but rising to 92 percent in 2016) (mylocalschool, 2018). </w:t>
      </w:r>
    </w:p>
    <w:p>
      <w:pPr>
        <w:pStyle w:val="Text body"/>
      </w:pPr>
      <w:r>
        <w:rPr>
          <w:rtl w:val="0"/>
        </w:rPr>
        <w:t xml:space="preserve">In some respects, the situation at GCSE has improved and in others it has not. Actual attainment in the more affluent nFSM group rose from 48 percent in 2007 to 68 percent in 2016, a 42 percent increase, and actual attainment in the less affluent eFSM group doubled from 18 percent to 36 percent in the same period; both groups, therefore, demonstrated significant increases in attainment. However, although both groups made commendable gains, when comparisons between rich and poor household results are made, the attainment gap actually rose slightly from 30 percent to 32 percent (mylocalschool, 2018). </w:t>
      </w:r>
    </w:p>
    <w:p>
      <w:pPr>
        <w:pStyle w:val="Text body"/>
      </w:pPr>
      <w:r>
        <w:rPr>
          <w:rtl w:val="0"/>
        </w:rPr>
        <w:t>The 2016 data are obviously not the most up-to-date data available, but although data for 2017 and 2018 are available from mylocalschool and elsewhere, they cannot be compared to earlier data due to curriculum changes and changes in assessment methodologies and indicator definitions (mylocalschool, 2018). However, the latest eFSM</w:t>
      </w:r>
      <w:r>
        <w:rPr>
          <w:rtl w:val="0"/>
        </w:rPr>
        <w:t>–</w:t>
      </w:r>
      <w:r>
        <w:rPr>
          <w:rtl w:val="0"/>
        </w:rPr>
        <w:t>nFSM achievement figures at the Level-2</w:t>
      </w:r>
      <w:r>
        <w:rPr>
          <w:rtl w:val="0"/>
        </w:rPr>
        <w:t>–</w:t>
      </w:r>
      <w:r>
        <w:rPr>
          <w:rtl w:val="0"/>
        </w:rPr>
        <w:t xml:space="preserve">threshold (including English/Welsh and Maths) show that the attainment gap is still very much in evident (18.8 percent vs 60.6 percent) (mylocalschool, 2018). </w:t>
      </w:r>
    </w:p>
    <w:p>
      <w:pPr>
        <w:pStyle w:val="Text body"/>
      </w:pPr>
      <w:r>
        <w:rPr>
          <w:rtl w:val="0"/>
        </w:rPr>
        <w:t>A comparative measure of how well schools are performing is provided by mylocalschool benchmarks. These compare schools with similar intakes of pupils from deprived areas against each other (mylocalschool, 2018). These data show that overall, the school falls just below the upper-quartile borderline for Level 2 including English/Welsh and Maths, but when English is considered in isolation from other subjects, the school falls just below the median for schools in Wales. These data paint a fairly positive picture of the school in the framework of overall school achievement, but significantly however, when eFSM data is considered in isolation, the school</w:t>
      </w:r>
      <w:r>
        <w:rPr>
          <w:rtl w:val="0"/>
        </w:rPr>
        <w:t>’</w:t>
      </w:r>
      <w:r>
        <w:rPr>
          <w:rtl w:val="0"/>
        </w:rPr>
        <w:t xml:space="preserve">s performance cannot be viewed in such a positive light. The 2018 Level 2 inclusive result for the school is 18.8 percent. This is just under half that of the Local Authority average of 35.1 percent and less than two-thirds that of the Welsh average of 29.5 percent (mylocalschool, 2018; Estyn, 2015). </w:t>
      </w:r>
    </w:p>
    <w:p>
      <w:pPr>
        <w:pStyle w:val="Text body"/>
      </w:pPr>
    </w:p>
    <w:p>
      <w:pPr>
        <w:pStyle w:val="Text body"/>
        <w:rPr>
          <w:rFonts w:ascii="Calibri" w:cs="Calibri" w:hAnsi="Calibri" w:eastAsia="Calibri"/>
          <w:b w:val="1"/>
          <w:bCs w:val="1"/>
          <w:color w:val="000000"/>
          <w:u w:color="000000"/>
        </w:rPr>
      </w:pPr>
      <w:r>
        <w:rPr>
          <w:rFonts w:ascii="Calibri" w:cs="Calibri" w:hAnsi="Calibri" w:eastAsia="Calibri"/>
          <w:b w:val="1"/>
          <w:bCs w:val="1"/>
          <w:color w:val="000000"/>
          <w:u w:color="000000"/>
          <w:rtl w:val="0"/>
          <w:lang w:val="en-US"/>
        </w:rPr>
        <w:t>7. HOW THE SCHOOL IS RESPONDING TO THE ATTAINMENT GAP</w:t>
      </w:r>
    </w:p>
    <w:p>
      <w:pPr>
        <w:pStyle w:val="Text body"/>
        <w:rPr>
          <w:rFonts w:ascii="Calibri" w:cs="Calibri" w:hAnsi="Calibri" w:eastAsia="Calibri"/>
          <w:b w:val="1"/>
          <w:bCs w:val="1"/>
        </w:rPr>
      </w:pPr>
      <w:r>
        <w:rPr>
          <w:rFonts w:ascii="Calibri" w:cs="Calibri" w:hAnsi="Calibri" w:eastAsia="Calibri"/>
          <w:b w:val="1"/>
          <w:bCs w:val="1"/>
          <w:rtl w:val="0"/>
          <w:lang w:val="en-US"/>
        </w:rPr>
        <w:t>Intervention packages</w:t>
      </w:r>
    </w:p>
    <w:p>
      <w:pPr>
        <w:pStyle w:val="Text body"/>
      </w:pPr>
      <w:r>
        <w:rPr>
          <w:rtl w:val="0"/>
        </w:rPr>
        <w:t>A comprehensive range of bespoke literacy packages and accelerated reading groups have been put in place to address individual needs and maximise achievements. Pupils expected to benefit from these intervention measures are identified and their progress is tracked using diagnostic testing programmes (Estyn, 2016). Two dedicated, government-funded staff divide their time between literacy intervention and teaching English as an additional language to children with little or no knowledge of English. Children requiring literacy intervention are identified from exams and class tests. They are taken out registration and lessons for sessions lasting fifteen minutes with a maximum of one hour per child per week.</w:t>
      </w:r>
    </w:p>
    <w:p>
      <w:pPr>
        <w:pStyle w:val="Text body"/>
        <w:rPr>
          <w:rFonts w:ascii="Calibri" w:cs="Calibri" w:hAnsi="Calibri" w:eastAsia="Calibri"/>
          <w:b w:val="1"/>
          <w:bCs w:val="1"/>
        </w:rPr>
      </w:pPr>
      <w:r>
        <w:rPr>
          <w:rFonts w:ascii="Calibri" w:cs="Calibri" w:hAnsi="Calibri" w:eastAsia="Calibri"/>
          <w:b w:val="1"/>
          <w:bCs w:val="1"/>
          <w:rtl w:val="0"/>
          <w:lang w:val="en-US"/>
        </w:rPr>
        <w:t>Feeder school programmes</w:t>
      </w:r>
    </w:p>
    <w:p>
      <w:pPr>
        <w:pStyle w:val="Text body"/>
      </w:pPr>
      <w:r>
        <w:rPr>
          <w:rtl w:val="0"/>
        </w:rPr>
        <w:t xml:space="preserve">The school implemented an initiative in September 2012 called the </w:t>
      </w:r>
      <w:r>
        <w:rPr>
          <w:rtl w:val="0"/>
        </w:rPr>
        <w:t>‘</w:t>
      </w:r>
      <w:r>
        <w:rPr>
          <w:rtl w:val="0"/>
        </w:rPr>
        <w:t>Team around the family</w:t>
      </w:r>
      <w:r>
        <w:rPr>
          <w:rtl w:val="0"/>
        </w:rPr>
        <w:t>’</w:t>
      </w:r>
      <w:r>
        <w:rPr>
          <w:rtl w:val="0"/>
        </w:rPr>
        <w:t xml:space="preserve">. This is a programme of links with feeder primary schools, the families of learners, and concerned agencies. It is acknowledged to be an effective strategic planning initiative and has been credited with some success in addressing the socio-economic attainment gap (Estyn, 2013). </w:t>
      </w:r>
    </w:p>
    <w:p>
      <w:pPr>
        <w:pStyle w:val="Text body"/>
      </w:pPr>
      <w:r>
        <w:rPr>
          <w:rtl w:val="0"/>
        </w:rPr>
        <w:t xml:space="preserve">The </w:t>
      </w:r>
      <w:r>
        <w:rPr>
          <w:rtl w:val="0"/>
        </w:rPr>
        <w:t>‘</w:t>
      </w:r>
      <w:r>
        <w:rPr>
          <w:rtl w:val="0"/>
        </w:rPr>
        <w:t>Team around the family</w:t>
      </w:r>
      <w:r>
        <w:rPr>
          <w:rtl w:val="0"/>
        </w:rPr>
        <w:t xml:space="preserve">’ </w:t>
      </w:r>
      <w:r>
        <w:rPr>
          <w:rtl w:val="0"/>
        </w:rPr>
        <w:t xml:space="preserve">panel meets on a weekly basis and draws upon a diverse range of professionals from within the school and elsewhere. The panel includes the team co-ordinator, assistant head, pupil support manager, school link social worker, school nurse, pupil support assistants, pupil support leaders, and the school youth worker. Pupils are identified </w:t>
      </w:r>
      <w:r>
        <w:rPr>
          <w:rtl w:val="0"/>
        </w:rPr>
        <w:t>‘</w:t>
      </w:r>
      <w:r>
        <w:rPr>
          <w:rtl w:val="0"/>
        </w:rPr>
        <w:t>holistically</w:t>
      </w:r>
      <w:r>
        <w:rPr>
          <w:rtl w:val="0"/>
        </w:rPr>
        <w:t xml:space="preserve">’ </w:t>
      </w:r>
      <w:r>
        <w:rPr>
          <w:rtl w:val="0"/>
        </w:rPr>
        <w:t xml:space="preserve">and intervention offered according to individual needs (Estyn, 2013). </w:t>
      </w:r>
    </w:p>
    <w:p>
      <w:pPr>
        <w:pStyle w:val="Text body"/>
      </w:pPr>
      <w:r>
        <w:rPr>
          <w:rtl w:val="0"/>
        </w:rPr>
        <w:t xml:space="preserve">A particular focus of the English Language Department within the </w:t>
      </w:r>
      <w:r>
        <w:rPr>
          <w:rtl w:val="0"/>
        </w:rPr>
        <w:t>‘</w:t>
      </w:r>
      <w:r>
        <w:rPr>
          <w:rtl w:val="0"/>
        </w:rPr>
        <w:t>Team around the family</w:t>
      </w:r>
      <w:r>
        <w:rPr>
          <w:rtl w:val="0"/>
        </w:rPr>
        <w:t xml:space="preserve">’ </w:t>
      </w:r>
      <w:r>
        <w:rPr>
          <w:rtl w:val="0"/>
        </w:rPr>
        <w:t>programme has been to establish a common literacy approach with its feeder primary schools so that a common literacy intervention measure can be established prior to transition from primary to secondary school. In addition, they evaluated the effectiveness of their existing inclusion and support services and ensure all staff understood how social and economic conditions affect school attendance, participation, and performance. (Estyn, 2016)</w:t>
      </w:r>
    </w:p>
    <w:p>
      <w:pPr>
        <w:pStyle w:val="Text body"/>
        <w:rPr>
          <w:rFonts w:ascii="Calibri" w:cs="Calibri" w:hAnsi="Calibri" w:eastAsia="Calibri"/>
          <w:b w:val="1"/>
          <w:bCs w:val="1"/>
        </w:rPr>
      </w:pPr>
      <w:r>
        <w:rPr>
          <w:rFonts w:ascii="Calibri" w:cs="Calibri" w:hAnsi="Calibri" w:eastAsia="Calibri"/>
          <w:b w:val="1"/>
          <w:bCs w:val="1"/>
          <w:rtl w:val="0"/>
          <w:lang w:val="en-US"/>
        </w:rPr>
        <w:t>Literary intervention</w:t>
      </w:r>
    </w:p>
    <w:p>
      <w:pPr>
        <w:pStyle w:val="Text body"/>
      </w:pPr>
      <w:r>
        <w:rPr>
          <w:rtl w:val="0"/>
        </w:rPr>
        <w:t>The school established a literacy intervention measure based on the well-known Accelerated Reader programme. Accelerated Reader is a commercial programme used by almost 6,000 schools across the UK and Ireland, operated and marketed by Renaissance. It provides a curated selection of books, fiction and non-fiction, supposedly graded according to Vygotsky</w:t>
      </w:r>
      <w:r>
        <w:rPr>
          <w:rtl w:val="0"/>
        </w:rPr>
        <w:t>’</w:t>
      </w:r>
      <w:r>
        <w:rPr>
          <w:rtl w:val="0"/>
        </w:rPr>
        <w:t>s Zone of Proximal Development. Each learners</w:t>
      </w:r>
      <w:r>
        <w:rPr>
          <w:rtl w:val="0"/>
        </w:rPr>
        <w:t xml:space="preserve">’ </w:t>
      </w:r>
      <w:r>
        <w:rPr>
          <w:rtl w:val="0"/>
        </w:rPr>
        <w:t>Zone of Proximal Development is approximated through an initial test prior to starting the programme. Students can only select books on the Accelerated Reader list and are only supposed to choose books from with their assigned Zone. After reading each book they answer some standardised computer-based multiple-choice comprehension questions. As students</w:t>
      </w:r>
      <w:r>
        <w:rPr>
          <w:rtl w:val="0"/>
        </w:rPr>
        <w:t xml:space="preserve">’ </w:t>
      </w:r>
      <w:r>
        <w:rPr>
          <w:rtl w:val="0"/>
        </w:rPr>
        <w:t>test scores pass certain thresholds they are promoted to successively higher Proximal Development Zones and are given access to more demanding books (Renaissance Learning, 2013a).</w:t>
      </w:r>
    </w:p>
    <w:p>
      <w:pPr>
        <w:pStyle w:val="Text body"/>
      </w:pPr>
      <w:r>
        <w:rPr>
          <w:rtl w:val="0"/>
        </w:rPr>
        <w:t xml:space="preserve">Some research studies claim that Accelerated Reader improves academic achievement and increases reading motivation; for example, statistically significant evidence has been reported by Paul et al. (1996) demonstrating that schools using Accelerated Reader had better test scores than control schools in the same socio-economic bracket that were not. They also reported that academic gains increased with time as did attendance rates, with the greatest benefit to academic performance being achieved in deprived urban areas. From this, Paul et al. (1996) concluded that there is </w:t>
      </w:r>
      <w:r>
        <w:rPr>
          <w:rtl w:val="0"/>
        </w:rPr>
        <w:t>‘</w:t>
      </w:r>
      <w:r>
        <w:rPr>
          <w:rtl w:val="0"/>
        </w:rPr>
        <w:t>compelling evidence that Accelerated Reader is an effective tool in stimulating increased reading, and that increased reading will lead to higher attendance rates and greater academic success.</w:t>
      </w:r>
      <w:r>
        <w:rPr>
          <w:rtl w:val="0"/>
        </w:rPr>
        <w:t>’</w:t>
      </w:r>
    </w:p>
    <w:p>
      <w:pPr>
        <w:pStyle w:val="Text body"/>
        <w:rPr>
          <w:rFonts w:ascii="Calibri" w:cs="Calibri" w:hAnsi="Calibri" w:eastAsia="Calibri"/>
          <w:b w:val="1"/>
          <w:bCs w:val="1"/>
        </w:rPr>
      </w:pPr>
      <w:r>
        <w:rPr>
          <w:rFonts w:ascii="Calibri" w:cs="Calibri" w:hAnsi="Calibri" w:eastAsia="Calibri"/>
          <w:b w:val="1"/>
          <w:bCs w:val="1"/>
          <w:rtl w:val="0"/>
          <w:lang w:val="en-US"/>
        </w:rPr>
        <w:t>Engagement and motivation</w:t>
      </w:r>
    </w:p>
    <w:p>
      <w:pPr>
        <w:pStyle w:val="Text body"/>
      </w:pPr>
      <w:r>
        <w:rPr>
          <w:rtl w:val="0"/>
        </w:rPr>
        <w:t>Motivation and engagement is maintained by respecting the delicate balance between praising achievements and moderated criticism where expected standards may have fallen (Estyn, 2016). Motivation is considered the most important factor in reading performance, surpassing ability, (Guthrie et. al., 1999 in Castillo and Bonilla, 2014, p69), as well as curricula design and even good quality teaching (Guilloteaux and D</w:t>
      </w:r>
      <w:r>
        <w:rPr>
          <w:rtl w:val="0"/>
        </w:rPr>
        <w:t>ö</w:t>
      </w:r>
      <w:r>
        <w:rPr>
          <w:rtl w:val="0"/>
        </w:rPr>
        <w:t xml:space="preserve">rnyei, 2008, in Castillo and Bonilla, 2014, p55-56). Two ways of increasing the motivation that are have proved effective are allowing pupils a choice of topics, and introducing reading strategies such as scanning, skimming and predicting. These strategies have been shown to help learners read faster and with less effort, while increasing their enjoyment of the subject matter (Castillo and Bonilla, 2014). </w:t>
      </w:r>
    </w:p>
    <w:p>
      <w:pPr>
        <w:pStyle w:val="Text body"/>
      </w:pPr>
    </w:p>
    <w:p>
      <w:pPr>
        <w:pStyle w:val="Text body"/>
        <w:rPr>
          <w:rFonts w:ascii="Calibri" w:cs="Calibri" w:hAnsi="Calibri" w:eastAsia="Calibri"/>
          <w:b w:val="1"/>
          <w:bCs w:val="1"/>
          <w:color w:val="000000"/>
          <w:u w:color="000000"/>
        </w:rPr>
      </w:pPr>
      <w:r>
        <w:rPr>
          <w:rFonts w:ascii="Calibri" w:cs="Calibri" w:hAnsi="Calibri" w:eastAsia="Calibri"/>
          <w:b w:val="1"/>
          <w:bCs w:val="1"/>
          <w:color w:val="000000"/>
          <w:u w:color="000000"/>
          <w:rtl w:val="0"/>
          <w:lang w:val="en-US"/>
        </w:rPr>
        <w:t>8.  A BRIEF COMMENT ON PROGRESS TO DATE</w:t>
      </w:r>
    </w:p>
    <w:p>
      <w:pPr>
        <w:pStyle w:val="Text body"/>
        <w:rPr>
          <w:rFonts w:ascii="Calibri" w:cs="Calibri" w:hAnsi="Calibri" w:eastAsia="Calibri"/>
          <w:b w:val="1"/>
          <w:bCs w:val="1"/>
        </w:rPr>
      </w:pPr>
      <w:r>
        <w:rPr>
          <w:rFonts w:ascii="Calibri" w:cs="Calibri" w:hAnsi="Calibri" w:eastAsia="Calibri"/>
          <w:b w:val="1"/>
          <w:bCs w:val="1"/>
          <w:rtl w:val="0"/>
          <w:lang w:val="en-US"/>
        </w:rPr>
        <w:t>Feeder school programmes</w:t>
      </w:r>
    </w:p>
    <w:p>
      <w:pPr>
        <w:pStyle w:val="Text body"/>
      </w:pPr>
      <w:r>
        <w:rPr>
          <w:rtl w:val="0"/>
        </w:rPr>
        <w:t xml:space="preserve">The strength of the </w:t>
      </w:r>
      <w:r>
        <w:rPr>
          <w:rtl w:val="0"/>
        </w:rPr>
        <w:t>‘</w:t>
      </w:r>
      <w:r>
        <w:rPr>
          <w:rtl w:val="0"/>
        </w:rPr>
        <w:t>Team around the family</w:t>
      </w:r>
      <w:r>
        <w:rPr>
          <w:rtl w:val="0"/>
        </w:rPr>
        <w:t xml:space="preserve">’ </w:t>
      </w:r>
      <w:r>
        <w:rPr>
          <w:rtl w:val="0"/>
        </w:rPr>
        <w:t>programme is that while previously learner problems were often dealt with in isolation; this programme has enabled all interested services and agencies to work together and to focus on learners</w:t>
      </w:r>
      <w:r>
        <w:rPr>
          <w:rtl w:val="0"/>
        </w:rPr>
        <w:t xml:space="preserve">’ </w:t>
      </w:r>
      <w:r>
        <w:rPr>
          <w:rtl w:val="0"/>
        </w:rPr>
        <w:t xml:space="preserve">needs. Progress and further intervention are monitored and initiated by the panel and the learner provided with ongoing support through the transition period and into secondary school (Estyn, 2013). </w:t>
      </w:r>
    </w:p>
    <w:p>
      <w:pPr>
        <w:pStyle w:val="Text body"/>
      </w:pPr>
      <w:r>
        <w:rPr>
          <w:rtl w:val="0"/>
        </w:rPr>
        <w:t xml:space="preserve">This has enabled learners eligible for free school meals with language and reading skills below their chronological age to be identified early. The </w:t>
      </w:r>
      <w:r>
        <w:rPr>
          <w:rtl w:val="0"/>
        </w:rPr>
        <w:t>‘</w:t>
      </w:r>
      <w:r>
        <w:rPr>
          <w:rtl w:val="0"/>
        </w:rPr>
        <w:t>Team around the family</w:t>
      </w:r>
      <w:r>
        <w:rPr>
          <w:rtl w:val="0"/>
        </w:rPr>
        <w:t xml:space="preserve">’ </w:t>
      </w:r>
      <w:r>
        <w:rPr>
          <w:rtl w:val="0"/>
        </w:rPr>
        <w:t>intervention programme has helped to narrow the attainment gap prior to transitioning to the school and the staff are already familiar with the personal circumstances and attainment level of each individual learner. This has ensured continuity of intervention and has resulted in raised attainment and performance of each new intake transitioning from the feeder schools and a reduction in multi-agency involvement (Estyn, 2013).</w:t>
      </w:r>
    </w:p>
    <w:p>
      <w:pPr>
        <w:pStyle w:val="Text body"/>
      </w:pPr>
      <w:r>
        <w:rPr>
          <w:rtl w:val="0"/>
        </w:rPr>
        <w:t xml:space="preserve">One distinct drawback of the Team around the family programme is disrupted continuity due to a high turnover of agency staff and poor communications with agencies resulting in frequently cancelled meetings and meetings scheduled without regard to school timetabling restrictions. The direct correlation between the number of agencies involved and the level of intervention offered means that learners with the most problems to address are also those that suffer the most disruption and delays in the programme (Estyn, 2013). </w:t>
      </w:r>
    </w:p>
    <w:p>
      <w:pPr>
        <w:pStyle w:val="Text body"/>
        <w:rPr>
          <w:rFonts w:ascii="Calibri" w:cs="Calibri" w:hAnsi="Calibri" w:eastAsia="Calibri"/>
          <w:b w:val="1"/>
          <w:bCs w:val="1"/>
        </w:rPr>
      </w:pPr>
      <w:r>
        <w:rPr>
          <w:rFonts w:ascii="Calibri" w:cs="Calibri" w:hAnsi="Calibri" w:eastAsia="Calibri"/>
          <w:b w:val="1"/>
          <w:bCs w:val="1"/>
          <w:rtl w:val="0"/>
          <w:lang w:val="en-US"/>
        </w:rPr>
        <w:t>Literary intervention</w:t>
      </w:r>
    </w:p>
    <w:p>
      <w:pPr>
        <w:pStyle w:val="Text body"/>
      </w:pPr>
      <w:r>
        <w:rPr>
          <w:rtl w:val="0"/>
        </w:rPr>
        <w:t xml:space="preserve">Literary intervention (including the use of Accelerated Reader) is one part of the tailored strategies to support children in the intervention programmes, with additional class support and individual mentoring sessions being available if required; however, there is no centralised co-ordination linking the various aspects together (Estyn, 2016). </w:t>
      </w:r>
    </w:p>
    <w:p>
      <w:pPr>
        <w:pStyle w:val="Text body"/>
      </w:pPr>
    </w:p>
    <w:p>
      <w:pPr>
        <w:pStyle w:val="Text body"/>
        <w:rPr>
          <w:rFonts w:ascii="Calibri" w:cs="Calibri" w:hAnsi="Calibri" w:eastAsia="Calibri"/>
          <w:b w:val="1"/>
          <w:bCs w:val="1"/>
          <w:color w:val="000000"/>
          <w:u w:color="000000"/>
        </w:rPr>
      </w:pPr>
      <w:r>
        <w:rPr>
          <w:rFonts w:ascii="Calibri" w:cs="Calibri" w:hAnsi="Calibri" w:eastAsia="Calibri"/>
          <w:b w:val="1"/>
          <w:bCs w:val="1"/>
          <w:color w:val="000000"/>
          <w:u w:color="000000"/>
          <w:rtl w:val="0"/>
          <w:lang w:val="en-US"/>
        </w:rPr>
        <w:t>9.  DISCUSSION</w:t>
      </w:r>
    </w:p>
    <w:p>
      <w:pPr>
        <w:pStyle w:val="Text body"/>
        <w:rPr>
          <w:rFonts w:ascii="Calibri" w:cs="Calibri" w:hAnsi="Calibri" w:eastAsia="Calibri"/>
          <w:b w:val="1"/>
          <w:bCs w:val="1"/>
        </w:rPr>
      </w:pPr>
      <w:r>
        <w:rPr>
          <w:rFonts w:ascii="Calibri" w:cs="Calibri" w:hAnsi="Calibri" w:eastAsia="Calibri"/>
          <w:b w:val="1"/>
          <w:bCs w:val="1"/>
          <w:rtl w:val="0"/>
          <w:lang w:val="en-US"/>
        </w:rPr>
        <w:t>Strategic planning and reform fatigue</w:t>
      </w:r>
    </w:p>
    <w:p>
      <w:pPr>
        <w:pStyle w:val="Text body"/>
      </w:pPr>
      <w:r>
        <w:rPr>
          <w:rtl w:val="0"/>
        </w:rPr>
        <w:t xml:space="preserve">It is axiomatic that for change to succeed, it has to progress beyond the strategic planning initiation phase, and for this a </w:t>
      </w:r>
      <w:r>
        <w:rPr>
          <w:rtl w:val="0"/>
        </w:rPr>
        <w:t>‘</w:t>
      </w:r>
      <w:r>
        <w:rPr>
          <w:rtl w:val="0"/>
        </w:rPr>
        <w:t>culture of enquiry, innovation and exploration</w:t>
      </w:r>
      <w:r>
        <w:rPr>
          <w:rtl w:val="0"/>
        </w:rPr>
        <w:t xml:space="preserve">’ </w:t>
      </w:r>
      <w:r>
        <w:rPr>
          <w:rtl w:val="0"/>
        </w:rPr>
        <w:t xml:space="preserve">is essential (OECD, 2018). Unfortunately, however, a </w:t>
      </w:r>
      <w:r>
        <w:rPr>
          <w:rtl w:val="0"/>
        </w:rPr>
        <w:t>‘</w:t>
      </w:r>
      <w:r>
        <w:rPr>
          <w:rtl w:val="0"/>
        </w:rPr>
        <w:t>significant proportion</w:t>
      </w:r>
      <w:r>
        <w:rPr>
          <w:rtl w:val="0"/>
        </w:rPr>
        <w:t xml:space="preserve">’ </w:t>
      </w:r>
      <w:r>
        <w:rPr>
          <w:rtl w:val="0"/>
        </w:rPr>
        <w:t xml:space="preserve">of schools in Wales, especially secondary schools, lack such a culture and staff are showing signs of resistance to change and innovation, a result, apparently, of </w:t>
      </w:r>
      <w:r>
        <w:rPr>
          <w:rtl w:val="0"/>
        </w:rPr>
        <w:t>‘</w:t>
      </w:r>
      <w:r>
        <w:rPr>
          <w:rtl w:val="0"/>
        </w:rPr>
        <w:t>reform fatigue</w:t>
      </w:r>
      <w:r>
        <w:rPr>
          <w:rtl w:val="0"/>
        </w:rPr>
        <w:t xml:space="preserve">’ </w:t>
      </w:r>
      <w:r>
        <w:rPr>
          <w:rtl w:val="0"/>
        </w:rPr>
        <w:t xml:space="preserve">and the </w:t>
      </w:r>
      <w:r>
        <w:rPr>
          <w:rtl w:val="0"/>
        </w:rPr>
        <w:t>‘</w:t>
      </w:r>
      <w:r>
        <w:rPr>
          <w:rtl w:val="0"/>
        </w:rPr>
        <w:t>high-stakes assessment, evaluation and accountability arrangements</w:t>
      </w:r>
      <w:r>
        <w:rPr>
          <w:rtl w:val="0"/>
        </w:rPr>
        <w:t xml:space="preserve">’ </w:t>
      </w:r>
      <w:r>
        <w:rPr>
          <w:rtl w:val="0"/>
        </w:rPr>
        <w:t xml:space="preserve">that have </w:t>
      </w:r>
      <w:r>
        <w:rPr>
          <w:rtl w:val="0"/>
        </w:rPr>
        <w:t>‘</w:t>
      </w:r>
      <w:r>
        <w:rPr>
          <w:rtl w:val="0"/>
        </w:rPr>
        <w:t>tempered</w:t>
      </w:r>
      <w:r>
        <w:rPr>
          <w:rtl w:val="0"/>
        </w:rPr>
        <w:t xml:space="preserve">’ </w:t>
      </w:r>
      <w:r>
        <w:rPr>
          <w:rtl w:val="0"/>
        </w:rPr>
        <w:t xml:space="preserve">their </w:t>
      </w:r>
      <w:r>
        <w:rPr>
          <w:rtl w:val="0"/>
        </w:rPr>
        <w:t>‘</w:t>
      </w:r>
      <w:r>
        <w:rPr>
          <w:rtl w:val="0"/>
        </w:rPr>
        <w:t>willingness and confidence</w:t>
      </w:r>
      <w:r>
        <w:rPr>
          <w:rtl w:val="0"/>
        </w:rPr>
        <w:t xml:space="preserve">’ </w:t>
      </w:r>
      <w:r>
        <w:rPr>
          <w:rtl w:val="0"/>
        </w:rPr>
        <w:t xml:space="preserve">(OECD, 2018, pp </w:t>
      </w:r>
      <w:r>
        <w:rPr>
          <w:color w:val="000000"/>
          <w:u w:color="000000"/>
          <w:rtl w:val="0"/>
          <w:lang w:val="en-US"/>
        </w:rPr>
        <w:t>8</w:t>
      </w:r>
      <w:r>
        <w:rPr>
          <w:rtl w:val="0"/>
        </w:rPr>
        <w:t xml:space="preserve">). </w:t>
      </w:r>
    </w:p>
    <w:p>
      <w:pPr>
        <w:pStyle w:val="Text body"/>
      </w:pPr>
      <w:r>
        <w:rPr>
          <w:rtl w:val="0"/>
        </w:rPr>
        <w:t>The negative energy implied by this reform fatigue, with its attendant loss of confidence and willingness to cooperate, is clearly the direct opposite of the requisite positive energy implied in Priority 2 of the Welsh Government</w:t>
      </w:r>
      <w:r>
        <w:rPr>
          <w:rtl w:val="0"/>
        </w:rPr>
        <w:t>’</w:t>
      </w:r>
      <w:r>
        <w:rPr>
          <w:rtl w:val="0"/>
        </w:rPr>
        <w:t xml:space="preserve">s </w:t>
      </w:r>
      <w:r>
        <w:rPr>
          <w:rtl w:val="0"/>
        </w:rPr>
        <w:t>‘</w:t>
      </w:r>
      <w:r>
        <w:rPr>
          <w:rtl w:val="0"/>
        </w:rPr>
        <w:t>Qualified for Life</w:t>
      </w:r>
      <w:r>
        <w:rPr>
          <w:rtl w:val="0"/>
        </w:rPr>
        <w:t xml:space="preserve">’ </w:t>
      </w:r>
      <w:r>
        <w:rPr>
          <w:rtl w:val="0"/>
        </w:rPr>
        <w:t>report (Welsh Government, 2014) that associates motivation and commitment with lifelong excellence in teaching, practice and expertise. The situation at present, according to Nicholas (2017) is that teachers teach to the test and unconsciously, value test performance rather than genuine learning (Harlen, 2003, in Nicholas, 2017).</w:t>
      </w:r>
    </w:p>
    <w:p>
      <w:pPr>
        <w:pStyle w:val="Text body"/>
        <w:rPr>
          <w:rFonts w:ascii="Calibri" w:cs="Calibri" w:hAnsi="Calibri" w:eastAsia="Calibri"/>
          <w:b w:val="1"/>
          <w:bCs w:val="1"/>
        </w:rPr>
      </w:pPr>
      <w:r>
        <w:rPr>
          <w:rFonts w:ascii="Calibri" w:cs="Calibri" w:hAnsi="Calibri" w:eastAsia="Calibri"/>
          <w:b w:val="1"/>
          <w:bCs w:val="1"/>
          <w:rtl w:val="0"/>
          <w:lang w:val="en-US"/>
        </w:rPr>
        <w:t>Feeder school programmes</w:t>
      </w:r>
    </w:p>
    <w:p>
      <w:pPr>
        <w:pStyle w:val="Text body"/>
      </w:pPr>
      <w:r>
        <w:rPr>
          <w:rtl w:val="0"/>
        </w:rPr>
        <w:t xml:space="preserve">It appears that socio-economic attainment gaps are pandemic. OECD data show a persistent and growing attainment gap between state and privately funded schools and between schools serving affluent areas and those located in economically and socially disadvantaged areas (OECD, 2010). Governments throughout the world have implemented a plethora of imaginative </w:t>
      </w:r>
      <w:r>
        <w:rPr>
          <w:rtl w:val="0"/>
        </w:rPr>
        <w:t>‘</w:t>
      </w:r>
      <w:r>
        <w:rPr>
          <w:rtl w:val="0"/>
        </w:rPr>
        <w:t>social justice and equity agendas</w:t>
      </w:r>
      <w:r>
        <w:rPr>
          <w:rtl w:val="0"/>
        </w:rPr>
        <w:t>’</w:t>
      </w:r>
      <w:r>
        <w:rPr>
          <w:rtl w:val="0"/>
        </w:rPr>
        <w:t xml:space="preserve">, but to no avail (Day, 2015). Day (2015) identified a number of measures, or </w:t>
      </w:r>
      <w:r>
        <w:rPr>
          <w:rtl w:val="0"/>
        </w:rPr>
        <w:t>‘</w:t>
      </w:r>
      <w:r>
        <w:rPr>
          <w:rtl w:val="0"/>
        </w:rPr>
        <w:t>key messages</w:t>
      </w:r>
      <w:r>
        <w:rPr>
          <w:rtl w:val="0"/>
        </w:rPr>
        <w:t>’</w:t>
      </w:r>
      <w:r>
        <w:rPr>
          <w:rtl w:val="0"/>
        </w:rPr>
        <w:t xml:space="preserve">, that have shown promising results. In the context of </w:t>
      </w:r>
      <w:r>
        <w:rPr>
          <w:rtl w:val="0"/>
        </w:rPr>
        <w:t>‘</w:t>
      </w:r>
      <w:r>
        <w:rPr>
          <w:rtl w:val="0"/>
        </w:rPr>
        <w:t>Team around the family</w:t>
      </w:r>
      <w:r>
        <w:rPr>
          <w:rtl w:val="0"/>
        </w:rPr>
        <w:t xml:space="preserve">’ </w:t>
      </w:r>
      <w:r>
        <w:rPr>
          <w:rtl w:val="0"/>
        </w:rPr>
        <w:t xml:space="preserve">type programmes, the key message is that systemic programmes of this kind have proven utility if they are provided over a sustained period. Such programmes are </w:t>
      </w:r>
      <w:r>
        <w:rPr>
          <w:rtl w:val="0"/>
        </w:rPr>
        <w:t>‘</w:t>
      </w:r>
      <w:r>
        <w:rPr>
          <w:rtl w:val="0"/>
        </w:rPr>
        <w:t>likely</w:t>
      </w:r>
      <w:r>
        <w:rPr>
          <w:rtl w:val="0"/>
        </w:rPr>
        <w:t xml:space="preserve">’ </w:t>
      </w:r>
      <w:r>
        <w:rPr>
          <w:rtl w:val="0"/>
        </w:rPr>
        <w:t xml:space="preserve">to have positive outcomes on behaviour and attendance, and these outcomes are then </w:t>
      </w:r>
      <w:r>
        <w:rPr>
          <w:rtl w:val="0"/>
        </w:rPr>
        <w:t>‘</w:t>
      </w:r>
      <w:r>
        <w:rPr>
          <w:rtl w:val="0"/>
        </w:rPr>
        <w:t>likely</w:t>
      </w:r>
      <w:r>
        <w:rPr>
          <w:rtl w:val="0"/>
        </w:rPr>
        <w:t xml:space="preserve">’ </w:t>
      </w:r>
      <w:r>
        <w:rPr>
          <w:rtl w:val="0"/>
        </w:rPr>
        <w:t xml:space="preserve">to have a knock-on effect on the attainment gap (Day, 2015, p39). However, apart from a chronic shortage of such programmes, there are two major caveats. The first is that these programmes work best if parents and the community are proactively involved at the strategic planning stage, and the second, which Day (2015) repeatedly emphasises from multiple perspectives, is that high-quality, continuing professional development is essential for all staff. </w:t>
      </w:r>
    </w:p>
    <w:p>
      <w:pPr>
        <w:pStyle w:val="Text body"/>
        <w:rPr>
          <w:rFonts w:ascii="Calibri" w:cs="Calibri" w:hAnsi="Calibri" w:eastAsia="Calibri"/>
          <w:b w:val="1"/>
          <w:bCs w:val="1"/>
        </w:rPr>
      </w:pPr>
      <w:r>
        <w:rPr>
          <w:rFonts w:ascii="Calibri" w:cs="Calibri" w:hAnsi="Calibri" w:eastAsia="Calibri"/>
          <w:b w:val="1"/>
          <w:bCs w:val="1"/>
          <w:rtl w:val="0"/>
          <w:lang w:val="en-US"/>
        </w:rPr>
        <w:t>Ability grouping</w:t>
      </w:r>
    </w:p>
    <w:p>
      <w:pPr>
        <w:pStyle w:val="Text body"/>
      </w:pPr>
      <w:r>
        <w:rPr>
          <w:rtl w:val="0"/>
        </w:rPr>
        <w:t>Nationally, streaming in English is practised in at least six out ten schools in Key Stage 3 and many more at Key Stage 4 in the lead up to the GCSE exams. English classes in the school are streamed according to level with higher level classes having around 32 pupils and lower streams having 20 pupils, reducing to ten or fewer by key stage 4. The reasons that policies and schools favour streams and sets are understandable in the context of increasing the efficiency and effectiveness of time- and resource-stressed teachers and classes as it enables lessons to be closely tailored to learners</w:t>
      </w:r>
      <w:r>
        <w:rPr>
          <w:rtl w:val="0"/>
        </w:rPr>
        <w:t xml:space="preserve">’ </w:t>
      </w:r>
      <w:r>
        <w:rPr>
          <w:rtl w:val="0"/>
        </w:rPr>
        <w:t xml:space="preserve">needs and whole-class teaching to be optimised (Hodgen, 2007). Further arguments for streaming include the </w:t>
      </w:r>
      <w:r>
        <w:rPr>
          <w:rtl w:val="0"/>
        </w:rPr>
        <w:t>‘</w:t>
      </w:r>
      <w:r>
        <w:rPr>
          <w:rtl w:val="0"/>
        </w:rPr>
        <w:t>widespread belief</w:t>
      </w:r>
      <w:r>
        <w:rPr>
          <w:rtl w:val="0"/>
        </w:rPr>
        <w:t xml:space="preserve">’ </w:t>
      </w:r>
      <w:r>
        <w:rPr>
          <w:rtl w:val="0"/>
        </w:rPr>
        <w:t xml:space="preserve">that mixed-ability classes cause underachievement (Sukhnandan and Lee 1998, in Hodgen, 2007) by holding back more able learners, while setting and streaming provides more opportunity to </w:t>
      </w:r>
      <w:r>
        <w:rPr>
          <w:rtl w:val="0"/>
        </w:rPr>
        <w:t>‘</w:t>
      </w:r>
      <w:r>
        <w:rPr>
          <w:rtl w:val="0"/>
        </w:rPr>
        <w:t>stretch</w:t>
      </w:r>
      <w:r>
        <w:rPr>
          <w:rtl w:val="0"/>
        </w:rPr>
        <w:t xml:space="preserve">’ </w:t>
      </w:r>
      <w:r>
        <w:rPr>
          <w:rtl w:val="0"/>
        </w:rPr>
        <w:t xml:space="preserve">them academically (Hodgen, 2007). </w:t>
      </w:r>
    </w:p>
    <w:p>
      <w:pPr>
        <w:pStyle w:val="Text body"/>
      </w:pPr>
      <w:r>
        <w:rPr>
          <w:rtl w:val="0"/>
        </w:rPr>
        <w:t xml:space="preserve">While some studies have reported that a few more-able learners do benefit from a </w:t>
      </w:r>
      <w:r>
        <w:rPr>
          <w:rtl w:val="0"/>
        </w:rPr>
        <w:t>‘</w:t>
      </w:r>
      <w:r>
        <w:rPr>
          <w:rtl w:val="0"/>
        </w:rPr>
        <w:t>small, statistically insignificant</w:t>
      </w:r>
      <w:r>
        <w:rPr>
          <w:rtl w:val="0"/>
        </w:rPr>
        <w:t xml:space="preserve">’ </w:t>
      </w:r>
      <w:r>
        <w:rPr>
          <w:rtl w:val="0"/>
        </w:rPr>
        <w:t xml:space="preserve">increase in attainment (Hodgen, 2007), setting and streaming is widely credited in the research literature as demotivating and a </w:t>
      </w:r>
      <w:r>
        <w:rPr>
          <w:rtl w:val="0"/>
        </w:rPr>
        <w:t>‘</w:t>
      </w:r>
      <w:r>
        <w:rPr>
          <w:rtl w:val="0"/>
        </w:rPr>
        <w:t>principal causes of underachievement</w:t>
      </w:r>
      <w:r>
        <w:rPr>
          <w:rtl w:val="0"/>
        </w:rPr>
        <w:t xml:space="preserve">’ </w:t>
      </w:r>
      <w:r>
        <w:rPr>
          <w:rtl w:val="0"/>
        </w:rPr>
        <w:t xml:space="preserve">(Gillborn and Youdell 2000, in Hodgen, 2007). Boaler et al. (2000, in Francis et al. 2017) reported that the difference in teaching styles between effective differentiated teaching in mixed ability groups and the much more limited style adopted for setted groups caused disaffection and demotivation among lower ability students. Overall, ability grouping results in demonstrable </w:t>
      </w:r>
      <w:r>
        <w:rPr>
          <w:rtl w:val="0"/>
        </w:rPr>
        <w:t>‘</w:t>
      </w:r>
      <w:r>
        <w:rPr>
          <w:rtl w:val="0"/>
        </w:rPr>
        <w:t>large, statistically significant</w:t>
      </w:r>
      <w:r>
        <w:rPr>
          <w:rtl w:val="0"/>
        </w:rPr>
        <w:t xml:space="preserve">’ </w:t>
      </w:r>
      <w:r>
        <w:rPr>
          <w:rtl w:val="0"/>
        </w:rPr>
        <w:t xml:space="preserve">decreases in attainment for lower achievers (Hodgen, 2007; Taylor et al., 2017) as they make </w:t>
      </w:r>
      <w:r>
        <w:rPr>
          <w:rtl w:val="0"/>
        </w:rPr>
        <w:t>‘</w:t>
      </w:r>
      <w:r>
        <w:rPr>
          <w:rtl w:val="0"/>
        </w:rPr>
        <w:t>slower cognitive progress</w:t>
      </w:r>
      <w:r>
        <w:rPr>
          <w:rtl w:val="0"/>
        </w:rPr>
        <w:t xml:space="preserve">’ </w:t>
      </w:r>
      <w:r>
        <w:rPr>
          <w:rtl w:val="0"/>
        </w:rPr>
        <w:t xml:space="preserve">than their peers in faster-paced sets (Henry 2015). </w:t>
      </w:r>
    </w:p>
    <w:p>
      <w:pPr>
        <w:pStyle w:val="Text body"/>
      </w:pPr>
      <w:r>
        <w:rPr>
          <w:rtl w:val="0"/>
        </w:rPr>
        <w:t>Some researchers found that sets are often initially created based around preconceptions of eFSM students</w:t>
      </w:r>
      <w:r>
        <w:rPr>
          <w:rtl w:val="0"/>
        </w:rPr>
        <w:t xml:space="preserve">’ </w:t>
      </w:r>
      <w:r>
        <w:rPr>
          <w:rtl w:val="0"/>
        </w:rPr>
        <w:t xml:space="preserve">abiilties (Dunne and Gazeley, 2008; Francis et al., </w:t>
      </w:r>
      <w:r>
        <w:rPr>
          <w:color w:val="000000"/>
          <w:u w:color="000000"/>
          <w:rtl w:val="0"/>
          <w:lang w:val="en-US"/>
        </w:rPr>
        <w:t>2017</w:t>
      </w:r>
      <w:r>
        <w:rPr>
          <w:rtl w:val="0"/>
        </w:rPr>
        <w:t xml:space="preserve">), after which differences in pedagogy, teacher expectations and pupil perceptions combine to produce a </w:t>
      </w:r>
      <w:r>
        <w:rPr>
          <w:rtl w:val="0"/>
        </w:rPr>
        <w:t>‘</w:t>
      </w:r>
      <w:r>
        <w:rPr>
          <w:rtl w:val="0"/>
        </w:rPr>
        <w:t>self-fulfilling prophecy</w:t>
      </w:r>
      <w:r>
        <w:rPr>
          <w:rtl w:val="0"/>
        </w:rPr>
        <w:t xml:space="preserve">’ </w:t>
      </w:r>
      <w:r>
        <w:rPr>
          <w:rtl w:val="0"/>
        </w:rPr>
        <w:t xml:space="preserve">as the establishment of sets </w:t>
      </w:r>
      <w:r>
        <w:rPr>
          <w:rtl w:val="0"/>
        </w:rPr>
        <w:t>‘</w:t>
      </w:r>
      <w:r>
        <w:rPr>
          <w:rtl w:val="0"/>
        </w:rPr>
        <w:t>labels</w:t>
      </w:r>
      <w:r>
        <w:rPr>
          <w:rtl w:val="0"/>
        </w:rPr>
        <w:t xml:space="preserve">’ </w:t>
      </w:r>
      <w:r>
        <w:rPr>
          <w:rtl w:val="0"/>
        </w:rPr>
        <w:t xml:space="preserve">learners, and the </w:t>
      </w:r>
      <w:r>
        <w:rPr>
          <w:rtl w:val="0"/>
        </w:rPr>
        <w:t>‘</w:t>
      </w:r>
      <w:r>
        <w:rPr>
          <w:rtl w:val="0"/>
        </w:rPr>
        <w:t>lack of fluidity</w:t>
      </w:r>
      <w:r>
        <w:rPr>
          <w:rtl w:val="0"/>
        </w:rPr>
        <w:t xml:space="preserve">’ </w:t>
      </w:r>
      <w:r>
        <w:rPr>
          <w:rtl w:val="0"/>
        </w:rPr>
        <w:t xml:space="preserve">between sets causes a </w:t>
      </w:r>
      <w:r>
        <w:rPr>
          <w:rtl w:val="0"/>
        </w:rPr>
        <w:t>‘</w:t>
      </w:r>
      <w:r>
        <w:rPr>
          <w:rtl w:val="0"/>
        </w:rPr>
        <w:t>polarization of students into pro- and anti-school factions</w:t>
      </w:r>
      <w:r>
        <w:rPr>
          <w:rtl w:val="0"/>
        </w:rPr>
        <w:t xml:space="preserve">’ </w:t>
      </w:r>
      <w:r>
        <w:rPr>
          <w:rtl w:val="0"/>
        </w:rPr>
        <w:t xml:space="preserve">with predictable consequences to educational attainment and the reinforcement of eFSM preconceptions (Francis et al., </w:t>
      </w:r>
      <w:r>
        <w:rPr>
          <w:color w:val="000000"/>
          <w:u w:color="000000"/>
          <w:rtl w:val="0"/>
          <w:lang w:val="en-US"/>
        </w:rPr>
        <w:t>2017</w:t>
      </w:r>
      <w:r>
        <w:rPr>
          <w:rtl w:val="0"/>
        </w:rPr>
        <w:t xml:space="preserve">). This </w:t>
      </w:r>
      <w:r>
        <w:rPr>
          <w:rtl w:val="0"/>
        </w:rPr>
        <w:t>‘</w:t>
      </w:r>
      <w:r>
        <w:rPr>
          <w:rtl w:val="0"/>
        </w:rPr>
        <w:t>vicious circle</w:t>
      </w:r>
      <w:r>
        <w:rPr>
          <w:rtl w:val="0"/>
        </w:rPr>
        <w:t xml:space="preserve">’ </w:t>
      </w:r>
      <w:r>
        <w:rPr>
          <w:rtl w:val="0"/>
        </w:rPr>
        <w:t xml:space="preserve">(Taylor et al., 2017) is exacerbated when resources are scarce, teachers are over-scheduled and performance accountability is strongly attainment based (Taylor et al., 2017). Taken together, these two effects mean that predominately eFSM stream- and set-based structures establish permanent attainment correlated socio-economic segregation within schools (Cassen &amp; Kingdon, 2007, in Francis et al., </w:t>
      </w:r>
      <w:r>
        <w:rPr>
          <w:color w:val="000000"/>
          <w:u w:color="000000"/>
          <w:rtl w:val="0"/>
          <w:lang w:val="en-US"/>
        </w:rPr>
        <w:t>2017</w:t>
      </w:r>
      <w:r>
        <w:rPr>
          <w:rtl w:val="0"/>
        </w:rPr>
        <w:t xml:space="preserve">), while having no proven benefit on academic attainment (Francis et al., </w:t>
      </w:r>
      <w:r>
        <w:rPr>
          <w:color w:val="000000"/>
          <w:u w:color="000000"/>
          <w:rtl w:val="0"/>
          <w:lang w:val="en-US"/>
        </w:rPr>
        <w:t>2017</w:t>
      </w:r>
      <w:r>
        <w:rPr>
          <w:rtl w:val="0"/>
        </w:rPr>
        <w:t>, Taylor et al., 2017).</w:t>
      </w:r>
    </w:p>
    <w:p>
      <w:pPr>
        <w:pStyle w:val="Text body"/>
        <w:rPr>
          <w:rFonts w:ascii="Calibri" w:cs="Calibri" w:hAnsi="Calibri" w:eastAsia="Calibri"/>
          <w:b w:val="1"/>
          <w:bCs w:val="1"/>
        </w:rPr>
      </w:pPr>
      <w:r>
        <w:rPr>
          <w:rFonts w:ascii="Calibri" w:cs="Calibri" w:hAnsi="Calibri" w:eastAsia="Calibri"/>
          <w:b w:val="1"/>
          <w:bCs w:val="1"/>
          <w:rtl w:val="0"/>
          <w:lang w:val="en-US"/>
        </w:rPr>
        <w:t>Literary intervention</w:t>
      </w:r>
    </w:p>
    <w:p>
      <w:pPr>
        <w:pStyle w:val="Text body"/>
      </w:pPr>
      <w:r>
        <w:rPr>
          <w:rtl w:val="0"/>
        </w:rPr>
        <w:t xml:space="preserve">Although Paul et al. (1996) found </w:t>
      </w:r>
      <w:r>
        <w:rPr>
          <w:rtl w:val="0"/>
        </w:rPr>
        <w:t>‘</w:t>
      </w:r>
      <w:r>
        <w:rPr>
          <w:rtl w:val="0"/>
        </w:rPr>
        <w:t>compelling evidence</w:t>
      </w:r>
      <w:r>
        <w:rPr>
          <w:rtl w:val="0"/>
        </w:rPr>
        <w:t xml:space="preserve">’ </w:t>
      </w:r>
      <w:r>
        <w:rPr>
          <w:rtl w:val="0"/>
        </w:rPr>
        <w:t xml:space="preserve">about the benefits of Accelerated Reader as an </w:t>
      </w:r>
      <w:r>
        <w:rPr>
          <w:rtl w:val="0"/>
        </w:rPr>
        <w:t>‘</w:t>
      </w:r>
      <w:r>
        <w:rPr>
          <w:rtl w:val="0"/>
        </w:rPr>
        <w:t>effective tool in stimulating increased reading</w:t>
      </w:r>
      <w:r>
        <w:rPr>
          <w:rtl w:val="0"/>
        </w:rPr>
        <w:t>’</w:t>
      </w:r>
      <w:r>
        <w:rPr>
          <w:rtl w:val="0"/>
        </w:rPr>
        <w:t xml:space="preserve">, and the Renaissance website claims </w:t>
      </w:r>
      <w:r>
        <w:rPr>
          <w:rtl w:val="0"/>
        </w:rPr>
        <w:t>‘</w:t>
      </w:r>
      <w:r>
        <w:rPr>
          <w:rtl w:val="0"/>
        </w:rPr>
        <w:t>180+ peer reviewed articles</w:t>
      </w:r>
      <w:r>
        <w:rPr>
          <w:rtl w:val="0"/>
        </w:rPr>
        <w:t xml:space="preserve">’ </w:t>
      </w:r>
      <w:r>
        <w:rPr>
          <w:rtl w:val="0"/>
        </w:rPr>
        <w:t>(Renaissance Learning, undated) other researchers have questioned the rigour of some of the papers (Biggers, 2001), and have reported quite different findings and arrived at quite different conclusions.</w:t>
      </w:r>
    </w:p>
    <w:p>
      <w:pPr>
        <w:pStyle w:val="Text body"/>
      </w:pPr>
      <w:r>
        <w:rPr>
          <w:rtl w:val="0"/>
        </w:rPr>
        <w:t xml:space="preserve">Boone (2017), for example, concluded that although Accelerated Reader increased the amount of time students spent reading, there was no statistically significant benefit to using it. Krashen (2002, in Thompson et al. 2008) suggested that observed benefits of Accelerated Reader are due to students having directed access to a wider range of books and time in which to read them. Thompson et al. (2008) reported that Accelerated Reader had </w:t>
      </w:r>
      <w:r>
        <w:rPr>
          <w:rtl w:val="0"/>
        </w:rPr>
        <w:t>‘</w:t>
      </w:r>
      <w:r>
        <w:rPr>
          <w:rtl w:val="0"/>
        </w:rPr>
        <w:t>actually turned some former book lovers into discouraged readers</w:t>
      </w:r>
      <w:r>
        <w:rPr>
          <w:rtl w:val="0"/>
        </w:rPr>
        <w:t>’</w:t>
      </w:r>
      <w:r>
        <w:rPr>
          <w:rtl w:val="0"/>
        </w:rPr>
        <w:t xml:space="preserve">; worrying about what they might have to remember for the test and disliking </w:t>
      </w:r>
      <w:r>
        <w:rPr>
          <w:rtl w:val="0"/>
        </w:rPr>
        <w:t>‘</w:t>
      </w:r>
      <w:r>
        <w:rPr>
          <w:rtl w:val="0"/>
        </w:rPr>
        <w:t>being forced to read</w:t>
      </w:r>
      <w:r>
        <w:rPr>
          <w:rtl w:val="0"/>
        </w:rPr>
        <w:t xml:space="preserve">’ </w:t>
      </w:r>
      <w:r>
        <w:rPr>
          <w:rtl w:val="0"/>
        </w:rPr>
        <w:t>were among the reasons given for reading no longer being fun.</w:t>
      </w:r>
    </w:p>
    <w:p>
      <w:pPr>
        <w:pStyle w:val="Text body"/>
      </w:pPr>
      <w:r>
        <w:rPr>
          <w:rtl w:val="0"/>
        </w:rPr>
        <w:t>Biggers (2001) rejected the validity or the Accelerated Reader tests as they are multiple-choice tests with no oral reading comprehension component or observations about a student</w:t>
      </w:r>
      <w:r>
        <w:rPr>
          <w:rtl w:val="0"/>
        </w:rPr>
        <w:t>’</w:t>
      </w:r>
      <w:r>
        <w:rPr>
          <w:rtl w:val="0"/>
        </w:rPr>
        <w:t>s reading. As such, they cannot, as claimed, accurately assess a student</w:t>
      </w:r>
      <w:r>
        <w:rPr>
          <w:rtl w:val="0"/>
        </w:rPr>
        <w:t>’</w:t>
      </w:r>
      <w:r>
        <w:rPr>
          <w:rtl w:val="0"/>
        </w:rPr>
        <w:t xml:space="preserve">s strengths and weaknesses, nor can they be used to prescribe necessary remedial actions. The tests give a grade equivalent that is claimed to generate an approximate Zone of Proximal Development; however, Lev Vygotsky, who originated the Zone of Proximal Development concept (Vygotsky, 1978, in Biggers, 2001), refuted the use of standardised tests to assess reading or to determine what a child is capable of doing (Biggers, 2001). Furthermore, Vygotsky defined the Zone of Proximal Development as a </w:t>
      </w:r>
      <w:r>
        <w:rPr>
          <w:rtl w:val="0"/>
        </w:rPr>
        <w:t>‘</w:t>
      </w:r>
      <w:r>
        <w:rPr>
          <w:rtl w:val="0"/>
        </w:rPr>
        <w:t>dynamic continuum of independent and assisted abilities</w:t>
      </w:r>
      <w:r>
        <w:rPr>
          <w:rtl w:val="0"/>
        </w:rPr>
        <w:t xml:space="preserve">’ </w:t>
      </w:r>
      <w:r>
        <w:rPr>
          <w:rtl w:val="0"/>
        </w:rPr>
        <w:t xml:space="preserve">(Biggers, 2001, p. 72) not as a banded measure of reading skills. Groce and Groce (2005) conclude that </w:t>
      </w:r>
      <w:r>
        <w:rPr>
          <w:rtl w:val="0"/>
        </w:rPr>
        <w:t>‘</w:t>
      </w:r>
      <w:r>
        <w:rPr>
          <w:rtl w:val="0"/>
        </w:rPr>
        <w:t>The consequence of such invalid assessment instruments is the misinformation to parents and teachers regarding the reading abilities or even reading potential for their children.</w:t>
      </w:r>
      <w:r>
        <w:rPr>
          <w:rtl w:val="0"/>
        </w:rPr>
        <w:t>’</w:t>
      </w:r>
    </w:p>
    <w:p>
      <w:pPr>
        <w:pStyle w:val="Text body"/>
        <w:rPr>
          <w:color w:val="000080"/>
          <w:u w:color="000080"/>
        </w:rPr>
      </w:pPr>
      <w:r>
        <w:rPr>
          <w:rtl w:val="0"/>
        </w:rPr>
        <w:t>Biggers (2001) also noted that Terrance Paul, the lead author in Paul et al. (1996) and other papers, together with his wife Judith, are the creators of Accelerated Reader and owners of Renaissance.</w:t>
      </w:r>
    </w:p>
    <w:p>
      <w:pPr>
        <w:pStyle w:val="Text body"/>
      </w:pPr>
    </w:p>
    <w:p>
      <w:pPr>
        <w:pStyle w:val="Text body"/>
        <w:rPr>
          <w:rFonts w:ascii="Calibri" w:cs="Calibri" w:hAnsi="Calibri" w:eastAsia="Calibri"/>
          <w:b w:val="1"/>
          <w:bCs w:val="1"/>
          <w:color w:val="000000"/>
          <w:u w:color="000000"/>
        </w:rPr>
      </w:pPr>
      <w:r>
        <w:rPr>
          <w:rFonts w:ascii="Calibri" w:cs="Calibri" w:hAnsi="Calibri" w:eastAsia="Calibri"/>
          <w:b w:val="1"/>
          <w:bCs w:val="1"/>
          <w:color w:val="000000"/>
          <w:u w:color="000000"/>
          <w:rtl w:val="0"/>
          <w:lang w:val="en-US"/>
        </w:rPr>
        <w:t>10. RECOMMENDATIONS</w:t>
      </w:r>
    </w:p>
    <w:p>
      <w:pPr>
        <w:pStyle w:val="Text body"/>
        <w:rPr>
          <w:rFonts w:ascii="Calibri" w:cs="Calibri" w:hAnsi="Calibri" w:eastAsia="Calibri"/>
          <w:b w:val="1"/>
          <w:bCs w:val="1"/>
        </w:rPr>
      </w:pPr>
      <w:r>
        <w:rPr>
          <w:rFonts w:ascii="Calibri" w:cs="Calibri" w:hAnsi="Calibri" w:eastAsia="Calibri"/>
          <w:b w:val="1"/>
          <w:bCs w:val="1"/>
          <w:rtl w:val="0"/>
          <w:lang w:val="en-US"/>
        </w:rPr>
        <w:t>Recommendation 1</w:t>
      </w:r>
    </w:p>
    <w:p>
      <w:pPr>
        <w:pStyle w:val="Text body"/>
      </w:pPr>
      <w:r>
        <w:rPr>
          <w:rFonts w:ascii="Calibri" w:cs="Calibri" w:hAnsi="Calibri" w:eastAsia="Calibri"/>
          <w:i w:val="1"/>
          <w:iCs w:val="1"/>
          <w:rtl w:val="0"/>
          <w:lang w:val="en-US"/>
        </w:rPr>
        <w:t>In addition to continuing assessed reading where appropriate, the enjoyment of reading should be fostered by allowing eFSM readers in particular, time to read without the ubiquitous pressure of tests.</w:t>
      </w:r>
    </w:p>
    <w:p>
      <w:pPr>
        <w:pStyle w:val="Text body"/>
      </w:pPr>
      <w:r>
        <w:rPr>
          <w:rtl w:val="0"/>
        </w:rPr>
        <w:t xml:space="preserve">Stefl-Mabry (2005) feels that Accelerated Reader is basically a form of sustained silent reading with a high-quality record-keeping component tacked on to make life easier for teachers (see for example, Renaissance Learning, 2013b). However, Stefl-Mabry (2005) feels an over-emphasis on the administrative side of Accelerated Reader has corrupted its utility. She asserts that the </w:t>
      </w:r>
      <w:r>
        <w:rPr>
          <w:rtl w:val="0"/>
        </w:rPr>
        <w:t>‘</w:t>
      </w:r>
      <w:r>
        <w:rPr>
          <w:rtl w:val="0"/>
        </w:rPr>
        <w:t>reading crisis</w:t>
      </w:r>
      <w:r>
        <w:rPr>
          <w:rtl w:val="0"/>
        </w:rPr>
        <w:t xml:space="preserve">’ </w:t>
      </w:r>
      <w:r>
        <w:rPr>
          <w:rtl w:val="0"/>
        </w:rPr>
        <w:t xml:space="preserve">cannot be solved by funding a </w:t>
      </w:r>
      <w:r>
        <w:rPr>
          <w:rtl w:val="0"/>
        </w:rPr>
        <w:t>‘</w:t>
      </w:r>
      <w:r>
        <w:rPr>
          <w:rtl w:val="0"/>
        </w:rPr>
        <w:t>technological book-keeping solution</w:t>
      </w:r>
      <w:r>
        <w:rPr>
          <w:rtl w:val="0"/>
        </w:rPr>
        <w:t xml:space="preserve">’ </w:t>
      </w:r>
      <w:r>
        <w:rPr>
          <w:rtl w:val="0"/>
        </w:rPr>
        <w:t xml:space="preserve">but by allowing teachers and students ample time to read without the pressures of record keeping and testing, but teachers </w:t>
      </w:r>
      <w:r>
        <w:rPr>
          <w:rtl w:val="0"/>
        </w:rPr>
        <w:t>‘</w:t>
      </w:r>
      <w:r>
        <w:rPr>
          <w:rtl w:val="0"/>
        </w:rPr>
        <w:t>feel uncomfortable when students are allowed to just read</w:t>
      </w:r>
      <w:r>
        <w:rPr>
          <w:rtl w:val="0"/>
        </w:rPr>
        <w:t xml:space="preserve">’ </w:t>
      </w:r>
      <w:r>
        <w:rPr>
          <w:rtl w:val="0"/>
        </w:rPr>
        <w:t xml:space="preserve">(Stefl-Mabry, 2005). </w:t>
      </w:r>
    </w:p>
    <w:p>
      <w:pPr>
        <w:pStyle w:val="Text body"/>
        <w:rPr>
          <w:rFonts w:ascii="Calibri" w:cs="Calibri" w:hAnsi="Calibri" w:eastAsia="Calibri"/>
          <w:b w:val="1"/>
          <w:bCs w:val="1"/>
        </w:rPr>
      </w:pPr>
      <w:r>
        <w:rPr>
          <w:rFonts w:ascii="Calibri" w:cs="Calibri" w:hAnsi="Calibri" w:eastAsia="Calibri"/>
          <w:b w:val="1"/>
          <w:bCs w:val="1"/>
          <w:rtl w:val="0"/>
          <w:lang w:val="en-US"/>
        </w:rPr>
        <w:t>Recommendation 2</w:t>
      </w:r>
    </w:p>
    <w:p>
      <w:pPr>
        <w:pStyle w:val="Text body"/>
      </w:pPr>
      <w:r>
        <w:rPr>
          <w:rFonts w:ascii="Calibri" w:cs="Calibri" w:hAnsi="Calibri" w:eastAsia="Calibri"/>
          <w:i w:val="1"/>
          <w:iCs w:val="1"/>
          <w:rtl w:val="0"/>
          <w:lang w:val="en-US"/>
        </w:rPr>
        <w:t>Additional time for teachers to interact and raise the motivation of eFSM readers is required.</w:t>
      </w:r>
    </w:p>
    <w:p>
      <w:pPr>
        <w:pStyle w:val="Text body"/>
      </w:pPr>
      <w:r>
        <w:rPr>
          <w:rtl w:val="0"/>
        </w:rPr>
        <w:t xml:space="preserve">In addition to access to books and time in which to read, the single most important ingredient is the active participation of teachers (Stefl-Mabry, 2005). Neither additional reading time nor the use of reading technologies compensated for concentrating on motivation and engagement (Baye et al., 2018). Teachers need to employ use a range of motivational strategies to excite students and keep them engaged; educational software programmes simply cannot compete with experienced teachers and librarians (Lance, 2002, in Stefl-Mabry, 2005). </w:t>
      </w:r>
    </w:p>
    <w:p>
      <w:pPr>
        <w:pStyle w:val="Text body"/>
      </w:pPr>
    </w:p>
    <w:p>
      <w:pPr>
        <w:pStyle w:val="Text body"/>
        <w:rPr>
          <w:rFonts w:ascii="Calibri" w:cs="Calibri" w:hAnsi="Calibri" w:eastAsia="Calibri"/>
          <w:b w:val="1"/>
          <w:bCs w:val="1"/>
        </w:rPr>
      </w:pPr>
      <w:r>
        <w:rPr>
          <w:rFonts w:ascii="Calibri" w:cs="Calibri" w:hAnsi="Calibri" w:eastAsia="Calibri"/>
          <w:b w:val="1"/>
          <w:bCs w:val="1"/>
          <w:rtl w:val="0"/>
          <w:lang w:val="en-US"/>
        </w:rPr>
        <w:t>Recommendation 3</w:t>
      </w:r>
    </w:p>
    <w:p>
      <w:pPr>
        <w:pStyle w:val="Text body"/>
        <w:rPr>
          <w:rFonts w:ascii="Calibri" w:cs="Calibri" w:hAnsi="Calibri" w:eastAsia="Calibri"/>
          <w:i w:val="1"/>
          <w:iCs w:val="1"/>
        </w:rPr>
      </w:pPr>
      <w:r>
        <w:rPr>
          <w:rFonts w:ascii="Calibri" w:cs="Calibri" w:hAnsi="Calibri" w:eastAsia="Calibri"/>
          <w:i w:val="1"/>
          <w:iCs w:val="1"/>
          <w:rtl w:val="0"/>
          <w:lang w:val="en-US"/>
        </w:rPr>
        <w:t>Additional time is required for teachers to plan quality lessons encompassing the differentiated needs of eFSM pupils.</w:t>
      </w:r>
    </w:p>
    <w:p>
      <w:pPr>
        <w:pStyle w:val="Text body"/>
      </w:pPr>
      <w:r>
        <w:rPr>
          <w:rtl w:val="0"/>
        </w:rPr>
        <w:t>The challenge once learners have begun to be motivated is to maintain the motivation. One of the surest ways to lose motivation is to cause them to lose interest. Despite large class sizes, teachers have to be aware of each learner</w:t>
      </w:r>
      <w:r>
        <w:rPr>
          <w:rtl w:val="0"/>
        </w:rPr>
        <w:t>’</w:t>
      </w:r>
      <w:r>
        <w:rPr>
          <w:rtl w:val="0"/>
        </w:rPr>
        <w:t xml:space="preserve">s progress and plan their lessons so that none lose interest. This requires a fine balance between too easy and too hard, what Duckworth (1987) terms </w:t>
      </w:r>
      <w:r>
        <w:rPr>
          <w:rtl w:val="0"/>
        </w:rPr>
        <w:t>‘</w:t>
      </w:r>
      <w:r>
        <w:rPr>
          <w:rtl w:val="0"/>
        </w:rPr>
        <w:t>just manageable</w:t>
      </w:r>
      <w:r>
        <w:rPr>
          <w:rtl w:val="0"/>
        </w:rPr>
        <w:t>’</w:t>
      </w:r>
      <w:r>
        <w:rPr>
          <w:rtl w:val="0"/>
        </w:rPr>
        <w:t xml:space="preserve">, and which Donovan et al. (1999, p20) interpret as </w:t>
      </w:r>
      <w:r>
        <w:rPr>
          <w:rtl w:val="0"/>
        </w:rPr>
        <w:t>‘</w:t>
      </w:r>
      <w:r>
        <w:rPr>
          <w:rtl w:val="0"/>
        </w:rPr>
        <w:t>challenging enough to maintain engagement, but not so difficult as to lead to discouragement</w:t>
      </w:r>
      <w:r>
        <w:rPr>
          <w:rtl w:val="0"/>
        </w:rPr>
        <w:t>’</w:t>
      </w:r>
      <w:r>
        <w:rPr>
          <w:rtl w:val="0"/>
        </w:rPr>
        <w:t xml:space="preserve">. </w:t>
      </w:r>
    </w:p>
    <w:p>
      <w:pPr>
        <w:pStyle w:val="Text body"/>
        <w:rPr>
          <w:rFonts w:ascii="Calibri" w:cs="Calibri" w:hAnsi="Calibri" w:eastAsia="Calibri"/>
          <w:b w:val="1"/>
          <w:bCs w:val="1"/>
        </w:rPr>
      </w:pPr>
      <w:r>
        <w:rPr>
          <w:rFonts w:ascii="Calibri" w:cs="Calibri" w:hAnsi="Calibri" w:eastAsia="Calibri"/>
          <w:b w:val="1"/>
          <w:bCs w:val="1"/>
          <w:rtl w:val="0"/>
          <w:lang w:val="en-US"/>
        </w:rPr>
        <w:t>Recommendation 4</w:t>
      </w:r>
    </w:p>
    <w:p>
      <w:pPr>
        <w:pStyle w:val="Text body"/>
        <w:rPr>
          <w:rFonts w:ascii="Calibri" w:cs="Calibri" w:hAnsi="Calibri" w:eastAsia="Calibri"/>
          <w:i w:val="1"/>
          <w:iCs w:val="1"/>
        </w:rPr>
      </w:pPr>
      <w:r>
        <w:rPr>
          <w:rFonts w:ascii="Calibri" w:cs="Calibri" w:hAnsi="Calibri" w:eastAsia="Calibri"/>
          <w:i w:val="1"/>
          <w:iCs w:val="1"/>
          <w:rtl w:val="0"/>
          <w:lang w:val="en-US"/>
        </w:rPr>
        <w:t>Matching pupils</w:t>
      </w:r>
      <w:r>
        <w:rPr>
          <w:rFonts w:ascii="Calibri" w:cs="Calibri" w:hAnsi="Calibri" w:eastAsia="Calibri"/>
          <w:i w:val="1"/>
          <w:iCs w:val="1"/>
          <w:rtl w:val="0"/>
          <w:lang w:val="en-US"/>
        </w:rPr>
        <w:t xml:space="preserve">’ </w:t>
      </w:r>
      <w:r>
        <w:rPr>
          <w:rFonts w:ascii="Calibri" w:cs="Calibri" w:hAnsi="Calibri" w:eastAsia="Calibri"/>
          <w:i w:val="1"/>
          <w:iCs w:val="1"/>
          <w:rtl w:val="0"/>
          <w:lang w:val="en-US"/>
        </w:rPr>
        <w:t>needs to staff skill sets more deliberately rather than the fall-back solution of generalised intervention staff.</w:t>
      </w:r>
    </w:p>
    <w:p>
      <w:pPr>
        <w:pStyle w:val="Text body"/>
      </w:pPr>
      <w:r>
        <w:rPr>
          <w:rtl w:val="0"/>
        </w:rPr>
        <w:t xml:space="preserve">Apart from high-quality teaching of an inclusive curriculum, all the other most effective methods of closing the socio-economic attainment gap involve raising the achievement of low-achievers by preferentially redeploying resources and teachers away from high-ability students to one-on-one and group intervention classes of their lower-ability peers (Demie and Mclean, 2015). </w:t>
      </w:r>
    </w:p>
    <w:p>
      <w:pPr>
        <w:pStyle w:val="Text body"/>
        <w:rPr>
          <w:rFonts w:ascii="Calibri" w:cs="Calibri" w:hAnsi="Calibri" w:eastAsia="Calibri"/>
          <w:b w:val="1"/>
          <w:bCs w:val="1"/>
        </w:rPr>
      </w:pPr>
      <w:r>
        <w:rPr>
          <w:rFonts w:ascii="Calibri" w:cs="Calibri" w:hAnsi="Calibri" w:eastAsia="Calibri"/>
          <w:b w:val="1"/>
          <w:bCs w:val="1"/>
          <w:rtl w:val="0"/>
          <w:lang w:val="en-US"/>
        </w:rPr>
        <w:t>Recommendation 5</w:t>
      </w:r>
    </w:p>
    <w:p>
      <w:pPr>
        <w:pStyle w:val="Text body"/>
      </w:pPr>
      <w:r>
        <w:rPr>
          <w:rFonts w:ascii="Calibri" w:cs="Calibri" w:hAnsi="Calibri" w:eastAsia="Calibri"/>
          <w:i w:val="1"/>
          <w:iCs w:val="1"/>
          <w:rtl w:val="0"/>
          <w:lang w:val="en-US"/>
        </w:rPr>
        <w:t xml:space="preserve">The school should allocate additional time to forge closer links with feeder schools in the </w:t>
      </w:r>
      <w:r>
        <w:rPr>
          <w:rFonts w:ascii="Calibri" w:cs="Calibri" w:hAnsi="Calibri" w:eastAsia="Calibri"/>
          <w:i w:val="1"/>
          <w:iCs w:val="1"/>
          <w:rtl w:val="0"/>
          <w:lang w:val="en-US"/>
        </w:rPr>
        <w:t>‘</w:t>
      </w:r>
      <w:r>
        <w:rPr>
          <w:rFonts w:ascii="Calibri" w:cs="Calibri" w:hAnsi="Calibri" w:eastAsia="Calibri"/>
          <w:i w:val="1"/>
          <w:iCs w:val="1"/>
          <w:rtl w:val="0"/>
          <w:lang w:val="en-US"/>
        </w:rPr>
        <w:t>Team around the family</w:t>
      </w:r>
      <w:r>
        <w:rPr>
          <w:rFonts w:ascii="Calibri" w:cs="Calibri" w:hAnsi="Calibri" w:eastAsia="Calibri"/>
          <w:i w:val="1"/>
          <w:iCs w:val="1"/>
          <w:rtl w:val="0"/>
          <w:lang w:val="en-US"/>
        </w:rPr>
        <w:t xml:space="preserve">’ </w:t>
      </w:r>
      <w:r>
        <w:rPr>
          <w:rFonts w:ascii="Calibri" w:cs="Calibri" w:hAnsi="Calibri" w:eastAsia="Calibri"/>
          <w:i w:val="1"/>
          <w:iCs w:val="1"/>
          <w:rtl w:val="0"/>
          <w:lang w:val="en-US"/>
        </w:rPr>
        <w:t>programme.</w:t>
      </w:r>
    </w:p>
    <w:p>
      <w:pPr>
        <w:pStyle w:val="Text body"/>
      </w:pPr>
      <w:r>
        <w:rPr>
          <w:rtl w:val="0"/>
        </w:rPr>
        <w:t xml:space="preserve">The socio-economic attainment gap is already established at the intake to secondary school and if reading intervention begins at primary school, it will substantially raise overall attainment levels and mitigate many of the detrimental effects of low socio-economic backgrounds prior to entry to secondary school (Ivkin et al., 2005). </w:t>
      </w:r>
    </w:p>
    <w:p>
      <w:pPr>
        <w:pStyle w:val="Text body"/>
        <w:rPr>
          <w:rFonts w:ascii="Calibri" w:cs="Calibri" w:hAnsi="Calibri" w:eastAsia="Calibri"/>
          <w:b w:val="1"/>
          <w:bCs w:val="1"/>
        </w:rPr>
      </w:pPr>
      <w:r>
        <w:rPr>
          <w:rFonts w:ascii="Calibri" w:cs="Calibri" w:hAnsi="Calibri" w:eastAsia="Calibri"/>
          <w:b w:val="1"/>
          <w:bCs w:val="1"/>
          <w:rtl w:val="0"/>
          <w:lang w:val="en-US"/>
        </w:rPr>
        <w:t>Recommendation 6</w:t>
      </w:r>
    </w:p>
    <w:p>
      <w:pPr>
        <w:pStyle w:val="Text body"/>
        <w:rPr>
          <w:rFonts w:ascii="Calibri" w:cs="Calibri" w:hAnsi="Calibri" w:eastAsia="Calibri"/>
          <w:i w:val="1"/>
          <w:iCs w:val="1"/>
        </w:rPr>
      </w:pPr>
      <w:r>
        <w:rPr>
          <w:rFonts w:ascii="Calibri" w:cs="Calibri" w:hAnsi="Calibri" w:eastAsia="Calibri"/>
          <w:i w:val="1"/>
          <w:iCs w:val="1"/>
          <w:rtl w:val="0"/>
          <w:lang w:val="en-US"/>
        </w:rPr>
        <w:t xml:space="preserve">The school should continue to offer all staff opportunities and time for high-quality </w:t>
      </w:r>
      <w:r>
        <w:rPr>
          <w:rtl w:val="0"/>
        </w:rPr>
        <w:t>continuing professional development</w:t>
      </w:r>
      <w:r>
        <w:rPr>
          <w:rFonts w:ascii="Calibri" w:cs="Calibri" w:hAnsi="Calibri" w:eastAsia="Calibri"/>
          <w:i w:val="1"/>
          <w:iCs w:val="1"/>
          <w:rtl w:val="0"/>
          <w:lang w:val="en-US"/>
        </w:rPr>
        <w:t>.</w:t>
      </w:r>
    </w:p>
    <w:p>
      <w:pPr>
        <w:pStyle w:val="Text body"/>
      </w:pPr>
      <w:r>
        <w:rPr>
          <w:rtl w:val="0"/>
        </w:rPr>
        <w:t xml:space="preserve">Teacher effectiveness is the main determiner of school quality and the greatest booster of attainment (Ivkin et al., 2005), but a characteristic of schools serving disadvantaged communities is high teacher turnover and slow recruitment; even well-funded schools in disadvantaged areas appear to have difficulty recruiting and retaining experienced teachers (Allen et al., 2016). In addition, the emotional challenges of dealing with demotivated eFSM children combined with attainment-based accountability standards, means teaching in such schools may be somewhat disagreeable, hence the desire to move to a less challenging school (Allen et al., 2016). The correlation between continuing professional development and teacher effectiveness, well-being, commitment and retention appears undisputed, as does the converse link between low attainment and limited opportunities for continuing professional development (Day, 2015). </w:t>
      </w:r>
    </w:p>
    <w:p>
      <w:pPr>
        <w:pStyle w:val="Text body"/>
        <w:rPr>
          <w:rFonts w:ascii="Calibri" w:cs="Calibri" w:hAnsi="Calibri" w:eastAsia="Calibri"/>
          <w:b w:val="1"/>
          <w:bCs w:val="1"/>
        </w:rPr>
      </w:pPr>
      <w:r>
        <w:rPr>
          <w:rFonts w:ascii="Calibri" w:cs="Calibri" w:hAnsi="Calibri" w:eastAsia="Calibri"/>
          <w:b w:val="1"/>
          <w:bCs w:val="1"/>
          <w:rtl w:val="0"/>
          <w:lang w:val="en-US"/>
        </w:rPr>
        <w:t>Recommendation 7</w:t>
      </w:r>
    </w:p>
    <w:p>
      <w:pPr>
        <w:pStyle w:val="Text body"/>
        <w:rPr>
          <w:rFonts w:ascii="Calibri" w:cs="Calibri" w:hAnsi="Calibri" w:eastAsia="Calibri"/>
          <w:i w:val="1"/>
          <w:iCs w:val="1"/>
        </w:rPr>
      </w:pPr>
      <w:r>
        <w:rPr>
          <w:rFonts w:ascii="Calibri" w:cs="Calibri" w:hAnsi="Calibri" w:eastAsia="Calibri"/>
          <w:i w:val="1"/>
          <w:iCs w:val="1"/>
          <w:rtl w:val="0"/>
          <w:lang w:val="en-US"/>
        </w:rPr>
        <w:t>Phase out streams and sets and reintroduce mixed-ability classes.</w:t>
      </w:r>
    </w:p>
    <w:p>
      <w:pPr>
        <w:pStyle w:val="Text body"/>
        <w:rPr>
          <w:rFonts w:ascii="Calibri" w:cs="Calibri" w:hAnsi="Calibri" w:eastAsia="Calibri"/>
          <w:i w:val="1"/>
          <w:iCs w:val="1"/>
        </w:rPr>
      </w:pPr>
      <w:r>
        <w:rPr>
          <w:rtl w:val="0"/>
        </w:rPr>
        <w:t xml:space="preserve">Since eFSM children are disproportionately represented in lower sets and streams (Francis et al., </w:t>
      </w:r>
      <w:r>
        <w:rPr>
          <w:color w:val="000000"/>
          <w:u w:color="000000"/>
          <w:rtl w:val="0"/>
          <w:lang w:val="en-US"/>
        </w:rPr>
        <w:t>2017</w:t>
      </w:r>
      <w:r>
        <w:rPr>
          <w:rtl w:val="0"/>
        </w:rPr>
        <w:t xml:space="preserve">; Taylor et al., 2017; Henry, 2015), and that far from reducing the socio-economic attainment gap, setting and steaming increase the gap simply by virtue of being placed in a lower ability stream or set (Hodgen, 2007). High-quality, mixed-ability classes inevitably take more time to prepare (Taylor, 2017) but they have been shown to reduce the attainment gap of eFSM (Hodgen, 2007; Taylor et al., 2017). </w:t>
      </w:r>
    </w:p>
    <w:p>
      <w:pPr>
        <w:pStyle w:val="Body"/>
      </w:pPr>
    </w:p>
    <w:p>
      <w:pPr>
        <w:pStyle w:val="Body"/>
      </w:pPr>
    </w:p>
    <w:p>
      <w:pPr>
        <w:pStyle w:val="Body"/>
      </w:pPr>
      <w:r>
        <w:rPr>
          <w:rtl w:val="0"/>
          <w:lang w:val="en-US"/>
        </w:rPr>
        <w:t>(Word count 5208)</w:t>
      </w:r>
    </w:p>
    <w:p>
      <w:pPr>
        <w:pStyle w:val="Body"/>
      </w:pPr>
    </w:p>
    <w:p>
      <w:pPr>
        <w:pStyle w:val="Body"/>
      </w:pPr>
    </w:p>
    <w:p>
      <w:pPr>
        <w:pStyle w:val="Text body"/>
        <w:rPr>
          <w:rFonts w:ascii="Calibri" w:cs="Calibri" w:hAnsi="Calibri" w:eastAsia="Calibri"/>
          <w:b w:val="1"/>
          <w:bCs w:val="1"/>
          <w:color w:val="000000"/>
          <w:u w:color="000000"/>
        </w:rPr>
      </w:pPr>
      <w:r>
        <w:rPr>
          <w:rFonts w:ascii="Calibri" w:cs="Calibri" w:hAnsi="Calibri" w:eastAsia="Calibri"/>
          <w:b w:val="1"/>
          <w:bCs w:val="1"/>
          <w:color w:val="000000"/>
          <w:u w:color="000000"/>
          <w:rtl w:val="0"/>
          <w:lang w:val="en-US"/>
        </w:rPr>
        <w:t>11. REFERENCES</w:t>
      </w:r>
      <w:r>
        <w:rPr>
          <w:rFonts w:ascii="Calibri" w:cs="Calibri" w:hAnsi="Calibri" w:eastAsia="Calibri"/>
          <w:b w:val="1"/>
          <w:bCs w:val="1"/>
          <w:color w:val="000000"/>
          <w:u w:color="000000"/>
        </w:rPr>
        <w:br w:type="textWrapping"/>
      </w:r>
      <w:r>
        <w:rPr>
          <w:rFonts w:ascii="Calibri" w:cs="Calibri" w:hAnsi="Calibri" w:eastAsia="Calibri"/>
          <w:b w:val="1"/>
          <w:bCs w:val="1"/>
          <w:color w:val="000000"/>
          <w:u w:color="000000"/>
          <w:rtl w:val="0"/>
          <w:lang w:val="en-US"/>
        </w:rPr>
        <w:t>Primary References</w:t>
      </w:r>
    </w:p>
    <w:p>
      <w:pPr>
        <w:pStyle w:val="Text body"/>
        <w:rPr>
          <w:color w:val="000000"/>
          <w:u w:color="000000"/>
        </w:rPr>
      </w:pPr>
      <w:r>
        <w:rPr>
          <w:color w:val="000000"/>
          <w:u w:color="000000"/>
          <w:rtl w:val="0"/>
          <w:lang w:val="en-US"/>
        </w:rPr>
        <w:t xml:space="preserve">Allen, R., Mian, E., Sims, S. (2016) Social inequalities in access to teachers. Social Market Foundation Commission on Inequality in Education: Briefing 2. </w:t>
      </w:r>
    </w:p>
    <w:p>
      <w:pPr>
        <w:pStyle w:val="Text body"/>
        <w:rPr>
          <w:color w:val="000000"/>
          <w:u w:color="000000"/>
        </w:rPr>
      </w:pPr>
      <w:r>
        <w:rPr>
          <w:color w:val="000000"/>
          <w:u w:color="000000"/>
          <w:rtl w:val="0"/>
          <w:lang w:val="en-US"/>
        </w:rPr>
        <w:t>Baye, A., Lake. C., Inns. A. and Slavin, R. E. (2018) A Synthesis of Quantitative Research on Reading Programs for Secondary Student. Best Evidence Encyclopaedia. Available at: www. Bestevidence.org.</w:t>
      </w:r>
    </w:p>
    <w:p>
      <w:pPr>
        <w:pStyle w:val="Text body"/>
      </w:pPr>
      <w:r>
        <w:rPr>
          <w:color w:val="000000"/>
          <w:u w:color="000000"/>
          <w:rtl w:val="0"/>
          <w:lang w:val="en-US"/>
        </w:rPr>
        <w:t xml:space="preserve">Biggers, D. (2001) The Argument Against Accelerated Reader. </w:t>
      </w:r>
      <w:r>
        <w:rPr>
          <w:rFonts w:ascii="Calibri" w:cs="Calibri" w:hAnsi="Calibri" w:eastAsia="Calibri"/>
          <w:i w:val="1"/>
          <w:iCs w:val="1"/>
          <w:color w:val="000000"/>
          <w:u w:color="000000"/>
          <w:rtl w:val="0"/>
          <w:lang w:val="en-US"/>
        </w:rPr>
        <w:t xml:space="preserve">Journal of Adolescent and Adult Literacy. </w:t>
      </w:r>
      <w:r>
        <w:rPr>
          <w:color w:val="000000"/>
          <w:u w:color="000000"/>
          <w:rtl w:val="0"/>
          <w:lang w:val="en-US"/>
        </w:rPr>
        <w:t>Vol. 45, No. 1, pp. 72-75.</w:t>
      </w:r>
    </w:p>
    <w:p>
      <w:pPr>
        <w:pStyle w:val="Text body"/>
      </w:pPr>
      <w:r>
        <w:rPr>
          <w:color w:val="000000"/>
          <w:u w:color="000000"/>
          <w:rtl w:val="0"/>
          <w:lang w:val="en-US"/>
        </w:rPr>
        <w:t xml:space="preserve">Boone, L. S., (2017) </w:t>
      </w:r>
      <w:r>
        <w:rPr>
          <w:color w:val="000000"/>
          <w:u w:color="000000"/>
          <w:rtl w:val="0"/>
          <w:lang w:val="en-US"/>
        </w:rPr>
        <w:t>“</w:t>
      </w:r>
      <w:r>
        <w:rPr>
          <w:color w:val="000000"/>
          <w:u w:color="000000"/>
          <w:rtl w:val="0"/>
          <w:lang w:val="en-US"/>
        </w:rPr>
        <w:t>Agony or Ecstasy: A Mixed Methods Study of the Accelerated Reader Program and Students</w:t>
      </w:r>
      <w:r>
        <w:rPr>
          <w:color w:val="000000"/>
          <w:u w:color="000000"/>
          <w:rtl w:val="0"/>
          <w:lang w:val="en-US"/>
        </w:rPr>
        <w:t xml:space="preserve">’ </w:t>
      </w:r>
      <w:r>
        <w:rPr>
          <w:color w:val="000000"/>
          <w:u w:color="000000"/>
          <w:rtl w:val="0"/>
          <w:lang w:val="en-US"/>
        </w:rPr>
        <w:t>Attitudes Toward Reading.</w:t>
      </w:r>
      <w:r>
        <w:rPr>
          <w:color w:val="000000"/>
          <w:u w:color="000000"/>
          <w:rtl w:val="0"/>
          <w:lang w:val="en-US"/>
        </w:rPr>
        <w:t xml:space="preserve">” </w:t>
      </w:r>
      <w:r>
        <w:rPr>
          <w:color w:val="000000"/>
          <w:u w:color="000000"/>
          <w:rtl w:val="0"/>
          <w:lang w:val="en-US"/>
        </w:rPr>
        <w:t xml:space="preserve">Ph.D. diss., University of Tennessee. Available at: </w:t>
      </w:r>
      <w:r>
        <w:rPr>
          <w:rStyle w:val="Hyperlink.0"/>
        </w:rPr>
        <w:fldChar w:fldCharType="begin" w:fldLock="0"/>
      </w:r>
      <w:r>
        <w:rPr>
          <w:rStyle w:val="Hyperlink.0"/>
        </w:rPr>
        <w:instrText xml:space="preserve"> HYPERLINK "https://trace.tennessee.edu/utk_graddiss/4736"</w:instrText>
      </w:r>
      <w:r>
        <w:rPr>
          <w:rStyle w:val="Hyperlink.0"/>
        </w:rPr>
        <w:fldChar w:fldCharType="separate" w:fldLock="0"/>
      </w:r>
      <w:r>
        <w:rPr>
          <w:rStyle w:val="Hyperlink.0"/>
          <w:rtl w:val="0"/>
        </w:rPr>
        <w:t>https://trace.tennessee.edu/utk_graddiss/4736</w:t>
      </w:r>
      <w:r>
        <w:rPr/>
        <w:fldChar w:fldCharType="end" w:fldLock="0"/>
      </w:r>
      <w:r>
        <w:rPr>
          <w:rStyle w:val="Hyperlink.0"/>
          <w:rtl w:val="0"/>
        </w:rPr>
        <w:t>.</w:t>
      </w:r>
    </w:p>
    <w:p>
      <w:pPr>
        <w:pStyle w:val="Text body"/>
        <w:rPr>
          <w:rStyle w:val="None"/>
          <w:color w:val="000000"/>
          <w:u w:color="000000"/>
        </w:rPr>
      </w:pPr>
      <w:r>
        <w:rPr>
          <w:rStyle w:val="None"/>
          <w:color w:val="000000"/>
          <w:u w:color="000000"/>
          <w:rtl w:val="0"/>
          <w:lang w:val="en-US"/>
        </w:rPr>
        <w:t xml:space="preserve">Castillo, A. I. and Bonilla, S. J. (2014) Building up Autonomy Through Reading Strategies. </w:t>
      </w:r>
      <w:r>
        <w:rPr>
          <w:rStyle w:val="None"/>
          <w:rFonts w:ascii="Calibri" w:cs="Calibri" w:hAnsi="Calibri" w:eastAsia="Calibri"/>
          <w:i w:val="1"/>
          <w:iCs w:val="1"/>
          <w:color w:val="000000"/>
          <w:u w:color="000000"/>
          <w:rtl w:val="0"/>
          <w:lang w:val="en-US"/>
        </w:rPr>
        <w:t>Profile</w:t>
      </w:r>
      <w:r>
        <w:rPr>
          <w:rStyle w:val="None"/>
          <w:color w:val="000000"/>
          <w:u w:color="000000"/>
          <w:rtl w:val="0"/>
          <w:lang w:val="en-US"/>
        </w:rPr>
        <w:t>. Vol. 16, No. 2, pp. 67-85. Bogot</w:t>
      </w:r>
      <w:r>
        <w:rPr>
          <w:rStyle w:val="None"/>
          <w:color w:val="000000"/>
          <w:u w:color="000000"/>
          <w:rtl w:val="0"/>
          <w:lang w:val="en-US"/>
        </w:rPr>
        <w:t>á</w:t>
      </w:r>
      <w:r>
        <w:rPr>
          <w:rStyle w:val="None"/>
          <w:color w:val="000000"/>
          <w:u w:color="000000"/>
          <w:rtl w:val="0"/>
          <w:lang w:val="en-US"/>
        </w:rPr>
        <w:t>, Colombia.</w:t>
      </w:r>
    </w:p>
    <w:p>
      <w:pPr>
        <w:pStyle w:val="Text body"/>
        <w:rPr>
          <w:rStyle w:val="None"/>
          <w:color w:val="000000"/>
          <w:u w:color="000000"/>
        </w:rPr>
      </w:pPr>
      <w:r>
        <w:rPr>
          <w:rStyle w:val="None"/>
          <w:color w:val="000000"/>
          <w:u w:color="000000"/>
          <w:rtl w:val="0"/>
          <w:lang w:val="en-US"/>
        </w:rPr>
        <w:t xml:space="preserve">Cymru (2019) </w:t>
      </w:r>
      <w:r>
        <w:rPr>
          <w:rStyle w:val="None"/>
          <w:color w:val="000000"/>
          <w:u w:color="000000"/>
          <w:rtl w:val="0"/>
          <w:lang w:val="en-US"/>
        </w:rPr>
        <w:t>“</w:t>
      </w:r>
      <w:r>
        <w:rPr>
          <w:rStyle w:val="None"/>
          <w:color w:val="000000"/>
          <w:u w:color="000000"/>
          <w:rtl w:val="0"/>
          <w:lang w:val="en-US"/>
        </w:rPr>
        <w:t>Achievement and entitlement to free school meals.</w:t>
      </w:r>
      <w:r>
        <w:rPr>
          <w:rStyle w:val="None"/>
          <w:color w:val="000000"/>
          <w:u w:color="000000"/>
          <w:rtl w:val="0"/>
          <w:lang w:val="en-US"/>
        </w:rPr>
        <w:t xml:space="preserve">” </w:t>
      </w:r>
      <w:r>
        <w:rPr>
          <w:rStyle w:val="None"/>
          <w:color w:val="000000"/>
          <w:u w:color="000000"/>
          <w:rtl w:val="0"/>
          <w:lang w:val="en-US"/>
        </w:rPr>
        <w:t xml:space="preserve">https://gov.wales/statistics-and-research/academic-achievement-free-school-meals/?lang=en </w:t>
      </w:r>
    </w:p>
    <w:p>
      <w:pPr>
        <w:pStyle w:val="Text body"/>
        <w:rPr>
          <w:rStyle w:val="None"/>
          <w:color w:val="000000"/>
          <w:u w:color="000000"/>
        </w:rPr>
      </w:pPr>
      <w:r>
        <w:rPr>
          <w:rStyle w:val="None"/>
          <w:color w:val="000000"/>
          <w:u w:color="000000"/>
          <w:rtl w:val="0"/>
          <w:lang w:val="en-US"/>
        </w:rPr>
        <w:t>Day, C. (2015) The Role of Continuous Professional Development in Closing the Gap in Educational Attainment: A Review of What Works at Classroom, School and System Levels. Public Policy Institute for Wales.</w:t>
      </w:r>
    </w:p>
    <w:p>
      <w:pPr>
        <w:pStyle w:val="Text body"/>
      </w:pPr>
      <w:r>
        <w:rPr>
          <w:rStyle w:val="None"/>
          <w:color w:val="000000"/>
          <w:u w:color="000000"/>
          <w:rtl w:val="0"/>
          <w:lang w:val="en-US"/>
        </w:rPr>
        <w:t>Demie, F. and Mclea</w:t>
      </w:r>
      <w:r>
        <w:rPr>
          <w:rtl w:val="0"/>
        </w:rPr>
        <w:t xml:space="preserve">n, C. (2015) Tackling disadvantage: what works in narrowing the achievement gap in </w:t>
      </w:r>
      <w:r>
        <w:rPr>
          <w:rStyle w:val="None"/>
          <w:color w:val="000000"/>
          <w:u w:color="000000"/>
          <w:rtl w:val="0"/>
          <w:lang w:val="en-US"/>
        </w:rPr>
        <w:t xml:space="preserve">schools. </w:t>
      </w:r>
      <w:r>
        <w:rPr>
          <w:rStyle w:val="None"/>
          <w:rFonts w:ascii="Calibri" w:cs="Calibri" w:hAnsi="Calibri" w:eastAsia="Calibri"/>
          <w:i w:val="1"/>
          <w:iCs w:val="1"/>
          <w:color w:val="000000"/>
          <w:u w:color="000000"/>
          <w:rtl w:val="0"/>
          <w:lang w:val="en-US"/>
        </w:rPr>
        <w:t>Rev Educ.</w:t>
      </w:r>
      <w:r>
        <w:rPr>
          <w:rStyle w:val="None"/>
          <w:color w:val="000000"/>
          <w:u w:color="000000"/>
          <w:rtl w:val="0"/>
          <w:lang w:val="en-US"/>
        </w:rPr>
        <w:t xml:space="preserve"> Vol. 3, pp. 138-174.</w:t>
      </w:r>
    </w:p>
    <w:p>
      <w:pPr>
        <w:pStyle w:val="Text body"/>
        <w:rPr>
          <w:rStyle w:val="None"/>
          <w:color w:val="000000"/>
          <w:u w:color="000000"/>
        </w:rPr>
      </w:pPr>
      <w:r>
        <w:rPr>
          <w:rStyle w:val="None"/>
          <w:color w:val="000000"/>
          <w:u w:color="000000"/>
          <w:rtl w:val="0"/>
          <w:lang w:val="en-US"/>
        </w:rPr>
        <w:t xml:space="preserve">Donovan, M. S., Bransford, J. D. and Pellegrino, J. W. (Eds.) (1999) How People Learn: Bridging Research and Practice. Committee on Learning, Research and Educational Practice, National Research Council. Available at: http://www.nap.edu/catalog/9457.html. </w:t>
      </w:r>
    </w:p>
    <w:p>
      <w:pPr>
        <w:pStyle w:val="Text body"/>
      </w:pPr>
      <w:r>
        <w:rPr>
          <w:rStyle w:val="None"/>
          <w:color w:val="000000"/>
          <w:u w:color="000000"/>
          <w:rtl w:val="0"/>
          <w:lang w:val="en-US"/>
        </w:rPr>
        <w:t xml:space="preserve">Dunne, M. and Gazeley, L. (2008) Teachers, social class and underachievement. </w:t>
      </w:r>
      <w:r>
        <w:rPr>
          <w:rStyle w:val="None"/>
          <w:rFonts w:ascii="Calibri" w:cs="Calibri" w:hAnsi="Calibri" w:eastAsia="Calibri"/>
          <w:i w:val="1"/>
          <w:iCs w:val="1"/>
          <w:color w:val="000000"/>
          <w:u w:color="000000"/>
          <w:rtl w:val="0"/>
          <w:lang w:val="en-US"/>
        </w:rPr>
        <w:t>British Journal of Sociology of Education</w:t>
      </w:r>
      <w:r>
        <w:rPr>
          <w:rStyle w:val="None"/>
          <w:color w:val="000000"/>
          <w:u w:color="000000"/>
          <w:rtl w:val="0"/>
          <w:lang w:val="en-US"/>
        </w:rPr>
        <w:t>.</w:t>
      </w:r>
      <w:r>
        <w:rPr>
          <w:rtl w:val="0"/>
        </w:rPr>
        <w:t xml:space="preserve"> Vol. 29, No. 5, pp. 451-463.</w:t>
      </w:r>
    </w:p>
    <w:p>
      <w:pPr>
        <w:pStyle w:val="Text body"/>
        <w:rPr>
          <w:rStyle w:val="None"/>
          <w:color w:val="000000"/>
          <w:u w:color="000000"/>
        </w:rPr>
      </w:pPr>
      <w:r>
        <w:rPr>
          <w:rStyle w:val="None"/>
          <w:color w:val="000000"/>
          <w:u w:color="000000"/>
          <w:rtl w:val="0"/>
          <w:lang w:val="en-US"/>
        </w:rPr>
        <w:t>Ellis, S. and Sosu, E, (2015) Closing poverty-related attainment gaps in Scotland</w:t>
      </w:r>
      <w:r>
        <w:rPr>
          <w:rStyle w:val="None"/>
          <w:color w:val="000000"/>
          <w:u w:color="000000"/>
          <w:rtl w:val="0"/>
          <w:lang w:val="en-US"/>
        </w:rPr>
        <w:t>’</w:t>
      </w:r>
      <w:r>
        <w:rPr>
          <w:rStyle w:val="None"/>
          <w:color w:val="000000"/>
          <w:u w:color="000000"/>
          <w:rtl w:val="0"/>
          <w:lang w:val="en-US"/>
        </w:rPr>
        <w:t>s schools: what works? International Public Policy Institute Policy Brief. Available at:  https://strathprints.strath. ac.uk/54123/.</w:t>
      </w:r>
    </w:p>
    <w:p>
      <w:pPr>
        <w:pStyle w:val="Text body"/>
        <w:rPr>
          <w:rStyle w:val="None"/>
          <w:color w:val="000000"/>
          <w:u w:color="000000"/>
        </w:rPr>
      </w:pPr>
      <w:r>
        <w:rPr>
          <w:rStyle w:val="None"/>
          <w:color w:val="000000"/>
          <w:u w:color="000000"/>
          <w:rtl w:val="0"/>
          <w:lang w:val="en-US"/>
        </w:rPr>
        <w:t>Estyn (2013) Working together to tackle the impact of poverty on educational achievement. Her Majesty</w:t>
      </w:r>
      <w:r>
        <w:rPr>
          <w:rStyle w:val="None"/>
          <w:color w:val="000000"/>
          <w:u w:color="000000"/>
          <w:rtl w:val="0"/>
          <w:lang w:val="en-US"/>
        </w:rPr>
        <w:t>’</w:t>
      </w:r>
      <w:r>
        <w:rPr>
          <w:rStyle w:val="None"/>
          <w:color w:val="000000"/>
          <w:u w:color="000000"/>
          <w:rtl w:val="0"/>
          <w:lang w:val="en-US"/>
        </w:rPr>
        <w:t>s Inspectorate for Education and Training in Wales</w:t>
      </w:r>
    </w:p>
    <w:p>
      <w:pPr>
        <w:pStyle w:val="Text body"/>
        <w:rPr>
          <w:rStyle w:val="None"/>
          <w:color w:val="000000"/>
          <w:u w:color="000000"/>
        </w:rPr>
      </w:pPr>
      <w:r>
        <w:rPr>
          <w:rStyle w:val="None"/>
          <w:color w:val="000000"/>
          <w:u w:color="000000"/>
          <w:rtl w:val="0"/>
          <w:lang w:val="en-US"/>
        </w:rPr>
        <w:t>Estyn (2015) Inspection Report for XXXX School. Her Majesty</w:t>
      </w:r>
      <w:r>
        <w:rPr>
          <w:rStyle w:val="None"/>
          <w:color w:val="000000"/>
          <w:u w:color="000000"/>
          <w:rtl w:val="0"/>
          <w:lang w:val="en-US"/>
        </w:rPr>
        <w:t>’</w:t>
      </w:r>
      <w:r>
        <w:rPr>
          <w:rStyle w:val="None"/>
          <w:color w:val="000000"/>
          <w:u w:color="000000"/>
          <w:rtl w:val="0"/>
          <w:lang w:val="en-US"/>
        </w:rPr>
        <w:t xml:space="preserve">s Inspectorate for Education and Training in Wales. </w:t>
      </w:r>
    </w:p>
    <w:p>
      <w:pPr>
        <w:pStyle w:val="Text body"/>
      </w:pPr>
      <w:r>
        <w:rPr>
          <w:rStyle w:val="None"/>
          <w:color w:val="000000"/>
          <w:u w:color="000000"/>
          <w:rtl w:val="0"/>
          <w:lang w:val="en-US"/>
        </w:rPr>
        <w:t>Francis, B., Archer, L., Ho</w:t>
      </w:r>
      <w:r>
        <w:rPr>
          <w:rtl w:val="0"/>
        </w:rPr>
        <w:t xml:space="preserve">dgen, J., Pepper, D., Taylor, B. and Travers, M. (2017) Exploring the relative lack of impact of research on </w:t>
      </w:r>
      <w:r>
        <w:rPr>
          <w:rtl w:val="0"/>
        </w:rPr>
        <w:t>‘</w:t>
      </w:r>
      <w:r>
        <w:rPr>
          <w:rtl w:val="0"/>
        </w:rPr>
        <w:t>ability grouping</w:t>
      </w:r>
      <w:r>
        <w:rPr>
          <w:rtl w:val="0"/>
        </w:rPr>
        <w:t xml:space="preserve">’ </w:t>
      </w:r>
      <w:r>
        <w:rPr>
          <w:rtl w:val="0"/>
        </w:rPr>
        <w:t xml:space="preserve">in England: a discourse analytic account. </w:t>
      </w:r>
      <w:r>
        <w:rPr>
          <w:rStyle w:val="None"/>
          <w:rFonts w:ascii="Calibri" w:cs="Calibri" w:hAnsi="Calibri" w:eastAsia="Calibri"/>
          <w:i w:val="1"/>
          <w:iCs w:val="1"/>
          <w:rtl w:val="0"/>
          <w:lang w:val="en-US"/>
        </w:rPr>
        <w:t>Cambridge Journal of Education</w:t>
      </w:r>
      <w:r>
        <w:rPr>
          <w:rtl w:val="0"/>
        </w:rPr>
        <w:t>. Vol. 47, No. 1, pp. 1-17.</w:t>
      </w:r>
    </w:p>
    <w:p>
      <w:pPr>
        <w:pStyle w:val="Text body"/>
        <w:rPr>
          <w:rStyle w:val="None"/>
          <w:color w:val="000000"/>
          <w:u w:color="000000"/>
        </w:rPr>
      </w:pPr>
      <w:r>
        <w:rPr>
          <w:rStyle w:val="None"/>
          <w:color w:val="000000"/>
          <w:u w:color="000000"/>
          <w:rtl w:val="0"/>
          <w:lang w:val="en-US"/>
        </w:rPr>
        <w:t>Gove, M. (2010) Examination of Witnesses (Question Numbers 40-59). Education Committee - Minutes of Evidence, The responsibilities of the Secretary of State. Oral evidence taken before the Education Committee on Wednesday 28 July 2010. Parliamentary Copyright 2010.</w:t>
      </w:r>
    </w:p>
    <w:p>
      <w:pPr>
        <w:pStyle w:val="Text body"/>
      </w:pPr>
      <w:r>
        <w:rPr>
          <w:rtl w:val="0"/>
        </w:rPr>
        <w:t>Greaves, E., Belfield, C. and Allen, R. (2019) Do trainee teachers harm pupil attainment? Isolating the effect of pre</w:t>
      </w:r>
      <w:r>
        <w:rPr>
          <w:rtl w:val="0"/>
        </w:rPr>
        <w:t>‐</w:t>
      </w:r>
      <w:r>
        <w:rPr>
          <w:rtl w:val="0"/>
        </w:rPr>
        <w:t xml:space="preserve">service teachers on contemporaneous pupil performance in </w:t>
      </w:r>
      <w:r>
        <w:rPr>
          <w:rtl w:val="0"/>
        </w:rPr>
        <w:t>‘</w:t>
      </w:r>
      <w:r>
        <w:rPr>
          <w:rtl w:val="0"/>
        </w:rPr>
        <w:t>high</w:t>
      </w:r>
      <w:r>
        <w:rPr>
          <w:rtl w:val="0"/>
        </w:rPr>
        <w:t>‐</w:t>
      </w:r>
      <w:r>
        <w:rPr>
          <w:rtl w:val="0"/>
        </w:rPr>
        <w:t>stakes</w:t>
      </w:r>
      <w:r>
        <w:rPr>
          <w:rtl w:val="0"/>
        </w:rPr>
        <w:t xml:space="preserve">’ </w:t>
      </w:r>
      <w:r>
        <w:rPr>
          <w:rtl w:val="0"/>
        </w:rPr>
        <w:t xml:space="preserve">tests. </w:t>
      </w:r>
      <w:r>
        <w:rPr>
          <w:rStyle w:val="None"/>
          <w:rFonts w:ascii="Calibri" w:cs="Calibri" w:hAnsi="Calibri" w:eastAsia="Calibri"/>
          <w:i w:val="1"/>
          <w:iCs w:val="1"/>
          <w:rtl w:val="0"/>
          <w:lang w:val="en-US"/>
        </w:rPr>
        <w:t>Br Educ Res J.</w:t>
      </w:r>
      <w:r>
        <w:rPr>
          <w:rtl w:val="0"/>
        </w:rPr>
        <w:t xml:space="preserve"> Feb 2019. doi:10.1002/berj.3507.</w:t>
      </w:r>
    </w:p>
    <w:p>
      <w:pPr>
        <w:pStyle w:val="Text body"/>
      </w:pPr>
      <w:r>
        <w:rPr>
          <w:rStyle w:val="None"/>
          <w:color w:val="000000"/>
          <w:u w:color="000000"/>
          <w:rtl w:val="0"/>
          <w:lang w:val="en-US"/>
        </w:rPr>
        <w:t xml:space="preserve">Groce, R. D. and Groce, E. C. (2005) Deconstructing the Accelerated Reading Program. </w:t>
      </w:r>
      <w:r>
        <w:rPr>
          <w:rStyle w:val="None"/>
          <w:rFonts w:ascii="Calibri" w:cs="Calibri" w:hAnsi="Calibri" w:eastAsia="Calibri"/>
          <w:i w:val="1"/>
          <w:iCs w:val="1"/>
          <w:color w:val="000000"/>
          <w:u w:color="000000"/>
          <w:rtl w:val="0"/>
          <w:lang w:val="en-US"/>
        </w:rPr>
        <w:t>Reading Horizons.</w:t>
      </w:r>
      <w:r>
        <w:rPr>
          <w:rStyle w:val="None"/>
          <w:color w:val="000000"/>
          <w:u w:color="000000"/>
          <w:rtl w:val="0"/>
          <w:lang w:val="en-US"/>
        </w:rPr>
        <w:t xml:space="preserve"> Vol. 46, No. 1. Available at: </w:t>
      </w:r>
      <w:r>
        <w:rPr>
          <w:rStyle w:val="Hyperlink.0"/>
          <w:rtl w:val="0"/>
        </w:rPr>
        <w:t>https://scholarworks.wmich.edu/reading_horizons/ vol46/iss1/3</w:t>
      </w:r>
    </w:p>
    <w:p>
      <w:pPr>
        <w:pStyle w:val="Text body"/>
      </w:pPr>
      <w:r>
        <w:rPr>
          <w:rStyle w:val="None"/>
          <w:color w:val="000000"/>
          <w:u w:color="000000"/>
          <w:rtl w:val="0"/>
          <w:lang w:val="en-US"/>
        </w:rPr>
        <w:t>Harrison, C. (2002) Roots and Research. Key Stage 3 English. Key Stage 3: National Strategy. Department for Education and Skills (DfES), Available at: http://www.standards.dfes.gov.uk/ midbins/keystage3/Roots%20and%20Research.pdf.</w:t>
      </w:r>
    </w:p>
    <w:p>
      <w:pPr>
        <w:pStyle w:val="Text body"/>
      </w:pPr>
      <w:r>
        <w:rPr>
          <w:rtl w:val="0"/>
        </w:rPr>
        <w:t>Hattie, J. (2003) Distinguishing Expert Teachers from Novice and Experienced Teachers. Teachers Make a Difference: What is the research evidence? Australian Council for Educational Research Annual Conference on Building Teacher Quality.</w:t>
      </w:r>
    </w:p>
    <w:p>
      <w:pPr>
        <w:pStyle w:val="Text body"/>
      </w:pPr>
      <w:r>
        <w:rPr>
          <w:rStyle w:val="None"/>
          <w:color w:val="000000"/>
          <w:u w:color="000000"/>
          <w:rtl w:val="0"/>
          <w:lang w:val="en-US"/>
        </w:rPr>
        <w:t xml:space="preserve">Henry, L. (2015) The effects of ability grouping on the learning of children from low income homes: a systematic review. </w:t>
      </w:r>
      <w:r>
        <w:rPr>
          <w:rStyle w:val="None"/>
          <w:rFonts w:ascii="Calibri" w:cs="Calibri" w:hAnsi="Calibri" w:eastAsia="Calibri"/>
          <w:i w:val="1"/>
          <w:iCs w:val="1"/>
          <w:color w:val="000000"/>
          <w:u w:color="000000"/>
          <w:rtl w:val="0"/>
          <w:lang w:val="en-US"/>
        </w:rPr>
        <w:t xml:space="preserve">The STeP Journal. </w:t>
      </w:r>
      <w:r>
        <w:rPr>
          <w:rStyle w:val="None"/>
          <w:color w:val="000000"/>
          <w:u w:color="000000"/>
          <w:rtl w:val="0"/>
          <w:lang w:val="en-US"/>
        </w:rPr>
        <w:t>Vol. 2, No. 3, pp. 70-87.</w:t>
      </w:r>
    </w:p>
    <w:p>
      <w:pPr>
        <w:pStyle w:val="Text body"/>
        <w:rPr>
          <w:rStyle w:val="None"/>
          <w:color w:val="000000"/>
          <w:u w:color="000000"/>
        </w:rPr>
      </w:pPr>
      <w:r>
        <w:rPr>
          <w:rStyle w:val="None"/>
          <w:color w:val="000000"/>
          <w:u w:color="000000"/>
          <w:rtl w:val="0"/>
          <w:lang w:val="en-US"/>
        </w:rPr>
        <w:t>Hodgen, J. (2007) Chapter 16: Setting, streaming and mixed-ability teaching. In J. Dillon and M. Maguire (Eds.) Becoming a teacher: Issues in secondary teaching. Third edition. (pp. 224-235). Open University Press.</w:t>
      </w:r>
    </w:p>
    <w:p>
      <w:pPr>
        <w:pStyle w:val="Text body"/>
      </w:pPr>
      <w:r>
        <w:rPr>
          <w:rtl w:val="0"/>
        </w:rPr>
        <w:t xml:space="preserve">Ivkin, S. G. R., Hanushek, E. A. and Kain, J. F. (2005) Teachers, Schools, And Academic Achievement. </w:t>
      </w:r>
      <w:r>
        <w:rPr>
          <w:rStyle w:val="None"/>
          <w:rFonts w:ascii="Calibri" w:cs="Calibri" w:hAnsi="Calibri" w:eastAsia="Calibri"/>
          <w:i w:val="1"/>
          <w:iCs w:val="1"/>
          <w:rtl w:val="0"/>
          <w:lang w:val="en-US"/>
        </w:rPr>
        <w:t>Econometrica.</w:t>
      </w:r>
      <w:r>
        <w:rPr>
          <w:rtl w:val="0"/>
        </w:rPr>
        <w:t xml:space="preserve"> Vol. 73, No. 2, pp. 417</w:t>
      </w:r>
      <w:r>
        <w:rPr>
          <w:rtl w:val="0"/>
        </w:rPr>
        <w:t>–</w:t>
      </w:r>
      <w:r>
        <w:rPr>
          <w:rtl w:val="0"/>
        </w:rPr>
        <w:t>458.</w:t>
      </w:r>
    </w:p>
    <w:p>
      <w:pPr>
        <w:pStyle w:val="Text body"/>
      </w:pPr>
      <w:r>
        <w:rPr>
          <w:rtl w:val="0"/>
        </w:rPr>
        <w:t>Joseph Rowntree Foundation (2018) Briefing, Poverty in Wales 2018. Available online at https://www.housinglin.org.uk/_assets/Resources/Housing/OtherOrganisation/Poverty-in-Wales-2018.pdf.</w:t>
      </w:r>
    </w:p>
    <w:p>
      <w:pPr>
        <w:pStyle w:val="Text body"/>
      </w:pPr>
      <w:r>
        <w:rPr>
          <w:rtl w:val="0"/>
        </w:rPr>
        <w:t>mylocalschool (2018) Available at: http://mylocalschool.wales.gov.uk/School/xxxxxxx</w:t>
      </w:r>
      <w:r>
        <w:rPr>
          <w:rStyle w:val="None"/>
          <w:color w:val="ce181e"/>
          <w:u w:color="ce181e"/>
          <w:rtl w:val="0"/>
          <w:lang w:val="en-US"/>
        </w:rPr>
        <w:t xml:space="preserve"> </w:t>
      </w:r>
    </w:p>
    <w:p>
      <w:pPr>
        <w:pStyle w:val="Text body"/>
        <w:rPr>
          <w:rStyle w:val="None"/>
          <w:color w:val="000000"/>
          <w:u w:color="000000"/>
        </w:rPr>
      </w:pPr>
      <w:r>
        <w:rPr>
          <w:rStyle w:val="None"/>
          <w:color w:val="000000"/>
          <w:u w:color="000000"/>
          <w:rtl w:val="0"/>
          <w:lang w:val="en-US"/>
        </w:rPr>
        <w:t>Nicholas, J. (2018) The influence of the National Reading Tests on teaching and learning of reading strategies: A Welsh secondary school case study, November 10th 2017. Centre for Assessment. National Foundation for Educational Research.</w:t>
      </w:r>
    </w:p>
    <w:p>
      <w:pPr>
        <w:pStyle w:val="Text body"/>
        <w:rPr>
          <w:rStyle w:val="None"/>
          <w:color w:val="000000"/>
          <w:u w:color="000000"/>
        </w:rPr>
      </w:pPr>
      <w:r>
        <w:rPr>
          <w:rStyle w:val="None"/>
          <w:color w:val="000000"/>
          <w:u w:color="000000"/>
          <w:rtl w:val="0"/>
          <w:lang w:val="en-US"/>
        </w:rPr>
        <w:t>OECD (2018) Developing Schools as Learning Organisations in Wales, Implementing Education Policies, OECD Publishing, Paris. Available at: https://doi.org/10.1787/9789264307193-en.</w:t>
      </w:r>
    </w:p>
    <w:p>
      <w:pPr>
        <w:pStyle w:val="Text body"/>
      </w:pPr>
      <w:r>
        <w:rPr>
          <w:rStyle w:val="None"/>
          <w:color w:val="000000"/>
          <w:u w:color="000000"/>
          <w:rtl w:val="0"/>
          <w:lang w:val="en-US"/>
        </w:rPr>
        <w:t xml:space="preserve">Paul, T., Zee, D. V., Rue, T. and Swanson, S. (1996) </w:t>
      </w:r>
      <w:r>
        <w:rPr>
          <w:rStyle w:val="None"/>
          <w:rFonts w:ascii="Calibri" w:cs="Calibri" w:hAnsi="Calibri" w:eastAsia="Calibri"/>
          <w:i w:val="1"/>
          <w:iCs w:val="1"/>
          <w:color w:val="000000"/>
          <w:u w:color="000000"/>
          <w:rtl w:val="0"/>
          <w:lang w:val="en-US"/>
        </w:rPr>
        <w:t>Impact of the Accelerated Reader</w:t>
      </w:r>
      <w:r>
        <w:rPr>
          <w:rStyle w:val="None"/>
          <w:rFonts w:ascii="Calibri" w:cs="Calibri" w:hAnsi="Calibri" w:eastAsia="Calibri"/>
          <w:i w:val="1"/>
          <w:iCs w:val="1"/>
          <w:color w:val="000000"/>
          <w:u w:color="000000"/>
          <w:rtl w:val="0"/>
          <w:lang w:val="en-US"/>
        </w:rPr>
        <w:t xml:space="preserve">® </w:t>
      </w:r>
      <w:r>
        <w:rPr>
          <w:rStyle w:val="None"/>
          <w:rFonts w:ascii="Calibri" w:cs="Calibri" w:hAnsi="Calibri" w:eastAsia="Calibri"/>
          <w:i w:val="1"/>
          <w:iCs w:val="1"/>
          <w:color w:val="000000"/>
          <w:u w:color="000000"/>
          <w:rtl w:val="0"/>
          <w:lang w:val="en-US"/>
        </w:rPr>
        <w:t>Technology-Based Literacy Program on Overall Academic Achievement and School Attendance.</w:t>
      </w:r>
      <w:r>
        <w:rPr>
          <w:rStyle w:val="None"/>
          <w:color w:val="000000"/>
          <w:u w:color="000000"/>
          <w:rtl w:val="0"/>
          <w:lang w:val="en-US"/>
        </w:rPr>
        <w:t xml:space="preserve"> National Reading Research Center Conference, </w:t>
      </w:r>
      <w:r>
        <w:rPr>
          <w:rStyle w:val="None"/>
          <w:color w:val="000000"/>
          <w:u w:color="000000"/>
          <w:rtl w:val="0"/>
          <w:lang w:val="en-US"/>
        </w:rPr>
        <w:t>“</w:t>
      </w:r>
      <w:r>
        <w:rPr>
          <w:rStyle w:val="None"/>
          <w:color w:val="000000"/>
          <w:u w:color="000000"/>
          <w:rtl w:val="0"/>
          <w:lang w:val="en-US"/>
        </w:rPr>
        <w:t>Literacy and Technology for the 21</w:t>
      </w:r>
      <w:r>
        <w:rPr>
          <w:rStyle w:val="None"/>
          <w:color w:val="000000"/>
          <w:u w:color="000000"/>
          <w:vertAlign w:val="superscript"/>
          <w:rtl w:val="0"/>
          <w:lang w:val="en-US"/>
        </w:rPr>
        <w:t>st</w:t>
      </w:r>
      <w:r>
        <w:rPr>
          <w:rStyle w:val="None"/>
          <w:color w:val="000000"/>
          <w:u w:color="000000"/>
          <w:rtl w:val="0"/>
          <w:lang w:val="en-US"/>
        </w:rPr>
        <w:t xml:space="preserve"> Century</w:t>
      </w:r>
      <w:r>
        <w:rPr>
          <w:rStyle w:val="None"/>
          <w:color w:val="000000"/>
          <w:u w:color="000000"/>
          <w:rtl w:val="0"/>
          <w:lang w:val="en-US"/>
        </w:rPr>
        <w:t>”</w:t>
      </w:r>
      <w:r>
        <w:rPr>
          <w:rStyle w:val="None"/>
          <w:color w:val="000000"/>
          <w:u w:color="000000"/>
          <w:rtl w:val="0"/>
          <w:lang w:val="en-US"/>
        </w:rPr>
        <w:t>. Atlanta, GA.</w:t>
      </w:r>
    </w:p>
    <w:p>
      <w:pPr>
        <w:pStyle w:val="Text body"/>
        <w:rPr>
          <w:rStyle w:val="None"/>
          <w:color w:val="000000"/>
          <w:u w:color="000000"/>
        </w:rPr>
      </w:pPr>
      <w:r>
        <w:rPr>
          <w:rStyle w:val="None"/>
          <w:color w:val="000000"/>
          <w:u w:color="000000"/>
          <w:rtl w:val="0"/>
          <w:lang w:val="en-US"/>
        </w:rPr>
        <w:t xml:space="preserve">Reay, D. (2006) The Zombie Stalking English Schools: Social Class And Educational Inequality. </w:t>
      </w:r>
      <w:r>
        <w:rPr>
          <w:rStyle w:val="None"/>
          <w:rFonts w:ascii="Calibri" w:cs="Calibri" w:hAnsi="Calibri" w:eastAsia="Calibri"/>
          <w:i w:val="1"/>
          <w:iCs w:val="1"/>
          <w:color w:val="000000"/>
          <w:u w:color="000000"/>
          <w:rtl w:val="0"/>
          <w:lang w:val="en-US"/>
        </w:rPr>
        <w:t>British Journal of Educational Studies</w:t>
      </w:r>
      <w:r>
        <w:rPr>
          <w:rStyle w:val="None"/>
          <w:color w:val="000000"/>
          <w:u w:color="000000"/>
          <w:rtl w:val="0"/>
          <w:lang w:val="en-US"/>
        </w:rPr>
        <w:t>. Vol. 54, pp. 288-307.</w:t>
      </w:r>
    </w:p>
    <w:p>
      <w:pPr>
        <w:pStyle w:val="Text body"/>
        <w:rPr>
          <w:rStyle w:val="None"/>
          <w:color w:val="000000"/>
          <w:u w:color="000000"/>
        </w:rPr>
      </w:pPr>
      <w:r>
        <w:rPr>
          <w:rStyle w:val="None"/>
          <w:color w:val="000000"/>
          <w:u w:color="000000"/>
          <w:rtl w:val="0"/>
          <w:lang w:val="en-US"/>
        </w:rPr>
        <w:t>Renaissance Learning (undated) https://www.renaissance.com/products/practice/ accelerated-reader-360/</w:t>
      </w:r>
    </w:p>
    <w:p>
      <w:pPr>
        <w:pStyle w:val="Text body"/>
        <w:rPr>
          <w:rStyle w:val="None"/>
          <w:color w:val="000000"/>
          <w:u w:color="000000"/>
        </w:rPr>
      </w:pPr>
      <w:r>
        <w:rPr>
          <w:rtl w:val="0"/>
        </w:rPr>
        <w:t>Renaissanc</w:t>
      </w:r>
      <w:r>
        <w:rPr>
          <w:rStyle w:val="None"/>
          <w:color w:val="000000"/>
          <w:u w:color="000000"/>
          <w:rtl w:val="0"/>
          <w:lang w:val="en-US"/>
        </w:rPr>
        <w:t>e Learning (2013a) The Research Foundation for Star Assessments: The Science of Star. Renaissance Learning, Wisconsin Rapids, WI. Available at: http://doc.renlearn.com/ KMNet/R001480701GCFBB9.pdf</w:t>
      </w:r>
    </w:p>
    <w:p>
      <w:pPr>
        <w:pStyle w:val="Text body"/>
        <w:rPr>
          <w:rStyle w:val="None"/>
          <w:color w:val="000000"/>
          <w:u w:color="000000"/>
        </w:rPr>
      </w:pPr>
      <w:r>
        <w:rPr>
          <w:rtl w:val="0"/>
        </w:rPr>
        <w:t>Renaissanc</w:t>
      </w:r>
      <w:r>
        <w:rPr>
          <w:rStyle w:val="None"/>
          <w:color w:val="000000"/>
          <w:u w:color="000000"/>
          <w:rtl w:val="0"/>
          <w:lang w:val="en-US"/>
        </w:rPr>
        <w:t>e Learning (2013b) Student Record Report. Renaissance Learning, Wisconsin Rapids, WI. Available at: http://doc.renlearn.com/ KMNet/ar_studentrecordreport.pdf</w:t>
      </w:r>
    </w:p>
    <w:p>
      <w:pPr>
        <w:pStyle w:val="Text body"/>
      </w:pPr>
      <w:r>
        <w:rPr>
          <w:rtl w:val="0"/>
        </w:rPr>
        <w:t>Rutherford</w:t>
      </w:r>
      <w:r>
        <w:rPr>
          <w:rStyle w:val="None"/>
          <w:color w:val="000000"/>
          <w:u w:color="000000"/>
          <w:rtl w:val="0"/>
          <w:lang w:val="en-US"/>
        </w:rPr>
        <w:t xml:space="preserve">, C. (2009) Planning To Change: Strategic Planning And Comprehensive School Reform. </w:t>
      </w:r>
      <w:r>
        <w:rPr>
          <w:rStyle w:val="None"/>
          <w:rFonts w:ascii="Calibri" w:cs="Calibri" w:hAnsi="Calibri" w:eastAsia="Calibri"/>
          <w:i w:val="1"/>
          <w:iCs w:val="1"/>
          <w:color w:val="000000"/>
          <w:u w:color="000000"/>
          <w:rtl w:val="0"/>
          <w:lang w:val="en-US"/>
        </w:rPr>
        <w:t>Educational Planning</w:t>
      </w:r>
      <w:r>
        <w:rPr>
          <w:rStyle w:val="None"/>
          <w:color w:val="000000"/>
          <w:u w:color="000000"/>
          <w:rtl w:val="0"/>
          <w:lang w:val="en-US"/>
        </w:rPr>
        <w:t xml:space="preserve">. Vol. 18, No. 1, pp. 1-10 </w:t>
      </w:r>
    </w:p>
    <w:p>
      <w:pPr>
        <w:pStyle w:val="Text body"/>
      </w:pPr>
      <w:r>
        <w:rPr>
          <w:rtl w:val="0"/>
        </w:rPr>
        <w:t>Stefl-Mabry, J. (20</w:t>
      </w:r>
      <w:r>
        <w:rPr>
          <w:rStyle w:val="None"/>
          <w:color w:val="000000"/>
          <w:u w:color="000000"/>
          <w:rtl w:val="0"/>
          <w:lang w:val="en-US"/>
        </w:rPr>
        <w:t xml:space="preserve">05) Accelerated Reading: Silent Sustained Reading Camouflaged in a Computer Program? </w:t>
      </w:r>
      <w:r>
        <w:rPr>
          <w:rStyle w:val="None"/>
          <w:rFonts w:ascii="Calibri" w:cs="Calibri" w:hAnsi="Calibri" w:eastAsia="Calibri"/>
          <w:i w:val="1"/>
          <w:iCs w:val="1"/>
          <w:color w:val="000000"/>
          <w:u w:color="000000"/>
          <w:rtl w:val="0"/>
          <w:lang w:val="en-US"/>
        </w:rPr>
        <w:t>School Library Media Research.</w:t>
      </w:r>
      <w:r>
        <w:rPr>
          <w:rStyle w:val="None"/>
          <w:color w:val="000000"/>
          <w:u w:color="000000"/>
          <w:rtl w:val="0"/>
          <w:lang w:val="en-US"/>
        </w:rPr>
        <w:t xml:space="preserve"> Vol. 8.</w:t>
      </w:r>
    </w:p>
    <w:p>
      <w:pPr>
        <w:pStyle w:val="Text body"/>
      </w:pPr>
      <w:r>
        <w:rPr>
          <w:rtl w:val="0"/>
        </w:rPr>
        <w:t xml:space="preserve">Strand, S. (2014) School effects and ethnic, gender and socio-economic gaps in educational achievement at age 11. </w:t>
      </w:r>
      <w:r>
        <w:rPr>
          <w:rStyle w:val="None"/>
          <w:rFonts w:ascii="Calibri" w:cs="Calibri" w:hAnsi="Calibri" w:eastAsia="Calibri"/>
          <w:i w:val="1"/>
          <w:iCs w:val="1"/>
          <w:rtl w:val="0"/>
          <w:lang w:val="en-US"/>
        </w:rPr>
        <w:t>Oxford Review of Education.</w:t>
      </w:r>
      <w:r>
        <w:rPr>
          <w:rtl w:val="0"/>
        </w:rPr>
        <w:t xml:space="preserve"> Vol. 40, No. 2, pp. 223-245.</w:t>
      </w:r>
    </w:p>
    <w:p>
      <w:pPr>
        <w:pStyle w:val="Text body"/>
        <w:rPr>
          <w:rStyle w:val="None"/>
          <w:color w:val="000000"/>
          <w:u w:color="000000"/>
        </w:rPr>
      </w:pPr>
      <w:r>
        <w:rPr>
          <w:rStyle w:val="None"/>
          <w:color w:val="000000"/>
          <w:u w:color="000000"/>
          <w:rtl w:val="0"/>
          <w:lang w:val="en-US"/>
        </w:rPr>
        <w:t xml:space="preserve">Taylor. B., Francis. B., Archer, L., Hodgen, J., Pepper, D., Tereshchenko, A. and Travers, M. (2017) Factors deterring schools from mixed attainment teaching practice. </w:t>
      </w:r>
      <w:r>
        <w:rPr>
          <w:rStyle w:val="None"/>
          <w:rFonts w:ascii="Calibri" w:cs="Calibri" w:hAnsi="Calibri" w:eastAsia="Calibri"/>
          <w:i w:val="1"/>
          <w:iCs w:val="1"/>
          <w:color w:val="000000"/>
          <w:u w:color="000000"/>
          <w:rtl w:val="0"/>
          <w:lang w:val="en-US"/>
        </w:rPr>
        <w:t>Pedagogy, Culture &amp; Society</w:t>
      </w:r>
      <w:r>
        <w:rPr>
          <w:rStyle w:val="None"/>
          <w:color w:val="000000"/>
          <w:u w:color="000000"/>
          <w:rtl w:val="0"/>
          <w:lang w:val="en-US"/>
        </w:rPr>
        <w:t xml:space="preserve">. Vol. 25, No. 3, pp. 327-345. </w:t>
      </w:r>
    </w:p>
    <w:p>
      <w:pPr>
        <w:pStyle w:val="Text body"/>
      </w:pPr>
      <w:r>
        <w:rPr>
          <w:rStyle w:val="None"/>
          <w:color w:val="000000"/>
          <w:u w:color="000000"/>
          <w:rtl w:val="0"/>
          <w:lang w:val="en-US"/>
        </w:rPr>
        <w:t xml:space="preserve">Thompson, G., Madhuri, M. and Taylor, D. (2008) How the Accelerated Reader program can become counterproductive for high school students. </w:t>
      </w:r>
      <w:r>
        <w:rPr>
          <w:rStyle w:val="None"/>
          <w:rFonts w:ascii="Calibri" w:cs="Calibri" w:hAnsi="Calibri" w:eastAsia="Calibri"/>
          <w:i w:val="1"/>
          <w:iCs w:val="1"/>
          <w:color w:val="000000"/>
          <w:u w:color="000000"/>
          <w:rtl w:val="0"/>
          <w:lang w:val="en-US"/>
        </w:rPr>
        <w:t>Journal of Adolescent &amp; Adult Literacy</w:t>
      </w:r>
      <w:r>
        <w:rPr>
          <w:rStyle w:val="None"/>
          <w:color w:val="000000"/>
          <w:u w:color="000000"/>
          <w:rtl w:val="0"/>
          <w:lang w:val="en-US"/>
        </w:rPr>
        <w:t>. Vol. 51, No. 7, pp. 550-560.</w:t>
      </w:r>
    </w:p>
    <w:p>
      <w:pPr>
        <w:pStyle w:val="Text body"/>
        <w:rPr>
          <w:rStyle w:val="None"/>
          <w:color w:val="000000"/>
          <w:u w:color="000000"/>
        </w:rPr>
      </w:pPr>
      <w:r>
        <w:rPr>
          <w:rStyle w:val="None"/>
          <w:color w:val="000000"/>
          <w:u w:color="000000"/>
          <w:rtl w:val="0"/>
          <w:lang w:val="en-US"/>
        </w:rPr>
        <w:t xml:space="preserve">Welsh Government (2014) Qualified for life: National Literacy and Numeracy Programme </w:t>
      </w:r>
      <w:r>
        <w:rPr>
          <w:rStyle w:val="None"/>
          <w:color w:val="000000"/>
          <w:u w:color="000000"/>
          <w:rtl w:val="0"/>
          <w:lang w:val="en-US"/>
        </w:rPr>
        <w:t xml:space="preserve">– </w:t>
      </w:r>
      <w:r>
        <w:rPr>
          <w:rStyle w:val="None"/>
          <w:color w:val="000000"/>
          <w:u w:color="000000"/>
          <w:rtl w:val="0"/>
          <w:lang w:val="en-US"/>
        </w:rPr>
        <w:t>a strategic action plan. Cardiff: Crown Copyright.</w:t>
      </w:r>
    </w:p>
    <w:p>
      <w:pPr>
        <w:pStyle w:val="Text body"/>
      </w:pPr>
      <w:r>
        <w:rPr>
          <w:rStyle w:val="None"/>
          <w:rFonts w:ascii="Calibri" w:cs="Calibri" w:hAnsi="Calibri" w:eastAsia="Calibri"/>
          <w:b w:val="1"/>
          <w:bCs w:val="1"/>
          <w:rtl w:val="0"/>
          <w:lang w:val="en-US"/>
        </w:rPr>
        <w:t>Secondary References:</w:t>
      </w:r>
    </w:p>
    <w:p>
      <w:pPr>
        <w:pStyle w:val="Text body"/>
      </w:pPr>
      <w:r>
        <w:rPr>
          <w:rStyle w:val="None"/>
          <w:color w:val="000000"/>
          <w:u w:color="000000"/>
          <w:rtl w:val="0"/>
          <w:lang w:val="en-US"/>
        </w:rPr>
        <w:t xml:space="preserve">Berman, P. and McLaughlin, M. (1976) Implementation of educational innovation. </w:t>
      </w:r>
      <w:r>
        <w:rPr>
          <w:rStyle w:val="None"/>
          <w:rFonts w:ascii="Calibri" w:cs="Calibri" w:hAnsi="Calibri" w:eastAsia="Calibri"/>
          <w:i w:val="1"/>
          <w:iCs w:val="1"/>
          <w:color w:val="000000"/>
          <w:u w:color="000000"/>
          <w:rtl w:val="0"/>
          <w:lang w:val="en-US"/>
        </w:rPr>
        <w:t xml:space="preserve">The Educational Forum. </w:t>
      </w:r>
      <w:r>
        <w:rPr>
          <w:rStyle w:val="None"/>
          <w:color w:val="000000"/>
          <w:u w:color="000000"/>
          <w:rtl w:val="0"/>
          <w:lang w:val="en-US"/>
        </w:rPr>
        <w:t>Vol. 40.</w:t>
      </w:r>
    </w:p>
    <w:p>
      <w:pPr>
        <w:pStyle w:val="Text body"/>
        <w:rPr>
          <w:rStyle w:val="None"/>
          <w:color w:val="000000"/>
          <w:u w:color="000000"/>
        </w:rPr>
      </w:pPr>
      <w:r>
        <w:rPr>
          <w:rStyle w:val="None"/>
          <w:color w:val="000000"/>
          <w:u w:color="000000"/>
          <w:rtl w:val="0"/>
          <w:lang w:val="en-US"/>
        </w:rPr>
        <w:t>Boaler, J., Wiliam, D. and Brown, M. (2000) Students' Experiences of Ability Grouping</w:t>
      </w:r>
      <w:r>
        <w:rPr>
          <w:rStyle w:val="None"/>
          <w:color w:val="000000"/>
          <w:u w:color="000000"/>
          <w:rtl w:val="0"/>
          <w:lang w:val="en-US"/>
        </w:rPr>
        <w:t>—</w:t>
      </w:r>
      <w:r>
        <w:rPr>
          <w:rStyle w:val="None"/>
          <w:color w:val="000000"/>
          <w:u w:color="000000"/>
          <w:rtl w:val="0"/>
          <w:lang w:val="en-US"/>
        </w:rPr>
        <w:t xml:space="preserve">disaffection, polarisation and the construction of failure. </w:t>
      </w:r>
      <w:r>
        <w:rPr>
          <w:rStyle w:val="None"/>
          <w:rFonts w:ascii="Calibri" w:cs="Calibri" w:hAnsi="Calibri" w:eastAsia="Calibri"/>
          <w:i w:val="1"/>
          <w:iCs w:val="1"/>
          <w:color w:val="000000"/>
          <w:u w:color="000000"/>
          <w:rtl w:val="0"/>
          <w:lang w:val="en-US"/>
        </w:rPr>
        <w:t>British Educational Research Journal</w:t>
      </w:r>
      <w:r>
        <w:rPr>
          <w:rStyle w:val="None"/>
          <w:color w:val="000000"/>
          <w:u w:color="000000"/>
          <w:rtl w:val="0"/>
          <w:lang w:val="en-US"/>
        </w:rPr>
        <w:t>. Vol. 26, pp. 631</w:t>
      </w:r>
      <w:r>
        <w:rPr>
          <w:rStyle w:val="None"/>
          <w:color w:val="000000"/>
          <w:u w:color="000000"/>
          <w:rtl w:val="0"/>
          <w:lang w:val="en-US"/>
        </w:rPr>
        <w:t>–</w:t>
      </w:r>
      <w:r>
        <w:rPr>
          <w:rStyle w:val="None"/>
          <w:color w:val="000000"/>
          <w:u w:color="000000"/>
          <w:rtl w:val="0"/>
          <w:lang w:val="en-US"/>
        </w:rPr>
        <w:t>648.</w:t>
      </w:r>
    </w:p>
    <w:p>
      <w:pPr>
        <w:pStyle w:val="Text body"/>
        <w:rPr>
          <w:rStyle w:val="None"/>
          <w:color w:val="000000"/>
          <w:u w:color="000000"/>
        </w:rPr>
      </w:pPr>
      <w:r>
        <w:rPr>
          <w:rStyle w:val="None"/>
          <w:color w:val="000000"/>
          <w:u w:color="000000"/>
          <w:rtl w:val="0"/>
          <w:lang w:val="en-US"/>
        </w:rPr>
        <w:t>Bryson, J. (1995) Strategic Planning for Public and Non-profit Organizations. San Francisco: Jossey-Bass.</w:t>
      </w:r>
    </w:p>
    <w:p>
      <w:pPr>
        <w:pStyle w:val="Text body"/>
      </w:pPr>
      <w:r>
        <w:rPr>
          <w:rStyle w:val="None"/>
          <w:color w:val="000000"/>
          <w:u w:color="000000"/>
          <w:rtl w:val="0"/>
          <w:lang w:val="en-US"/>
        </w:rPr>
        <w:t>Cassen, R. and Kingdon, G (2007) Tackling low educational achievement. York: Joseph Rowntree Foundation.</w:t>
      </w:r>
    </w:p>
    <w:p>
      <w:pPr>
        <w:pStyle w:val="Text body"/>
      </w:pPr>
      <w:r>
        <w:rPr>
          <w:rStyle w:val="None"/>
          <w:color w:val="000000"/>
          <w:u w:color="000000"/>
          <w:rtl w:val="0"/>
          <w:lang w:val="en-US"/>
        </w:rPr>
        <w:t xml:space="preserve">D'Amico, J. J. (1988) Strategic Planning for Educational Reform and Improvement. Planning And Changing. Vol. 19, No. 4, pp. 237- 51. </w:t>
      </w:r>
    </w:p>
    <w:p>
      <w:pPr>
        <w:pStyle w:val="Text body"/>
        <w:rPr>
          <w:rStyle w:val="None"/>
          <w:color w:val="000000"/>
          <w:u w:color="000000"/>
        </w:rPr>
      </w:pPr>
      <w:r>
        <w:rPr>
          <w:rStyle w:val="None"/>
          <w:color w:val="000000"/>
          <w:u w:color="000000"/>
          <w:rtl w:val="0"/>
          <w:lang w:val="en-US"/>
        </w:rPr>
        <w:t xml:space="preserve">Duckworth, E. (1987) </w:t>
      </w:r>
      <w:r>
        <w:rPr>
          <w:rStyle w:val="None"/>
          <w:color w:val="000000"/>
          <w:u w:color="000000"/>
          <w:rtl w:val="0"/>
          <w:lang w:val="en-US"/>
        </w:rPr>
        <w:t>“</w:t>
      </w:r>
      <w:r>
        <w:rPr>
          <w:rStyle w:val="None"/>
          <w:color w:val="000000"/>
          <w:u w:color="000000"/>
          <w:rtl w:val="0"/>
          <w:lang w:val="en-US"/>
        </w:rPr>
        <w:t>The Having of Wonderful Ideas</w:t>
      </w:r>
      <w:r>
        <w:rPr>
          <w:rStyle w:val="None"/>
          <w:color w:val="000000"/>
          <w:u w:color="000000"/>
          <w:rtl w:val="0"/>
          <w:lang w:val="en-US"/>
        </w:rPr>
        <w:t xml:space="preserve">” </w:t>
      </w:r>
      <w:r>
        <w:rPr>
          <w:rStyle w:val="None"/>
          <w:color w:val="000000"/>
          <w:u w:color="000000"/>
          <w:rtl w:val="0"/>
          <w:lang w:val="en-US"/>
        </w:rPr>
        <w:t xml:space="preserve">and Other Essays on Teaching and Learning. New York: Teachers College Press, Columbia University. </w:t>
      </w:r>
    </w:p>
    <w:p>
      <w:pPr>
        <w:pStyle w:val="Text body"/>
      </w:pPr>
      <w:r>
        <w:rPr>
          <w:rStyle w:val="None"/>
          <w:color w:val="000000"/>
          <w:u w:color="000000"/>
          <w:rtl w:val="0"/>
          <w:lang w:val="en-US"/>
        </w:rPr>
        <w:t>Fullan, M. (1997). The complexity of the change process. In M. Fullan (Ed.), The Challenge of School Change: A Collection of Articles (pp. 33-56). IRI/Skylight Training and Publishing. Arlington Heights, IL.</w:t>
      </w:r>
    </w:p>
    <w:p>
      <w:pPr>
        <w:pStyle w:val="Text body"/>
      </w:pPr>
      <w:r>
        <w:rPr>
          <w:rtl w:val="0"/>
        </w:rPr>
        <w:t>Gillborn, D. and Youdell, D. (2000) Rationing Education: Policy, Practice, Reform and Equity. Buckingham: Open University Press.</w:t>
      </w:r>
    </w:p>
    <w:p>
      <w:pPr>
        <w:pStyle w:val="Text body"/>
      </w:pPr>
      <w:r>
        <w:rPr>
          <w:rtl w:val="0"/>
        </w:rPr>
        <w:t>Guilloteaux, M. J. and D</w:t>
      </w:r>
      <w:r>
        <w:rPr>
          <w:rtl w:val="0"/>
        </w:rPr>
        <w:t>ö</w:t>
      </w:r>
      <w:r>
        <w:rPr>
          <w:rtl w:val="0"/>
        </w:rPr>
        <w:t xml:space="preserve">rnyei, Z. (2008) Motivating language learners: A classroom-oriented investigation of the effects of motivational strategies on student motivation. </w:t>
      </w:r>
      <w:r>
        <w:rPr>
          <w:rStyle w:val="None"/>
          <w:rFonts w:ascii="Calibri" w:cs="Calibri" w:hAnsi="Calibri" w:eastAsia="Calibri"/>
          <w:i w:val="1"/>
          <w:iCs w:val="1"/>
          <w:rtl w:val="0"/>
          <w:lang w:val="en-US"/>
        </w:rPr>
        <w:t>TESOL Quarterly.</w:t>
      </w:r>
      <w:r>
        <w:rPr>
          <w:rtl w:val="0"/>
        </w:rPr>
        <w:t xml:space="preserve"> Vol. 42, No. 1, pp. 55-77.</w:t>
      </w:r>
    </w:p>
    <w:p>
      <w:pPr>
        <w:pStyle w:val="Text body"/>
      </w:pPr>
      <w:r>
        <w:rPr>
          <w:rtl w:val="0"/>
        </w:rPr>
        <w:t xml:space="preserve">Guthrie, J., Wigfield, A., Metsala, J. L. and Cox, K. E. (1999) Motivational and cognitive predictors of text comprehension and reading amount. </w:t>
      </w:r>
      <w:r>
        <w:rPr>
          <w:rStyle w:val="None"/>
          <w:rFonts w:ascii="Calibri" w:cs="Calibri" w:hAnsi="Calibri" w:eastAsia="Calibri"/>
          <w:i w:val="1"/>
          <w:iCs w:val="1"/>
          <w:rtl w:val="0"/>
          <w:lang w:val="en-US"/>
        </w:rPr>
        <w:t>Scientific Studies of Reading.</w:t>
      </w:r>
      <w:r>
        <w:rPr>
          <w:rtl w:val="0"/>
        </w:rPr>
        <w:t xml:space="preserve"> Vol. 3, No. 3, pp. 231-256.</w:t>
      </w:r>
    </w:p>
    <w:p>
      <w:pPr>
        <w:pStyle w:val="Text body"/>
        <w:rPr>
          <w:rStyle w:val="None"/>
          <w:color w:val="000000"/>
          <w:u w:color="000000"/>
        </w:rPr>
      </w:pPr>
      <w:r>
        <w:rPr>
          <w:rStyle w:val="None"/>
          <w:color w:val="000000"/>
          <w:u w:color="000000"/>
          <w:rtl w:val="0"/>
          <w:lang w:val="en-US"/>
        </w:rPr>
        <w:t xml:space="preserve">Harlen, W. (2003) The Inequitable Impacts of High Stakes Testing. </w:t>
      </w:r>
      <w:r>
        <w:rPr>
          <w:rStyle w:val="None"/>
          <w:rFonts w:ascii="Calibri" w:cs="Calibri" w:hAnsi="Calibri" w:eastAsia="Calibri"/>
          <w:i w:val="1"/>
          <w:iCs w:val="1"/>
          <w:color w:val="000000"/>
          <w:u w:color="000000"/>
          <w:rtl w:val="0"/>
          <w:lang w:val="en-US"/>
        </w:rPr>
        <w:t>Education Review</w:t>
      </w:r>
      <w:r>
        <w:rPr>
          <w:rStyle w:val="None"/>
          <w:color w:val="000000"/>
          <w:u w:color="000000"/>
          <w:rtl w:val="0"/>
          <w:lang w:val="en-US"/>
        </w:rPr>
        <w:t>. Vol. 17, No. 1, pp. 43</w:t>
      </w:r>
      <w:r>
        <w:rPr>
          <w:rStyle w:val="None"/>
          <w:color w:val="000000"/>
          <w:u w:color="000000"/>
          <w:rtl w:val="0"/>
          <w:lang w:val="en-US"/>
        </w:rPr>
        <w:t>–</w:t>
      </w:r>
      <w:r>
        <w:rPr>
          <w:rStyle w:val="None"/>
          <w:color w:val="000000"/>
          <w:u w:color="000000"/>
          <w:rtl w:val="0"/>
          <w:lang w:val="en-US"/>
        </w:rPr>
        <w:t>50.</w:t>
      </w:r>
    </w:p>
    <w:p>
      <w:pPr>
        <w:pStyle w:val="Text body"/>
      </w:pPr>
      <w:r>
        <w:rPr>
          <w:rStyle w:val="None"/>
          <w:color w:val="000000"/>
          <w:u w:color="000000"/>
          <w:rtl w:val="0"/>
          <w:lang w:val="en-US"/>
        </w:rPr>
        <w:t xml:space="preserve">Hirsch, D. (2006) </w:t>
      </w:r>
      <w:r>
        <w:rPr>
          <w:rStyle w:val="None"/>
          <w:rFonts w:ascii="Calibri" w:cs="Calibri" w:hAnsi="Calibri" w:eastAsia="Calibri"/>
          <w:i w:val="1"/>
          <w:iCs w:val="1"/>
          <w:color w:val="000000"/>
          <w:u w:color="000000"/>
          <w:rtl w:val="0"/>
          <w:lang w:val="en-US"/>
        </w:rPr>
        <w:t xml:space="preserve">What will it take to end child poverty? Firing on all cylinders. </w:t>
      </w:r>
      <w:r>
        <w:rPr>
          <w:rStyle w:val="None"/>
          <w:color w:val="000000"/>
          <w:u w:color="000000"/>
          <w:rtl w:val="0"/>
          <w:lang w:val="en-US"/>
        </w:rPr>
        <w:t xml:space="preserve">Joseph Rowntree Foundation. York. Available at: http:///www.jrf.org.uk/knowledge/findings/ socialpolicy/ 0366.asp </w:t>
      </w:r>
    </w:p>
    <w:p>
      <w:pPr>
        <w:pStyle w:val="Text body"/>
      </w:pPr>
      <w:r>
        <w:rPr>
          <w:rStyle w:val="None"/>
          <w:color w:val="000000"/>
          <w:u w:color="000000"/>
          <w:rtl w:val="0"/>
          <w:lang w:val="en-US"/>
        </w:rPr>
        <w:t>Jerrim, J. and Macmillan, L. (2014). Income inequality, intergenerational mobility and the Great Gatsby Curve: is education the key? DoQSS working paper. Available at: http://ideas.repec.org/s/ qss/dqsswp.html.</w:t>
      </w:r>
    </w:p>
    <w:p>
      <w:pPr>
        <w:pStyle w:val="Text body"/>
      </w:pPr>
      <w:r>
        <w:rPr>
          <w:rStyle w:val="None"/>
          <w:color w:val="000000"/>
          <w:u w:color="000000"/>
          <w:rtl w:val="0"/>
          <w:lang w:val="en-US"/>
        </w:rPr>
        <w:t xml:space="preserve">Krashen, S. (2002) Accelerated Reader: Does it work? If so, why? </w:t>
      </w:r>
      <w:r>
        <w:rPr>
          <w:rStyle w:val="None"/>
          <w:rFonts w:ascii="Calibri" w:cs="Calibri" w:hAnsi="Calibri" w:eastAsia="Calibri"/>
          <w:i w:val="1"/>
          <w:iCs w:val="1"/>
          <w:color w:val="000000"/>
          <w:u w:color="000000"/>
          <w:rtl w:val="0"/>
          <w:lang w:val="en-US"/>
        </w:rPr>
        <w:t>School Libraries in Canada.</w:t>
      </w:r>
      <w:r>
        <w:rPr>
          <w:rStyle w:val="None"/>
          <w:color w:val="000000"/>
          <w:u w:color="000000"/>
          <w:rtl w:val="0"/>
          <w:lang w:val="en-US"/>
        </w:rPr>
        <w:t xml:space="preserve"> Vol. 22, No. 2, pp. 24</w:t>
      </w:r>
      <w:r>
        <w:rPr>
          <w:rStyle w:val="None"/>
          <w:color w:val="000000"/>
          <w:u w:color="000000"/>
          <w:rtl w:val="0"/>
          <w:lang w:val="en-US"/>
        </w:rPr>
        <w:t>–</w:t>
      </w:r>
      <w:r>
        <w:rPr>
          <w:rStyle w:val="None"/>
          <w:color w:val="000000"/>
          <w:u w:color="000000"/>
          <w:rtl w:val="0"/>
          <w:lang w:val="en-US"/>
        </w:rPr>
        <w:t>26.</w:t>
      </w:r>
    </w:p>
    <w:p>
      <w:pPr>
        <w:pStyle w:val="Text body"/>
        <w:rPr>
          <w:rStyle w:val="None"/>
          <w:color w:val="000000"/>
          <w:u w:color="000000"/>
        </w:rPr>
      </w:pPr>
      <w:r>
        <w:rPr>
          <w:rStyle w:val="None"/>
          <w:color w:val="000000"/>
          <w:u w:color="000000"/>
          <w:rtl w:val="0"/>
          <w:lang w:val="en-US"/>
        </w:rPr>
        <w:t xml:space="preserve">Lance, K. C. (2002) How school librarians leave no child behind: The impact of school library media programs on academic achievement of U.S. public school students. </w:t>
      </w:r>
      <w:r>
        <w:rPr>
          <w:rStyle w:val="None"/>
          <w:rFonts w:ascii="Calibri" w:cs="Calibri" w:hAnsi="Calibri" w:eastAsia="Calibri"/>
          <w:i w:val="1"/>
          <w:iCs w:val="1"/>
          <w:color w:val="000000"/>
          <w:u w:color="000000"/>
          <w:rtl w:val="0"/>
          <w:lang w:val="en-US"/>
        </w:rPr>
        <w:t>School Libraries in Canada</w:t>
      </w:r>
      <w:r>
        <w:rPr>
          <w:rStyle w:val="None"/>
          <w:color w:val="000000"/>
          <w:u w:color="000000"/>
          <w:rtl w:val="0"/>
          <w:lang w:val="en-US"/>
        </w:rPr>
        <w:t>. Vol. 22, No. 2, pp. 3</w:t>
      </w:r>
      <w:r>
        <w:rPr>
          <w:rStyle w:val="None"/>
          <w:color w:val="000000"/>
          <w:u w:color="000000"/>
          <w:rtl w:val="0"/>
          <w:lang w:val="en-US"/>
        </w:rPr>
        <w:t>–</w:t>
      </w:r>
      <w:r>
        <w:rPr>
          <w:rStyle w:val="None"/>
          <w:color w:val="000000"/>
          <w:u w:color="000000"/>
          <w:rtl w:val="0"/>
          <w:lang w:val="en-US"/>
        </w:rPr>
        <w:t>6.</w:t>
      </w:r>
    </w:p>
    <w:p>
      <w:pPr>
        <w:pStyle w:val="Text body"/>
        <w:rPr>
          <w:rStyle w:val="None"/>
          <w:color w:val="000000"/>
          <w:u w:color="000000"/>
        </w:rPr>
      </w:pPr>
      <w:r>
        <w:rPr>
          <w:rStyle w:val="None"/>
          <w:color w:val="000000"/>
          <w:u w:color="000000"/>
          <w:rtl w:val="0"/>
          <w:lang w:val="en-US"/>
        </w:rPr>
        <w:t>OBrien, P. (1991) Strategic planning and management for organization. In R. Carlson and G. Awkerman (Eds.), Educational Planning: Concepts, Strategies, Practices. New York: Longman.</w:t>
      </w:r>
    </w:p>
    <w:p>
      <w:pPr>
        <w:pStyle w:val="Text body"/>
      </w:pPr>
      <w:r>
        <w:rPr>
          <w:rtl w:val="0"/>
        </w:rPr>
        <w:t>Sukhnandan, L. and Lee, B. (1998) Streaming, Setting and Grouping by Ability: A Review of the Literature. Slough: NFER.</w:t>
      </w:r>
    </w:p>
    <w:p>
      <w:pPr>
        <w:pStyle w:val="Text body"/>
      </w:pPr>
      <w:r>
        <w:rPr>
          <w:rtl w:val="0"/>
        </w:rPr>
        <w:t>Vygotsky, L. S. (1978) Mind in Society: the Development of Higher Psychological Processes. Cambridge, MA: Harvard University Press.</w:t>
      </w:r>
    </w:p>
    <w:p>
      <w:pPr>
        <w:pStyle w:val="Text body"/>
      </w:pPr>
      <w:r/>
    </w:p>
    <w:sectPr>
      <w:headerReference w:type="default" r:id="rId4"/>
      <w:footerReference w:type="default" r:id="rId5"/>
      <w:pgSz w:w="11900" w:h="16840" w:orient="portrait"/>
      <w:pgMar w:top="1440" w:right="1440" w:bottom="1440" w:left="1440" w:header="720" w:footer="720"/>
      <w:bidi w:val="0"/>
    </w:sectPr>
  </w:body>
</w:document>
</file>

<file path=word/fontTable.xml><?xml version="1.0" encoding="utf-8"?>
<w:fonts xmlns:w="http://schemas.openxmlformats.org/wordprocessingml/2006/main">
  <w:font w:name="Times New Roman">
    <w:charset w:val="00"/>
    <w:family w:val="roman"/>
    <w:pitch w:val="variable"/>
  </w:font>
  <w:font w:name="Symbol">
    <w:charset w:val="02"/>
    <w:family w:val="roman"/>
    <w:pitch w:val="variable"/>
  </w:font>
  <w:font w:name="Arial">
    <w:charset w:val="00"/>
    <w:family w:val="swiss"/>
    <w:pitch w:val="variable"/>
  </w:font>
  <w:font w:name="Arial Unicode MS">
    <w:charset w:val="00"/>
    <w:family w:val="roman"/>
    <w:pitch w:val="default"/>
  </w:font>
  <w:font w:name="Helvetica Neue">
    <w:charset w:val="00"/>
    <w:family w:val="roman"/>
    <w:pitch w:val="default"/>
  </w:font>
  <w:font w:name="Calibri">
    <w:charset w:val="00"/>
    <w:family w:val="roman"/>
    <w:pitch w:val="default"/>
  </w:font>
</w:fonts>
</file>

<file path=word/footer1.xml><?xml version="1.0" encoding="utf-8"?>
<w:ftr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p>
    <w:pPr>
      <w:pStyle w:val="footer"/>
      <w:tabs>
        <w:tab w:val="right" w:pos="9000"/>
        <w:tab w:val="clear" w:pos="9360"/>
      </w:tabs>
      <w:jc w:val="center"/>
    </w:pPr>
    <w:r>
      <w:rPr>
        <w:sz w:val="20"/>
        <w:szCs w:val="20"/>
        <w:rtl w:val="0"/>
      </w:rPr>
      <w:fldChar w:fldCharType="begin" w:fldLock="0"/>
    </w:r>
    <w:r>
      <w:rPr>
        <w:sz w:val="20"/>
        <w:szCs w:val="20"/>
        <w:rtl w:val="0"/>
      </w:rPr>
      <w:instrText xml:space="preserve"> PAGE </w:instrText>
    </w:r>
    <w:r>
      <w:rPr>
        <w:sz w:val="20"/>
        <w:szCs w:val="20"/>
        <w:rtl w:val="0"/>
      </w:rPr>
      <w:fldChar w:fldCharType="separate" w:fldLock="0"/>
    </w:r>
    <w:r>
      <w:rPr>
        <w:sz w:val="20"/>
        <w:szCs w:val="20"/>
        <w:rtl w:val="0"/>
      </w:rPr>
      <w:t>18</w:t>
    </w:r>
    <w:r>
      <w:rPr>
        <w:sz w:val="20"/>
        <w:szCs w:val="20"/>
        <w:rtl w:val="0"/>
      </w:rPr>
      <w:fldChar w:fldCharType="end" w:fldLock="0"/>
    </w:r>
    <w:r/>
  </w:p>
</w:ftr>
</file>

<file path=word/header1.xml><?xml version="1.0" encoding="utf-8"?>
<w:hdr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p>
    <w:pPr>
      <w:pStyle w:val="Header &amp; Footer"/>
      <w:bidi w:val="0"/>
    </w:pPr>
    <w:r/>
  </w:p>
</w:hdr>
</file>

<file path=word/settings.xml><?xml version="1.0" encoding="utf-8"?>
<w:settings xmlns:mc="http://schemas.openxmlformats.org/markup-compatibility/2006" xmlns:o="urn:schemas-microsoft-com:office:office" xmlns:v="urn:schemas-microsoft-com:vml" xmlns:w="http://schemas.openxmlformats.org/wordprocessingml/2006/main">
  <w:view w:val="print"/>
  <w:mirrorMargins w:val="0"/>
  <w:bordersDoNotSurroundHeader w:val="0"/>
  <w:bordersDoNotSurroundFooter w:val="0"/>
  <w:displayBackgroundShape/>
  <w:revisionView w:markup="1" w:comments="1" w:insDel="1" w:formatting="0"/>
  <w:defaultTabStop w:val="720"/>
  <w:autoHyphenation w:val="0"/>
  <w:evenAndOddHeaders w:val="0"/>
  <w:bookFoldPrinting w:val="0"/>
  <w:noLineBreaksAfter w:lang="English" w:val="‘“(〔[{〈《「『【⦅〘〖«〝︵︷︹︻︽︿﹁﹃﹇﹙﹛﹝｢"/>
  <w:noLineBreaksBefore w:lang="English" w:val="’”)〕]}〉"/>
  <w:compat>
    <w:compatSetting w:name="compatibilityMode" w:uri="http://schemas.microsoft.com/office/word" w:val="15"/>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w="http://schemas.openxmlformats.org/wordprocessingml/2006/main" xmlns:mc="http://schemas.openxmlformats.org/markup-compatibility/2006" xmlns:w14="http://schemas.microsoft.com/office/word/2010/wordml" mc:Ignorable="w14">
  <w:docDefaults>
    <w:rPrDefault>
      <w:rPr>
        <w:rFonts w:ascii="Times New Roman" w:cs="Times New Roman" w:hAnsi="Times New Roman" w:eastAsia="Arial Unicode MS"/>
        <w:b w:val="0"/>
        <w:bCs w:val="0"/>
        <w:i w:val="0"/>
        <w:iCs w:val="0"/>
        <w:caps w:val="0"/>
        <w:smallCaps w:val="0"/>
        <w:strike w:val="0"/>
        <w:dstrike w:val="0"/>
        <w:outline w:val="0"/>
        <w:emboss w:val="0"/>
        <w:imprint w:val="0"/>
        <w:vanish w:val="0"/>
        <w:color w:val="auto"/>
        <w:spacing w:val="0"/>
        <w:w w:val="100"/>
        <w:kern w:val="0"/>
        <w:position w:val="0"/>
        <w:sz w:val="20"/>
        <w:szCs w:val="20"/>
        <w:u w:val="none" w:color="auto"/>
        <w:bdr w:val="nil"/>
        <w:vertAlign w:val="baseline"/>
        <w:lang/>
      </w:rPr>
    </w:rPrDefault>
    <w:pPrDefault>
      <w:pPr>
        <w:keepNext w:val="0"/>
        <w:keepLines w:val="0"/>
        <w:pageBreakBefore w:val="0"/>
        <w:framePr w:anchorLock="0" w:w="0" w:h="0" w:vSpace="0" w:hSpace="0" w:xAlign="left" w:y="0" w:hRule="exact" w:vAnchor="margin"/>
        <w:widowControl w:val="1"/>
        <w:numPr>
          <w:ilvl w:val="0"/>
          <w:numId w:val="0"/>
        </w:numPr>
        <w:suppressLineNumbers w:val="0"/>
        <w:pBdr>
          <w:top w:val="nil"/>
          <w:left w:val="nil"/>
          <w:bottom w:val="nil"/>
          <w:right w:val="nil"/>
          <w:between w:val="nil"/>
          <w:bar w:val="nil"/>
        </w:pBdr>
        <w:shd w:val="clear" w:color="auto" w:fill="auto"/>
        <w:suppressAutoHyphens w:val="0"/>
        <w:spacing w:before="0" w:beforeAutospacing="0" w:after="0" w:afterAutospacing="0" w:line="240" w:lineRule="auto"/>
        <w:ind w:left="0" w:right="0" w:firstLine="0"/>
        <w:jc w:val="left"/>
        <w:outlineLvl w:val="9"/>
      </w:pPr>
    </w:pPrDefault>
  </w:docDefaults>
  <w:style w:type="paragraph" w:default="1" w:styleId="Normal">
    <w:name w:val="Normal"/>
    <w:next w:val="Normal"/>
    <w:pPr/>
    <w:rPr>
      <w:sz w:val="24"/>
      <w:szCs w:val="24"/>
      <w:lang w:val="en-US" w:eastAsia="en-US" w:bidi="ar-SA"/>
    </w:rPr>
  </w:style>
  <w:style w:type="character" w:default="1" w:styleId="Default Paragraph Font">
    <w:name w:val="Default Paragraph Font"/>
    <w:next w:val="Default Paragraph Font"/>
  </w:style>
  <w:style w:type="character" w:styleId="Hyperlink">
    <w:name w:val="Hyperlink"/>
    <w:rPr>
      <w:u w:val="single"/>
    </w:rPr>
  </w:style>
  <w:style w:type="table" w:default="1" w:styleId="Table Normal">
    <w:name w:val="Table Normal"/>
    <w:next w:val="Table Normal"/>
    <w:pPr/>
    <w:tblPr>
      <w:tblInd w:w="0" w:type="dxa"/>
    </w:tblPr>
    <w:trPr/>
    <w:tcPr/>
    <w:tblStylePr w:type="firstRow"/>
    <w:tblStylePr w:type="lastRow"/>
    <w:tblStylePr w:type="firstCol"/>
    <w:tblStylePr w:type="lastCol"/>
    <w:tblStylePr w:type="band1Vert"/>
    <w:tblStylePr w:type="band2Vert"/>
    <w:tblStylePr w:type="band1Horz"/>
    <w:tblStylePr w:type="band2Horz"/>
    <w:tblStylePr w:type="neCell"/>
    <w:tblStylePr w:type="nwCell"/>
    <w:tblStylePr w:type="seCell"/>
    <w:tblStylePr w:type="swCell"/>
  </w:style>
  <w:style w:type="numbering" w:default="1" w:styleId="No List">
    <w:name w:val="No List"/>
    <w:next w:val="No List"/>
    <w:pPr/>
  </w:style>
  <w:style w:type="paragraph" w:styleId="Header &amp; Footer">
    <w:name w:val="Header &amp; Footer"/>
    <w:next w:val="Header &amp; Footer"/>
    <w:pPr>
      <w:keepNext w:val="0"/>
      <w:keepLines w:val="0"/>
      <w:pageBreakBefore w:val="0"/>
      <w:widowControl w:val="1"/>
      <w:shd w:val="clear" w:color="auto" w:fill="auto"/>
      <w:tabs>
        <w:tab w:val="right" w:pos="9020"/>
      </w:tabs>
      <w:suppressAutoHyphens w:val="0"/>
      <w:bidi w:val="0"/>
      <w:spacing w:before="0" w:after="0" w:line="240" w:lineRule="auto"/>
      <w:ind w:left="0" w:right="0" w:firstLine="0"/>
      <w:jc w:val="left"/>
      <w:outlineLvl w:val="9"/>
    </w:pPr>
    <w:rPr>
      <w:rFonts w:ascii="Helvetica Neue" w:cs="Arial Unicode MS" w:hAnsi="Helvetica Neue" w:eastAsia="Arial Unicode MS"/>
      <w:b w:val="0"/>
      <w:bCs w:val="0"/>
      <w:i w:val="0"/>
      <w:iCs w:val="0"/>
      <w:caps w:val="0"/>
      <w:smallCaps w:val="0"/>
      <w:strike w:val="0"/>
      <w:dstrike w:val="0"/>
      <w:outline w:val="0"/>
      <w:color w:val="000000"/>
      <w:spacing w:val="0"/>
      <w:kern w:val="0"/>
      <w:position w:val="0"/>
      <w:sz w:val="24"/>
      <w:szCs w:val="24"/>
      <w:u w:val="none"/>
      <w:vertAlign w:val="baseline"/>
    </w:rPr>
  </w:style>
  <w:style w:type="paragraph" w:styleId="footer">
    <w:name w:val="footer"/>
    <w:next w:val="footer"/>
    <w:pPr>
      <w:keepNext w:val="0"/>
      <w:keepLines w:val="0"/>
      <w:pageBreakBefore w:val="0"/>
      <w:widowControl w:val="1"/>
      <w:shd w:val="clear" w:color="auto" w:fill="auto"/>
      <w:tabs>
        <w:tab w:val="center" w:pos="4680"/>
        <w:tab w:val="right" w:pos="9360"/>
      </w:tabs>
      <w:suppressAutoHyphens w:val="1"/>
      <w:bidi w:val="0"/>
      <w:spacing w:before="0" w:after="0" w:line="240" w:lineRule="auto"/>
      <w:ind w:left="0" w:right="0" w:firstLine="0"/>
      <w:jc w:val="left"/>
      <w:outlineLvl w:val="9"/>
    </w:pPr>
    <w:rPr>
      <w:rFonts w:ascii="Calibri" w:cs="Calibri" w:hAnsi="Calibri" w:eastAsia="Calibri"/>
      <w:b w:val="0"/>
      <w:bCs w:val="0"/>
      <w:i w:val="0"/>
      <w:iCs w:val="0"/>
      <w:caps w:val="0"/>
      <w:smallCaps w:val="0"/>
      <w:strike w:val="0"/>
      <w:dstrike w:val="0"/>
      <w:outline w:val="0"/>
      <w:color w:val="000000"/>
      <w:spacing w:val="0"/>
      <w:kern w:val="2"/>
      <w:position w:val="0"/>
      <w:sz w:val="24"/>
      <w:szCs w:val="24"/>
      <w:u w:val="none" w:color="000000"/>
      <w:vertAlign w:val="baseline"/>
      <w:lang w:val="en-US"/>
    </w:rPr>
  </w:style>
  <w:style w:type="paragraph" w:styleId="Text body">
    <w:name w:val="Text body"/>
    <w:next w:val="Text body"/>
    <w:pPr>
      <w:keepNext w:val="0"/>
      <w:keepLines w:val="0"/>
      <w:pageBreakBefore w:val="0"/>
      <w:widowControl w:val="1"/>
      <w:shd w:val="clear" w:color="auto" w:fill="auto"/>
      <w:suppressAutoHyphens w:val="1"/>
      <w:bidi w:val="0"/>
      <w:spacing w:before="0" w:after="140" w:line="276" w:lineRule="auto"/>
      <w:ind w:left="0" w:right="0" w:firstLine="0"/>
      <w:jc w:val="left"/>
      <w:outlineLvl w:val="9"/>
    </w:pPr>
    <w:rPr>
      <w:rFonts w:ascii="Calibri" w:cs="Calibri" w:hAnsi="Calibri" w:eastAsia="Calibri"/>
      <w:b w:val="0"/>
      <w:bCs w:val="0"/>
      <w:i w:val="0"/>
      <w:iCs w:val="0"/>
      <w:caps w:val="0"/>
      <w:smallCaps w:val="0"/>
      <w:strike w:val="0"/>
      <w:dstrike w:val="0"/>
      <w:outline w:val="0"/>
      <w:color w:val="000000"/>
      <w:spacing w:val="0"/>
      <w:kern w:val="2"/>
      <w:position w:val="0"/>
      <w:sz w:val="24"/>
      <w:szCs w:val="24"/>
      <w:u w:val="none" w:color="000000"/>
      <w:vertAlign w:val="baseline"/>
      <w:lang w:val="en-US"/>
    </w:rPr>
  </w:style>
  <w:style w:type="paragraph" w:styleId="Body">
    <w:name w:val="Body"/>
    <w:next w:val="Body"/>
    <w:pPr>
      <w:keepNext w:val="0"/>
      <w:keepLines w:val="0"/>
      <w:pageBreakBefore w:val="0"/>
      <w:widowControl w:val="1"/>
      <w:shd w:val="clear" w:color="auto" w:fill="auto"/>
      <w:suppressAutoHyphens w:val="1"/>
      <w:bidi w:val="0"/>
      <w:spacing w:before="0" w:after="0" w:line="240" w:lineRule="auto"/>
      <w:ind w:left="0" w:right="0" w:firstLine="0"/>
      <w:jc w:val="left"/>
      <w:outlineLvl w:val="9"/>
    </w:pPr>
    <w:rPr>
      <w:rFonts w:ascii="Calibri" w:cs="Calibri" w:hAnsi="Calibri" w:eastAsia="Calibri"/>
      <w:b w:val="0"/>
      <w:bCs w:val="0"/>
      <w:i w:val="0"/>
      <w:iCs w:val="0"/>
      <w:caps w:val="0"/>
      <w:smallCaps w:val="0"/>
      <w:strike w:val="0"/>
      <w:dstrike w:val="0"/>
      <w:outline w:val="0"/>
      <w:color w:val="000000"/>
      <w:spacing w:val="0"/>
      <w:kern w:val="2"/>
      <w:position w:val="0"/>
      <w:sz w:val="24"/>
      <w:szCs w:val="24"/>
      <w:u w:val="none" w:color="000000"/>
      <w:vertAlign w:val="baseline"/>
    </w:rPr>
  </w:style>
  <w:style w:type="character" w:styleId="None">
    <w:name w:val="None"/>
  </w:style>
  <w:style w:type="character" w:styleId="Hyperlink.0">
    <w:name w:val="Hyperlink.0"/>
    <w:basedOn w:val="None"/>
    <w:next w:val="Hyperlink.0"/>
    <w:rPr>
      <w:color w:val="000000"/>
      <w:u w:val="single" w:color="000000"/>
    </w:rPr>
  </w:style>
</w:styles>
</file>

<file path=word/_rels/document.xml.rels><?xml version="1.0" encoding="UTF-8"?>
<Relationships xmlns="http://schemas.openxmlformats.org/package/2006/relationships"><Relationship Id="rId1" Type="http://schemas.openxmlformats.org/officeDocument/2006/relationships/settings" Target="settings.xml"/><Relationship Id="rId2" Type="http://schemas.openxmlformats.org/officeDocument/2006/relationships/fontTable" Target="fontTable.xml"/><Relationship Id="rId3" Type="http://schemas.openxmlformats.org/officeDocument/2006/relationships/styles" Target="styles.xml"/><Relationship Id="rId4" Type="http://schemas.openxmlformats.org/officeDocument/2006/relationships/header" Target="header1.xml"/><Relationship Id="rId5" Type="http://schemas.openxmlformats.org/officeDocument/2006/relationships/footer" Target="footer1.xml"/><Relationship Id="rId6" Type="http://schemas.openxmlformats.org/officeDocument/2006/relationships/theme" Target="theme/theme1.xml"/></Relationships>

</file>

<file path=word/theme/theme1.xml><?xml version="1.0" encoding="utf-8"?>
<a:theme xmlns:a="http://schemas.openxmlformats.org/drawingml/2006/main" xmlns:r="http://schemas.openxmlformats.org/officeDocument/2006/relationships" name="Office Theme">
  <a:themeElements>
    <a:clrScheme name="Office Theme">
      <a:dk1>
        <a:srgbClr val="000000"/>
      </a:dk1>
      <a:lt1>
        <a:srgbClr val="FFFFFF"/>
      </a:lt1>
      <a:dk2>
        <a:srgbClr val="A7A7A7"/>
      </a:dk2>
      <a:lt2>
        <a:srgbClr val="535353"/>
      </a:lt2>
      <a:accent1>
        <a:srgbClr val="4472C4"/>
      </a:accent1>
      <a:accent2>
        <a:srgbClr val="ED7D31"/>
      </a:accent2>
      <a:accent3>
        <a:srgbClr val="A5A5A5"/>
      </a:accent3>
      <a:accent4>
        <a:srgbClr val="FFC000"/>
      </a:accent4>
      <a:accent5>
        <a:srgbClr val="5B9BD5"/>
      </a:accent5>
      <a:accent6>
        <a:srgbClr val="70AD47"/>
      </a:accent6>
      <a:hlink>
        <a:srgbClr val="0000FF"/>
      </a:hlink>
      <a:folHlink>
        <a:srgbClr val="FF00FF"/>
      </a:folHlink>
    </a:clrScheme>
    <a:fontScheme name="Office Theme">
      <a:majorFont>
        <a:latin typeface="Helvetica Neue"/>
        <a:ea typeface="Helvetica Neue"/>
        <a:cs typeface="Helvetica Neue"/>
      </a:majorFont>
      <a:minorFont>
        <a:latin typeface="Helvetica Neue"/>
        <a:ea typeface="Helvetica Neue"/>
        <a:cs typeface="Helvetica Neue"/>
      </a:minorFont>
    </a:fontScheme>
    <a:fmtScheme name="Office Them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29999"/>
              </a:schemeClr>
            </a:gs>
            <a:gs pos="100000">
              <a:schemeClr val="phClr">
                <a:tint val="50000"/>
                <a:shade val="100000"/>
                <a:satMod val="350000"/>
              </a:schemeClr>
            </a:gs>
          </a:gsLst>
          <a:lin ang="16200000" scaled="0"/>
        </a:gradFill>
      </a:fillStyleLst>
      <a:lnStyleLst>
        <a:ln w="9525" cap="flat" cmpd="sng" algn="ctr">
          <a:solidFill>
            <a:schemeClr val="phClr">
              <a:shade val="95000"/>
              <a:satMod val="104999"/>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effectStyle>
        <a:effectStyle>
          <a:effectLst/>
        </a:effectStyle>
        <a:effectStyle>
          <a:effectLst/>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solidFill>
          <a:srgbClr val="FFFFFF"/>
        </a:solidFill>
        <a:ln w="12700" cap="flat">
          <a:solidFill>
            <a:schemeClr val="accent1"/>
          </a:solidFill>
          <a:prstDash val="solid"/>
          <a:miter lim="800000"/>
        </a:ln>
        <a:effectLst/>
        <a:sp3d/>
      </a:spPr>
      <a:bodyPr rot="0" spcFirstLastPara="1" vertOverflow="overflow" horzOverflow="overflow" vert="horz" wrap="square" lIns="45719" tIns="45719" rIns="45719" bIns="45719" numCol="1" spcCol="38100" rtlCol="0" anchor="ctr" upright="0">
        <a:spAutoFit/>
      </a:bodyPr>
      <a:lstStyle>
        <a:defPPr marL="0" marR="0" indent="0" algn="l" defTabSz="914400" rtl="0" fontAlgn="auto" latinLnBrk="0"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latin typeface="Calibri"/>
            <a:ea typeface="Calibri"/>
            <a:cs typeface="Calibri"/>
            <a:sym typeface="Calibri"/>
          </a:defRPr>
        </a:defPPr>
        <a:lvl1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9pPr>
      </a:lstStyle>
      <a:style>
        <a:lnRef idx="0"/>
        <a:fillRef idx="0"/>
        <a:effectRef idx="0"/>
        <a:fontRef idx="none"/>
      </a:style>
    </a:spDef>
    <a:lnDef>
      <a:spPr>
        <a:noFill/>
        <a:ln w="12700" cap="flat">
          <a:solidFill>
            <a:schemeClr val="accent1"/>
          </a:solidFill>
          <a:prstDash val="solid"/>
          <a:miter lim="800000"/>
        </a:ln>
        <a:effectLst/>
        <a:sp3d/>
      </a:spPr>
      <a:bodyPr rot="0" spcFirstLastPara="1" vertOverflow="overflow" horzOverflow="overflow" vert="horz" wrap="square" lIns="91439" tIns="45719" rIns="91439" bIns="45719" numCol="1" spcCol="38100" rtlCol="0" anchor="t" upright="0">
        <a:noAutofit/>
      </a:bodyPr>
      <a:lstStyle>
        <a:def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defPPr>
        <a:lvl1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9pPr>
      </a:lstStyle>
      <a:style>
        <a:lnRef idx="0"/>
        <a:fillRef idx="0"/>
        <a:effectRef idx="0"/>
        <a:fontRef idx="none"/>
      </a:style>
    </a:lnDef>
    <a:txDef>
      <a:spPr>
        <a:noFill/>
        <a:ln w="12700" cap="flat">
          <a:noFill/>
          <a:miter lim="400000"/>
        </a:ln>
        <a:effectLst/>
        <a:sp3d/>
      </a:spPr>
      <a:bodyPr rot="0" spcFirstLastPara="1" vertOverflow="overflow" horzOverflow="overflow" vert="horz" wrap="square" lIns="45719" tIns="45719" rIns="45719" bIns="45719" numCol="1" spcCol="38100" rtlCol="0" anchor="t" upright="0">
        <a:spAutoFit/>
      </a:bodyPr>
      <a:lstStyle>
        <a:defPPr marL="0" marR="0" indent="0" algn="l" defTabSz="914400" rtl="0" fontAlgn="auto" latinLnBrk="0"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latin typeface="Calibri"/>
            <a:ea typeface="Calibri"/>
            <a:cs typeface="Calibri"/>
            <a:sym typeface="Calibri"/>
          </a:defRPr>
        </a:defPPr>
        <a:lvl1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9pPr>
      </a:lstStyle>
      <a:style>
        <a:lnRef idx="0"/>
        <a:fillRef idx="0"/>
        <a:effectRef idx="0"/>
        <a:fontRef idx="none"/>
      </a:style>
    </a:txDef>
  </a:objectDefaults>
</a:theme>
</file>

<file path=docProps/app.xml><?xml version="1.0" encoding="utf-8"?>
<Properties xmlns="http://schemas.openxmlformats.org/officeDocument/2006/extended-properties" xmlns:vt="http://schemas.openxmlformats.org/officeDocument/2006/docPropsVTypes"/>
</file>

<file path=docProps/core.xml><?xml version="1.0" encoding="utf-8"?>
<cp:coreProperties xmlns:cp="http://schemas.openxmlformats.org/package/2006/metadata/core-properties" xmlns:dc="http://purl.org/dc/elements/1.1/" xmlns:dcterms="http://purl.org/dc/terms/" xmlns:xsi="http://www.w3.org/2001/XMLSchema-instance"/>
</file>