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
        <w:spacing w:lineRule="auto" w:line="360" w:before="0" w:after="0"/>
        <w:contextualSpacing/>
        <w:jc w:val="center"/>
        <w:rPr/>
      </w:pPr>
      <w:r>
        <w:rPr>
          <w:rFonts w:eastAsia="Times New Roman" w:cs="Times New Roman" w:ascii="Times New Roman" w:hAnsi="Times New Roman"/>
          <w:b w:val="false"/>
          <w:bCs w:val="false"/>
          <w:sz w:val="40"/>
          <w:szCs w:val="40"/>
        </w:rPr>
        <w:t>Data Handling and Business Intelligence</w:t>
      </w:r>
    </w:p>
    <w:p>
      <w:pPr>
        <w:pStyle w:val="Normal"/>
        <w:spacing w:lineRule="auto" w:line="360" w:before="0" w:after="0"/>
        <w:contextualSpacing/>
        <w:jc w:val="center"/>
        <w:rPr>
          <w:rFonts w:ascii="Times New Roman" w:hAnsi="Times New Roman" w:eastAsia="Times New Roman" w:cs="Times New Roman"/>
          <w:b/>
          <w:b/>
          <w:sz w:val="24"/>
          <w:szCs w:val="24"/>
        </w:rPr>
      </w:pPr>
      <w:r>
        <w:rPr>
          <w:rFonts w:cs="Times New Roman" w:ascii="Times New Roman" w:hAnsi="Times New Roman"/>
          <w:sz w:val="32"/>
          <w:szCs w:val="32"/>
        </w:rPr>
        <w:t>(LCBB500</w:t>
      </w:r>
      <w:r>
        <w:rPr>
          <w:rFonts w:cs="Times New Roman" w:ascii="Times New Roman" w:hAnsi="Times New Roman"/>
          <w:sz w:val="32"/>
          <w:szCs w:val="32"/>
        </w:rPr>
        <w:t>0)</w:t>
      </w:r>
    </w:p>
    <w:p>
      <w:pPr>
        <w:pStyle w:val="Normal"/>
        <w:spacing w:lineRule="auto" w:line="276"/>
        <w:jc w:val="center"/>
        <w:rPr>
          <w:rFonts w:ascii="Times New Roman" w:hAnsi="Times New Roman" w:eastAsia="Times New Roman" w:cs="Times New Roman"/>
          <w:b/>
          <w:b/>
          <w:sz w:val="24"/>
          <w:szCs w:val="24"/>
        </w:rPr>
      </w:pPr>
      <w:r>
        <w:rPr>
          <w:rFonts w:cs="Times New Roman" w:ascii="Times New Roman" w:hAnsi="Times New Roman"/>
          <w:sz w:val="32"/>
          <w:szCs w:val="32"/>
        </w:rPr>
        <w:t xml:space="preserve">Assessment </w:t>
      </w:r>
      <w:r>
        <w:rPr>
          <w:rFonts w:cs="Times New Roman" w:ascii="Times New Roman" w:hAnsi="Times New Roman"/>
          <w:sz w:val="32"/>
          <w:szCs w:val="32"/>
        </w:rPr>
        <w:t>2</w:t>
      </w:r>
    </w:p>
    <w:p>
      <w:pPr>
        <w:pStyle w:val="Normal"/>
        <w:spacing w:lineRule="auto" w:line="276"/>
        <w:rPr>
          <w:rFonts w:ascii="Times New Roman" w:hAnsi="Times New Roman" w:eastAsia="Times New Roman" w:cs="Times New Roman"/>
          <w:b/>
          <w:b/>
          <w:sz w:val="24"/>
          <w:szCs w:val="24"/>
        </w:rPr>
      </w:pPr>
      <w:r>
        <w:rPr>
          <w:rFonts w:cs="Times New Roman" w:ascii="Times New Roman" w:hAnsi="Times New Roman"/>
        </w:rPr>
      </w:r>
    </w:p>
    <w:p>
      <w:pPr>
        <w:pStyle w:val="Normal"/>
        <w:spacing w:lineRule="auto" w:line="276"/>
        <w:rPr>
          <w:rFonts w:ascii="Times New Roman" w:hAnsi="Times New Roman" w:eastAsia="Times New Roman" w:cs="Times New Roman"/>
          <w:b/>
          <w:b/>
          <w:sz w:val="24"/>
          <w:szCs w:val="24"/>
        </w:rPr>
      </w:pPr>
      <w:r>
        <w:rPr>
          <w:rFonts w:cs="Times New Roman" w:ascii="Times New Roman" w:hAnsi="Times New Roman"/>
        </w:rPr>
      </w:r>
    </w:p>
    <w:p>
      <w:pPr>
        <w:pStyle w:val="Normal"/>
        <w:spacing w:lineRule="auto" w:line="276"/>
        <w:jc w:val="center"/>
        <w:rPr>
          <w:b/>
          <w:b/>
          <w:bCs/>
          <w:sz w:val="40"/>
          <w:szCs w:val="40"/>
        </w:rPr>
      </w:pPr>
      <w:r>
        <w:rPr>
          <w:rFonts w:cs="Times New Roman" w:ascii="Times New Roman" w:hAnsi="Times New Roman"/>
        </w:rPr>
      </w:r>
    </w:p>
    <w:p>
      <w:pPr>
        <w:pStyle w:val="Normal"/>
        <w:spacing w:lineRule="auto" w:line="276"/>
        <w:jc w:val="center"/>
        <w:rPr>
          <w:b/>
          <w:b/>
          <w:bCs/>
          <w:sz w:val="40"/>
          <w:szCs w:val="40"/>
        </w:rPr>
      </w:pPr>
      <w:r>
        <w:rPr>
          <w:rFonts w:cs="Times New Roman" w:ascii="Times New Roman" w:hAnsi="Times New Roman"/>
        </w:rPr>
      </w:r>
    </w:p>
    <w:p>
      <w:pPr>
        <w:pStyle w:val="Normal"/>
        <w:spacing w:lineRule="auto" w:line="276"/>
        <w:jc w:val="center"/>
        <w:rPr>
          <w:sz w:val="40"/>
          <w:szCs w:val="40"/>
        </w:rPr>
      </w:pPr>
      <w:r>
        <w:rPr>
          <w:rFonts w:cs="Times New Roman" w:ascii="Times New Roman" w:hAnsi="Times New Roman"/>
          <w:b w:val="false"/>
          <w:bCs w:val="false"/>
        </w:rPr>
      </w:r>
    </w:p>
    <w:p>
      <w:pPr>
        <w:pStyle w:val="Normal"/>
        <w:spacing w:lineRule="auto" w:line="276"/>
        <w:jc w:val="center"/>
        <w:rPr>
          <w:rFonts w:ascii="Times New Roman" w:hAnsi="Times New Roman" w:cs="Times New Roman"/>
          <w:b w:val="false"/>
          <w:b w:val="false"/>
          <w:bCs w:val="false"/>
        </w:rPr>
      </w:pPr>
      <w:r>
        <w:rPr>
          <w:rFonts w:cs="Times New Roman" w:ascii="Times New Roman" w:hAnsi="Times New Roman"/>
          <w:b w:val="false"/>
          <w:bCs w:val="false"/>
          <w:sz w:val="40"/>
          <w:szCs w:val="40"/>
        </w:rPr>
        <w:t>Data Analytic</w:t>
      </w:r>
    </w:p>
    <w:p>
      <w:pPr>
        <w:pStyle w:val="Normal"/>
        <w:spacing w:lineRule="auto" w:line="276"/>
        <w:rPr>
          <w:rFonts w:ascii="Times New Roman" w:hAnsi="Times New Roman" w:eastAsia="Times New Roman" w:cs="Times New Roman"/>
          <w:b/>
          <w:b/>
          <w:sz w:val="24"/>
          <w:szCs w:val="24"/>
        </w:rPr>
      </w:pPr>
      <w:r>
        <w:rPr>
          <w:rFonts w:cs="Times New Roman" w:ascii="Times New Roman" w:hAnsi="Times New Roman"/>
          <w:sz w:val="28"/>
          <w:szCs w:val="28"/>
        </w:rPr>
      </w:r>
    </w:p>
    <w:p>
      <w:pPr>
        <w:pStyle w:val="Normal"/>
        <w:spacing w:lineRule="auto" w:line="276"/>
        <w:rPr>
          <w:rFonts w:ascii="Times New Roman" w:hAnsi="Times New Roman" w:eastAsia="Times New Roman" w:cs="Times New Roman"/>
          <w:b/>
          <w:b/>
          <w:sz w:val="24"/>
          <w:szCs w:val="24"/>
        </w:rPr>
      </w:pPr>
      <w:r>
        <w:rPr>
          <w:rFonts w:cs="Times New Roman" w:ascii="Times New Roman" w:hAnsi="Times New Roman"/>
          <w:sz w:val="28"/>
          <w:szCs w:val="28"/>
        </w:rPr>
      </w:r>
    </w:p>
    <w:p>
      <w:pPr>
        <w:pStyle w:val="Normal"/>
        <w:spacing w:lineRule="auto" w:line="276"/>
        <w:rPr>
          <w:rFonts w:ascii="Times New Roman" w:hAnsi="Times New Roman" w:eastAsia="Times New Roman" w:cs="Times New Roman"/>
          <w:b/>
          <w:b/>
          <w:sz w:val="24"/>
          <w:szCs w:val="24"/>
        </w:rPr>
      </w:pPr>
      <w:r>
        <w:rPr/>
      </w:r>
    </w:p>
    <w:p>
      <w:pPr>
        <w:pStyle w:val="Normal"/>
        <w:spacing w:lineRule="auto" w:line="276"/>
        <w:rPr>
          <w:rFonts w:ascii="Times New Roman" w:hAnsi="Times New Roman" w:eastAsia="Times New Roman" w:cs="Times New Roman"/>
          <w:b/>
          <w:b/>
          <w:sz w:val="24"/>
          <w:szCs w:val="24"/>
        </w:rPr>
      </w:pPr>
      <w:r>
        <w:rPr/>
      </w:r>
    </w:p>
    <w:p>
      <w:pPr>
        <w:pStyle w:val="Normal"/>
        <w:spacing w:lineRule="auto" w:line="276"/>
        <w:rPr>
          <w:rFonts w:ascii="Times New Roman" w:hAnsi="Times New Roman" w:eastAsia="Times New Roman" w:cs="Times New Roman"/>
          <w:b/>
          <w:b/>
          <w:sz w:val="24"/>
          <w:szCs w:val="24"/>
        </w:rPr>
      </w:pPr>
      <w:r>
        <w:rPr>
          <w:rFonts w:cs="Times New Roman" w:ascii="Times New Roman" w:hAnsi="Times New Roman"/>
          <w:sz w:val="28"/>
          <w:szCs w:val="28"/>
        </w:rPr>
        <w:t xml:space="preserve">Mladen Dinev                                                                        Dr. </w:t>
      </w:r>
      <w:r>
        <w:rPr>
          <w:sz w:val="28"/>
          <w:szCs w:val="28"/>
        </w:rPr>
        <w:t xml:space="preserve">Anupam Mazumdar </w:t>
      </w:r>
    </w:p>
    <w:p>
      <w:pPr>
        <w:pStyle w:val="Normal"/>
        <w:spacing w:lineRule="auto" w:line="276"/>
        <w:rPr>
          <w:rFonts w:ascii="Times New Roman" w:hAnsi="Times New Roman" w:eastAsia="Times New Roman" w:cs="Times New Roman"/>
          <w:b/>
          <w:b/>
          <w:sz w:val="24"/>
          <w:szCs w:val="24"/>
        </w:rPr>
      </w:pPr>
      <w:r>
        <w:drawing>
          <wp:anchor behindDoc="0" distT="0" distB="0" distL="114935" distR="114935" simplePos="0" locked="0" layoutInCell="0" allowOverlap="1" relativeHeight="7">
            <wp:simplePos x="0" y="0"/>
            <wp:positionH relativeFrom="column">
              <wp:posOffset>2026920</wp:posOffset>
            </wp:positionH>
            <wp:positionV relativeFrom="paragraph">
              <wp:posOffset>1851025</wp:posOffset>
            </wp:positionV>
            <wp:extent cx="1754505" cy="611505"/>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1754505" cy="611505"/>
                    </a:xfrm>
                    <a:prstGeom prst="rect">
                      <a:avLst/>
                    </a:prstGeom>
                  </pic:spPr>
                </pic:pic>
              </a:graphicData>
            </a:graphic>
          </wp:anchor>
        </w:drawing>
      </w:r>
      <w:r>
        <w:rPr>
          <w:rFonts w:cs="Times New Roman" w:ascii="Times New Roman" w:hAnsi="Times New Roman"/>
          <w:sz w:val="28"/>
          <w:szCs w:val="28"/>
        </w:rPr>
        <w:t>(2022657)                                                                                                  1</w:t>
      </w:r>
      <w:r>
        <w:rPr>
          <w:rFonts w:cs="Times New Roman" w:ascii="Times New Roman" w:hAnsi="Times New Roman"/>
          <w:sz w:val="28"/>
          <w:szCs w:val="28"/>
        </w:rPr>
        <w:t>3</w:t>
      </w:r>
      <w:r>
        <w:rPr>
          <w:rFonts w:cs="Times New Roman" w:ascii="Times New Roman" w:hAnsi="Times New Roman"/>
          <w:sz w:val="28"/>
          <w:szCs w:val="28"/>
        </w:rPr>
        <w:t>/05/2022</w:t>
      </w:r>
    </w:p>
    <w:p>
      <w:pPr>
        <w:pStyle w:val="Normal"/>
        <w:spacing w:before="0" w:after="0"/>
        <w:rPr>
          <w:rFonts w:ascii="Times New Roman" w:hAnsi="Times New Roman" w:eastAsia="Times New Roman" w:cs="Times New Roman"/>
          <w:b/>
          <w:b/>
          <w:sz w:val="24"/>
          <w:szCs w:val="24"/>
        </w:rPr>
      </w:pPr>
      <w:r>
        <w:rPr/>
      </w:r>
    </w:p>
    <w:p>
      <w:pPr>
        <w:sectPr>
          <w:type w:val="nextPage"/>
          <w:pgSz w:w="12240" w:h="15840"/>
          <w:pgMar w:left="1440" w:right="1440" w:header="0" w:top="1440" w:footer="0" w:bottom="1440" w:gutter="0"/>
          <w:pgNumType w:start="1" w:fmt="decimal"/>
          <w:formProt w:val="false"/>
          <w:textDirection w:val="lrTb"/>
          <w:docGrid w:type="default" w:linePitch="100" w:charSpace="4096"/>
        </w:sectPr>
        <w:pStyle w:val="Normal"/>
        <w:jc w:val="center"/>
        <w:rPr>
          <w:rFonts w:ascii="Times New Roman" w:hAnsi="Times New Roman" w:eastAsia="Times New Roman" w:cs="Times New Roman"/>
          <w:b/>
          <w:b/>
          <w:sz w:val="24"/>
          <w:szCs w:val="24"/>
        </w:rPr>
      </w:pPr>
      <w:r>
        <w:rPr/>
      </w:r>
    </w:p>
    <w:p>
      <w:pPr>
        <w:pStyle w:val="Normal1"/>
        <w:spacing w:lineRule="auto" w:line="360"/>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Introduction and Objective</w:t>
      </w:r>
    </w:p>
    <w:p>
      <w:pPr>
        <w:pStyle w:val="Normal1"/>
        <w:spacing w:lineRule="auto" w:line="360"/>
        <w:ind w:firstLine="720"/>
        <w:rPr>
          <w:rFonts w:ascii="Times New Roman" w:hAnsi="Times New Roman" w:eastAsia="Times New Roman" w:cs="Times New Roman"/>
          <w:sz w:val="24"/>
          <w:szCs w:val="24"/>
        </w:rPr>
      </w:pPr>
      <w:r>
        <w:rPr>
          <w:rFonts w:eastAsia="Times New Roman" w:cs="Times New Roman" w:ascii="Times New Roman" w:hAnsi="Times New Roman"/>
          <w:sz w:val="24"/>
          <w:szCs w:val="24"/>
        </w:rPr>
        <w:t>Project goals include developing a model that predicts whether crime rates will be greater, lower, or the same as national averages in the future. This information would help us to better understand crime rates and how specific demographic characteristics are linked to higher or lower crime rates. By examining the demography of areas with high crime rates, we may learn whether or not their inhabitants vary significantly from those in other areas. In addition, our model will be tested against the most current data available for review. The appendix is a list of the offences that will be compared to the national average. Among the 15 crimes that will be compared to national standards, 15 have been selected. As before, how much of an improvement is there, or how much is it decreasing? Also of interest to us is how their demographics and criminal activities compare to those in other regions of the country.</w:t>
      </w:r>
    </w:p>
    <w:p>
      <w:pPr>
        <w:pStyle w:val="Normal1"/>
        <w:spacing w:lineRule="auto" w:line="360"/>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Background and Related Work</w:t>
      </w:r>
    </w:p>
    <w:p>
      <w:pPr>
        <w:pStyle w:val="Normal1"/>
        <w:spacing w:lineRule="auto" w:line="360"/>
        <w:ind w:firstLine="720"/>
        <w:rPr>
          <w:rFonts w:ascii="Times New Roman" w:hAnsi="Times New Roman" w:eastAsia="Times New Roman" w:cs="Times New Roman"/>
          <w:sz w:val="24"/>
          <w:szCs w:val="24"/>
        </w:rPr>
      </w:pPr>
      <w:r>
        <w:rPr>
          <w:rFonts w:eastAsia="Times New Roman" w:cs="Times New Roman" w:ascii="Times New Roman" w:hAnsi="Times New Roman"/>
          <w:sz w:val="24"/>
          <w:szCs w:val="24"/>
        </w:rPr>
        <w:t>Non-violent crime victims accounted for 7.6 percent of all families in 2015, according to Bureau of Justice Statistics statistics, while those who were victims of violent crime accounted for 1.39 percent of all adults in 2015. Many books and articles have been written on criminals and their misdeeds. Large databases of previously committed crimes have been mined for this data, which has been sorted by geography and criminal type. This country's most comprehensive look into crime victimisation is the National Crime Victimization Survey (NCVS), conducted by BJS.</w:t>
      </w:r>
    </w:p>
    <w:p>
      <w:pPr>
        <w:pStyle w:val="Normal1"/>
        <w:spacing w:lineRule="auto" w:line="360"/>
        <w:ind w:firstLine="720"/>
        <w:rPr>
          <w:rFonts w:ascii="Times New Roman" w:hAnsi="Times New Roman" w:eastAsia="Times New Roman" w:cs="Times New Roman"/>
          <w:sz w:val="24"/>
          <w:szCs w:val="24"/>
        </w:rPr>
      </w:pPr>
      <w:r>
        <w:rPr>
          <w:rFonts w:eastAsia="Times New Roman" w:cs="Times New Roman" w:ascii="Times New Roman" w:hAnsi="Times New Roman"/>
          <w:sz w:val="24"/>
          <w:szCs w:val="24"/>
        </w:rPr>
        <w:t>The National Crime Victims System also gathers information on personal and household property offences that are reported and unreported to the police (NCVS). Participant characteristics (e.g. gender, race and Hispanic origin; marital status; education level; and income) as well as whether or not they have been a victim of crime or abuse are collected in the survey. The age, race, and ethnicity of the perpetrator, as well as the victim's relationship to the offender, are all recorded for each incident. The NCVS also collects information on whether or not the crime was reported to the authorities, the causes that led to this choice, and the experiences of the victim with the criminal justice system as part of its data collection.. This information is collected by the National Center for Victimization Studies (NCVS) for every victimisation incident. You may participate in the NCVS programme if you are above the age of 12 and selected at random from a representative sample of American families Obtaining this data is necessary for calculating the previous year's crime figures.</w:t>
      </w:r>
    </w:p>
    <w:p>
      <w:pPr>
        <w:pStyle w:val="Normal1"/>
        <w:spacing w:lineRule="auto" w:line="360"/>
        <w:ind w:firstLine="720"/>
        <w:rPr>
          <w:rFonts w:ascii="Times New Roman" w:hAnsi="Times New Roman" w:eastAsia="Times New Roman" w:cs="Times New Roman"/>
          <w:sz w:val="24"/>
          <w:szCs w:val="24"/>
        </w:rPr>
      </w:pPr>
      <w:r>
        <w:rPr>
          <w:rFonts w:eastAsia="Times New Roman" w:cs="Times New Roman" w:ascii="Times New Roman" w:hAnsi="Times New Roman"/>
          <w:sz w:val="24"/>
          <w:szCs w:val="24"/>
        </w:rPr>
        <w:t>It's easier than ever to create crime prediction models since crime data is so publicly accessible now. To make predictions about future criminal activity, traditional models rely on indicators from throughout the world. As a result, crime is a dynamic and complicated phenomena that is influenced by individuals, socioeconomic position, and the surrounding environment. A multivariate model (global characteristics such as age, race, wealth, etc.) will be developed to predict the amount of crime in a specific place.</w:t>
      </w:r>
    </w:p>
    <w:p>
      <w:pPr>
        <w:pStyle w:val="Normal1"/>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About the Data</w:t>
      </w:r>
    </w:p>
    <w:tbl>
      <w:tblPr>
        <w:tblStyle w:val="Table1"/>
        <w:tblW w:w="8480" w:type="dxa"/>
        <w:jc w:val="left"/>
        <w:tblInd w:w="113" w:type="dxa"/>
        <w:tblLayout w:type="fixed"/>
        <w:tblCellMar>
          <w:top w:w="0" w:type="dxa"/>
          <w:left w:w="108" w:type="dxa"/>
          <w:bottom w:w="0" w:type="dxa"/>
          <w:right w:w="108" w:type="dxa"/>
        </w:tblCellMar>
        <w:tblLook w:val="04a0"/>
      </w:tblPr>
      <w:tblGrid>
        <w:gridCol w:w="1379"/>
        <w:gridCol w:w="1780"/>
        <w:gridCol w:w="2741"/>
        <w:gridCol w:w="2579"/>
      </w:tblGrid>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b w:val="false"/>
                <w:b w:val="false"/>
                <w:sz w:val="24"/>
                <w:szCs w:val="24"/>
              </w:rPr>
            </w:pPr>
            <w:r>
              <w:rPr>
                <w:rFonts w:eastAsia="Times New Roman" w:cs="Times New Roman" w:ascii="Times New Roman" w:hAnsi="Times New Roman"/>
                <w:sz w:val="24"/>
                <w:szCs w:val="24"/>
              </w:rPr>
              <w:t>Row Labels</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b w:val="false"/>
                <w:b w:val="false"/>
                <w:sz w:val="24"/>
                <w:szCs w:val="24"/>
              </w:rPr>
            </w:pPr>
            <w:r>
              <w:rPr>
                <w:rFonts w:eastAsia="Times New Roman" w:cs="Times New Roman" w:ascii="Times New Roman" w:hAnsi="Times New Roman"/>
                <w:sz w:val="24"/>
                <w:szCs w:val="24"/>
              </w:rPr>
              <w:t>Sum of CrimeRate</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b w:val="false"/>
                <w:b w:val="false"/>
                <w:sz w:val="24"/>
                <w:szCs w:val="24"/>
              </w:rPr>
            </w:pPr>
            <w:r>
              <w:rPr>
                <w:rFonts w:eastAsia="Times New Roman" w:cs="Times New Roman" w:ascii="Times New Roman" w:hAnsi="Times New Roman"/>
                <w:sz w:val="24"/>
                <w:szCs w:val="24"/>
              </w:rPr>
              <w:t>Sum of MatureUnemploy10</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b w:val="false"/>
                <w:b w:val="false"/>
                <w:sz w:val="24"/>
                <w:szCs w:val="24"/>
              </w:rPr>
            </w:pPr>
            <w:r>
              <w:rPr>
                <w:rFonts w:eastAsia="Times New Roman" w:cs="Times New Roman" w:ascii="Times New Roman" w:hAnsi="Times New Roman"/>
                <w:sz w:val="24"/>
                <w:szCs w:val="24"/>
              </w:rPr>
              <w:t>Sum of YouthUnemploy10</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934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94.3</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33</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79</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938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119.7</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27</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93</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948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82.3</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49</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125</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950</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96.8</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40</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110</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953</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227.1</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64</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167</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955</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106.6</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29</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85</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956</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112.1</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44</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117</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962</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56.6</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33</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321</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107</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276</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965</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45.5</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20</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82</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966</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154.3</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36</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79</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135.3</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86</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241</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969</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225.2</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70</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175</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972</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293.5</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80</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246</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973</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85.6</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76</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974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103</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28</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79</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977</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73.2</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36</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119</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978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109.4</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35</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93</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981</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123.4</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29</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89</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982</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114.3</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39</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99</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162.8</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57</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178</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985</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273.3</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78</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225</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986</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180.5</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69</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172</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989</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64.2</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79</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990</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108.3</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34</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103</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994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157.7</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40</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110</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996</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98.7</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28</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80</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998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107.2</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87</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1012</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266.5</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72</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212</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1018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132.4</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27</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105</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1024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78.1</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28</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1029</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88</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104</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1038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115.1</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41</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143</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1045</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52.3</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39</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138</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1049</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105.9</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41</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119</w:t>
            </w:r>
          </w:p>
        </w:tc>
      </w:tr>
      <w:tr>
        <w:trPr>
          <w:trHeight w:val="300"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1071</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161.8</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40</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100</w:t>
            </w:r>
          </w:p>
        </w:tc>
      </w:tr>
      <w:tr>
        <w:trPr>
          <w:trHeight w:val="315" w:hRule="atLeast"/>
        </w:trPr>
        <w:tc>
          <w:tcPr>
            <w:tcW w:w="13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b w:val="false"/>
                <w:b w:val="false"/>
                <w:sz w:val="24"/>
                <w:szCs w:val="24"/>
              </w:rPr>
            </w:pPr>
            <w:r>
              <w:rPr>
                <w:rFonts w:eastAsia="Times New Roman" w:cs="Times New Roman" w:ascii="Times New Roman" w:hAnsi="Times New Roman"/>
                <w:sz w:val="24"/>
                <w:szCs w:val="24"/>
              </w:rPr>
              <w:t>Grand Total</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4832</w:t>
            </w:r>
          </w:p>
        </w:tc>
        <w:tc>
          <w:tcPr>
            <w:tcW w:w="274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1568</w:t>
            </w:r>
          </w:p>
        </w:tc>
        <w:tc>
          <w:tcPr>
            <w:tcW w:w="257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4580</w:t>
            </w:r>
          </w:p>
        </w:tc>
      </w:tr>
    </w:tbl>
    <w:p>
      <w:pPr>
        <w:pStyle w:val="Normal1"/>
        <w:spacing w:lineRule="auto" w:line="360"/>
        <w:ind w:firstLine="72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360"/>
        <w:ind w:firstLine="720"/>
        <w:rPr>
          <w:rFonts w:ascii="Times New Roman" w:hAnsi="Times New Roman" w:eastAsia="Times New Roman" w:cs="Times New Roman"/>
          <w:sz w:val="24"/>
          <w:szCs w:val="24"/>
        </w:rPr>
      </w:pPr>
      <w:r>
        <w:rPr/>
        <w:drawing>
          <wp:inline distT="0" distB="0" distL="0" distR="0">
            <wp:extent cx="4572000" cy="2743200"/>
            <wp:effectExtent l="0" t="0" r="0" b="0"/>
            <wp:docPr id="2" name="Obj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3"/>
              </a:graphicData>
            </a:graphic>
          </wp:inline>
        </w:drawing>
      </w:r>
    </w:p>
    <w:p>
      <w:pPr>
        <w:pStyle w:val="Normal1"/>
        <w:spacing w:lineRule="auto" w:line="360"/>
        <w:ind w:firstLine="720"/>
        <w:rPr>
          <w:rFonts w:ascii="Times New Roman" w:hAnsi="Times New Roman" w:eastAsia="Times New Roman" w:cs="Times New Roman"/>
          <w:sz w:val="24"/>
          <w:szCs w:val="24"/>
        </w:rPr>
      </w:pPr>
      <w:r>
        <w:rPr>
          <w:rFonts w:eastAsia="Times New Roman" w:cs="Times New Roman" w:ascii="Times New Roman" w:hAnsi="Times New Roman"/>
          <w:sz w:val="24"/>
          <w:szCs w:val="24"/>
        </w:rPr>
        <w:t>There are 2,216 towns in the United States included in this collection of crime statistics. For each community, the data collection offers demographic and criminal statistics, including population, racial and income data as well as the distribution of different violent and nonviolent offences. On the data source page at UCI, we can read a description of each variable in the dataset in detail.</w:t>
      </w:r>
    </w:p>
    <w:tbl>
      <w:tblPr>
        <w:tblStyle w:val="Table2"/>
        <w:tblW w:w="7740" w:type="dxa"/>
        <w:jc w:val="left"/>
        <w:tblInd w:w="113" w:type="dxa"/>
        <w:tblLayout w:type="fixed"/>
        <w:tblCellMar>
          <w:top w:w="0" w:type="dxa"/>
          <w:left w:w="108" w:type="dxa"/>
          <w:bottom w:w="0" w:type="dxa"/>
          <w:right w:w="108" w:type="dxa"/>
        </w:tblCellMar>
        <w:tblLook w:val="04a0"/>
      </w:tblPr>
      <w:tblGrid>
        <w:gridCol w:w="1380"/>
        <w:gridCol w:w="1780"/>
        <w:gridCol w:w="3019"/>
        <w:gridCol w:w="1560"/>
      </w:tblGrid>
      <w:tr>
        <w:trPr>
          <w:trHeight w:val="315"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b w:val="false"/>
                <w:b w:val="false"/>
                <w:sz w:val="24"/>
                <w:szCs w:val="24"/>
              </w:rPr>
            </w:pPr>
            <w:r>
              <w:rPr>
                <w:rFonts w:eastAsia="Times New Roman" w:cs="Times New Roman" w:ascii="Times New Roman" w:hAnsi="Times New Roman"/>
                <w:sz w:val="24"/>
                <w:szCs w:val="24"/>
              </w:rPr>
              <w:t>Row Labels</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b w:val="false"/>
                <w:b w:val="false"/>
                <w:sz w:val="24"/>
                <w:szCs w:val="24"/>
              </w:rPr>
            </w:pPr>
            <w:r>
              <w:rPr>
                <w:rFonts w:eastAsia="Times New Roman" w:cs="Times New Roman" w:ascii="Times New Roman" w:hAnsi="Times New Roman"/>
                <w:sz w:val="24"/>
                <w:szCs w:val="24"/>
              </w:rPr>
              <w:t>Sum of CrimeRate</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b w:val="false"/>
                <w:b w:val="false"/>
                <w:sz w:val="24"/>
                <w:szCs w:val="24"/>
              </w:rPr>
            </w:pPr>
            <w:r>
              <w:rPr>
                <w:rFonts w:eastAsia="Times New Roman" w:cs="Times New Roman" w:ascii="Times New Roman" w:hAnsi="Times New Roman"/>
                <w:sz w:val="24"/>
                <w:szCs w:val="24"/>
              </w:rPr>
              <w:t>Sum of HighYouthUnemploy10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b w:val="false"/>
                <w:b w:val="false"/>
                <w:sz w:val="24"/>
                <w:szCs w:val="24"/>
              </w:rPr>
            </w:pPr>
            <w:r>
              <w:rPr>
                <w:rFonts w:eastAsia="Times New Roman" w:cs="Times New Roman" w:ascii="Times New Roman" w:hAnsi="Times New Roman"/>
                <w:sz w:val="24"/>
                <w:szCs w:val="24"/>
              </w:rPr>
              <w:t>Sum of Wage10</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934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94.3</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692</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938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119.7</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698</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948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82.3</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639</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950</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96.8</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465</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953</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227.1</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1065</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955</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106.6</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499</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956</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112.1</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500</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962</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56.6</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359</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321</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2056</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965</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45.5</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632</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966</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154.3</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719</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135.3</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1060</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969</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225.2</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917</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972</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293.5</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1731</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973</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85.6</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568</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974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103</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456</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977</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73.2</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561</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978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109.4</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703</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981</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123.4</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550</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982</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114.3</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696</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162.8</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1177</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985</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273.3</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1333</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986</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180.5</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1061</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989</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64.2</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660</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990</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108.3</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659</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994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157.7</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739</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996</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98.7</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562</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998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107.2</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656</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1012</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266.5</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1316</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1018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132.4</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617</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1024</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78.1</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499</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1029</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88</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570</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1038</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115.1</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615</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1045</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52.3</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521</w:t>
            </w:r>
          </w:p>
        </w:tc>
      </w:tr>
      <w:tr>
        <w:trPr>
          <w:trHeight w:val="300"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1049</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105.9</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649</w:t>
            </w:r>
          </w:p>
        </w:tc>
      </w:tr>
      <w:tr>
        <w:trPr>
          <w:trHeight w:val="315"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1071</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161.8</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748</w:t>
            </w:r>
          </w:p>
        </w:tc>
      </w:tr>
      <w:tr>
        <w:trPr>
          <w:trHeight w:val="315" w:hRule="atLeast"/>
        </w:trPr>
        <w:tc>
          <w:tcPr>
            <w:tcW w:w="13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b w:val="false"/>
                <w:b w:val="false"/>
                <w:sz w:val="24"/>
                <w:szCs w:val="24"/>
              </w:rPr>
            </w:pPr>
            <w:r>
              <w:rPr>
                <w:rFonts w:eastAsia="Times New Roman" w:cs="Times New Roman" w:ascii="Times New Roman" w:hAnsi="Times New Roman"/>
                <w:sz w:val="24"/>
                <w:szCs w:val="24"/>
              </w:rPr>
              <w:t>Grand Total</w:t>
            </w:r>
          </w:p>
        </w:tc>
        <w:tc>
          <w:tcPr>
            <w:tcW w:w="178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4832</w:t>
            </w:r>
          </w:p>
        </w:tc>
        <w:tc>
          <w:tcPr>
            <w:tcW w:w="301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19</w:t>
            </w:r>
          </w:p>
        </w:tc>
        <w:tc>
          <w:tcPr>
            <w:tcW w:w="15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27948</w:t>
            </w:r>
          </w:p>
        </w:tc>
      </w:tr>
    </w:tbl>
    <w:p>
      <w:pPr>
        <w:pStyle w:val="Normal1"/>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360"/>
        <w:ind w:firstLine="720"/>
        <w:rPr>
          <w:rFonts w:ascii="Times New Roman" w:hAnsi="Times New Roman" w:eastAsia="Times New Roman" w:cs="Times New Roman"/>
          <w:sz w:val="24"/>
          <w:szCs w:val="24"/>
        </w:rPr>
      </w:pPr>
      <w:r>
        <w:rPr>
          <w:rFonts w:eastAsia="Times New Roman" w:cs="Times New Roman" w:ascii="Times New Roman" w:hAnsi="Times New Roman"/>
          <w:sz w:val="24"/>
          <w:szCs w:val="24"/>
        </w:rPr>
        <w:t>Data for all 2,216 villages isn't complete, thus it's necessary to clean and filter the data to get a more accurate model. To fill in any gaps, we used the median of the column it was in as a replacement. Additionally, just 22 of the 141 variables in the dataset have been chosen for this modelling, which includes this demographic information: race, income, percentage of foreign-born, location, distribution of age, rent, and rates employment.</w:t>
      </w:r>
    </w:p>
    <w:p>
      <w:pPr>
        <w:pStyle w:val="Normal1"/>
        <w:spacing w:lineRule="auto" w:line="360"/>
        <w:ind w:firstLine="720"/>
        <w:rPr>
          <w:rFonts w:ascii="Times New Roman" w:hAnsi="Times New Roman" w:eastAsia="Times New Roman" w:cs="Times New Roman"/>
          <w:sz w:val="24"/>
          <w:szCs w:val="24"/>
        </w:rPr>
      </w:pPr>
      <w:r>
        <w:rPr/>
        <w:drawing>
          <wp:inline distT="0" distB="0" distL="0" distR="0">
            <wp:extent cx="4572000" cy="2743200"/>
            <wp:effectExtent l="0" t="0" r="0" b="0"/>
            <wp:docPr id="3" name="Object2"/>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sectPr>
          <w:type w:val="nextPage"/>
          <w:pgSz w:w="12240" w:h="15840"/>
          <w:pgMar w:left="1440" w:right="1440" w:header="0" w:top="1440" w:footer="0" w:bottom="1440" w:gutter="0"/>
          <w:pgNumType w:fmt="decimal"/>
          <w:formProt w:val="false"/>
          <w:textDirection w:val="lrTb"/>
          <w:docGrid w:type="default" w:linePitch="100" w:charSpace="4096"/>
        </w:sectPr>
        <w:pStyle w:val="Normal1"/>
        <w:spacing w:lineRule="auto" w:line="360"/>
        <w:ind w:firstLine="720"/>
        <w:rPr>
          <w:rFonts w:ascii="Times New Roman" w:hAnsi="Times New Roman" w:eastAsia="Times New Roman" w:cs="Times New Roman"/>
          <w:sz w:val="24"/>
          <w:szCs w:val="24"/>
        </w:rPr>
      </w:pPr>
      <w:r>
        <w:rPr>
          <w:rFonts w:eastAsia="Times New Roman" w:cs="Times New Roman" w:ascii="Times New Roman" w:hAnsi="Times New Roman"/>
          <w:sz w:val="24"/>
          <w:szCs w:val="24"/>
        </w:rPr>
        <w:t>To better comprehend our demographic and crime factors, we used the national dataset to examine the two data files that we had cleaned up. The total number of violent and nonviolent crimes per 100,000 people was tallied in a new variable called crimePerPop for ease of data processing. To assess the safety of the crimes in the future, this variable will serve as a proxy for the crime rate.</w:t>
      </w:r>
    </w:p>
    <w:p>
      <w:pPr>
        <w:pStyle w:val="Normal1"/>
        <w:keepNext w:val="false"/>
        <w:keepLines w:val="false"/>
        <w:pageBreakBefore w:val="false"/>
        <w:widowControl w:val="false"/>
        <w:pBdr/>
        <w:shd w:val="clear" w:fill="auto"/>
        <w:spacing w:lineRule="auto" w:line="276" w:before="0" w:after="0"/>
        <w:ind w:left="0" w:right="0" w:hanging="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Table3"/>
        <w:tblW w:w="12950" w:type="dxa"/>
        <w:jc w:val="left"/>
        <w:tblInd w:w="113" w:type="dxa"/>
        <w:tblLayout w:type="fixed"/>
        <w:tblCellMar>
          <w:top w:w="0" w:type="dxa"/>
          <w:left w:w="108" w:type="dxa"/>
          <w:bottom w:w="0" w:type="dxa"/>
          <w:right w:w="108" w:type="dxa"/>
        </w:tblCellMar>
        <w:tblLook w:val="04a0"/>
      </w:tblPr>
      <w:tblGrid>
        <w:gridCol w:w="431"/>
        <w:gridCol w:w="338"/>
        <w:gridCol w:w="395"/>
        <w:gridCol w:w="414"/>
        <w:gridCol w:w="576"/>
        <w:gridCol w:w="473"/>
        <w:gridCol w:w="333"/>
        <w:gridCol w:w="438"/>
        <w:gridCol w:w="392"/>
        <w:gridCol w:w="635"/>
        <w:gridCol w:w="660"/>
        <w:gridCol w:w="632"/>
        <w:gridCol w:w="326"/>
        <w:gridCol w:w="446"/>
        <w:gridCol w:w="475"/>
        <w:gridCol w:w="382"/>
        <w:gridCol w:w="461"/>
        <w:gridCol w:w="598"/>
        <w:gridCol w:w="518"/>
        <w:gridCol w:w="377"/>
        <w:gridCol w:w="483"/>
        <w:gridCol w:w="438"/>
        <w:gridCol w:w="581"/>
        <w:gridCol w:w="608"/>
        <w:gridCol w:w="677"/>
        <w:gridCol w:w="372"/>
        <w:gridCol w:w="489"/>
      </w:tblGrid>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CrimeRate</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Youth</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Southern</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Education</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ExpenditureYear0</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LabourForce</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Males</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MoreMales</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StateSize</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YouthUnemployment</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MatureUnemployment</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HighYouthUnemploy</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Wage</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BelowWage</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CrimeRate10</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Youth10</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Education10</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ExpenditureYear10</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LabourForce10</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Males10</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MoreMales10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StateSize10</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YouthUnemploy10</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MatureUnemploy10</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HighYouthUnemploy10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Wage10</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rPr>
                <w:rFonts w:ascii="Times New Roman" w:hAnsi="Times New Roman" w:eastAsia="Times New Roman" w:cs="Times New Roman"/>
                <w:color w:val="000000"/>
                <w:sz w:val="24"/>
                <w:szCs w:val="24"/>
              </w:rPr>
            </w:pPr>
            <w:r>
              <w:rPr>
                <w:rFonts w:eastAsia="Times New Roman" w:cs="Times New Roman" w:ascii="Times New Roman" w:hAnsi="Times New Roman"/>
                <w:color w:val="000000"/>
                <w:sz w:val="24"/>
                <w:szCs w:val="24"/>
              </w:rPr>
              <w:t>BelowWage10</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45.5</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135</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12.4</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69</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540</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965</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80</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22</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564</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139</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26.5</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135</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12.5</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71</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564</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974</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82</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20</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632</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142</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52.3</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140</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10.9</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55</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535</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1045</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135</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40</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453</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200</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35.9</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135</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10.9</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54</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540</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1039</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138</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39</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521</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210</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56.6</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157</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11.2</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47</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512</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962</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22</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34</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288</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276</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37.1</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153</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44</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529</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959</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33</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359</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256</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60.3</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139</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11.9</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46</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480</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968</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19</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135</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53</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457</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249</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42.7</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139</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11.8</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41</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497</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983</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20</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131</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50</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510</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235</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64.2</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126</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12.2</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106</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599</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989</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40</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78</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593</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171</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46.7</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125</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12.2</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602</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989</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42</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79</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660</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162</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67.6</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128</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13.5</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67</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624</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972</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28</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77</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507</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206</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47.9</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128</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13.8</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60</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621</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983</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28</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81</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571</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199</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70.5</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130</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14.1</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63</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641</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984</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70</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21</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486</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196</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50.6</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153</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14.1</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57</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641</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993</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71</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23</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556</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176</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73.2</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143</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12.9</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66</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537</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977</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114</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35</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487</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166</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55.9</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143</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63</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549</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973</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119</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36</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561</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168</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75</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141</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12.9</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523</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968</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107</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37</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489</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170</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61.8</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153</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12.9</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54</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538</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968</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110</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36</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550</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126</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78.1</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133</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11.4</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51</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599</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1024</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99</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27</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425</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225</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65.4</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134</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11.2</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47</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600</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1024</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28</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499</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215</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79.8</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142</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12.9</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45</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533</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969</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18</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94</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33</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318</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250</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71.4</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142</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13.1</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44</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552</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969</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19</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93</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36</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378</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247</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82.3</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123</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12.5</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526</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948</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113</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124</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50</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572</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158</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75.4</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134</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12.4</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87</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529</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949</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117</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125</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49</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639</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146</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83.1</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135</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13.6</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62</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595</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986</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22</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77</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27</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529</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190</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77.3</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137</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13.7</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61</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599</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993</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23</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80</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28</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591</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189</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84.9</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121</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13.2</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118</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547</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964</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84</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29</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689</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126</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78.6</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132</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13.3</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115</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538</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968</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82</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30</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742</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127</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85.6</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166</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11.4</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58</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521</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973</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46</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72</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26</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396</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237</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80.6</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153</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11.2</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54</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543</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983</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47</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76</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568</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246</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88</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140</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12.9</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71</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632</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1029</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100</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526</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174</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82.2</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130</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12.9</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68</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620</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1024</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104</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570</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182</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92.3</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126</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12.7</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74</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602</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984</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34</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102</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33</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557</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195</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87.5</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134</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12.9</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67</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599</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982</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33</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107</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34</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621</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199</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94.3</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130</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13.3</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128</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536</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934</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51</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78</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34</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627</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135</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92.9</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127</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13.3</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128</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530</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949</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52</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79</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33</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692</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140</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95.3</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125</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12</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90</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586</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964</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105</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43</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617</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163</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94.1</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134</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11.9</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81</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571</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971</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99</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106</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41</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679</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162</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96.8</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151</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58</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510</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950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33</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108</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41</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394</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261</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96.2</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161</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10.1</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56</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515</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1001</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32</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110</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40</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465</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254</w:t>
            </w:r>
          </w:p>
        </w:tc>
      </w:tr>
      <w:tr>
        <w:trPr>
          <w:trHeight w:val="300" w:hRule="atLeast"/>
        </w:trPr>
        <w:tc>
          <w:tcPr>
            <w:tcW w:w="43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97.4</w:t>
            </w:r>
          </w:p>
        </w:tc>
        <w:tc>
          <w:tcPr>
            <w:tcW w:w="3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152</w:t>
            </w:r>
          </w:p>
        </w:tc>
        <w:tc>
          <w:tcPr>
            <w:tcW w:w="39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w:t>
            </w:r>
          </w:p>
        </w:tc>
        <w:tc>
          <w:tcPr>
            <w:tcW w:w="414"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10.8</w:t>
            </w:r>
          </w:p>
        </w:tc>
        <w:tc>
          <w:tcPr>
            <w:tcW w:w="57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57</w:t>
            </w:r>
          </w:p>
        </w:tc>
        <w:tc>
          <w:tcPr>
            <w:tcW w:w="47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530</w:t>
            </w:r>
          </w:p>
        </w:tc>
        <w:tc>
          <w:tcPr>
            <w:tcW w:w="33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986</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9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30</w:t>
            </w:r>
          </w:p>
        </w:tc>
        <w:tc>
          <w:tcPr>
            <w:tcW w:w="63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92</w:t>
            </w:r>
          </w:p>
        </w:tc>
        <w:tc>
          <w:tcPr>
            <w:tcW w:w="660"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43</w:t>
            </w:r>
          </w:p>
        </w:tc>
        <w:tc>
          <w:tcPr>
            <w:tcW w:w="63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2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405</w:t>
            </w:r>
          </w:p>
        </w:tc>
        <w:tc>
          <w:tcPr>
            <w:tcW w:w="446"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264</w:t>
            </w:r>
          </w:p>
        </w:tc>
        <w:tc>
          <w:tcPr>
            <w:tcW w:w="475"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97.8</w:t>
            </w:r>
          </w:p>
        </w:tc>
        <w:tc>
          <w:tcPr>
            <w:tcW w:w="38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152</w:t>
            </w:r>
          </w:p>
        </w:tc>
        <w:tc>
          <w:tcPr>
            <w:tcW w:w="46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11</w:t>
            </w:r>
          </w:p>
        </w:tc>
        <w:tc>
          <w:tcPr>
            <w:tcW w:w="59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53</w:t>
            </w:r>
          </w:p>
        </w:tc>
        <w:tc>
          <w:tcPr>
            <w:tcW w:w="51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541</w:t>
            </w:r>
          </w:p>
        </w:tc>
        <w:tc>
          <w:tcPr>
            <w:tcW w:w="3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989</w:t>
            </w:r>
          </w:p>
        </w:tc>
        <w:tc>
          <w:tcPr>
            <w:tcW w:w="483"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43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30</w:t>
            </w:r>
          </w:p>
        </w:tc>
        <w:tc>
          <w:tcPr>
            <w:tcW w:w="581"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92</w:t>
            </w:r>
          </w:p>
        </w:tc>
        <w:tc>
          <w:tcPr>
            <w:tcW w:w="608"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41</w:t>
            </w:r>
          </w:p>
        </w:tc>
        <w:tc>
          <w:tcPr>
            <w:tcW w:w="677"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0</w:t>
            </w:r>
          </w:p>
        </w:tc>
        <w:tc>
          <w:tcPr>
            <w:tcW w:w="372"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470</w:t>
            </w:r>
          </w:p>
        </w:tc>
        <w:tc>
          <w:tcPr>
            <w:tcW w:w="489" w:type="dxa"/>
            <w:tcBorders>
              <w:top w:val="single" w:sz="4" w:space="0" w:color="C9C9C9"/>
              <w:left w:val="single" w:sz="4" w:space="0" w:color="C9C9C9"/>
              <w:bottom w:val="single" w:sz="4" w:space="0" w:color="C9C9C9"/>
              <w:right w:val="single" w:sz="4" w:space="0" w:color="C9C9C9"/>
            </w:tcBorders>
          </w:tcPr>
          <w:p>
            <w:pPr>
              <w:pStyle w:val="Normal1"/>
              <w:widowControl w:val="false"/>
              <w:spacing w:before="0" w:after="160"/>
              <w:jc w:val="right"/>
              <w:rPr>
                <w:rFonts w:ascii="Times New Roman" w:hAnsi="Times New Roman" w:eastAsia="Times New Roman" w:cs="Times New Roman"/>
                <w:sz w:val="24"/>
                <w:szCs w:val="24"/>
              </w:rPr>
            </w:pPr>
            <w:r>
              <w:rPr>
                <w:rFonts w:eastAsia="Times New Roman" w:cs="Times New Roman" w:ascii="Times New Roman" w:hAnsi="Times New Roman"/>
                <w:sz w:val="24"/>
                <w:szCs w:val="24"/>
              </w:rPr>
              <w:t>243</w:t>
            </w:r>
          </w:p>
        </w:tc>
      </w:tr>
    </w:tbl>
    <w:p>
      <w:pPr>
        <w:sectPr>
          <w:type w:val="nextPage"/>
          <w:pgSz w:orient="landscape" w:w="15840" w:h="12240"/>
          <w:pgMar w:left="1440" w:right="1440" w:header="0" w:top="1440" w:footer="0" w:bottom="1440" w:gutter="0"/>
          <w:pgNumType w:fmt="decimal"/>
          <w:formProt w:val="false"/>
          <w:textDirection w:val="lrTb"/>
          <w:docGrid w:type="default" w:linePitch="100" w:charSpace="4096"/>
        </w:sectPr>
      </w:pPr>
    </w:p>
    <w:p>
      <w:pPr>
        <w:pStyle w:val="Normal1"/>
        <w:spacing w:lineRule="auto" w:line="360" w:before="0" w:after="0"/>
        <w:jc w:val="center"/>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Part 2</w:t>
      </w:r>
    </w:p>
    <w:p>
      <w:pPr>
        <w:pStyle w:val="Normal1"/>
        <w:jc w:val="center"/>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STATISTICAL   ANALYSIS</w:t>
      </w:r>
    </w:p>
    <w:p>
      <w:pPr>
        <w:pStyle w:val="Normal1"/>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(A</w:t>
      </w:r>
    </w:p>
    <w:p>
      <w:pPr>
        <w:pStyle w:val="Normal1"/>
        <w:rPr>
          <w:rFonts w:ascii="Times New Roman" w:hAnsi="Times New Roman" w:eastAsia="Times New Roman" w:cs="Times New Roman"/>
          <w:b/>
          <w:b/>
          <w:sz w:val="24"/>
          <w:szCs w:val="24"/>
        </w:rPr>
      </w:pPr>
      <w:r>
        <w:rPr>
          <w:rFonts w:eastAsia="Times New Roman" w:cs="Times New Roman" w:ascii="Times New Roman" w:hAnsi="Times New Roman"/>
          <w:sz w:val="24"/>
          <w:szCs w:val="24"/>
        </w:rPr>
        <w:t>How many students like vanilla flavour?</w:t>
      </w:r>
    </w:p>
    <w:p>
      <w:pPr>
        <w:pStyle w:val="Normal1"/>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drawing>
          <wp:inline distT="0" distB="0" distL="0" distR="0">
            <wp:extent cx="5360670" cy="2700020"/>
            <wp:effectExtent l="0" t="0" r="0" b="0"/>
            <wp:docPr id="4"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descr=""/>
                    <pic:cNvPicPr>
                      <a:picLocks noChangeAspect="1" noChangeArrowheads="1"/>
                    </pic:cNvPicPr>
                  </pic:nvPicPr>
                  <pic:blipFill>
                    <a:blip r:embed="rId5"/>
                    <a:stretch>
                      <a:fillRect/>
                    </a:stretch>
                  </pic:blipFill>
                  <pic:spPr bwMode="auto">
                    <a:xfrm>
                      <a:off x="0" y="0"/>
                      <a:ext cx="5360670" cy="2700020"/>
                    </a:xfrm>
                    <a:prstGeom prst="rect">
                      <a:avLst/>
                    </a:prstGeom>
                  </pic:spPr>
                </pic:pic>
              </a:graphicData>
            </a:graphic>
          </wp:inline>
        </w:drawing>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t>The vanilla flavour is liked by 95 students</w:t>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t>(2</w:t>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t>How many students are Male and Female</w:t>
      </w:r>
    </w:p>
    <w:p>
      <w:pPr>
        <w:pStyle w:val="Normal1"/>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drawing>
          <wp:inline distT="0" distB="0" distL="0" distR="0">
            <wp:extent cx="4740910" cy="2790190"/>
            <wp:effectExtent l="0" t="0" r="0" b="0"/>
            <wp:docPr id="5" name="image3.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png" descr=""/>
                    <pic:cNvPicPr>
                      <a:picLocks noChangeAspect="1" noChangeArrowheads="1"/>
                    </pic:cNvPicPr>
                  </pic:nvPicPr>
                  <pic:blipFill>
                    <a:blip r:embed="rId6"/>
                    <a:stretch>
                      <a:fillRect/>
                    </a:stretch>
                  </pic:blipFill>
                  <pic:spPr bwMode="auto">
                    <a:xfrm>
                      <a:off x="0" y="0"/>
                      <a:ext cx="4740910" cy="2790190"/>
                    </a:xfrm>
                    <a:prstGeom prst="rect">
                      <a:avLst/>
                    </a:prstGeom>
                  </pic:spPr>
                </pic:pic>
              </a:graphicData>
            </a:graphic>
          </wp:inline>
        </w:drawing>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 </w:t>
      </w:r>
      <w:r>
        <w:rPr>
          <w:rFonts w:eastAsia="Times New Roman" w:cs="Times New Roman" w:ascii="Times New Roman" w:hAnsi="Times New Roman"/>
          <w:sz w:val="24"/>
          <w:szCs w:val="24"/>
        </w:rPr>
        <w:t>There is 109 is female and 91 male</w:t>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t>3)</w:t>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What are the Mean and Median of participants who likes chocolate and strawberry flavour?</w:t>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Table4"/>
        <w:tblW w:w="2797" w:type="dxa"/>
        <w:jc w:val="left"/>
        <w:tblInd w:w="108" w:type="dxa"/>
        <w:tblLayout w:type="fixed"/>
        <w:tblCellMar>
          <w:top w:w="0" w:type="dxa"/>
          <w:left w:w="108" w:type="dxa"/>
          <w:bottom w:w="0" w:type="dxa"/>
          <w:right w:w="108" w:type="dxa"/>
        </w:tblCellMar>
        <w:tblLook w:val="0000"/>
      </w:tblPr>
      <w:tblGrid>
        <w:gridCol w:w="757"/>
        <w:gridCol w:w="981"/>
        <w:gridCol w:w="1059"/>
      </w:tblGrid>
      <w:tr>
        <w:trPr>
          <w:cantSplit w:val="true"/>
        </w:trPr>
        <w:tc>
          <w:tcPr>
            <w:tcW w:w="2797" w:type="dxa"/>
            <w:gridSpan w:val="3"/>
            <w:tcBorders/>
            <w:shd w:fill="FFFFFF" w:val="clear"/>
            <w:vAlign w:val="center"/>
          </w:tcPr>
          <w:p>
            <w:pPr>
              <w:pStyle w:val="Normal1"/>
              <w:widowControl w:val="false"/>
              <w:spacing w:lineRule="auto" w:line="240" w:before="0" w:after="0"/>
              <w:ind w:left="60" w:right="60" w:hanging="0"/>
              <w:jc w:val="center"/>
              <w:rPr>
                <w:rFonts w:ascii="Times New Roman" w:hAnsi="Times New Roman" w:eastAsia="Times New Roman" w:cs="Times New Roman"/>
                <w:color w:val="010205"/>
                <w:sz w:val="24"/>
                <w:szCs w:val="24"/>
              </w:rPr>
            </w:pPr>
            <w:r>
              <w:rPr>
                <w:rFonts w:eastAsia="Times New Roman" w:cs="Times New Roman" w:ascii="Times New Roman" w:hAnsi="Times New Roman"/>
                <w:b/>
                <w:color w:val="010205"/>
                <w:sz w:val="24"/>
                <w:szCs w:val="24"/>
              </w:rPr>
              <w:t>Statistics</w:t>
            </w:r>
          </w:p>
        </w:tc>
      </w:tr>
      <w:tr>
        <w:trPr>
          <w:cantSplit w:val="true"/>
        </w:trPr>
        <w:tc>
          <w:tcPr>
            <w:tcW w:w="2797" w:type="dxa"/>
            <w:gridSpan w:val="3"/>
            <w:tcBorders/>
            <w:shd w:fill="FFFFFF" w:val="clear"/>
            <w:vAlign w:val="bottom"/>
          </w:tcPr>
          <w:p>
            <w:pPr>
              <w:pStyle w:val="Normal1"/>
              <w:widowControl w:val="false"/>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color w:val="010205"/>
                <w:sz w:val="24"/>
                <w:szCs w:val="24"/>
                <w:highlight w:val="white"/>
              </w:rPr>
              <w:t xml:space="preserve">ice_cream  </w:t>
            </w:r>
          </w:p>
        </w:tc>
      </w:tr>
      <w:tr>
        <w:trPr>
          <w:cantSplit w:val="true"/>
        </w:trPr>
        <w:tc>
          <w:tcPr>
            <w:tcW w:w="757" w:type="dxa"/>
            <w:vMerge w:val="restart"/>
            <w:tcBorders>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N</w:t>
            </w:r>
          </w:p>
        </w:tc>
        <w:tc>
          <w:tcPr>
            <w:tcW w:w="981" w:type="dxa"/>
            <w:tcBorders>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Valid</w:t>
            </w:r>
          </w:p>
        </w:tc>
        <w:tc>
          <w:tcPr>
            <w:tcW w:w="1059" w:type="dxa"/>
            <w:tcBorders>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105</w:t>
            </w:r>
          </w:p>
        </w:tc>
      </w:tr>
      <w:tr>
        <w:trPr>
          <w:cantSplit w:val="true"/>
        </w:trPr>
        <w:tc>
          <w:tcPr>
            <w:tcW w:w="757" w:type="dxa"/>
            <w:vMerge w:val="continue"/>
            <w:tcBorders>
              <w:bottom w:val="single" w:sz="8" w:space="0" w:color="AEAEAE"/>
            </w:tcBorders>
            <w:shd w:fill="E0E0E0" w:val="clear"/>
          </w:tcPr>
          <w:p>
            <w:pPr>
              <w:pStyle w:val="Normal1"/>
              <w:keepNext w:val="false"/>
              <w:keepLines w:val="false"/>
              <w:widowControl w:val="false"/>
              <w:pBdr/>
              <w:shd w:val="clear" w:fill="auto"/>
              <w:spacing w:lineRule="auto" w:line="276" w:before="0" w:after="0"/>
              <w:ind w:left="0" w:right="0" w:hanging="0"/>
              <w:jc w:val="lef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r>
          </w:p>
        </w:tc>
        <w:tc>
          <w:tcPr>
            <w:tcW w:w="981"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Missing</w:t>
            </w:r>
          </w:p>
        </w:tc>
        <w:tc>
          <w:tcPr>
            <w:tcW w:w="1059" w:type="dxa"/>
            <w:tcBorders>
              <w:top w:val="single" w:sz="8" w:space="0" w:color="AEAEAE"/>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0</w:t>
            </w:r>
          </w:p>
        </w:tc>
      </w:tr>
      <w:tr>
        <w:trPr>
          <w:cantSplit w:val="true"/>
        </w:trPr>
        <w:tc>
          <w:tcPr>
            <w:tcW w:w="1738" w:type="dxa"/>
            <w:gridSpan w:val="2"/>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Mean</w:t>
            </w:r>
          </w:p>
        </w:tc>
        <w:tc>
          <w:tcPr>
            <w:tcW w:w="1059" w:type="dxa"/>
            <w:tcBorders>
              <w:top w:val="single" w:sz="8" w:space="0" w:color="AEAEAE"/>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2.5524</w:t>
            </w:r>
          </w:p>
        </w:tc>
      </w:tr>
      <w:tr>
        <w:trPr>
          <w:cantSplit w:val="true"/>
        </w:trPr>
        <w:tc>
          <w:tcPr>
            <w:tcW w:w="1738" w:type="dxa"/>
            <w:gridSpan w:val="2"/>
            <w:tcBorders>
              <w:top w:val="single" w:sz="8" w:space="0" w:color="AEAEAE"/>
              <w:bottom w:val="single" w:sz="8" w:space="0" w:color="152935"/>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Median</w:t>
            </w:r>
          </w:p>
        </w:tc>
        <w:tc>
          <w:tcPr>
            <w:tcW w:w="1059" w:type="dxa"/>
            <w:tcBorders>
              <w:top w:val="single" w:sz="8" w:space="0" w:color="AEAEAE"/>
              <w:bottom w:val="single" w:sz="8" w:space="0" w:color="152935"/>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3.0000</w:t>
            </w:r>
          </w:p>
        </w:tc>
      </w:tr>
    </w:tbl>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drawing>
          <wp:inline distT="0" distB="0" distL="0" distR="0">
            <wp:extent cx="5731510" cy="3373120"/>
            <wp:effectExtent l="0" t="0" r="0" b="0"/>
            <wp:docPr id="6" name="image2.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png" descr=""/>
                    <pic:cNvPicPr>
                      <a:picLocks noChangeAspect="1" noChangeArrowheads="1"/>
                    </pic:cNvPicPr>
                  </pic:nvPicPr>
                  <pic:blipFill>
                    <a:blip r:embed="rId7"/>
                    <a:stretch>
                      <a:fillRect/>
                    </a:stretch>
                  </pic:blipFill>
                  <pic:spPr bwMode="auto">
                    <a:xfrm>
                      <a:off x="0" y="0"/>
                      <a:ext cx="5731510" cy="3373120"/>
                    </a:xfrm>
                    <a:prstGeom prst="rect">
                      <a:avLst/>
                    </a:prstGeom>
                  </pic:spPr>
                </pic:pic>
              </a:graphicData>
            </a:graphic>
          </wp:inline>
        </w:drawing>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K mean Cluster Analysis</w:t>
      </w:r>
    </w:p>
    <w:p>
      <w:pPr>
        <w:pStyle w:val="Normal1"/>
        <w:spacing w:lineRule="auto" w:line="240" w:before="0" w:after="0"/>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t>We used Spss to do k-means cluster analysis here.</w:t>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Table5"/>
        <w:tblW w:w="3243" w:type="dxa"/>
        <w:jc w:val="left"/>
        <w:tblInd w:w="108" w:type="dxa"/>
        <w:tblLayout w:type="fixed"/>
        <w:tblCellMar>
          <w:top w:w="0" w:type="dxa"/>
          <w:left w:w="108" w:type="dxa"/>
          <w:bottom w:w="0" w:type="dxa"/>
          <w:right w:w="108" w:type="dxa"/>
        </w:tblCellMar>
        <w:tblLook w:val="0000"/>
      </w:tblPr>
      <w:tblGrid>
        <w:gridCol w:w="1183"/>
        <w:gridCol w:w="1030"/>
        <w:gridCol w:w="1030"/>
      </w:tblGrid>
      <w:tr>
        <w:trPr>
          <w:cantSplit w:val="true"/>
        </w:trPr>
        <w:tc>
          <w:tcPr>
            <w:tcW w:w="3243" w:type="dxa"/>
            <w:gridSpan w:val="3"/>
            <w:tcBorders/>
            <w:shd w:fill="FFFFFF" w:val="clear"/>
            <w:vAlign w:val="center"/>
          </w:tcPr>
          <w:p>
            <w:pPr>
              <w:pStyle w:val="Normal1"/>
              <w:widowControl w:val="false"/>
              <w:spacing w:lineRule="auto" w:line="240" w:before="0" w:after="0"/>
              <w:ind w:left="60" w:right="60" w:hanging="0"/>
              <w:jc w:val="center"/>
              <w:rPr>
                <w:rFonts w:ascii="Times New Roman" w:hAnsi="Times New Roman" w:eastAsia="Times New Roman" w:cs="Times New Roman"/>
                <w:color w:val="010205"/>
                <w:sz w:val="24"/>
                <w:szCs w:val="24"/>
              </w:rPr>
            </w:pPr>
            <w:r>
              <w:rPr>
                <w:rFonts w:eastAsia="Times New Roman" w:cs="Times New Roman" w:ascii="Times New Roman" w:hAnsi="Times New Roman"/>
                <w:b/>
                <w:color w:val="010205"/>
                <w:sz w:val="24"/>
                <w:szCs w:val="24"/>
              </w:rPr>
              <w:t>Initial Cluster Centers</w:t>
            </w:r>
          </w:p>
        </w:tc>
      </w:tr>
      <w:tr>
        <w:trPr>
          <w:cantSplit w:val="true"/>
        </w:trPr>
        <w:tc>
          <w:tcPr>
            <w:tcW w:w="1183" w:type="dxa"/>
            <w:vMerge w:val="restart"/>
            <w:tcBorders/>
            <w:shd w:fill="FFFFFF" w:val="clear"/>
            <w:vAlign w:val="bottom"/>
          </w:tcPr>
          <w:p>
            <w:pPr>
              <w:pStyle w:val="Normal1"/>
              <w:widowControl w:val="false"/>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2060" w:type="dxa"/>
            <w:gridSpan w:val="2"/>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Cluster</w:t>
            </w:r>
          </w:p>
        </w:tc>
      </w:tr>
      <w:tr>
        <w:trPr>
          <w:cantSplit w:val="true"/>
        </w:trPr>
        <w:tc>
          <w:tcPr>
            <w:tcW w:w="1183" w:type="dxa"/>
            <w:vMerge w:val="continue"/>
            <w:tcBorders/>
            <w:shd w:fill="FFFFFF" w:val="clear"/>
            <w:vAlign w:val="bottom"/>
          </w:tcPr>
          <w:p>
            <w:pPr>
              <w:pStyle w:val="Normal1"/>
              <w:keepNext w:val="false"/>
              <w:keepLines w:val="false"/>
              <w:widowControl w:val="false"/>
              <w:pBdr/>
              <w:shd w:val="clear" w:fill="auto"/>
              <w:spacing w:lineRule="auto" w:line="276" w:before="0" w:after="0"/>
              <w:ind w:left="0" w:right="0" w:hanging="0"/>
              <w:jc w:val="left"/>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r>
          </w:p>
        </w:tc>
        <w:tc>
          <w:tcPr>
            <w:tcW w:w="1030" w:type="dxa"/>
            <w:tcBorders>
              <w:bottom w:val="single" w:sz="8" w:space="0" w:color="152935"/>
              <w:righ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1</w:t>
            </w:r>
          </w:p>
        </w:tc>
        <w:tc>
          <w:tcPr>
            <w:tcW w:w="1030" w:type="dxa"/>
            <w:tcBorders>
              <w:left w:val="single" w:sz="8" w:space="0" w:color="E0E0E0"/>
              <w:bottom w:val="single" w:sz="8" w:space="0" w:color="152935"/>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2</w:t>
            </w:r>
          </w:p>
        </w:tc>
      </w:tr>
      <w:tr>
        <w:trPr>
          <w:cantSplit w:val="true"/>
        </w:trPr>
        <w:tc>
          <w:tcPr>
            <w:tcW w:w="1183" w:type="dxa"/>
            <w:tcBorders>
              <w:top w:val="single" w:sz="8" w:space="0" w:color="152935"/>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female</w:t>
            </w:r>
          </w:p>
        </w:tc>
        <w:tc>
          <w:tcPr>
            <w:tcW w:w="1030" w:type="dxa"/>
            <w:tcBorders>
              <w:top w:val="single" w:sz="8" w:space="0" w:color="152935"/>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1.00</w:t>
            </w:r>
          </w:p>
        </w:tc>
        <w:tc>
          <w:tcPr>
            <w:tcW w:w="1030" w:type="dxa"/>
            <w:tcBorders>
              <w:top w:val="single" w:sz="8" w:space="0" w:color="152935"/>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.00</w:t>
            </w:r>
          </w:p>
        </w:tc>
      </w:tr>
      <w:tr>
        <w:trPr>
          <w:cantSplit w:val="true"/>
        </w:trPr>
        <w:tc>
          <w:tcPr>
            <w:tcW w:w="1183"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ice_cream</w:t>
            </w:r>
          </w:p>
        </w:tc>
        <w:tc>
          <w:tcPr>
            <w:tcW w:w="1030" w:type="dxa"/>
            <w:tcBorders>
              <w:top w:val="single" w:sz="8" w:space="0" w:color="AEAEAE"/>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2.00</w:t>
            </w:r>
          </w:p>
        </w:tc>
        <w:tc>
          <w:tcPr>
            <w:tcW w:w="1030" w:type="dxa"/>
            <w:tcBorders>
              <w:top w:val="single" w:sz="8" w:space="0" w:color="AEAEAE"/>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1.00</w:t>
            </w:r>
          </w:p>
        </w:tc>
      </w:tr>
      <w:tr>
        <w:trPr>
          <w:cantSplit w:val="true"/>
        </w:trPr>
        <w:tc>
          <w:tcPr>
            <w:tcW w:w="1183"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video</w:t>
            </w:r>
          </w:p>
        </w:tc>
        <w:tc>
          <w:tcPr>
            <w:tcW w:w="1030" w:type="dxa"/>
            <w:tcBorders>
              <w:top w:val="single" w:sz="8" w:space="0" w:color="AEAEAE"/>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29.00</w:t>
            </w:r>
          </w:p>
        </w:tc>
        <w:tc>
          <w:tcPr>
            <w:tcW w:w="1030" w:type="dxa"/>
            <w:tcBorders>
              <w:top w:val="single" w:sz="8" w:space="0" w:color="AEAEAE"/>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74.00</w:t>
            </w:r>
          </w:p>
        </w:tc>
      </w:tr>
      <w:tr>
        <w:trPr>
          <w:cantSplit w:val="true"/>
        </w:trPr>
        <w:tc>
          <w:tcPr>
            <w:tcW w:w="1183" w:type="dxa"/>
            <w:tcBorders>
              <w:top w:val="single" w:sz="8" w:space="0" w:color="AEAEAE"/>
              <w:bottom w:val="single" w:sz="8" w:space="0" w:color="152935"/>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puzzle</w:t>
            </w:r>
          </w:p>
        </w:tc>
        <w:tc>
          <w:tcPr>
            <w:tcW w:w="1030" w:type="dxa"/>
            <w:tcBorders>
              <w:top w:val="single" w:sz="8" w:space="0" w:color="AEAEAE"/>
              <w:bottom w:val="single" w:sz="8" w:space="0" w:color="152935"/>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26.00</w:t>
            </w:r>
          </w:p>
        </w:tc>
        <w:tc>
          <w:tcPr>
            <w:tcW w:w="1030" w:type="dxa"/>
            <w:tcBorders>
              <w:top w:val="single" w:sz="8" w:space="0" w:color="AEAEAE"/>
              <w:left w:val="single" w:sz="8" w:space="0" w:color="E0E0E0"/>
              <w:bottom w:val="single" w:sz="8" w:space="0" w:color="152935"/>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66.00</w:t>
            </w:r>
          </w:p>
        </w:tc>
      </w:tr>
    </w:tbl>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Table6"/>
        <w:tblW w:w="4087" w:type="dxa"/>
        <w:jc w:val="left"/>
        <w:tblInd w:w="-459" w:type="dxa"/>
        <w:tblLayout w:type="fixed"/>
        <w:tblCellMar>
          <w:top w:w="0" w:type="dxa"/>
          <w:left w:w="108" w:type="dxa"/>
          <w:bottom w:w="0" w:type="dxa"/>
          <w:right w:w="108" w:type="dxa"/>
        </w:tblCellMar>
        <w:tblLook w:val="0000"/>
      </w:tblPr>
      <w:tblGrid>
        <w:gridCol w:w="1535"/>
        <w:gridCol w:w="1276"/>
        <w:gridCol w:w="1276"/>
      </w:tblGrid>
      <w:tr>
        <w:trPr>
          <w:cantSplit w:val="true"/>
        </w:trPr>
        <w:tc>
          <w:tcPr>
            <w:tcW w:w="4087" w:type="dxa"/>
            <w:gridSpan w:val="3"/>
            <w:tcBorders/>
            <w:shd w:fill="FFFFFF" w:val="clear"/>
            <w:vAlign w:val="center"/>
          </w:tcPr>
          <w:p>
            <w:pPr>
              <w:pStyle w:val="Normal1"/>
              <w:widowControl w:val="false"/>
              <w:spacing w:lineRule="auto" w:line="240" w:before="0" w:after="0"/>
              <w:ind w:left="60" w:right="60" w:hanging="0"/>
              <w:jc w:val="center"/>
              <w:rPr>
                <w:rFonts w:ascii="Times New Roman" w:hAnsi="Times New Roman" w:eastAsia="Times New Roman" w:cs="Times New Roman"/>
                <w:color w:val="010205"/>
                <w:sz w:val="24"/>
                <w:szCs w:val="24"/>
              </w:rPr>
            </w:pPr>
            <w:r>
              <w:rPr>
                <w:rFonts w:eastAsia="Times New Roman" w:cs="Times New Roman" w:ascii="Times New Roman" w:hAnsi="Times New Roman"/>
                <w:b/>
                <w:color w:val="010205"/>
                <w:sz w:val="24"/>
                <w:szCs w:val="24"/>
              </w:rPr>
              <w:t>Iteration History</w:t>
            </w:r>
            <w:r>
              <w:rPr>
                <w:rFonts w:eastAsia="Times New Roman" w:cs="Times New Roman" w:ascii="Times New Roman" w:hAnsi="Times New Roman"/>
                <w:b/>
                <w:color w:val="010205"/>
                <w:sz w:val="24"/>
                <w:szCs w:val="24"/>
                <w:vertAlign w:val="superscript"/>
              </w:rPr>
              <w:t>a</w:t>
            </w:r>
          </w:p>
        </w:tc>
      </w:tr>
      <w:tr>
        <w:trPr>
          <w:cantSplit w:val="true"/>
        </w:trPr>
        <w:tc>
          <w:tcPr>
            <w:tcW w:w="1535" w:type="dxa"/>
            <w:vMerge w:val="restart"/>
            <w:tcBorders/>
            <w:shd w:fill="FFFFFF" w:val="clear"/>
            <w:vAlign w:val="bottom"/>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Iteration</w:t>
            </w:r>
          </w:p>
        </w:tc>
        <w:tc>
          <w:tcPr>
            <w:tcW w:w="2552" w:type="dxa"/>
            <w:gridSpan w:val="2"/>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Change in Cluster Centers</w:t>
            </w:r>
          </w:p>
        </w:tc>
      </w:tr>
      <w:tr>
        <w:trPr>
          <w:cantSplit w:val="true"/>
        </w:trPr>
        <w:tc>
          <w:tcPr>
            <w:tcW w:w="1535" w:type="dxa"/>
            <w:vMerge w:val="continue"/>
            <w:tcBorders/>
            <w:shd w:fill="FFFFFF" w:val="clear"/>
            <w:vAlign w:val="bottom"/>
          </w:tcPr>
          <w:p>
            <w:pPr>
              <w:pStyle w:val="Normal1"/>
              <w:keepNext w:val="false"/>
              <w:keepLines w:val="false"/>
              <w:widowControl w:val="false"/>
              <w:pBdr/>
              <w:shd w:val="clear" w:fill="auto"/>
              <w:spacing w:lineRule="auto" w:line="276" w:before="0" w:after="0"/>
              <w:ind w:left="0" w:right="0" w:hanging="0"/>
              <w:jc w:val="left"/>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r>
          </w:p>
        </w:tc>
        <w:tc>
          <w:tcPr>
            <w:tcW w:w="1276" w:type="dxa"/>
            <w:tcBorders>
              <w:bottom w:val="single" w:sz="8" w:space="0" w:color="152935"/>
              <w:righ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1</w:t>
            </w:r>
          </w:p>
        </w:tc>
        <w:tc>
          <w:tcPr>
            <w:tcW w:w="1276" w:type="dxa"/>
            <w:tcBorders>
              <w:left w:val="single" w:sz="8" w:space="0" w:color="E0E0E0"/>
              <w:bottom w:val="single" w:sz="8" w:space="0" w:color="152935"/>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2</w:t>
            </w:r>
          </w:p>
        </w:tc>
      </w:tr>
      <w:tr>
        <w:trPr>
          <w:cantSplit w:val="true"/>
        </w:trPr>
        <w:tc>
          <w:tcPr>
            <w:tcW w:w="1535" w:type="dxa"/>
            <w:tcBorders>
              <w:top w:val="single" w:sz="8" w:space="0" w:color="152935"/>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1</w:t>
            </w:r>
          </w:p>
        </w:tc>
        <w:tc>
          <w:tcPr>
            <w:tcW w:w="1276" w:type="dxa"/>
            <w:tcBorders>
              <w:top w:val="single" w:sz="8" w:space="0" w:color="152935"/>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21.992</w:t>
            </w:r>
          </w:p>
        </w:tc>
        <w:tc>
          <w:tcPr>
            <w:tcW w:w="1276" w:type="dxa"/>
            <w:tcBorders>
              <w:top w:val="single" w:sz="8" w:space="0" w:color="152935"/>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18.403</w:t>
            </w:r>
          </w:p>
        </w:tc>
      </w:tr>
      <w:tr>
        <w:trPr>
          <w:cantSplit w:val="true"/>
        </w:trPr>
        <w:tc>
          <w:tcPr>
            <w:tcW w:w="1535"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2</w:t>
            </w:r>
          </w:p>
        </w:tc>
        <w:tc>
          <w:tcPr>
            <w:tcW w:w="1276" w:type="dxa"/>
            <w:tcBorders>
              <w:top w:val="single" w:sz="8" w:space="0" w:color="AEAEAE"/>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.740</w:t>
            </w:r>
          </w:p>
        </w:tc>
        <w:tc>
          <w:tcPr>
            <w:tcW w:w="1276" w:type="dxa"/>
            <w:tcBorders>
              <w:top w:val="single" w:sz="8" w:space="0" w:color="AEAEAE"/>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.632</w:t>
            </w:r>
          </w:p>
        </w:tc>
      </w:tr>
      <w:tr>
        <w:trPr>
          <w:cantSplit w:val="true"/>
        </w:trPr>
        <w:tc>
          <w:tcPr>
            <w:tcW w:w="1535"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3</w:t>
            </w:r>
          </w:p>
        </w:tc>
        <w:tc>
          <w:tcPr>
            <w:tcW w:w="1276" w:type="dxa"/>
            <w:tcBorders>
              <w:top w:val="single" w:sz="8" w:space="0" w:color="AEAEAE"/>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1.084</w:t>
            </w:r>
          </w:p>
        </w:tc>
        <w:tc>
          <w:tcPr>
            <w:tcW w:w="1276" w:type="dxa"/>
            <w:tcBorders>
              <w:top w:val="single" w:sz="8" w:space="0" w:color="AEAEAE"/>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.969</w:t>
            </w:r>
          </w:p>
        </w:tc>
      </w:tr>
      <w:tr>
        <w:trPr>
          <w:cantSplit w:val="true"/>
        </w:trPr>
        <w:tc>
          <w:tcPr>
            <w:tcW w:w="1535"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4</w:t>
            </w:r>
          </w:p>
        </w:tc>
        <w:tc>
          <w:tcPr>
            <w:tcW w:w="1276" w:type="dxa"/>
            <w:tcBorders>
              <w:top w:val="single" w:sz="8" w:space="0" w:color="AEAEAE"/>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.215</w:t>
            </w:r>
          </w:p>
        </w:tc>
        <w:tc>
          <w:tcPr>
            <w:tcW w:w="1276" w:type="dxa"/>
            <w:tcBorders>
              <w:top w:val="single" w:sz="8" w:space="0" w:color="AEAEAE"/>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.219</w:t>
            </w:r>
          </w:p>
        </w:tc>
      </w:tr>
      <w:tr>
        <w:trPr>
          <w:cantSplit w:val="true"/>
        </w:trPr>
        <w:tc>
          <w:tcPr>
            <w:tcW w:w="1535"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5</w:t>
            </w:r>
          </w:p>
        </w:tc>
        <w:tc>
          <w:tcPr>
            <w:tcW w:w="1276" w:type="dxa"/>
            <w:tcBorders>
              <w:top w:val="single" w:sz="8" w:space="0" w:color="AEAEAE"/>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.285</w:t>
            </w:r>
          </w:p>
        </w:tc>
        <w:tc>
          <w:tcPr>
            <w:tcW w:w="1276" w:type="dxa"/>
            <w:tcBorders>
              <w:top w:val="single" w:sz="8" w:space="0" w:color="AEAEAE"/>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.263</w:t>
            </w:r>
          </w:p>
        </w:tc>
      </w:tr>
      <w:tr>
        <w:trPr>
          <w:cantSplit w:val="true"/>
        </w:trPr>
        <w:tc>
          <w:tcPr>
            <w:tcW w:w="1535" w:type="dxa"/>
            <w:tcBorders>
              <w:top w:val="single" w:sz="8" w:space="0" w:color="AEAEAE"/>
              <w:bottom w:val="single" w:sz="8" w:space="0" w:color="152935"/>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6</w:t>
            </w:r>
          </w:p>
        </w:tc>
        <w:tc>
          <w:tcPr>
            <w:tcW w:w="1276" w:type="dxa"/>
            <w:tcBorders>
              <w:top w:val="single" w:sz="8" w:space="0" w:color="AEAEAE"/>
              <w:bottom w:val="single" w:sz="8" w:space="0" w:color="152935"/>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.000</w:t>
            </w:r>
          </w:p>
        </w:tc>
        <w:tc>
          <w:tcPr>
            <w:tcW w:w="1276" w:type="dxa"/>
            <w:tcBorders>
              <w:top w:val="single" w:sz="8" w:space="0" w:color="AEAEAE"/>
              <w:left w:val="single" w:sz="8" w:space="0" w:color="E0E0E0"/>
              <w:bottom w:val="single" w:sz="8" w:space="0" w:color="152935"/>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.000</w:t>
            </w:r>
          </w:p>
        </w:tc>
      </w:tr>
      <w:tr>
        <w:trPr>
          <w:cantSplit w:val="true"/>
        </w:trPr>
        <w:tc>
          <w:tcPr>
            <w:tcW w:w="4087" w:type="dxa"/>
            <w:gridSpan w:val="3"/>
            <w:tcBorders/>
            <w:shd w:fill="FFFFFF" w:val="clear"/>
          </w:tcPr>
          <w:p>
            <w:pPr>
              <w:pStyle w:val="Normal1"/>
              <w:widowControl w:val="false"/>
              <w:spacing w:lineRule="auto" w:line="240" w:before="0" w:after="0"/>
              <w:ind w:left="60" w:right="60" w:hanging="0"/>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 xml:space="preserve">a. </w:t>
            </w:r>
          </w:p>
          <w:p>
            <w:pPr>
              <w:pStyle w:val="Normal1"/>
              <w:widowControl w:val="false"/>
              <w:spacing w:lineRule="auto" w:line="240" w:before="0" w:after="0"/>
              <w:ind w:left="60" w:right="60" w:hanging="0"/>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r>
          </w:p>
          <w:p>
            <w:pPr>
              <w:pStyle w:val="Normal1"/>
              <w:widowControl w:val="false"/>
              <w:spacing w:lineRule="auto" w:line="480" w:before="0" w:after="0"/>
              <w:ind w:left="60" w:right="60" w:hanging="0"/>
              <w:jc w:val="both"/>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Cluster canters changed very little or not at all, resulting in convergence. A center's greatest absolute change in coordinates is.000. The sixth edition of the programme has just been released. Initial canters should have a minimum of a 62.225-foot separation.</w:t>
            </w:r>
          </w:p>
        </w:tc>
      </w:tr>
    </w:tbl>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Table7"/>
        <w:tblW w:w="3243" w:type="dxa"/>
        <w:jc w:val="left"/>
        <w:tblInd w:w="108" w:type="dxa"/>
        <w:tblLayout w:type="fixed"/>
        <w:tblCellMar>
          <w:top w:w="0" w:type="dxa"/>
          <w:left w:w="108" w:type="dxa"/>
          <w:bottom w:w="0" w:type="dxa"/>
          <w:right w:w="108" w:type="dxa"/>
        </w:tblCellMar>
        <w:tblLook w:val="0000"/>
      </w:tblPr>
      <w:tblGrid>
        <w:gridCol w:w="1183"/>
        <w:gridCol w:w="1030"/>
        <w:gridCol w:w="1030"/>
      </w:tblGrid>
      <w:tr>
        <w:trPr>
          <w:cantSplit w:val="true"/>
        </w:trPr>
        <w:tc>
          <w:tcPr>
            <w:tcW w:w="3243" w:type="dxa"/>
            <w:gridSpan w:val="3"/>
            <w:tcBorders/>
            <w:shd w:fill="FFFFFF" w:val="clear"/>
            <w:vAlign w:val="center"/>
          </w:tcPr>
          <w:p>
            <w:pPr>
              <w:pStyle w:val="Normal1"/>
              <w:widowControl w:val="false"/>
              <w:spacing w:lineRule="auto" w:line="240" w:before="0" w:after="0"/>
              <w:ind w:left="60" w:right="60" w:hanging="0"/>
              <w:jc w:val="center"/>
              <w:rPr>
                <w:rFonts w:ascii="Times New Roman" w:hAnsi="Times New Roman" w:eastAsia="Times New Roman" w:cs="Times New Roman"/>
                <w:color w:val="010205"/>
                <w:sz w:val="24"/>
                <w:szCs w:val="24"/>
              </w:rPr>
            </w:pPr>
            <w:r>
              <w:rPr>
                <w:rFonts w:eastAsia="Times New Roman" w:cs="Times New Roman" w:ascii="Times New Roman" w:hAnsi="Times New Roman"/>
                <w:b/>
                <w:color w:val="010205"/>
                <w:sz w:val="24"/>
                <w:szCs w:val="24"/>
              </w:rPr>
              <w:t>Final Cluster Centers</w:t>
            </w:r>
          </w:p>
        </w:tc>
      </w:tr>
      <w:tr>
        <w:trPr>
          <w:cantSplit w:val="true"/>
        </w:trPr>
        <w:tc>
          <w:tcPr>
            <w:tcW w:w="1183" w:type="dxa"/>
            <w:vMerge w:val="restart"/>
            <w:tcBorders/>
            <w:shd w:fill="FFFFFF" w:val="clear"/>
            <w:vAlign w:val="bottom"/>
          </w:tcPr>
          <w:p>
            <w:pPr>
              <w:pStyle w:val="Normal1"/>
              <w:widowControl w:val="false"/>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2060" w:type="dxa"/>
            <w:gridSpan w:val="2"/>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Cluster</w:t>
            </w:r>
          </w:p>
        </w:tc>
      </w:tr>
      <w:tr>
        <w:trPr>
          <w:cantSplit w:val="true"/>
        </w:trPr>
        <w:tc>
          <w:tcPr>
            <w:tcW w:w="1183" w:type="dxa"/>
            <w:vMerge w:val="continue"/>
            <w:tcBorders/>
            <w:shd w:fill="FFFFFF" w:val="clear"/>
            <w:vAlign w:val="bottom"/>
          </w:tcPr>
          <w:p>
            <w:pPr>
              <w:pStyle w:val="Normal1"/>
              <w:keepNext w:val="false"/>
              <w:keepLines w:val="false"/>
              <w:widowControl w:val="false"/>
              <w:pBdr/>
              <w:shd w:val="clear" w:fill="auto"/>
              <w:spacing w:lineRule="auto" w:line="276" w:before="0" w:after="0"/>
              <w:ind w:left="0" w:right="0" w:hanging="0"/>
              <w:jc w:val="left"/>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r>
          </w:p>
        </w:tc>
        <w:tc>
          <w:tcPr>
            <w:tcW w:w="1030" w:type="dxa"/>
            <w:tcBorders>
              <w:bottom w:val="single" w:sz="8" w:space="0" w:color="152935"/>
              <w:righ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1</w:t>
            </w:r>
          </w:p>
        </w:tc>
        <w:tc>
          <w:tcPr>
            <w:tcW w:w="1030" w:type="dxa"/>
            <w:tcBorders>
              <w:left w:val="single" w:sz="8" w:space="0" w:color="E0E0E0"/>
              <w:bottom w:val="single" w:sz="8" w:space="0" w:color="152935"/>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2</w:t>
            </w:r>
          </w:p>
        </w:tc>
      </w:tr>
      <w:tr>
        <w:trPr>
          <w:cantSplit w:val="true"/>
        </w:trPr>
        <w:tc>
          <w:tcPr>
            <w:tcW w:w="1183" w:type="dxa"/>
            <w:tcBorders>
              <w:top w:val="single" w:sz="8" w:space="0" w:color="152935"/>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female</w:t>
            </w:r>
          </w:p>
        </w:tc>
        <w:tc>
          <w:tcPr>
            <w:tcW w:w="1030" w:type="dxa"/>
            <w:tcBorders>
              <w:top w:val="single" w:sz="8" w:space="0" w:color="152935"/>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.56</w:t>
            </w:r>
          </w:p>
        </w:tc>
        <w:tc>
          <w:tcPr>
            <w:tcW w:w="1030" w:type="dxa"/>
            <w:tcBorders>
              <w:top w:val="single" w:sz="8" w:space="0" w:color="152935"/>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.53</w:t>
            </w:r>
          </w:p>
        </w:tc>
      </w:tr>
      <w:tr>
        <w:trPr>
          <w:cantSplit w:val="true"/>
        </w:trPr>
        <w:tc>
          <w:tcPr>
            <w:tcW w:w="1183"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ice_cream</w:t>
            </w:r>
          </w:p>
        </w:tc>
        <w:tc>
          <w:tcPr>
            <w:tcW w:w="1030" w:type="dxa"/>
            <w:tcBorders>
              <w:top w:val="single" w:sz="8" w:space="0" w:color="AEAEAE"/>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1.68</w:t>
            </w:r>
          </w:p>
        </w:tc>
        <w:tc>
          <w:tcPr>
            <w:tcW w:w="1030" w:type="dxa"/>
            <w:tcBorders>
              <w:top w:val="single" w:sz="8" w:space="0" w:color="AEAEAE"/>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1.93</w:t>
            </w:r>
          </w:p>
        </w:tc>
      </w:tr>
      <w:tr>
        <w:trPr>
          <w:cantSplit w:val="true"/>
        </w:trPr>
        <w:tc>
          <w:tcPr>
            <w:tcW w:w="1183"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video</w:t>
            </w:r>
          </w:p>
        </w:tc>
        <w:tc>
          <w:tcPr>
            <w:tcW w:w="1030" w:type="dxa"/>
            <w:tcBorders>
              <w:top w:val="single" w:sz="8" w:space="0" w:color="AEAEAE"/>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44.92</w:t>
            </w:r>
          </w:p>
        </w:tc>
        <w:tc>
          <w:tcPr>
            <w:tcW w:w="1030" w:type="dxa"/>
            <w:tcBorders>
              <w:top w:val="single" w:sz="8" w:space="0" w:color="AEAEAE"/>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58.12</w:t>
            </w:r>
          </w:p>
        </w:tc>
      </w:tr>
      <w:tr>
        <w:trPr>
          <w:cantSplit w:val="true"/>
        </w:trPr>
        <w:tc>
          <w:tcPr>
            <w:tcW w:w="1183" w:type="dxa"/>
            <w:tcBorders>
              <w:top w:val="single" w:sz="8" w:space="0" w:color="AEAEAE"/>
              <w:bottom w:val="single" w:sz="8" w:space="0" w:color="152935"/>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puzzle</w:t>
            </w:r>
          </w:p>
        </w:tc>
        <w:tc>
          <w:tcPr>
            <w:tcW w:w="1030" w:type="dxa"/>
            <w:tcBorders>
              <w:top w:val="single" w:sz="8" w:space="0" w:color="AEAEAE"/>
              <w:bottom w:val="single" w:sz="8" w:space="0" w:color="152935"/>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43.99</w:t>
            </w:r>
          </w:p>
        </w:tc>
        <w:tc>
          <w:tcPr>
            <w:tcW w:w="1030" w:type="dxa"/>
            <w:tcBorders>
              <w:top w:val="single" w:sz="8" w:space="0" w:color="AEAEAE"/>
              <w:left w:val="single" w:sz="8" w:space="0" w:color="E0E0E0"/>
              <w:bottom w:val="single" w:sz="8" w:space="0" w:color="152935"/>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60.02</w:t>
            </w:r>
          </w:p>
        </w:tc>
      </w:tr>
    </w:tbl>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Table8"/>
        <w:tblW w:w="8132" w:type="dxa"/>
        <w:jc w:val="left"/>
        <w:tblInd w:w="108" w:type="dxa"/>
        <w:tblLayout w:type="fixed"/>
        <w:tblCellMar>
          <w:top w:w="0" w:type="dxa"/>
          <w:left w:w="108" w:type="dxa"/>
          <w:bottom w:w="0" w:type="dxa"/>
          <w:right w:w="108" w:type="dxa"/>
        </w:tblCellMar>
        <w:tblLook w:val="0000"/>
      </w:tblPr>
      <w:tblGrid>
        <w:gridCol w:w="1183"/>
        <w:gridCol w:w="1414"/>
        <w:gridCol w:w="1029"/>
        <w:gridCol w:w="1415"/>
        <w:gridCol w:w="1031"/>
        <w:gridCol w:w="1029"/>
        <w:gridCol w:w="1030"/>
      </w:tblGrid>
      <w:tr>
        <w:trPr>
          <w:cantSplit w:val="true"/>
        </w:trPr>
        <w:tc>
          <w:tcPr>
            <w:tcW w:w="8131" w:type="dxa"/>
            <w:gridSpan w:val="7"/>
            <w:tcBorders/>
            <w:shd w:fill="FFFFFF" w:val="clear"/>
            <w:vAlign w:val="center"/>
          </w:tcPr>
          <w:p>
            <w:pPr>
              <w:pStyle w:val="Normal1"/>
              <w:widowControl w:val="false"/>
              <w:spacing w:lineRule="auto" w:line="240" w:before="0" w:after="0"/>
              <w:ind w:left="60" w:right="60" w:hanging="0"/>
              <w:jc w:val="center"/>
              <w:rPr>
                <w:rFonts w:ascii="Times New Roman" w:hAnsi="Times New Roman" w:eastAsia="Times New Roman" w:cs="Times New Roman"/>
                <w:color w:val="010205"/>
                <w:sz w:val="24"/>
                <w:szCs w:val="24"/>
              </w:rPr>
            </w:pPr>
            <w:r>
              <w:rPr>
                <w:rFonts w:eastAsia="Times New Roman" w:cs="Times New Roman" w:ascii="Times New Roman" w:hAnsi="Times New Roman"/>
                <w:b/>
                <w:color w:val="010205"/>
                <w:sz w:val="24"/>
                <w:szCs w:val="24"/>
              </w:rPr>
              <w:t>ANOVA</w:t>
            </w:r>
          </w:p>
        </w:tc>
      </w:tr>
      <w:tr>
        <w:trPr>
          <w:cantSplit w:val="true"/>
        </w:trPr>
        <w:tc>
          <w:tcPr>
            <w:tcW w:w="1183" w:type="dxa"/>
            <w:vMerge w:val="restart"/>
            <w:tcBorders/>
            <w:shd w:fill="FFFFFF" w:val="clear"/>
            <w:vAlign w:val="bottom"/>
          </w:tcPr>
          <w:p>
            <w:pPr>
              <w:pStyle w:val="Normal1"/>
              <w:widowControl w:val="false"/>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2443" w:type="dxa"/>
            <w:gridSpan w:val="2"/>
            <w:tcBorders>
              <w:righ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Cluster</w:t>
            </w:r>
          </w:p>
        </w:tc>
        <w:tc>
          <w:tcPr>
            <w:tcW w:w="2446" w:type="dxa"/>
            <w:gridSpan w:val="2"/>
            <w:tcBorders>
              <w:left w:val="single" w:sz="8" w:space="0" w:color="E0E0E0"/>
              <w:righ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Error</w:t>
            </w:r>
          </w:p>
        </w:tc>
        <w:tc>
          <w:tcPr>
            <w:tcW w:w="1029" w:type="dxa"/>
            <w:vMerge w:val="restart"/>
            <w:tcBorders>
              <w:left w:val="single" w:sz="8" w:space="0" w:color="E0E0E0"/>
              <w:righ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F</w:t>
            </w:r>
          </w:p>
        </w:tc>
        <w:tc>
          <w:tcPr>
            <w:tcW w:w="1030" w:type="dxa"/>
            <w:vMerge w:val="restart"/>
            <w:tcBorders>
              <w:lef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Sig.</w:t>
            </w:r>
          </w:p>
        </w:tc>
      </w:tr>
      <w:tr>
        <w:trPr>
          <w:cantSplit w:val="true"/>
        </w:trPr>
        <w:tc>
          <w:tcPr>
            <w:tcW w:w="1183" w:type="dxa"/>
            <w:vMerge w:val="continue"/>
            <w:tcBorders/>
            <w:shd w:fill="FFFFFF" w:val="clear"/>
            <w:vAlign w:val="bottom"/>
          </w:tcPr>
          <w:p>
            <w:pPr>
              <w:pStyle w:val="Normal1"/>
              <w:keepNext w:val="false"/>
              <w:keepLines w:val="false"/>
              <w:widowControl w:val="false"/>
              <w:pBdr/>
              <w:shd w:val="clear" w:fill="auto"/>
              <w:spacing w:lineRule="auto" w:line="276" w:before="0" w:after="0"/>
              <w:ind w:left="0" w:right="0" w:hanging="0"/>
              <w:jc w:val="left"/>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r>
          </w:p>
        </w:tc>
        <w:tc>
          <w:tcPr>
            <w:tcW w:w="1414" w:type="dxa"/>
            <w:tcBorders>
              <w:bottom w:val="single" w:sz="8" w:space="0" w:color="152935"/>
              <w:righ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Mean Square</w:t>
            </w:r>
          </w:p>
        </w:tc>
        <w:tc>
          <w:tcPr>
            <w:tcW w:w="1029" w:type="dxa"/>
            <w:tcBorders>
              <w:left w:val="single" w:sz="8" w:space="0" w:color="E0E0E0"/>
              <w:bottom w:val="single" w:sz="8" w:space="0" w:color="152935"/>
              <w:righ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df</w:t>
            </w:r>
          </w:p>
        </w:tc>
        <w:tc>
          <w:tcPr>
            <w:tcW w:w="1415" w:type="dxa"/>
            <w:tcBorders>
              <w:left w:val="single" w:sz="8" w:space="0" w:color="E0E0E0"/>
              <w:bottom w:val="single" w:sz="8" w:space="0" w:color="152935"/>
              <w:righ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Mean Square</w:t>
            </w:r>
          </w:p>
        </w:tc>
        <w:tc>
          <w:tcPr>
            <w:tcW w:w="1031" w:type="dxa"/>
            <w:tcBorders>
              <w:left w:val="single" w:sz="8" w:space="0" w:color="E0E0E0"/>
              <w:bottom w:val="single" w:sz="8" w:space="0" w:color="152935"/>
              <w:right w:val="single" w:sz="8" w:space="0" w:color="E0E0E0"/>
            </w:tcBorders>
            <w:shd w:fill="FFFFFF" w:val="clear"/>
            <w:vAlign w:val="bottom"/>
          </w:tcPr>
          <w:p>
            <w:pPr>
              <w:pStyle w:val="Normal1"/>
              <w:widowControl w:val="false"/>
              <w:spacing w:lineRule="auto" w:line="240" w:before="0" w:after="0"/>
              <w:ind w:left="60" w:right="60" w:hanging="0"/>
              <w:jc w:val="center"/>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df</w:t>
            </w:r>
          </w:p>
        </w:tc>
        <w:tc>
          <w:tcPr>
            <w:tcW w:w="1029" w:type="dxa"/>
            <w:vMerge w:val="continue"/>
            <w:tcBorders>
              <w:left w:val="single" w:sz="8" w:space="0" w:color="E0E0E0"/>
              <w:right w:val="single" w:sz="8" w:space="0" w:color="E0E0E0"/>
            </w:tcBorders>
            <w:shd w:fill="FFFFFF" w:val="clear"/>
            <w:vAlign w:val="bottom"/>
          </w:tcPr>
          <w:p>
            <w:pPr>
              <w:pStyle w:val="Normal1"/>
              <w:keepNext w:val="false"/>
              <w:keepLines w:val="false"/>
              <w:widowControl w:val="false"/>
              <w:pBdr/>
              <w:shd w:val="clear" w:fill="auto"/>
              <w:spacing w:lineRule="auto" w:line="276" w:before="0" w:after="0"/>
              <w:ind w:left="0" w:right="0" w:hanging="0"/>
              <w:jc w:val="left"/>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r>
          </w:p>
        </w:tc>
        <w:tc>
          <w:tcPr>
            <w:tcW w:w="1030" w:type="dxa"/>
            <w:vMerge w:val="continue"/>
            <w:tcBorders>
              <w:left w:val="single" w:sz="8" w:space="0" w:color="E0E0E0"/>
            </w:tcBorders>
            <w:shd w:fill="FFFFFF" w:val="clear"/>
            <w:vAlign w:val="bottom"/>
          </w:tcPr>
          <w:p>
            <w:pPr>
              <w:pStyle w:val="Normal1"/>
              <w:keepNext w:val="false"/>
              <w:keepLines w:val="false"/>
              <w:widowControl w:val="false"/>
              <w:pBdr/>
              <w:shd w:val="clear" w:fill="auto"/>
              <w:spacing w:lineRule="auto" w:line="276" w:before="0" w:after="0"/>
              <w:ind w:left="0" w:right="0" w:hanging="0"/>
              <w:jc w:val="left"/>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r>
          </w:p>
        </w:tc>
      </w:tr>
      <w:tr>
        <w:trPr>
          <w:cantSplit w:val="true"/>
        </w:trPr>
        <w:tc>
          <w:tcPr>
            <w:tcW w:w="1183" w:type="dxa"/>
            <w:tcBorders>
              <w:top w:val="single" w:sz="8" w:space="0" w:color="152935"/>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female</w:t>
            </w:r>
          </w:p>
        </w:tc>
        <w:tc>
          <w:tcPr>
            <w:tcW w:w="1414" w:type="dxa"/>
            <w:tcBorders>
              <w:top w:val="single" w:sz="8" w:space="0" w:color="152935"/>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.030</w:t>
            </w:r>
          </w:p>
        </w:tc>
        <w:tc>
          <w:tcPr>
            <w:tcW w:w="1029" w:type="dxa"/>
            <w:tcBorders>
              <w:top w:val="single" w:sz="8" w:space="0" w:color="152935"/>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w:t>
            </w:r>
          </w:p>
        </w:tc>
        <w:tc>
          <w:tcPr>
            <w:tcW w:w="1415" w:type="dxa"/>
            <w:tcBorders>
              <w:top w:val="single" w:sz="8" w:space="0" w:color="152935"/>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.250</w:t>
            </w:r>
          </w:p>
        </w:tc>
        <w:tc>
          <w:tcPr>
            <w:tcW w:w="1031" w:type="dxa"/>
            <w:tcBorders>
              <w:top w:val="single" w:sz="8" w:space="0" w:color="152935"/>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198</w:t>
            </w:r>
          </w:p>
        </w:tc>
        <w:tc>
          <w:tcPr>
            <w:tcW w:w="1029" w:type="dxa"/>
            <w:tcBorders>
              <w:top w:val="single" w:sz="8" w:space="0" w:color="152935"/>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.120</w:t>
            </w:r>
          </w:p>
        </w:tc>
        <w:tc>
          <w:tcPr>
            <w:tcW w:w="1030" w:type="dxa"/>
            <w:tcBorders>
              <w:top w:val="single" w:sz="8" w:space="0" w:color="152935"/>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.729</w:t>
            </w:r>
          </w:p>
        </w:tc>
      </w:tr>
      <w:tr>
        <w:trPr>
          <w:cantSplit w:val="true"/>
        </w:trPr>
        <w:tc>
          <w:tcPr>
            <w:tcW w:w="1183"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ice_cream</w:t>
            </w:r>
          </w:p>
        </w:tc>
        <w:tc>
          <w:tcPr>
            <w:tcW w:w="1414" w:type="dxa"/>
            <w:tcBorders>
              <w:top w:val="single" w:sz="8" w:space="0" w:color="AEAEAE"/>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3.095</w:t>
            </w:r>
          </w:p>
        </w:tc>
        <w:tc>
          <w:tcPr>
            <w:tcW w:w="1029" w:type="dxa"/>
            <w:tcBorders>
              <w:top w:val="single" w:sz="8" w:space="0" w:color="AEAEAE"/>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w:t>
            </w:r>
          </w:p>
        </w:tc>
        <w:tc>
          <w:tcPr>
            <w:tcW w:w="1415" w:type="dxa"/>
            <w:tcBorders>
              <w:top w:val="single" w:sz="8" w:space="0" w:color="AEAEAE"/>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.723</w:t>
            </w:r>
          </w:p>
        </w:tc>
        <w:tc>
          <w:tcPr>
            <w:tcW w:w="1031" w:type="dxa"/>
            <w:tcBorders>
              <w:top w:val="single" w:sz="8" w:space="0" w:color="AEAEAE"/>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198</w:t>
            </w:r>
          </w:p>
        </w:tc>
        <w:tc>
          <w:tcPr>
            <w:tcW w:w="1029" w:type="dxa"/>
            <w:tcBorders>
              <w:top w:val="single" w:sz="8" w:space="0" w:color="AEAEAE"/>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4.284</w:t>
            </w:r>
          </w:p>
        </w:tc>
        <w:tc>
          <w:tcPr>
            <w:tcW w:w="1030" w:type="dxa"/>
            <w:tcBorders>
              <w:top w:val="single" w:sz="8" w:space="0" w:color="AEAEAE"/>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.040</w:t>
            </w:r>
          </w:p>
        </w:tc>
      </w:tr>
      <w:tr>
        <w:trPr>
          <w:cantSplit w:val="true"/>
        </w:trPr>
        <w:tc>
          <w:tcPr>
            <w:tcW w:w="1183"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video</w:t>
            </w:r>
          </w:p>
        </w:tc>
        <w:tc>
          <w:tcPr>
            <w:tcW w:w="1414" w:type="dxa"/>
            <w:tcBorders>
              <w:top w:val="single" w:sz="8" w:space="0" w:color="AEAEAE"/>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8700.783</w:t>
            </w:r>
          </w:p>
        </w:tc>
        <w:tc>
          <w:tcPr>
            <w:tcW w:w="1029" w:type="dxa"/>
            <w:tcBorders>
              <w:top w:val="single" w:sz="8" w:space="0" w:color="AEAEAE"/>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w:t>
            </w:r>
          </w:p>
        </w:tc>
        <w:tc>
          <w:tcPr>
            <w:tcW w:w="1415" w:type="dxa"/>
            <w:tcBorders>
              <w:top w:val="single" w:sz="8" w:space="0" w:color="AEAEAE"/>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54.579</w:t>
            </w:r>
          </w:p>
        </w:tc>
        <w:tc>
          <w:tcPr>
            <w:tcW w:w="1031" w:type="dxa"/>
            <w:tcBorders>
              <w:top w:val="single" w:sz="8" w:space="0" w:color="AEAEAE"/>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198</w:t>
            </w:r>
          </w:p>
        </w:tc>
        <w:tc>
          <w:tcPr>
            <w:tcW w:w="1029" w:type="dxa"/>
            <w:tcBorders>
              <w:top w:val="single" w:sz="8" w:space="0" w:color="AEAEAE"/>
              <w:left w:val="single" w:sz="8" w:space="0" w:color="E0E0E0"/>
              <w:bottom w:val="single" w:sz="8" w:space="0" w:color="AEAEAE"/>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159.415</w:t>
            </w:r>
          </w:p>
        </w:tc>
        <w:tc>
          <w:tcPr>
            <w:tcW w:w="1030" w:type="dxa"/>
            <w:tcBorders>
              <w:top w:val="single" w:sz="8" w:space="0" w:color="AEAEAE"/>
              <w:left w:val="single" w:sz="8" w:space="0" w:color="E0E0E0"/>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.000</w:t>
            </w:r>
          </w:p>
        </w:tc>
      </w:tr>
      <w:tr>
        <w:trPr>
          <w:cantSplit w:val="true"/>
        </w:trPr>
        <w:tc>
          <w:tcPr>
            <w:tcW w:w="1183" w:type="dxa"/>
            <w:tcBorders>
              <w:top w:val="single" w:sz="8" w:space="0" w:color="AEAEAE"/>
              <w:bottom w:val="single" w:sz="8" w:space="0" w:color="152935"/>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puzzle</w:t>
            </w:r>
          </w:p>
        </w:tc>
        <w:tc>
          <w:tcPr>
            <w:tcW w:w="1414" w:type="dxa"/>
            <w:tcBorders>
              <w:top w:val="single" w:sz="8" w:space="0" w:color="AEAEAE"/>
              <w:bottom w:val="single" w:sz="8" w:space="0" w:color="152935"/>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12815.244</w:t>
            </w:r>
          </w:p>
        </w:tc>
        <w:tc>
          <w:tcPr>
            <w:tcW w:w="1029" w:type="dxa"/>
            <w:tcBorders>
              <w:top w:val="single" w:sz="8" w:space="0" w:color="AEAEAE"/>
              <w:left w:val="single" w:sz="8" w:space="0" w:color="E0E0E0"/>
              <w:bottom w:val="single" w:sz="8" w:space="0" w:color="152935"/>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w:t>
            </w:r>
          </w:p>
        </w:tc>
        <w:tc>
          <w:tcPr>
            <w:tcW w:w="1415" w:type="dxa"/>
            <w:tcBorders>
              <w:top w:val="single" w:sz="8" w:space="0" w:color="AEAEAE"/>
              <w:left w:val="single" w:sz="8" w:space="0" w:color="E0E0E0"/>
              <w:bottom w:val="single" w:sz="8" w:space="0" w:color="152935"/>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51.116</w:t>
            </w:r>
          </w:p>
        </w:tc>
        <w:tc>
          <w:tcPr>
            <w:tcW w:w="1031" w:type="dxa"/>
            <w:tcBorders>
              <w:top w:val="single" w:sz="8" w:space="0" w:color="AEAEAE"/>
              <w:left w:val="single" w:sz="8" w:space="0" w:color="E0E0E0"/>
              <w:bottom w:val="single" w:sz="8" w:space="0" w:color="152935"/>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198</w:t>
            </w:r>
          </w:p>
        </w:tc>
        <w:tc>
          <w:tcPr>
            <w:tcW w:w="1029" w:type="dxa"/>
            <w:tcBorders>
              <w:top w:val="single" w:sz="8" w:space="0" w:color="AEAEAE"/>
              <w:left w:val="single" w:sz="8" w:space="0" w:color="E0E0E0"/>
              <w:bottom w:val="single" w:sz="8" w:space="0" w:color="152935"/>
              <w:right w:val="single" w:sz="8" w:space="0" w:color="E0E0E0"/>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250.709</w:t>
            </w:r>
          </w:p>
        </w:tc>
        <w:tc>
          <w:tcPr>
            <w:tcW w:w="1030" w:type="dxa"/>
            <w:tcBorders>
              <w:top w:val="single" w:sz="8" w:space="0" w:color="AEAEAE"/>
              <w:left w:val="single" w:sz="8" w:space="0" w:color="E0E0E0"/>
              <w:bottom w:val="single" w:sz="8" w:space="0" w:color="152935"/>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.000</w:t>
            </w:r>
          </w:p>
        </w:tc>
      </w:tr>
      <w:tr>
        <w:trPr>
          <w:cantSplit w:val="true"/>
        </w:trPr>
        <w:tc>
          <w:tcPr>
            <w:tcW w:w="8131" w:type="dxa"/>
            <w:gridSpan w:val="7"/>
            <w:tcBorders/>
            <w:shd w:fill="FFFFFF" w:val="clear"/>
          </w:tcPr>
          <w:p>
            <w:pPr>
              <w:pStyle w:val="Normal1"/>
              <w:widowControl w:val="false"/>
              <w:spacing w:lineRule="auto" w:line="240" w:before="0" w:after="0"/>
              <w:ind w:left="60" w:right="60" w:hanging="0"/>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r>
          </w:p>
          <w:p>
            <w:pPr>
              <w:pStyle w:val="Normal1"/>
              <w:widowControl w:val="false"/>
              <w:spacing w:lineRule="auto" w:line="240" w:before="0" w:after="0"/>
              <w:ind w:left="60" w:right="60" w:hanging="0"/>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r>
          </w:p>
          <w:p>
            <w:pPr>
              <w:pStyle w:val="Normal1"/>
              <w:widowControl w:val="false"/>
              <w:spacing w:lineRule="auto" w:line="480" w:before="0" w:after="0"/>
              <w:ind w:left="60" w:right="60" w:hanging="0"/>
              <w:jc w:val="both"/>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The F tests should only be used for descriptive reasons since the clusters were designed to maximise the differences between instances in various clusters. Since this is not taken into account, the observed significance levels cannot be construed as proof of the equality of the cluster means.</w:t>
            </w:r>
          </w:p>
        </w:tc>
      </w:tr>
    </w:tbl>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Table9"/>
        <w:tblW w:w="2751" w:type="dxa"/>
        <w:jc w:val="left"/>
        <w:tblInd w:w="108" w:type="dxa"/>
        <w:tblLayout w:type="fixed"/>
        <w:tblCellMar>
          <w:top w:w="0" w:type="dxa"/>
          <w:left w:w="108" w:type="dxa"/>
          <w:bottom w:w="0" w:type="dxa"/>
          <w:right w:w="108" w:type="dxa"/>
        </w:tblCellMar>
        <w:tblLook w:val="0000"/>
      </w:tblPr>
      <w:tblGrid>
        <w:gridCol w:w="932"/>
        <w:gridCol w:w="759"/>
        <w:gridCol w:w="1060"/>
      </w:tblGrid>
      <w:tr>
        <w:trPr>
          <w:cantSplit w:val="true"/>
        </w:trPr>
        <w:tc>
          <w:tcPr>
            <w:tcW w:w="2751" w:type="dxa"/>
            <w:gridSpan w:val="3"/>
            <w:tcBorders/>
            <w:shd w:fill="FFFFFF" w:val="clear"/>
            <w:vAlign w:val="center"/>
          </w:tcPr>
          <w:p>
            <w:pPr>
              <w:pStyle w:val="Normal1"/>
              <w:widowControl w:val="false"/>
              <w:spacing w:lineRule="auto" w:line="240" w:before="0" w:after="0"/>
              <w:ind w:left="60" w:right="60" w:hanging="0"/>
              <w:jc w:val="center"/>
              <w:rPr>
                <w:rFonts w:ascii="Times New Roman" w:hAnsi="Times New Roman" w:eastAsia="Times New Roman" w:cs="Times New Roman"/>
                <w:color w:val="010205"/>
                <w:sz w:val="24"/>
                <w:szCs w:val="24"/>
              </w:rPr>
            </w:pPr>
            <w:r>
              <w:rPr>
                <w:rFonts w:eastAsia="Times New Roman" w:cs="Times New Roman" w:ascii="Times New Roman" w:hAnsi="Times New Roman"/>
                <w:b/>
                <w:color w:val="010205"/>
                <w:sz w:val="24"/>
                <w:szCs w:val="24"/>
              </w:rPr>
              <w:t>Number of Cases in each Cluster</w:t>
            </w:r>
          </w:p>
        </w:tc>
      </w:tr>
      <w:tr>
        <w:trPr>
          <w:cantSplit w:val="true"/>
        </w:trPr>
        <w:tc>
          <w:tcPr>
            <w:tcW w:w="932" w:type="dxa"/>
            <w:vMerge w:val="restart"/>
            <w:tcBorders>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Cluster</w:t>
            </w:r>
          </w:p>
        </w:tc>
        <w:tc>
          <w:tcPr>
            <w:tcW w:w="759" w:type="dxa"/>
            <w:tcBorders>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1</w:t>
            </w:r>
          </w:p>
        </w:tc>
        <w:tc>
          <w:tcPr>
            <w:tcW w:w="1060" w:type="dxa"/>
            <w:tcBorders>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95.000</w:t>
            </w:r>
          </w:p>
        </w:tc>
      </w:tr>
      <w:tr>
        <w:trPr>
          <w:cantSplit w:val="true"/>
        </w:trPr>
        <w:tc>
          <w:tcPr>
            <w:tcW w:w="932" w:type="dxa"/>
            <w:vMerge w:val="continue"/>
            <w:tcBorders>
              <w:bottom w:val="single" w:sz="8" w:space="0" w:color="AEAEAE"/>
            </w:tcBorders>
            <w:shd w:fill="E0E0E0" w:val="clear"/>
          </w:tcPr>
          <w:p>
            <w:pPr>
              <w:pStyle w:val="Normal1"/>
              <w:keepNext w:val="false"/>
              <w:keepLines w:val="false"/>
              <w:widowControl w:val="false"/>
              <w:pBdr/>
              <w:shd w:val="clear" w:fill="auto"/>
              <w:spacing w:lineRule="auto" w:line="276" w:before="0" w:after="0"/>
              <w:ind w:left="0" w:right="0" w:hanging="0"/>
              <w:jc w:val="lef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r>
          </w:p>
        </w:tc>
        <w:tc>
          <w:tcPr>
            <w:tcW w:w="759" w:type="dxa"/>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2</w:t>
            </w:r>
          </w:p>
        </w:tc>
        <w:tc>
          <w:tcPr>
            <w:tcW w:w="1060" w:type="dxa"/>
            <w:tcBorders>
              <w:top w:val="single" w:sz="8" w:space="0" w:color="AEAEAE"/>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105.000</w:t>
            </w:r>
          </w:p>
        </w:tc>
      </w:tr>
      <w:tr>
        <w:trPr>
          <w:cantSplit w:val="true"/>
        </w:trPr>
        <w:tc>
          <w:tcPr>
            <w:tcW w:w="1691" w:type="dxa"/>
            <w:gridSpan w:val="2"/>
            <w:tcBorders>
              <w:top w:val="single" w:sz="8" w:space="0" w:color="AEAEAE"/>
              <w:bottom w:val="single" w:sz="8" w:space="0" w:color="AEAEAE"/>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Valid</w:t>
            </w:r>
          </w:p>
        </w:tc>
        <w:tc>
          <w:tcPr>
            <w:tcW w:w="1060" w:type="dxa"/>
            <w:tcBorders>
              <w:top w:val="single" w:sz="8" w:space="0" w:color="AEAEAE"/>
              <w:bottom w:val="single" w:sz="8" w:space="0" w:color="AEAEAE"/>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200.000</w:t>
            </w:r>
          </w:p>
        </w:tc>
      </w:tr>
      <w:tr>
        <w:trPr>
          <w:cantSplit w:val="true"/>
        </w:trPr>
        <w:tc>
          <w:tcPr>
            <w:tcW w:w="1691" w:type="dxa"/>
            <w:gridSpan w:val="2"/>
            <w:tcBorders>
              <w:top w:val="single" w:sz="8" w:space="0" w:color="AEAEAE"/>
              <w:bottom w:val="single" w:sz="8" w:space="0" w:color="152935"/>
            </w:tcBorders>
            <w:shd w:fill="E0E0E0" w:val="clear"/>
          </w:tcPr>
          <w:p>
            <w:pPr>
              <w:pStyle w:val="Normal1"/>
              <w:widowControl w:val="false"/>
              <w:spacing w:lineRule="auto" w:line="240" w:before="0" w:after="0"/>
              <w:ind w:left="60" w:right="60" w:hanging="0"/>
              <w:rPr>
                <w:rFonts w:ascii="Times New Roman" w:hAnsi="Times New Roman" w:eastAsia="Times New Roman" w:cs="Times New Roman"/>
                <w:color w:val="264A60"/>
                <w:sz w:val="24"/>
                <w:szCs w:val="24"/>
              </w:rPr>
            </w:pPr>
            <w:r>
              <w:rPr>
                <w:rFonts w:eastAsia="Times New Roman" w:cs="Times New Roman" w:ascii="Times New Roman" w:hAnsi="Times New Roman"/>
                <w:color w:val="264A60"/>
                <w:sz w:val="24"/>
                <w:szCs w:val="24"/>
              </w:rPr>
              <w:t>Missing</w:t>
            </w:r>
          </w:p>
        </w:tc>
        <w:tc>
          <w:tcPr>
            <w:tcW w:w="1060" w:type="dxa"/>
            <w:tcBorders>
              <w:top w:val="single" w:sz="8" w:space="0" w:color="AEAEAE"/>
              <w:bottom w:val="single" w:sz="8" w:space="0" w:color="152935"/>
            </w:tcBorders>
            <w:shd w:fill="FFFFFF" w:val="clear"/>
          </w:tcPr>
          <w:p>
            <w:pPr>
              <w:pStyle w:val="Normal1"/>
              <w:widowControl w:val="false"/>
              <w:spacing w:lineRule="auto" w:line="240" w:before="0" w:after="0"/>
              <w:ind w:left="60" w:right="60" w:hanging="0"/>
              <w:jc w:val="right"/>
              <w:rPr>
                <w:rFonts w:ascii="Times New Roman" w:hAnsi="Times New Roman" w:eastAsia="Times New Roman" w:cs="Times New Roman"/>
                <w:color w:val="010205"/>
                <w:sz w:val="24"/>
                <w:szCs w:val="24"/>
              </w:rPr>
            </w:pPr>
            <w:r>
              <w:rPr>
                <w:rFonts w:eastAsia="Times New Roman" w:cs="Times New Roman" w:ascii="Times New Roman" w:hAnsi="Times New Roman"/>
                <w:color w:val="010205"/>
                <w:sz w:val="24"/>
                <w:szCs w:val="24"/>
              </w:rPr>
              <w:t>.000</w:t>
            </w:r>
          </w:p>
        </w:tc>
      </w:tr>
    </w:tbl>
    <w:p>
      <w:pPr>
        <w:pStyle w:val="Normal1"/>
        <w:spacing w:lineRule="auto" w:line="24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360" w:before="0" w:after="0"/>
        <w:jc w:val="center"/>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Explain the most common data mining and text mining methods that can be used in business with real world examples.</w:t>
      </w:r>
    </w:p>
    <w:p>
      <w:pPr>
        <w:pStyle w:val="Normal1"/>
        <w:keepNext w:val="false"/>
        <w:keepLines w:val="false"/>
        <w:pageBreakBefore w:val="false"/>
        <w:widowControl/>
        <w:pBdr/>
        <w:shd w:val="clear" w:fill="FFFFFF"/>
        <w:spacing w:lineRule="auto" w:line="360" w:before="0" w:after="0"/>
        <w:ind w:left="0" w:right="0" w:hanging="0"/>
        <w:jc w:val="left"/>
        <w:rPr>
          <w:rFonts w:ascii="Times New Roman" w:hAnsi="Times New Roman" w:eastAsia="Times New Roman" w:cs="Times New Roman"/>
          <w:b/>
          <w:b/>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i w:val="false"/>
          <w:caps w:val="false"/>
          <w:smallCaps w:val="false"/>
          <w:strike w:val="false"/>
          <w:dstrike w:val="false"/>
          <w:color w:val="000000"/>
          <w:position w:val="0"/>
          <w:sz w:val="24"/>
          <w:sz w:val="24"/>
          <w:szCs w:val="24"/>
          <w:u w:val="none"/>
          <w:shd w:fill="auto" w:val="clear"/>
          <w:vertAlign w:val="baseline"/>
        </w:rPr>
        <w:t xml:space="preserve">Method of Data Mining </w:t>
      </w:r>
    </w:p>
    <w:p>
      <w:pPr>
        <w:pStyle w:val="Normal1"/>
        <w:keepNext w:val="false"/>
        <w:keepLines w:val="false"/>
        <w:pageBreakBefore w:val="false"/>
        <w:widowControl/>
        <w:pBdr/>
        <w:shd w:val="clear" w:fill="FFFFFF"/>
        <w:spacing w:lineRule="auto" w:line="360" w:before="0" w:after="0"/>
        <w:ind w:left="0" w:right="0" w:firstLine="72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Anomalies, trends, and correlations in enormous data sets may be discovered using data mining techniques. There are several ways in which a firm may use this information to increase income and save money while strengthening customer relationships and reducing risk (Mia and Lämmel, 2020)</w:t>
      </w:r>
    </w:p>
    <w:p>
      <w:pPr>
        <w:pStyle w:val="Heading3"/>
        <w:shd w:val="clear" w:fill="FFFFFF"/>
        <w:spacing w:lineRule="auto" w:line="360" w:before="0" w:after="0"/>
        <w:rPr>
          <w:color w:val="111111"/>
          <w:sz w:val="24"/>
          <w:szCs w:val="24"/>
        </w:rPr>
      </w:pPr>
      <w:r>
        <w:rPr>
          <w:color w:val="111111"/>
          <w:sz w:val="24"/>
          <w:szCs w:val="24"/>
        </w:rPr>
        <w:t>Association rule learning</w:t>
      </w:r>
    </w:p>
    <w:p>
      <w:pPr>
        <w:pStyle w:val="Normal1"/>
        <w:keepNext w:val="false"/>
        <w:keepLines w:val="false"/>
        <w:pageBreakBefore w:val="false"/>
        <w:widowControl/>
        <w:pBdr/>
        <w:shd w:val="clear" w:fill="FFFFFF"/>
        <w:spacing w:lineRule="auto" w:line="360" w:before="0" w:after="0"/>
        <w:ind w:left="0" w:right="0" w:firstLine="720"/>
        <w:jc w:val="left"/>
        <w:rPr>
          <w:rFonts w:ascii="Times New Roman" w:hAnsi="Times New Roman" w:eastAsia="Times New Roman" w:cs="Times New Roman"/>
          <w:b w:val="false"/>
          <w:b w:val="false"/>
          <w:i w:val="false"/>
          <w:i w:val="false"/>
          <w:caps w:val="false"/>
          <w:smallCaps w:val="false"/>
          <w:strike w:val="false"/>
          <w:dstrike w:val="false"/>
          <w:color w:val="111111"/>
          <w:position w:val="0"/>
          <w:sz w:val="22"/>
          <w:sz w:val="24"/>
          <w:szCs w:val="24"/>
          <w:u w:val="none"/>
          <w:shd w:fill="auto" w:val="clear"/>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Studying the Association's rules the method through which an organisation might discover unexpected relationships (dependency modelling) across disparate variables in enormous datasets Businesses may uncover hidden patterns in the data by using this method to identify variables and correlations in the dataset, as well as variables that appear often in the dataset. Association rules may be used to study and anticipate customer behaviour. Retail industry study necessitates the use of this tool This method is used to make decisions about product grouping, catalogue design, and store layout based on shopping cart data analysis. Association rules are used by Google engineers to create machine-learning algorithms (Sasha and Jack, 2007).</w:t>
      </w:r>
    </w:p>
    <w:p>
      <w:pPr>
        <w:pStyle w:val="Normal1"/>
        <w:shd w:val="clear" w:fill="FFFFFF"/>
        <w:spacing w:lineRule="auto" w:line="360" w:before="0" w:after="0"/>
        <w:rPr>
          <w:rFonts w:ascii="Times New Roman" w:hAnsi="Times New Roman" w:eastAsia="Times New Roman" w:cs="Times New Roman"/>
          <w:b/>
          <w:b/>
          <w:color w:val="111111"/>
          <w:sz w:val="24"/>
          <w:szCs w:val="24"/>
        </w:rPr>
      </w:pPr>
      <w:r>
        <w:rPr>
          <w:rFonts w:eastAsia="Times New Roman" w:cs="Times New Roman" w:ascii="Times New Roman" w:hAnsi="Times New Roman"/>
          <w:b/>
          <w:sz w:val="24"/>
          <w:szCs w:val="24"/>
        </w:rPr>
        <w:t>Analyses of classification</w:t>
      </w:r>
    </w:p>
    <w:p>
      <w:pPr>
        <w:pStyle w:val="Normal1"/>
        <w:shd w:val="clear" w:fill="FFFFFF"/>
        <w:spacing w:lineRule="auto" w:line="360" w:before="0" w:after="0"/>
        <w:ind w:firstLine="720"/>
        <w:rPr>
          <w:rFonts w:ascii="Times New Roman" w:hAnsi="Times New Roman" w:eastAsia="Times New Roman" w:cs="Times New Roman"/>
          <w:color w:val="111111"/>
          <w:sz w:val="24"/>
          <w:szCs w:val="24"/>
        </w:rPr>
      </w:pPr>
      <w:r>
        <w:rPr>
          <w:rFonts w:eastAsia="Times New Roman" w:cs="Times New Roman" w:ascii="Times New Roman" w:hAnsi="Times New Roman"/>
          <w:sz w:val="24"/>
          <w:szCs w:val="24"/>
        </w:rPr>
        <w:t>With this method, useful and vital data and metadata may be identified. In different classifications, it is used to classify various types of data. Similar to the clustering process, the classification process divides data records into separate groupings, referred to as classes. Data analysts must be acquainted with a single cluster in order to use clustering. As a result, algorithms are used in classification analysis to decide how new data should be classified. Classification analysis of Outlook emails is a well-known case in point. According to Jayson, 2022, Outlook uses numerous algorithms to determine whether an email is legitimate or spam.</w:t>
      </w:r>
    </w:p>
    <w:p>
      <w:pPr>
        <w:pStyle w:val="Heading3"/>
        <w:shd w:val="clear" w:fill="FFFFFF"/>
        <w:spacing w:lineRule="auto" w:line="360" w:before="0" w:after="0"/>
        <w:rPr>
          <w:color w:val="111111"/>
          <w:sz w:val="24"/>
          <w:szCs w:val="24"/>
        </w:rPr>
      </w:pPr>
      <w:r>
        <w:rPr>
          <w:sz w:val="24"/>
          <w:szCs w:val="24"/>
        </w:rPr>
        <w:t>Detection of anomalies or outliers</w:t>
      </w:r>
    </w:p>
    <w:p>
      <w:pPr>
        <w:pStyle w:val="Normal1"/>
        <w:keepNext w:val="false"/>
        <w:keepLines w:val="false"/>
        <w:pageBreakBefore w:val="false"/>
        <w:widowControl/>
        <w:pBdr/>
        <w:shd w:val="clear" w:fill="FFFFFF"/>
        <w:spacing w:lineRule="auto" w:line="360" w:before="0" w:after="0"/>
        <w:ind w:left="0" w:right="0" w:firstLine="720"/>
        <w:jc w:val="left"/>
        <w:rPr>
          <w:rFonts w:ascii="Times New Roman" w:hAnsi="Times New Roman" w:eastAsia="Times New Roman" w:cs="Times New Roman"/>
          <w:b w:val="false"/>
          <w:b w:val="false"/>
          <w:i w:val="false"/>
          <w:i w:val="false"/>
          <w:caps w:val="false"/>
          <w:smallCaps w:val="false"/>
          <w:strike w:val="false"/>
          <w:dstrike w:val="false"/>
          <w:color w:val="111111"/>
          <w:position w:val="0"/>
          <w:sz w:val="22"/>
          <w:sz w:val="24"/>
          <w:szCs w:val="24"/>
          <w:u w:val="none"/>
          <w:shd w:fill="auto" w:val="clear"/>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A dataset may include data that doesn't fit into an expected pattern or behaviour. Outliers, novelties, deviations from the usual, and exceptions are all examples of anomalies. You may expect helpful and practical information from them. In the context of a dataset or a series of datasets, it is an item that stands out considerably. Anomaly When compared to the rest of the data, these data points are statistical outliers, indicating that something odd has happened and requires more examination. Some examples of the technology's other applications include intrusion detection, system health monitoring, fraud detection and malfunction detection in sensor networks. Amazon analysts may improve their conclusions by removing data abnormalities from datasets (Simpson et al., 2019).</w:t>
      </w:r>
    </w:p>
    <w:p>
      <w:pPr>
        <w:pStyle w:val="Heading3"/>
        <w:shd w:val="clear" w:fill="FFFFFF"/>
        <w:spacing w:lineRule="auto" w:line="360" w:before="0" w:after="0"/>
        <w:rPr>
          <w:color w:val="111111"/>
          <w:sz w:val="24"/>
          <w:szCs w:val="24"/>
        </w:rPr>
      </w:pPr>
      <w:r>
        <w:rPr>
          <w:color w:val="111111"/>
          <w:sz w:val="24"/>
          <w:szCs w:val="24"/>
        </w:rPr>
        <w:t>Clustering analysis</w:t>
      </w:r>
    </w:p>
    <w:p>
      <w:pPr>
        <w:pStyle w:val="Normal1"/>
        <w:keepNext w:val="false"/>
        <w:keepLines w:val="false"/>
        <w:pageBreakBefore w:val="false"/>
        <w:widowControl/>
        <w:pBdr/>
        <w:shd w:val="clear" w:fill="FFFFFF"/>
        <w:spacing w:lineRule="auto" w:line="360" w:before="0" w:after="0"/>
        <w:ind w:left="0" w:right="0" w:firstLine="720"/>
        <w:jc w:val="left"/>
        <w:rPr>
          <w:rFonts w:ascii="Times New Roman" w:hAnsi="Times New Roman" w:eastAsia="Times New Roman" w:cs="Times New Roman"/>
          <w:b w:val="false"/>
          <w:b w:val="false"/>
          <w:i w:val="false"/>
          <w:i w:val="false"/>
          <w:caps w:val="false"/>
          <w:smallCaps w:val="false"/>
          <w:strike w:val="false"/>
          <w:dstrike w:val="false"/>
          <w:color w:val="111111"/>
          <w:position w:val="0"/>
          <w:sz w:val="22"/>
          <w:sz w:val="24"/>
          <w:szCs w:val="24"/>
          <w:u w:val="none"/>
          <w:shd w:fill="auto" w:val="clear"/>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 xml:space="preserve">A cluster may be thought of as a collection of data elements of the same kind. As a result, even if they share many characteristics, the items in the same group or cluster have a separate identity and are not related with each other. A clustering analysis is a method used by Tesco to identify groups and clusters in the data such that the degree of connection between two items is largest if they belong to the same group and the lowest if they don't belong to the same group. Consumer profiles may be developed using this research's results </w:t>
      </w:r>
      <w:r>
        <w:rPr>
          <w:rFonts w:eastAsia="Times New Roman" w:cs="Times New Roman" w:ascii="Times New Roman" w:hAnsi="Times New Roman"/>
          <w:b w:val="false"/>
          <w:i w:val="false"/>
          <w:caps w:val="false"/>
          <w:smallCaps w:val="false"/>
          <w:strike w:val="false"/>
          <w:dstrike w:val="false"/>
          <w:color w:val="000000"/>
          <w:position w:val="0"/>
          <w:sz w:val="24"/>
          <w:sz w:val="24"/>
          <w:szCs w:val="24"/>
          <w:highlight w:val="white"/>
          <w:u w:val="none"/>
          <w:vertAlign w:val="baseline"/>
        </w:rPr>
        <w:t>(Mina and Rubhael, 2002)</w:t>
      </w: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w:t>
      </w:r>
    </w:p>
    <w:p>
      <w:pPr>
        <w:pStyle w:val="Heading3"/>
        <w:shd w:val="clear" w:fill="FFFFFF"/>
        <w:spacing w:lineRule="auto" w:line="360" w:before="0" w:after="0"/>
        <w:rPr>
          <w:color w:val="111111"/>
          <w:sz w:val="24"/>
          <w:szCs w:val="24"/>
        </w:rPr>
      </w:pPr>
      <w:r>
        <w:rPr>
          <w:color w:val="111111"/>
          <w:sz w:val="24"/>
          <w:szCs w:val="24"/>
        </w:rPr>
        <w:t>Regression analysis</w:t>
      </w:r>
    </w:p>
    <w:p>
      <w:pPr>
        <w:pStyle w:val="Normal1"/>
        <w:keepNext w:val="false"/>
        <w:keepLines w:val="false"/>
        <w:pageBreakBefore w:val="false"/>
        <w:widowControl/>
        <w:pBdr/>
        <w:shd w:val="clear" w:fill="FFFFFF"/>
        <w:spacing w:lineRule="auto" w:line="360" w:before="0" w:after="0"/>
        <w:ind w:left="0" w:right="0" w:firstLine="720"/>
        <w:jc w:val="left"/>
        <w:rPr>
          <w:rFonts w:ascii="Times New Roman" w:hAnsi="Times New Roman" w:eastAsia="Times New Roman" w:cs="Times New Roman"/>
          <w:b w:val="false"/>
          <w:b w:val="false"/>
          <w:i w:val="false"/>
          <w:i w:val="false"/>
          <w:caps w:val="false"/>
          <w:smallCaps w:val="false"/>
          <w:strike w:val="false"/>
          <w:dstrike w:val="false"/>
          <w:color w:val="111111"/>
          <w:position w:val="0"/>
          <w:sz w:val="22"/>
          <w:sz w:val="24"/>
          <w:szCs w:val="24"/>
          <w:u w:val="none"/>
          <w:shd w:fill="auto" w:val="clear"/>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 xml:space="preserve">What statistical regression analysis is all about is analysing the relationship between a number of variables. A company may be able to better understand how the characteristic value of the dependent variable changes if one of the independent variables is altered. This is a Google IT programme if one variable is dependent on another but not the other way around. It may be used in a variety of ways, including forecasting and prediction </w:t>
      </w:r>
      <w:r>
        <w:rPr>
          <w:rFonts w:eastAsia="Times New Roman" w:cs="Times New Roman" w:ascii="Times New Roman" w:hAnsi="Times New Roman"/>
          <w:b w:val="false"/>
          <w:i w:val="false"/>
          <w:caps w:val="false"/>
          <w:smallCaps w:val="false"/>
          <w:strike w:val="false"/>
          <w:dstrike w:val="false"/>
          <w:color w:val="000000"/>
          <w:position w:val="0"/>
          <w:sz w:val="24"/>
          <w:sz w:val="24"/>
          <w:szCs w:val="24"/>
          <w:highlight w:val="white"/>
          <w:u w:val="none"/>
          <w:vertAlign w:val="baseline"/>
        </w:rPr>
        <w:t>(David, Kandel and Bunke, 2004)</w:t>
      </w: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w:t>
      </w:r>
    </w:p>
    <w:p>
      <w:pPr>
        <w:pStyle w:val="Normal1"/>
        <w:spacing w:lineRule="auto" w:line="360" w:before="0" w:after="0"/>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 xml:space="preserve">Method of Text Mining </w:t>
      </w:r>
    </w:p>
    <w:p>
      <w:pPr>
        <w:pStyle w:val="Normal1"/>
        <w:spacing w:lineRule="auto" w:line="360" w:before="0" w:after="0"/>
        <w:ind w:firstLine="720"/>
        <w:rPr>
          <w:rFonts w:ascii="Times New Roman" w:hAnsi="Times New Roman" w:eastAsia="Times New Roman" w:cs="Times New Roman"/>
          <w:color w:val="252525"/>
          <w:sz w:val="24"/>
          <w:szCs w:val="24"/>
          <w:highlight w:val="white"/>
        </w:rPr>
      </w:pPr>
      <w:r>
        <w:rPr>
          <w:rFonts w:eastAsia="Times New Roman" w:cs="Times New Roman" w:ascii="Times New Roman" w:hAnsi="Times New Roman"/>
          <w:sz w:val="24"/>
          <w:szCs w:val="24"/>
        </w:rPr>
        <w:t>Text mining is defined as a process that transforms unstructured text into a structured format in order to discover new and interesting patterns</w:t>
      </w:r>
      <w:r>
        <w:rPr>
          <w:rFonts w:eastAsia="Times New Roman" w:cs="Times New Roman" w:ascii="Times New Roman" w:hAnsi="Times New Roman"/>
          <w:color w:val="252525"/>
          <w:sz w:val="24"/>
          <w:szCs w:val="24"/>
          <w:highlight w:val="white"/>
        </w:rPr>
        <w:t xml:space="preserve"> </w:t>
      </w:r>
      <w:r>
        <w:rPr>
          <w:rFonts w:eastAsia="Times New Roman" w:cs="Times New Roman" w:ascii="Times New Roman" w:hAnsi="Times New Roman"/>
          <w:color w:val="000000"/>
          <w:sz w:val="24"/>
          <w:szCs w:val="24"/>
          <w:highlight w:val="white"/>
        </w:rPr>
        <w:t>(Robin, Bisma and Erika, 2007)</w:t>
      </w:r>
      <w:r>
        <w:rPr>
          <w:rFonts w:eastAsia="Times New Roman" w:cs="Times New Roman" w:ascii="Times New Roman" w:hAnsi="Times New Roman"/>
          <w:color w:val="252525"/>
          <w:sz w:val="24"/>
          <w:szCs w:val="24"/>
          <w:highlight w:val="white"/>
        </w:rPr>
        <w:t xml:space="preserve">.  </w:t>
      </w:r>
    </w:p>
    <w:p>
      <w:pPr>
        <w:pStyle w:val="Normal1"/>
        <w:keepNext w:val="false"/>
        <w:keepLines w:val="false"/>
        <w:pageBreakBefore w:val="false"/>
        <w:widowControl/>
        <w:pBdr/>
        <w:shd w:val="clear" w:fill="FFFFFF"/>
        <w:spacing w:lineRule="auto" w:line="36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i w:val="false"/>
          <w:caps w:val="false"/>
          <w:smallCaps w:val="false"/>
          <w:strike w:val="false"/>
          <w:dstrike w:val="false"/>
          <w:color w:val="000000"/>
          <w:position w:val="0"/>
          <w:sz w:val="24"/>
          <w:sz w:val="24"/>
          <w:szCs w:val="24"/>
          <w:u w:val="none"/>
          <w:shd w:fill="auto" w:val="clear"/>
          <w:vertAlign w:val="baseline"/>
        </w:rPr>
        <w:t xml:space="preserve">Extraction of Information </w:t>
      </w:r>
    </w:p>
    <w:p>
      <w:pPr>
        <w:pStyle w:val="Normal1"/>
        <w:keepNext w:val="false"/>
        <w:keepLines w:val="false"/>
        <w:pageBreakBefore w:val="false"/>
        <w:widowControl/>
        <w:pBdr/>
        <w:shd w:val="clear" w:fill="FFFFFF"/>
        <w:spacing w:lineRule="auto" w:line="360" w:before="0" w:after="0"/>
        <w:ind w:left="0" w:right="0" w:firstLine="72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For extracting information from a text, this is the most used way. By adopting a process known as information exchanging, a big volume of text may be reduced to a reasonable amount of relevant information. Unstructured or semi-structured text may be mined for entities, attributes, and relationships between them using this text mining technique. After then, the gathered information is recorded into a database and made accessible to anybody who needs it in the near future. It is Google's job to help people locate the most relevant content by using data extraction techniques (Mia, 2022).</w:t>
      </w:r>
    </w:p>
    <w:p>
      <w:pPr>
        <w:pStyle w:val="Normal1"/>
        <w:keepNext w:val="false"/>
        <w:keepLines w:val="false"/>
        <w:pageBreakBefore w:val="false"/>
        <w:widowControl/>
        <w:pBdr/>
        <w:shd w:val="clear" w:fill="FFFFFF"/>
        <w:spacing w:lineRule="auto" w:line="36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i w:val="false"/>
          <w:caps w:val="false"/>
          <w:smallCaps w:val="false"/>
          <w:strike w:val="false"/>
          <w:dstrike w:val="false"/>
          <w:color w:val="000000"/>
          <w:position w:val="0"/>
          <w:sz w:val="24"/>
          <w:sz w:val="24"/>
          <w:szCs w:val="24"/>
          <w:u w:val="none"/>
          <w:shd w:fill="auto" w:val="clear"/>
          <w:vertAlign w:val="baseline"/>
        </w:rPr>
        <w:t xml:space="preserve">Retrieval of Information </w:t>
      </w:r>
    </w:p>
    <w:p>
      <w:pPr>
        <w:pStyle w:val="Normal1"/>
        <w:keepNext w:val="false"/>
        <w:keepLines w:val="false"/>
        <w:pageBreakBefore w:val="false"/>
        <w:widowControl/>
        <w:pBdr/>
        <w:shd w:val="clear" w:fill="FFFFFF"/>
        <w:spacing w:lineRule="auto" w:line="360" w:before="0" w:after="0"/>
        <w:ind w:left="0" w:right="0" w:firstLine="72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 xml:space="preserve">Information Retrieval (IR) is the process of finding relevant and related patterns based on certain words or phrases (I R). As a consequence of this text mining procedure, IR systems use a variety of algorithms to detect and analyse user behaviour. Two of the most popular IR systems are Yahoo and Google </w:t>
      </w:r>
      <w:r>
        <w:rPr>
          <w:rFonts w:eastAsia="Times New Roman" w:cs="Times New Roman" w:ascii="Times New Roman" w:hAnsi="Times New Roman"/>
          <w:b w:val="false"/>
          <w:i w:val="false"/>
          <w:caps w:val="false"/>
          <w:smallCaps w:val="false"/>
          <w:strike w:val="false"/>
          <w:dstrike w:val="false"/>
          <w:color w:val="000000"/>
          <w:position w:val="0"/>
          <w:sz w:val="24"/>
          <w:sz w:val="24"/>
          <w:szCs w:val="24"/>
          <w:highlight w:val="white"/>
          <w:u w:val="none"/>
          <w:vertAlign w:val="baseline"/>
        </w:rPr>
        <w:t>(Mia and Jackson, 2020)</w:t>
      </w: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w:t>
      </w:r>
    </w:p>
    <w:p>
      <w:pPr>
        <w:pStyle w:val="Normal1"/>
        <w:keepNext w:val="false"/>
        <w:keepLines w:val="false"/>
        <w:pageBreakBefore w:val="false"/>
        <w:widowControl/>
        <w:pBdr/>
        <w:shd w:val="clear" w:fill="FFFFFF"/>
        <w:spacing w:lineRule="auto" w:line="36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i w:val="false"/>
          <w:caps w:val="false"/>
          <w:smallCaps w:val="false"/>
          <w:strike w:val="false"/>
          <w:dstrike w:val="false"/>
          <w:color w:val="000000"/>
          <w:position w:val="0"/>
          <w:sz w:val="24"/>
          <w:sz w:val="24"/>
          <w:szCs w:val="24"/>
          <w:u w:val="none"/>
          <w:shd w:fill="auto" w:val="clear"/>
          <w:vertAlign w:val="baseline"/>
        </w:rPr>
        <w:t>Categorization</w:t>
      </w:r>
    </w:p>
    <w:p>
      <w:pPr>
        <w:pStyle w:val="Normal1"/>
        <w:keepNext w:val="false"/>
        <w:keepLines w:val="false"/>
        <w:pageBreakBefore w:val="false"/>
        <w:widowControl/>
        <w:pBdr/>
        <w:shd w:val="clear" w:fill="FFFFFF"/>
        <w:spacing w:lineRule="auto" w:line="360" w:before="0" w:after="0"/>
        <w:ind w:left="0" w:right="0" w:firstLine="72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 xml:space="preserve">This is a text mining technique that assigns natural language documents to a certain topic based on their content as a "supervised" learning approach. Natural Language Processing (NLP) categorises text documents by gathering, processing, and analysing them in order to find the most relevant themes or indexes for each document in search. The co-referencing strategy, widely used in NLP, may be used to extract synonyms and abbreviations from text. Yahoo use NLP in a number of ways, from distributing tailored commercials to filtering spam and categorising web pages according to hierarchical definitions, to name a few examples </w:t>
      </w:r>
      <w:r>
        <w:rPr>
          <w:rFonts w:eastAsia="Times New Roman" w:cs="Times New Roman" w:ascii="Times New Roman" w:hAnsi="Times New Roman"/>
          <w:b w:val="false"/>
          <w:i w:val="false"/>
          <w:caps w:val="false"/>
          <w:smallCaps w:val="false"/>
          <w:strike w:val="false"/>
          <w:dstrike w:val="false"/>
          <w:color w:val="000000"/>
          <w:position w:val="0"/>
          <w:sz w:val="24"/>
          <w:sz w:val="24"/>
          <w:szCs w:val="24"/>
          <w:highlight w:val="white"/>
          <w:u w:val="none"/>
          <w:vertAlign w:val="baseline"/>
        </w:rPr>
        <w:t>(Sasha and Jack, 2007)</w:t>
      </w: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w:t>
      </w:r>
    </w:p>
    <w:p>
      <w:pPr>
        <w:pStyle w:val="Normal1"/>
        <w:keepNext w:val="false"/>
        <w:keepLines w:val="false"/>
        <w:pageBreakBefore w:val="false"/>
        <w:widowControl/>
        <w:pBdr/>
        <w:shd w:val="clear" w:fill="FFFFFF"/>
        <w:spacing w:lineRule="auto" w:line="36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i w:val="false"/>
          <w:caps w:val="false"/>
          <w:smallCaps w:val="false"/>
          <w:strike w:val="false"/>
          <w:dstrike w:val="false"/>
          <w:color w:val="000000"/>
          <w:position w:val="0"/>
          <w:sz w:val="24"/>
          <w:sz w:val="24"/>
          <w:szCs w:val="24"/>
          <w:u w:val="none"/>
          <w:shd w:fill="auto" w:val="clear"/>
          <w:vertAlign w:val="baseline"/>
        </w:rPr>
        <w:t>Clustering</w:t>
      </w:r>
    </w:p>
    <w:p>
      <w:pPr>
        <w:pStyle w:val="Normal1"/>
        <w:keepNext w:val="false"/>
        <w:keepLines w:val="false"/>
        <w:pageBreakBefore w:val="false"/>
        <w:widowControl/>
        <w:pBdr/>
        <w:shd w:val="clear" w:fill="FFFFFF"/>
        <w:spacing w:lineRule="auto" w:line="360" w:before="0" w:after="0"/>
        <w:ind w:left="0" w:right="0" w:firstLine="72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 xml:space="preserve">Using clustering as a text mining technique is essential. For future research, relevant subgroups or 'clusters' of text may be grouped together. Clustering unlabeled textual data without prior information is a major challenge in the process. To disseminate data or conduct pre-processing for other text mining methods that employ the clusters produced by cluster analysis, Microsoft uses text mining tools </w:t>
      </w:r>
      <w:r>
        <w:rPr>
          <w:rFonts w:eastAsia="Times New Roman" w:cs="Times New Roman" w:ascii="Times New Roman" w:hAnsi="Times New Roman"/>
          <w:b w:val="false"/>
          <w:i w:val="false"/>
          <w:caps w:val="false"/>
          <w:smallCaps w:val="false"/>
          <w:strike w:val="false"/>
          <w:dstrike w:val="false"/>
          <w:color w:val="000000"/>
          <w:position w:val="0"/>
          <w:sz w:val="24"/>
          <w:sz w:val="24"/>
          <w:szCs w:val="24"/>
          <w:highlight w:val="white"/>
          <w:u w:val="none"/>
          <w:vertAlign w:val="baseline"/>
        </w:rPr>
        <w:t>(Mina and Rubhael, 2002)</w:t>
      </w: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w:t>
      </w:r>
    </w:p>
    <w:p>
      <w:pPr>
        <w:pStyle w:val="Normal1"/>
        <w:keepNext w:val="false"/>
        <w:keepLines w:val="false"/>
        <w:pageBreakBefore w:val="false"/>
        <w:widowControl/>
        <w:pBdr/>
        <w:shd w:val="clear" w:fill="FFFFFF"/>
        <w:spacing w:lineRule="auto" w:line="360" w:before="0" w:after="0"/>
        <w:ind w:left="0" w:right="0" w:hanging="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i w:val="false"/>
          <w:caps w:val="false"/>
          <w:smallCaps w:val="false"/>
          <w:strike w:val="false"/>
          <w:dstrike w:val="false"/>
          <w:color w:val="000000"/>
          <w:position w:val="0"/>
          <w:sz w:val="24"/>
          <w:sz w:val="24"/>
          <w:szCs w:val="24"/>
          <w:u w:val="none"/>
          <w:shd w:fill="auto" w:val="clear"/>
          <w:vertAlign w:val="baseline"/>
        </w:rPr>
        <w:t>Summarization</w:t>
      </w:r>
    </w:p>
    <w:p>
      <w:pPr>
        <w:pStyle w:val="Normal1"/>
        <w:spacing w:lineRule="auto" w:line="360" w:before="0" w:after="0"/>
        <w:ind w:firstLine="720"/>
        <w:rPr>
          <w:rFonts w:ascii="Times New Roman" w:hAnsi="Times New Roman" w:eastAsia="Times New Roman" w:cs="Times New Roman"/>
          <w:sz w:val="24"/>
          <w:szCs w:val="24"/>
          <w:highlight w:val="white"/>
        </w:rPr>
      </w:pPr>
      <w:r>
        <w:rPr>
          <w:rFonts w:eastAsia="Times New Roman" w:cs="Times New Roman" w:ascii="Times New Roman" w:hAnsi="Times New Roman"/>
          <w:sz w:val="24"/>
          <w:szCs w:val="24"/>
        </w:rPr>
        <w:t>Automated summarization is the process of producing a condensed version of an article that includes the most important details for the intended audience. When using this text mining technique, brevity is key, as is ensuring that the original meaning and purpose of all of the sources are preserved. Apple classifies text using a variety of techniques, including swarm intelligence and neural networks. Using these methods, summarization is possible (Simpson et al., 2019).</w:t>
      </w:r>
    </w:p>
    <w:p>
      <w:pPr>
        <w:pStyle w:val="Normal1"/>
        <w:spacing w:lineRule="auto" w:line="360" w:before="0" w:after="0"/>
        <w:jc w:val="center"/>
        <w:rPr>
          <w:rFonts w:ascii="Times New Roman" w:hAnsi="Times New Roman" w:eastAsia="Times New Roman" w:cs="Times New Roman"/>
          <w:b/>
          <w:b/>
          <w:sz w:val="24"/>
          <w:szCs w:val="24"/>
        </w:rPr>
      </w:pPr>
      <w:bookmarkStart w:id="0" w:name="_gjdgxs"/>
      <w:bookmarkEnd w:id="0"/>
      <w:r>
        <w:rPr>
          <w:rFonts w:eastAsia="Times New Roman" w:cs="Times New Roman" w:ascii="Times New Roman" w:hAnsi="Times New Roman"/>
          <w:b/>
          <w:sz w:val="24"/>
          <w:szCs w:val="24"/>
        </w:rPr>
        <w:t>Discuss the advantages and disadvantages of using SPSS and Excel using relevant practical examples and present your discussions in a table.</w:t>
      </w:r>
    </w:p>
    <w:p>
      <w:pPr>
        <w:pStyle w:val="Normal1"/>
        <w:keepNext w:val="false"/>
        <w:keepLines w:val="false"/>
        <w:pageBreakBefore w:val="false"/>
        <w:widowControl/>
        <w:pBdr/>
        <w:shd w:val="clear" w:fill="FFFFFF"/>
        <w:spacing w:lineRule="auto" w:line="360" w:before="0" w:after="0"/>
        <w:ind w:left="0" w:right="0" w:firstLine="720"/>
        <w:jc w:val="left"/>
        <w:rPr>
          <w:rFonts w:ascii="Times New Roman" w:hAnsi="Times New Roman" w:eastAsia="Times New Roman" w:cs="Times New Roman"/>
          <w:b w:val="false"/>
          <w:b w:val="false"/>
          <w:i w:val="false"/>
          <w:i w:val="false"/>
          <w:caps w:val="false"/>
          <w:smallCaps w:val="false"/>
          <w:strike w:val="false"/>
          <w:dstrike w:val="false"/>
          <w:color w:val="000000"/>
          <w:position w:val="0"/>
          <w:sz w:val="22"/>
          <w:sz w:val="24"/>
          <w:szCs w:val="24"/>
          <w:u w:val="none"/>
          <w:shd w:fill="auto" w:val="clear"/>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t>There are several fields where SPSS is employed. It's also common practise for physicians to utilise statistics to assess the effectiveness of treatments. A company dedicated to offering only the highest-quality professional products produces thousands of items every day. A business simply cannot do a complete analysis of every product it sells. The business relies on a statistical quality-control system (CBM, 2022).</w:t>
      </w:r>
    </w:p>
    <w:p>
      <w:pPr>
        <w:pStyle w:val="Normal1"/>
        <w:spacing w:lineRule="auto" w:line="360" w:before="0" w:after="0"/>
        <w:ind w:firstLine="720"/>
        <w:rPr>
          <w:rFonts w:ascii="Times New Roman" w:hAnsi="Times New Roman" w:eastAsia="Times New Roman" w:cs="Times New Roman"/>
          <w:sz w:val="24"/>
          <w:szCs w:val="24"/>
        </w:rPr>
      </w:pPr>
      <w:r>
        <w:rPr>
          <w:rFonts w:eastAsia="Times New Roman" w:cs="Times New Roman" w:ascii="Times New Roman" w:hAnsi="Times New Roman"/>
          <w:sz w:val="24"/>
          <w:szCs w:val="24"/>
        </w:rPr>
        <w:t>In order to obtain key conclusions in corporate strategic planning, it is necessary to utilise accurate data. Choosing the right tools for inputting, capturing, assessing, and keeping data may aid company owners and managers in making the best business decisions. In many productivity software packages, you'll find useful tools like spreadsheets. Even while spreadsheets are widely used by accountants and data collectors, they have a number of limitations that may not be perfect for every office use (Jayson, 2022).</w:t>
      </w:r>
    </w:p>
    <w:p>
      <w:pPr>
        <w:pStyle w:val="Normal1"/>
        <w:spacing w:lineRule="auto" w:line="360" w:before="0" w:after="0"/>
        <w:rPr>
          <w:rFonts w:ascii="Times New Roman" w:hAnsi="Times New Roman" w:eastAsia="Times New Roman" w:cs="Times New Roman"/>
          <w:sz w:val="24"/>
          <w:szCs w:val="24"/>
        </w:rPr>
      </w:pPr>
      <w:r>
        <w:rPr>
          <w:rFonts w:eastAsia="Times New Roman" w:cs="Times New Roman" w:ascii="Times New Roman" w:hAnsi="Times New Roman"/>
          <w:sz w:val="24"/>
          <w:szCs w:val="24"/>
        </w:rPr>
      </w:r>
    </w:p>
    <w:tbl>
      <w:tblPr>
        <w:tblStyle w:val="Table10"/>
        <w:tblW w:w="9350" w:type="dxa"/>
        <w:jc w:val="left"/>
        <w:tblInd w:w="113" w:type="dxa"/>
        <w:tblLayout w:type="fixed"/>
        <w:tblCellMar>
          <w:top w:w="0" w:type="dxa"/>
          <w:left w:w="108" w:type="dxa"/>
          <w:bottom w:w="0" w:type="dxa"/>
          <w:right w:w="108" w:type="dxa"/>
        </w:tblCellMar>
        <w:tblLook w:val="04a0"/>
      </w:tblPr>
      <w:tblGrid>
        <w:gridCol w:w="2337"/>
        <w:gridCol w:w="2337"/>
        <w:gridCol w:w="2338"/>
        <w:gridCol w:w="2337"/>
      </w:tblGrid>
      <w:tr>
        <w:trPr/>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SPSS</w:t>
            </w:r>
          </w:p>
        </w:tc>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Excel</w:t>
            </w:r>
          </w:p>
        </w:tc>
        <w:tc>
          <w:tcPr>
            <w:tcW w:w="2338"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SPSS</w:t>
            </w:r>
          </w:p>
        </w:tc>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Excel</w:t>
            </w:r>
          </w:p>
        </w:tc>
      </w:tr>
      <w:tr>
        <w:trPr/>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Advantages</w:t>
            </w:r>
          </w:p>
        </w:tc>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Advantages</w:t>
            </w:r>
          </w:p>
        </w:tc>
        <w:tc>
          <w:tcPr>
            <w:tcW w:w="2338"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Disadvantages</w:t>
            </w:r>
          </w:p>
        </w:tc>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Disadvantages</w:t>
            </w:r>
          </w:p>
        </w:tc>
      </w:tr>
      <w:tr>
        <w:trPr/>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Take just a few seconds to perform a job that would typically take days or even weeks to complete.</w:t>
            </w:r>
          </w:p>
        </w:tc>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shd w:fill="FCFCFC" w:val="clear"/>
              </w:rPr>
              <w:t>Spreadsheets are a common tool for gathering and organising data. It's simple to sort data if it's organised into neat rows or columns (Andrea, 2022). An organisation may create presentations using the program's functionality to assess and show large amounts of data in pie charts or tables for easy viewing and analysis (Mia, 2022).</w:t>
            </w:r>
          </w:p>
        </w:tc>
        <w:tc>
          <w:tcPr>
            <w:tcW w:w="2338"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By far the most expensive</w:t>
            </w:r>
          </w:p>
          <w:p>
            <w:pPr>
              <w:pStyle w:val="Normal1"/>
              <w:widowControl w:val="false"/>
              <w:spacing w:lineRule="auto" w:line="360"/>
              <w:rPr>
                <w:rFonts w:ascii="Times New Roman" w:hAnsi="Times New Roman" w:eastAsia="Times New Roman" w:cs="Times New Roman"/>
                <w:sz w:val="24"/>
                <w:szCs w:val="24"/>
              </w:rPr>
            </w:pPr>
            <w:r>
              <w:rPr>
                <w:rFonts w:eastAsia="Times New Roman" w:cs="Times New Roman" w:ascii="Times New Roman" w:hAnsi="Times New Roman"/>
                <w:sz w:val="24"/>
                <w:szCs w:val="24"/>
              </w:rPr>
              <w:t>There is a great deal of opportunity for growth here.</w:t>
            </w:r>
          </w:p>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Identical to excel (CBM, 2022).</w:t>
            </w:r>
          </w:p>
        </w:tc>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Because these presentations only highlight the data that users have selected for study, additional pertinent information may be overlooked that might have a bearing on their decision-making process. For data reporting, firms increasingly use systems like Tableau and Qlik instead of traditional spreadsheets (Mia, 2022).</w:t>
            </w:r>
          </w:p>
        </w:tc>
      </w:tr>
      <w:tr>
        <w:trPr/>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It is possible for an entity to avoid round and approximations by hand in order to do more accurate computations.</w:t>
            </w:r>
          </w:p>
        </w:tc>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shd w:fill="FCFCFC" w:val="clear"/>
              </w:rPr>
              <w:t>Working all day on monotonous calculations is something that no one enjoys. Because the computer does all of the math for the entity, spreadsheets have a lot to offer. It is necessary to first create a formula and an associated command in order to do more complex computations (Andrea, 2022). This enables users to ask "what if" questions and rapidly get the answers they desire without having to repeat the computations (Mia, 2022).</w:t>
            </w:r>
          </w:p>
        </w:tc>
        <w:tc>
          <w:tcPr>
            <w:tcW w:w="2338"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r>
          </w:p>
        </w:tc>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shd w:fill="FCFCFC" w:val="clear"/>
              </w:rPr>
              <w:t>Users find it frustrating because formulas have to be entered into the spreadsheet to do calculations. Each kind of calculation the creature plans to do necessitates learning its syntax. Despite the fact that several courses exist to teach these formulas, many individuals still find them difficult. If the syntax is incorrect, the programme will not provide accurate results while doing the calculations. All related calculations and cells will be affected by incorrect data, even if it is entered in a single field by one user (Mia, 2022).</w:t>
            </w:r>
          </w:p>
        </w:tc>
      </w:tr>
      <w:tr>
        <w:trPr/>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SPSS, for example, may assist university students in effectively assessing the validity of information (Andrea, 2022).</w:t>
            </w:r>
          </w:p>
        </w:tc>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Example: In most audit firms, auditors rely heavily on spreadsheets to carry out their testing and verifications (Electra, 2022).</w:t>
            </w:r>
          </w:p>
        </w:tc>
        <w:tc>
          <w:tcPr>
            <w:tcW w:w="2338"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Example: In most audit firms, auditors rely heavily on spreadsheets to carry out their testing and confirmations (Electra, 2022).</w:t>
            </w:r>
          </w:p>
        </w:tc>
        <w:tc>
          <w:tcPr>
            <w:tcW w:w="2337" w:type="dxa"/>
            <w:tcBorders>
              <w:top w:val="single" w:sz="4" w:space="0" w:color="C9C9C9"/>
              <w:left w:val="single" w:sz="4" w:space="0" w:color="C9C9C9"/>
              <w:bottom w:val="single" w:sz="4" w:space="0" w:color="C9C9C9"/>
              <w:right w:val="single" w:sz="4" w:space="0" w:color="C9C9C9"/>
            </w:tcBorders>
          </w:tcPr>
          <w:p>
            <w:pPr>
              <w:pStyle w:val="Normal1"/>
              <w:widowControl w:val="false"/>
              <w:spacing w:lineRule="auto" w:line="360" w:before="0" w:after="160"/>
              <w:rPr>
                <w:rFonts w:ascii="Times New Roman" w:hAnsi="Times New Roman" w:eastAsia="Times New Roman" w:cs="Times New Roman"/>
                <w:sz w:val="24"/>
                <w:szCs w:val="24"/>
              </w:rPr>
            </w:pPr>
            <w:r>
              <w:rPr>
                <w:rFonts w:eastAsia="Times New Roman" w:cs="Times New Roman" w:ascii="Times New Roman" w:hAnsi="Times New Roman"/>
                <w:sz w:val="24"/>
                <w:szCs w:val="24"/>
              </w:rPr>
              <w:t>Example: Because of its limitations, such as the inability to handle integrated operations, Excel is incompatible with the majority of enterprises with significant commercial activity (Electra, 2022).</w:t>
            </w:r>
          </w:p>
        </w:tc>
      </w:tr>
    </w:tbl>
    <w:p>
      <w:pPr>
        <w:sectPr>
          <w:type w:val="nextPage"/>
          <w:pgSz w:w="12240" w:h="15840"/>
          <w:pgMar w:left="1440" w:right="1440" w:header="0" w:top="1440" w:footer="0" w:bottom="1440" w:gutter="0"/>
          <w:pgNumType w:fmt="decimal"/>
          <w:formProt w:val="false"/>
          <w:textDirection w:val="lrTb"/>
          <w:docGrid w:type="default" w:linePitch="100" w:charSpace="4096"/>
        </w:sectPr>
      </w:pPr>
    </w:p>
    <w:p>
      <w:pPr>
        <w:pStyle w:val="Normal1"/>
        <w:spacing w:lineRule="auto" w:line="360" w:before="0" w:after="0"/>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References</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color w:val="000000"/>
          <w:sz w:val="24"/>
          <w:szCs w:val="24"/>
          <w:highlight w:val="white"/>
        </w:rPr>
        <w:t>Mia, J. and Jackson, U., 2020. </w:t>
      </w:r>
      <w:r>
        <w:rPr>
          <w:rFonts w:eastAsia="Times New Roman" w:cs="Times New Roman" w:ascii="Times New Roman" w:hAnsi="Times New Roman"/>
          <w:i/>
          <w:color w:val="000000"/>
          <w:sz w:val="24"/>
          <w:szCs w:val="24"/>
          <w:highlight w:val="white"/>
        </w:rPr>
        <w:t>Data Mining</w:t>
      </w:r>
      <w:r>
        <w:rPr>
          <w:rFonts w:eastAsia="Times New Roman" w:cs="Times New Roman" w:ascii="Times New Roman" w:hAnsi="Times New Roman"/>
          <w:color w:val="000000"/>
          <w:sz w:val="24"/>
          <w:szCs w:val="24"/>
          <w:highlight w:val="white"/>
        </w:rPr>
        <w:t>.</w:t>
      </w:r>
      <w:r>
        <w:rPr>
          <w:rFonts w:eastAsia="Times New Roman" w:cs="Times New Roman" w:ascii="Times New Roman" w:hAnsi="Times New Roman"/>
          <w:sz w:val="24"/>
          <w:szCs w:val="24"/>
          <w:highlight w:val="white"/>
        </w:rPr>
        <w:t xml:space="preserve"> </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color w:val="000000"/>
          <w:sz w:val="24"/>
          <w:szCs w:val="24"/>
          <w:highlight w:val="white"/>
        </w:rPr>
        <w:t>Sasha, D. and Jack, L., 2007. </w:t>
      </w:r>
      <w:r>
        <w:rPr>
          <w:rFonts w:eastAsia="Times New Roman" w:cs="Times New Roman" w:ascii="Times New Roman" w:hAnsi="Times New Roman"/>
          <w:i/>
          <w:color w:val="000000"/>
          <w:sz w:val="24"/>
          <w:szCs w:val="24"/>
          <w:highlight w:val="white"/>
        </w:rPr>
        <w:t>Mining graph data</w:t>
      </w:r>
      <w:r>
        <w:rPr>
          <w:rFonts w:eastAsia="Times New Roman" w:cs="Times New Roman" w:ascii="Times New Roman" w:hAnsi="Times New Roman"/>
          <w:color w:val="000000"/>
          <w:sz w:val="24"/>
          <w:szCs w:val="24"/>
          <w:highlight w:val="white"/>
        </w:rPr>
        <w:t>. Hoboken, N.J.: Wiley-Interscience.</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color w:val="000000"/>
          <w:sz w:val="24"/>
          <w:szCs w:val="24"/>
          <w:highlight w:val="white"/>
        </w:rPr>
        <w:t>Dia, 2022. </w:t>
      </w:r>
      <w:r>
        <w:rPr>
          <w:rFonts w:eastAsia="Times New Roman" w:cs="Times New Roman" w:ascii="Times New Roman" w:hAnsi="Times New Roman"/>
          <w:i/>
          <w:color w:val="000000"/>
          <w:sz w:val="24"/>
          <w:szCs w:val="24"/>
          <w:highlight w:val="white"/>
        </w:rPr>
        <w:t>SPSS vs Excel : Which One is The Best Tool For Statistics</w:t>
      </w:r>
      <w:r>
        <w:rPr>
          <w:rFonts w:eastAsia="Times New Roman" w:cs="Times New Roman" w:ascii="Times New Roman" w:hAnsi="Times New Roman"/>
          <w:color w:val="000000"/>
          <w:sz w:val="24"/>
          <w:szCs w:val="24"/>
          <w:highlight w:val="white"/>
        </w:rPr>
        <w:t>. [online] Available at: &lt;https://statanalytica.com/blog/spss-vs-excel/&gt; [Accessed 2022].</w:t>
      </w:r>
      <w:r>
        <w:rPr>
          <w:rFonts w:eastAsia="Times New Roman" w:cs="Times New Roman" w:ascii="Times New Roman" w:hAnsi="Times New Roman"/>
          <w:sz w:val="24"/>
          <w:szCs w:val="24"/>
          <w:highlight w:val="white"/>
        </w:rPr>
        <w:t xml:space="preserve"> </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sz w:val="24"/>
          <w:szCs w:val="24"/>
          <w:highlight w:val="white"/>
        </w:rPr>
        <w:t>Mia, 2022. </w:t>
      </w:r>
      <w:r>
        <w:rPr>
          <w:rFonts w:eastAsia="Times New Roman" w:cs="Times New Roman" w:ascii="Times New Roman" w:hAnsi="Times New Roman"/>
          <w:i/>
          <w:sz w:val="24"/>
          <w:szCs w:val="24"/>
          <w:highlight w:val="white"/>
        </w:rPr>
        <w:t>SPSS vs Excel: Which Tool is The Best One For Statistics</w:t>
      </w:r>
      <w:r>
        <w:rPr>
          <w:rFonts w:eastAsia="Times New Roman" w:cs="Times New Roman" w:ascii="Times New Roman" w:hAnsi="Times New Roman"/>
          <w:sz w:val="24"/>
          <w:szCs w:val="24"/>
          <w:highlight w:val="white"/>
        </w:rPr>
        <w:t>. [online] Available at: &lt;https://www.calltutors.com/spss-vs-excel/&gt; [Accessed 2022].</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color w:val="000000"/>
          <w:sz w:val="24"/>
          <w:szCs w:val="24"/>
          <w:highlight w:val="white"/>
        </w:rPr>
        <w:t>Simpson, G., Blaire, P., Ivory, S., Cernat, A., Sakshaug, J. and Williams, R., 2019. </w:t>
      </w:r>
      <w:r>
        <w:rPr>
          <w:rFonts w:eastAsia="Times New Roman" w:cs="Times New Roman" w:ascii="Times New Roman" w:hAnsi="Times New Roman"/>
          <w:i/>
          <w:color w:val="000000"/>
          <w:sz w:val="24"/>
          <w:szCs w:val="24"/>
          <w:highlight w:val="white"/>
        </w:rPr>
        <w:t>Text mining</w:t>
      </w:r>
      <w:r>
        <w:rPr>
          <w:rFonts w:eastAsia="Times New Roman" w:cs="Times New Roman" w:ascii="Times New Roman" w:hAnsi="Times New Roman"/>
          <w:color w:val="000000"/>
          <w:sz w:val="24"/>
          <w:szCs w:val="24"/>
          <w:highlight w:val="white"/>
        </w:rPr>
        <w:t>.</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sz w:val="24"/>
          <w:szCs w:val="24"/>
          <w:highlight w:val="white"/>
        </w:rPr>
        <w:t>CBM, 2022. </w:t>
      </w:r>
      <w:r>
        <w:rPr>
          <w:rFonts w:eastAsia="Times New Roman" w:cs="Times New Roman" w:ascii="Times New Roman" w:hAnsi="Times New Roman"/>
          <w:i/>
          <w:sz w:val="24"/>
          <w:szCs w:val="24"/>
          <w:highlight w:val="white"/>
        </w:rPr>
        <w:t>Differences between Excel and SPSS - CBM</w:t>
      </w:r>
      <w:r>
        <w:rPr>
          <w:rFonts w:eastAsia="Times New Roman" w:cs="Times New Roman" w:ascii="Times New Roman" w:hAnsi="Times New Roman"/>
          <w:sz w:val="24"/>
          <w:szCs w:val="24"/>
          <w:highlight w:val="white"/>
        </w:rPr>
        <w:t>. [online] Available at: &lt;https://www.CBM.com/support/pages/differences-between-excel-and-spss&gt; [Accessed 2022].</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color w:val="000000"/>
          <w:sz w:val="24"/>
          <w:szCs w:val="24"/>
          <w:highlight w:val="white"/>
        </w:rPr>
        <w:t>Mina, W. and Rubhael, J., 2002. </w:t>
      </w:r>
      <w:r>
        <w:rPr>
          <w:rFonts w:eastAsia="Times New Roman" w:cs="Times New Roman" w:ascii="Times New Roman" w:hAnsi="Times New Roman"/>
          <w:i/>
          <w:color w:val="000000"/>
          <w:sz w:val="24"/>
          <w:szCs w:val="24"/>
          <w:highlight w:val="white"/>
        </w:rPr>
        <w:t>Handbook of data mining and knowledge discovery</w:t>
      </w:r>
      <w:r>
        <w:rPr>
          <w:rFonts w:eastAsia="Times New Roman" w:cs="Times New Roman" w:ascii="Times New Roman" w:hAnsi="Times New Roman"/>
          <w:color w:val="000000"/>
          <w:sz w:val="24"/>
          <w:szCs w:val="24"/>
          <w:highlight w:val="white"/>
        </w:rPr>
        <w:t>. Oxford: Oxford University Press.</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color w:val="000000"/>
          <w:sz w:val="24"/>
          <w:szCs w:val="24"/>
          <w:highlight w:val="white"/>
        </w:rPr>
        <w:t>David, M., Kandel, A. and Bunke, H., 2004. </w:t>
      </w:r>
      <w:r>
        <w:rPr>
          <w:rFonts w:eastAsia="Times New Roman" w:cs="Times New Roman" w:ascii="Times New Roman" w:hAnsi="Times New Roman"/>
          <w:i/>
          <w:color w:val="000000"/>
          <w:sz w:val="24"/>
          <w:szCs w:val="24"/>
          <w:highlight w:val="white"/>
        </w:rPr>
        <w:t>Data mining in time series databases</w:t>
      </w:r>
      <w:r>
        <w:rPr>
          <w:rFonts w:eastAsia="Times New Roman" w:cs="Times New Roman" w:ascii="Times New Roman" w:hAnsi="Times New Roman"/>
          <w:color w:val="000000"/>
          <w:sz w:val="24"/>
          <w:szCs w:val="24"/>
          <w:highlight w:val="white"/>
        </w:rPr>
        <w:t>. New Jersey: World Scientific.</w:t>
      </w:r>
      <w:r>
        <w:rPr>
          <w:rFonts w:eastAsia="Times New Roman" w:cs="Times New Roman" w:ascii="Times New Roman" w:hAnsi="Times New Roman"/>
          <w:sz w:val="24"/>
          <w:szCs w:val="24"/>
          <w:highlight w:val="white"/>
        </w:rPr>
        <w:t xml:space="preserve"> </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sz w:val="24"/>
          <w:szCs w:val="24"/>
          <w:highlight w:val="white"/>
        </w:rPr>
        <w:t>Jayson, 2022. </w:t>
      </w:r>
      <w:r>
        <w:rPr>
          <w:rFonts w:eastAsia="Times New Roman" w:cs="Times New Roman" w:ascii="Times New Roman" w:hAnsi="Times New Roman"/>
          <w:i/>
          <w:sz w:val="24"/>
          <w:szCs w:val="24"/>
          <w:highlight w:val="white"/>
        </w:rPr>
        <w:t>Difference Between Text Mining and Data Mining ...</w:t>
      </w:r>
      <w:r>
        <w:rPr>
          <w:rFonts w:eastAsia="Times New Roman" w:cs="Times New Roman" w:ascii="Times New Roman" w:hAnsi="Times New Roman"/>
          <w:sz w:val="24"/>
          <w:szCs w:val="24"/>
          <w:highlight w:val="white"/>
        </w:rPr>
        <w:t>. [online] Available at: &lt;http://www.differencebetween.net/technology/difference-between-text-mining-and-data-mining/&gt; [Accessed 2022].</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sz w:val="24"/>
          <w:szCs w:val="24"/>
          <w:highlight w:val="white"/>
        </w:rPr>
        <w:t>Mia, 2022a. </w:t>
      </w:r>
      <w:r>
        <w:rPr>
          <w:rFonts w:eastAsia="Times New Roman" w:cs="Times New Roman" w:ascii="Times New Roman" w:hAnsi="Times New Roman"/>
          <w:i/>
          <w:sz w:val="24"/>
          <w:szCs w:val="24"/>
          <w:highlight w:val="white"/>
        </w:rPr>
        <w:t>What is Text Mining? - CBM</w:t>
      </w:r>
      <w:r>
        <w:rPr>
          <w:rFonts w:eastAsia="Times New Roman" w:cs="Times New Roman" w:ascii="Times New Roman" w:hAnsi="Times New Roman"/>
          <w:sz w:val="24"/>
          <w:szCs w:val="24"/>
          <w:highlight w:val="white"/>
        </w:rPr>
        <w:t>. [online] Available at: &lt;https://www.CBM.com/cloud/learn/text-mining&gt; [Accessed 2022].</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color w:val="000000"/>
          <w:sz w:val="24"/>
          <w:szCs w:val="24"/>
          <w:highlight w:val="white"/>
        </w:rPr>
        <w:t>Electra, 2022. </w:t>
      </w:r>
      <w:r>
        <w:rPr>
          <w:rFonts w:eastAsia="Times New Roman" w:cs="Times New Roman" w:ascii="Times New Roman" w:hAnsi="Times New Roman"/>
          <w:i/>
          <w:color w:val="000000"/>
          <w:sz w:val="24"/>
          <w:szCs w:val="24"/>
          <w:highlight w:val="white"/>
        </w:rPr>
        <w:t>SPSS vs EXCEL | Top 8 Significant Differences You Need To Know</w:t>
      </w:r>
      <w:r>
        <w:rPr>
          <w:rFonts w:eastAsia="Times New Roman" w:cs="Times New Roman" w:ascii="Times New Roman" w:hAnsi="Times New Roman"/>
          <w:color w:val="000000"/>
          <w:sz w:val="24"/>
          <w:szCs w:val="24"/>
          <w:highlight w:val="white"/>
        </w:rPr>
        <w:t>. [online] Available at: &lt;https://www.educba.com/spss-vs-excel/&gt; [Accessed 2022].</w:t>
      </w:r>
    </w:p>
    <w:p>
      <w:pPr>
        <w:pStyle w:val="Normal1"/>
        <w:spacing w:lineRule="auto" w:line="360" w:before="0" w:after="0"/>
        <w:ind w:left="720" w:hanging="720"/>
        <w:rPr>
          <w:rFonts w:ascii="Times New Roman" w:hAnsi="Times New Roman" w:eastAsia="Times New Roman" w:cs="Times New Roman"/>
          <w:sz w:val="24"/>
          <w:szCs w:val="24"/>
          <w:highlight w:val="white"/>
        </w:rPr>
      </w:pPr>
      <w:r>
        <w:rPr>
          <w:rFonts w:eastAsia="Times New Roman" w:cs="Times New Roman" w:ascii="Times New Roman" w:hAnsi="Times New Roman"/>
          <w:sz w:val="24"/>
          <w:szCs w:val="24"/>
          <w:highlight w:val="white"/>
        </w:rPr>
        <w:t>Jayson, 2022. </w:t>
      </w:r>
      <w:r>
        <w:rPr>
          <w:rFonts w:eastAsia="Times New Roman" w:cs="Times New Roman" w:ascii="Times New Roman" w:hAnsi="Times New Roman"/>
          <w:i/>
          <w:sz w:val="24"/>
          <w:szCs w:val="24"/>
          <w:highlight w:val="white"/>
        </w:rPr>
        <w:t>SPSS vs EXCEL | Top 8 Significant Differences You Need To Know</w:t>
      </w:r>
      <w:r>
        <w:rPr>
          <w:rFonts w:eastAsia="Times New Roman" w:cs="Times New Roman" w:ascii="Times New Roman" w:hAnsi="Times New Roman"/>
          <w:sz w:val="24"/>
          <w:szCs w:val="24"/>
          <w:highlight w:val="white"/>
        </w:rPr>
        <w:t>. [online] Available at: &lt;https://www.educba.com/spss-vs-excel/&gt; [Accessed 2022].</w:t>
      </w:r>
    </w:p>
    <w:p>
      <w:pPr>
        <w:pStyle w:val="Normal1"/>
        <w:spacing w:lineRule="auto" w:line="360" w:before="0" w:after="0"/>
        <w:ind w:left="720" w:hanging="720"/>
        <w:rPr>
          <w:rFonts w:ascii="Times New Roman" w:hAnsi="Times New Roman" w:eastAsia="Times New Roman" w:cs="Times New Roman"/>
          <w:color w:val="000000"/>
          <w:sz w:val="24"/>
          <w:szCs w:val="24"/>
          <w:highlight w:val="white"/>
        </w:rPr>
      </w:pPr>
      <w:r>
        <w:rPr>
          <w:rFonts w:eastAsia="Times New Roman" w:cs="Times New Roman" w:ascii="Times New Roman" w:hAnsi="Times New Roman"/>
          <w:color w:val="000000"/>
          <w:sz w:val="24"/>
          <w:szCs w:val="24"/>
          <w:highlight w:val="white"/>
        </w:rPr>
        <w:t>Andrea, 2022. </w:t>
      </w:r>
      <w:r>
        <w:rPr>
          <w:rFonts w:eastAsia="Times New Roman" w:cs="Times New Roman" w:ascii="Times New Roman" w:hAnsi="Times New Roman"/>
          <w:i/>
          <w:color w:val="000000"/>
          <w:sz w:val="24"/>
          <w:szCs w:val="24"/>
          <w:highlight w:val="white"/>
        </w:rPr>
        <w:t>SPSS, the advantage over MS-Excel | Statistician for ...</w:t>
      </w:r>
      <w:r>
        <w:rPr>
          <w:rFonts w:eastAsia="Times New Roman" w:cs="Times New Roman" w:ascii="Times New Roman" w:hAnsi="Times New Roman"/>
          <w:color w:val="000000"/>
          <w:sz w:val="24"/>
          <w:szCs w:val="24"/>
          <w:highlight w:val="white"/>
        </w:rPr>
        <w:t>. [online] Available at: &lt;https://statisticsconsultation.wordpress.com/2013/07/30/spss-the-advantage-over-ms-excel/&gt; [Accessed 2022].</w:t>
      </w:r>
    </w:p>
    <w:p>
      <w:pPr>
        <w:pStyle w:val="Normal1"/>
        <w:spacing w:lineRule="auto" w:line="360" w:before="0" w:after="0"/>
        <w:ind w:left="720" w:hanging="720"/>
        <w:rPr>
          <w:rFonts w:ascii="Times New Roman" w:hAnsi="Times New Roman" w:eastAsia="Times New Roman" w:cs="Times New Roman"/>
          <w:b/>
          <w:b/>
          <w:sz w:val="24"/>
          <w:szCs w:val="24"/>
        </w:rPr>
      </w:pPr>
      <w:r>
        <w:rPr>
          <w:rFonts w:eastAsia="Times New Roman" w:cs="Times New Roman" w:ascii="Times New Roman" w:hAnsi="Times New Roman"/>
          <w:color w:val="000000"/>
          <w:sz w:val="24"/>
          <w:szCs w:val="24"/>
          <w:highlight w:val="white"/>
        </w:rPr>
        <w:t>Robin, A., Bisma, C. and Erika, C., 2007. </w:t>
      </w:r>
      <w:r>
        <w:rPr>
          <w:rFonts w:eastAsia="Times New Roman" w:cs="Times New Roman" w:ascii="Times New Roman" w:hAnsi="Times New Roman"/>
          <w:i/>
          <w:color w:val="000000"/>
          <w:sz w:val="24"/>
          <w:szCs w:val="24"/>
          <w:highlight w:val="white"/>
        </w:rPr>
        <w:t>Data Mining VIII</w:t>
      </w:r>
      <w:r>
        <w:rPr>
          <w:rFonts w:eastAsia="Times New Roman" w:cs="Times New Roman" w:ascii="Times New Roman" w:hAnsi="Times New Roman"/>
          <w:color w:val="000000"/>
          <w:sz w:val="24"/>
          <w:szCs w:val="24"/>
          <w:highlight w:val="white"/>
        </w:rPr>
        <w:t>. SOUTHAMPTON: WIT Press.</w:t>
      </w:r>
    </w:p>
    <w:sectPr>
      <w:type w:val="nextPage"/>
      <w:pgSz w:w="12240" w:h="15840"/>
      <w:pgMar w:left="1440" w:right="1440" w:header="0" w:top="1440" w:footer="0" w:bottom="1440" w:gutter="0"/>
      <w:pgNumType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swiss"/>
    <w:pitch w:val="variable"/>
  </w:font>
  <w:font w:name="Georgia">
    <w:charset w:val="00"/>
    <w:family w:val="roman"/>
    <w:pitch w:val="variable"/>
  </w:font>
  <w:font w:name="Cambria">
    <w:charset w:val="00"/>
    <w:family w:val="roman"/>
    <w:pitch w:val="variable"/>
  </w:font>
</w:fonts>
</file>

<file path=word/settings.xml><?xml version="1.0" encoding="utf-8"?>
<w:settings xmlns:w="http://schemas.openxmlformats.org/wordprocessingml/2006/main">
  <w:zoom w:percent="110"/>
  <w:defaultTabStop w:val="709"/>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Calibri"/>
        <w:sz w:val="22"/>
        <w:szCs w:val="22"/>
        <w:lang w:val="en-GB" w:eastAsia="zh-CN" w:bidi="hi-IN"/>
      </w:rPr>
    </w:rPrDefault>
    <w:pPrDefault>
      <w:pPr>
        <w:suppressAutoHyphens w:val="true"/>
      </w:pPr>
    </w:pPrDefault>
  </w:docDefaults>
  <w:style w:type="paragraph" w:styleId="Normal">
    <w:name w:val="Normal"/>
    <w:qFormat/>
    <w:pPr>
      <w:widowControl/>
      <w:suppressAutoHyphens w:val="false"/>
      <w:bidi w:val="0"/>
      <w:spacing w:lineRule="auto" w:line="259" w:before="0" w:after="160"/>
      <w:jc w:val="left"/>
    </w:pPr>
    <w:rPr>
      <w:rFonts w:ascii="Calibri" w:hAnsi="Calibri" w:eastAsia="Calibri" w:cs="Calibri"/>
      <w:color w:val="auto"/>
      <w:kern w:val="0"/>
      <w:sz w:val="22"/>
      <w:szCs w:val="22"/>
      <w:lang w:val="en-GB" w:eastAsia="zh-CN" w:bidi="hi-IN"/>
    </w:rPr>
  </w:style>
  <w:style w:type="paragraph" w:styleId="Heading1">
    <w:name w:val="Heading 1"/>
    <w:basedOn w:val="Normal1"/>
    <w:next w:val="Normal1"/>
    <w:qFormat/>
    <w:pPr>
      <w:keepNext w:val="true"/>
      <w:keepLines/>
      <w:pageBreakBefore w:val="false"/>
      <w:spacing w:lineRule="auto" w:line="240" w:before="480" w:after="120"/>
    </w:pPr>
    <w:rPr>
      <w:b/>
      <w:sz w:val="48"/>
      <w:szCs w:val="48"/>
    </w:rPr>
  </w:style>
  <w:style w:type="paragraph" w:styleId="Heading2">
    <w:name w:val="Heading 2"/>
    <w:basedOn w:val="Normal1"/>
    <w:next w:val="Normal1"/>
    <w:qFormat/>
    <w:pPr>
      <w:keepNext w:val="true"/>
      <w:keepLines/>
      <w:pageBreakBefore w:val="false"/>
      <w:spacing w:lineRule="auto" w:line="240" w:before="360" w:after="80"/>
    </w:pPr>
    <w:rPr>
      <w:b/>
      <w:sz w:val="36"/>
      <w:szCs w:val="36"/>
    </w:rPr>
  </w:style>
  <w:style w:type="paragraph" w:styleId="Heading3">
    <w:name w:val="Heading 3"/>
    <w:basedOn w:val="Normal1"/>
    <w:next w:val="Normal1"/>
    <w:qFormat/>
    <w:pPr>
      <w:spacing w:lineRule="auto" w:line="240"/>
    </w:pPr>
    <w:rPr>
      <w:rFonts w:ascii="Times New Roman" w:hAnsi="Times New Roman" w:eastAsia="Times New Roman" w:cs="Times New Roman"/>
      <w:b/>
      <w:sz w:val="27"/>
      <w:szCs w:val="27"/>
    </w:rPr>
  </w:style>
  <w:style w:type="paragraph" w:styleId="Heading4">
    <w:name w:val="Heading 4"/>
    <w:basedOn w:val="Normal1"/>
    <w:next w:val="Normal1"/>
    <w:qFormat/>
    <w:pPr>
      <w:keepNext w:val="true"/>
      <w:keepLines/>
      <w:pageBreakBefore w:val="false"/>
      <w:spacing w:lineRule="auto" w:line="240" w:before="240" w:after="40"/>
    </w:pPr>
    <w:rPr>
      <w:b/>
      <w:sz w:val="24"/>
      <w:szCs w:val="24"/>
    </w:rPr>
  </w:style>
  <w:style w:type="paragraph" w:styleId="Heading5">
    <w:name w:val="Heading 5"/>
    <w:basedOn w:val="Normal1"/>
    <w:next w:val="Normal1"/>
    <w:qFormat/>
    <w:pPr>
      <w:keepNext w:val="true"/>
      <w:keepLines/>
      <w:pageBreakBefore w:val="false"/>
      <w:spacing w:lineRule="auto" w:line="240" w:before="220" w:after="40"/>
    </w:pPr>
    <w:rPr>
      <w:b/>
      <w:sz w:val="22"/>
      <w:szCs w:val="22"/>
    </w:rPr>
  </w:style>
  <w:style w:type="paragraph" w:styleId="Heading6">
    <w:name w:val="Heading 6"/>
    <w:basedOn w:val="Normal1"/>
    <w:next w:val="Normal1"/>
    <w:qFormat/>
    <w:pPr>
      <w:keepNext w:val="true"/>
      <w:keepLines/>
      <w:pageBreakBefore w:val="false"/>
      <w:spacing w:lineRule="auto" w:line="240" w:before="200" w:after="40"/>
    </w:pPr>
    <w:rPr>
      <w:b/>
      <w:sz w:val="20"/>
      <w:szCs w:val="20"/>
    </w:rPr>
  </w:style>
  <w:style w:type="character" w:styleId="BalloonTextChar">
    <w:name w:val="Balloon Text Char"/>
    <w:qFormat/>
    <w:rPr>
      <w:rFonts w:ascii="Tahoma" w:hAnsi="Tahoma" w:cs="Tahoma"/>
      <w:sz w:val="16"/>
      <w:szCs w:val="16"/>
    </w:rPr>
  </w:style>
  <w:style w:type="character" w:styleId="FooterChar">
    <w:name w:val="Footer Char"/>
    <w:qFormat/>
    <w:rPr/>
  </w:style>
  <w:style w:type="character" w:styleId="HeaderChar">
    <w:name w:val="Header Char"/>
    <w:qFormat/>
    <w:rPr/>
  </w:style>
  <w:style w:type="character" w:styleId="Heading2Char">
    <w:name w:val="Heading 2 Char"/>
    <w:qFormat/>
    <w:rPr>
      <w:rFonts w:ascii="Times New Roman" w:hAnsi="Times New Roman" w:cs="Times New Roman"/>
      <w:bCs/>
      <w:i/>
      <w:szCs w:val="26"/>
    </w:rPr>
  </w:style>
  <w:style w:type="character" w:styleId="Heading1Char">
    <w:name w:val="Heading 1 Char"/>
    <w:qFormat/>
    <w:rPr>
      <w:rFonts w:ascii="Times New Roman" w:hAnsi="Times New Roman" w:cs="Times New Roman"/>
      <w:b/>
      <w:bCs/>
      <w:i/>
      <w:szCs w:val="28"/>
      <w:lang w:val="en-GB"/>
    </w:rPr>
  </w:style>
  <w:style w:type="character" w:styleId="DefaultParagraphFont">
    <w:name w:val="Default Paragraph Font"/>
    <w:qFormat/>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rmal1" w:default="1">
    <w:name w:val="LO-normal"/>
    <w:qFormat/>
    <w:pPr>
      <w:widowControl/>
      <w:bidi w:val="0"/>
      <w:spacing w:lineRule="auto" w:line="259" w:before="0" w:after="160"/>
      <w:jc w:val="left"/>
    </w:pPr>
    <w:rPr>
      <w:rFonts w:ascii="Calibri" w:hAnsi="Calibri" w:eastAsia="Calibri" w:cs="Calibri"/>
      <w:color w:val="auto"/>
      <w:kern w:val="0"/>
      <w:sz w:val="22"/>
      <w:szCs w:val="22"/>
      <w:lang w:val="en-GB" w:eastAsia="zh-CN" w:bidi="hi-IN"/>
    </w:rPr>
  </w:style>
  <w:style w:type="paragraph" w:styleId="Title">
    <w:name w:val="Title"/>
    <w:basedOn w:val="Normal1"/>
    <w:next w:val="Normal1"/>
    <w:qFormat/>
    <w:pPr>
      <w:keepNext w:val="true"/>
      <w:keepLines/>
      <w:pageBreakBefore w:val="false"/>
      <w:spacing w:lineRule="auto" w:line="240" w:before="480" w:after="120"/>
    </w:pPr>
    <w:rPr>
      <w:b/>
      <w:sz w:val="72"/>
      <w:szCs w:val="72"/>
    </w:rPr>
  </w:style>
  <w:style w:type="paragraph" w:styleId="Subtitle">
    <w:name w:val="Subtitle"/>
    <w:basedOn w:val="Normal1"/>
    <w:next w:val="Normal1"/>
    <w:qFormat/>
    <w:pPr>
      <w:keepNext w:val="true"/>
      <w:keepLines/>
      <w:pageBreakBefore w:val="false"/>
      <w:spacing w:lineRule="auto" w:line="240" w:before="360" w:after="80"/>
    </w:pPr>
    <w:rPr>
      <w:rFonts w:ascii="Georgia" w:hAnsi="Georgia" w:eastAsia="Georgia" w:cs="Georgia"/>
      <w:i/>
      <w:color w:val="666666"/>
      <w:sz w:val="48"/>
      <w:szCs w:val="48"/>
    </w:rPr>
  </w:style>
  <w:style w:type="paragraph" w:styleId="BalloonText">
    <w:name w:val="Balloon Text"/>
    <w:basedOn w:val="Normal"/>
    <w:qFormat/>
    <w:pPr>
      <w:spacing w:lineRule="exact" w:line="240" w:before="0" w:after="0"/>
    </w:pPr>
    <w:rPr>
      <w:rFonts w:ascii="Tahoma" w:hAnsi="Tahoma" w:cs="Tahoma"/>
      <w:sz w:val="16"/>
      <w:szCs w:val="16"/>
    </w:rPr>
  </w:style>
  <w:style w:type="paragraph" w:styleId="TOCHeading">
    <w:name w:val="TOC Heading"/>
    <w:basedOn w:val="Heading1"/>
    <w:qFormat/>
    <w:pPr>
      <w:keepNext w:val="true"/>
      <w:keepLines/>
      <w:spacing w:before="480" w:after="0"/>
    </w:pPr>
    <w:rPr>
      <w:rFonts w:ascii="Cambria" w:hAnsi="Cambria" w:cs="0"/>
      <w:b/>
      <w:bCs/>
      <w:i w:val="false"/>
      <w:color w:val="365F91"/>
      <w:sz w:val="28"/>
      <w:szCs w:val="28"/>
      <w:lang w:eastAsia="ja-JP"/>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chart" Target="charts/chart1.xml"/><Relationship Id="rId4" Type="http://schemas.openxmlformats.org/officeDocument/2006/relationships/chart" Target="charts/chart2.xml"/><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
</Relationships>
</file>

<file path=word/charts/chart1.xml><?xml version="1.0" encoding="utf-8"?>
<c:chartSpace xmlns:c="http://schemas.openxmlformats.org/drawingml/2006/chart" xmlns:a="http://schemas.openxmlformats.org/drawingml/2006/main" xmlns:r="http://schemas.openxmlformats.org/officeDocument/2006/relationships">
  <c:lang val="en-US"/>
  <c:roundedCorners val="0"/>
  <c:chart>
    <c:autoTitleDeleted val="1"/>
    <c:plotArea>
      <c:lineChart>
        <c:grouping val="standard"/>
        <c:varyColors val="0"/>
        <c:ser>
          <c:idx val="0"/>
          <c:order val="0"/>
          <c:tx>
            <c:strRef>
              <c:f>label 0</c:f>
              <c:strCache>
                <c:ptCount val="1"/>
                <c:pt idx="0">
                  <c:v>Sum of CrimeRate</c:v>
                </c:pt>
              </c:strCache>
            </c:strRef>
          </c:tx>
          <c:spPr>
            <a:solidFill>
              <a:srgbClr val="4f81bd"/>
            </a:solidFill>
            <a:ln cap="rnd" w="28440">
              <a:solidFill>
                <a:srgbClr val="4f81bd"/>
              </a:solidFill>
              <a:round/>
            </a:ln>
          </c:spPr>
          <c:marker>
            <c:symbol val="none"/>
          </c:marker>
          <c:dLbls>
            <c:txPr>
              <a:bodyPr wrap="square"/>
              <a:lstStyle/>
              <a:p>
                <a:pPr>
                  <a:defRPr b="0" sz="1000" spc="-1" strike="noStrike">
                    <a:solidFill>
                      <a:srgbClr val="000000"/>
                    </a:solidFill>
                    <a:latin typeface="Cambria"/>
                  </a:defRPr>
                </a:pPr>
              </a:p>
            </c:txPr>
            <c:dLblPos val="r"/>
            <c:showLegendKey val="0"/>
            <c:showVal val="0"/>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37"/>
                <c:pt idx="0">
                  <c:v>934</c:v>
                </c:pt>
                <c:pt idx="1">
                  <c:v>938</c:v>
                </c:pt>
                <c:pt idx="2">
                  <c:v>948</c:v>
                </c:pt>
                <c:pt idx="3">
                  <c:v>950</c:v>
                </c:pt>
                <c:pt idx="4">
                  <c:v>953</c:v>
                </c:pt>
                <c:pt idx="5">
                  <c:v>955</c:v>
                </c:pt>
                <c:pt idx="6">
                  <c:v>956</c:v>
                </c:pt>
                <c:pt idx="7">
                  <c:v>962</c:v>
                </c:pt>
                <c:pt idx="8">
                  <c:v>964</c:v>
                </c:pt>
                <c:pt idx="9">
                  <c:v>965</c:v>
                </c:pt>
                <c:pt idx="10">
                  <c:v>966</c:v>
                </c:pt>
                <c:pt idx="11">
                  <c:v>968</c:v>
                </c:pt>
                <c:pt idx="12">
                  <c:v>969</c:v>
                </c:pt>
                <c:pt idx="13">
                  <c:v>972</c:v>
                </c:pt>
                <c:pt idx="14">
                  <c:v>973</c:v>
                </c:pt>
                <c:pt idx="15">
                  <c:v>974</c:v>
                </c:pt>
                <c:pt idx="16">
                  <c:v>977</c:v>
                </c:pt>
                <c:pt idx="17">
                  <c:v>978</c:v>
                </c:pt>
                <c:pt idx="18">
                  <c:v>981</c:v>
                </c:pt>
                <c:pt idx="19">
                  <c:v>982</c:v>
                </c:pt>
                <c:pt idx="20">
                  <c:v>984</c:v>
                </c:pt>
                <c:pt idx="21">
                  <c:v>985</c:v>
                </c:pt>
                <c:pt idx="22">
                  <c:v>986</c:v>
                </c:pt>
                <c:pt idx="23">
                  <c:v>989</c:v>
                </c:pt>
                <c:pt idx="24">
                  <c:v>990</c:v>
                </c:pt>
                <c:pt idx="25">
                  <c:v>994</c:v>
                </c:pt>
                <c:pt idx="26">
                  <c:v>996</c:v>
                </c:pt>
                <c:pt idx="27">
                  <c:v>998</c:v>
                </c:pt>
                <c:pt idx="28">
                  <c:v>1012</c:v>
                </c:pt>
                <c:pt idx="29">
                  <c:v>1018</c:v>
                </c:pt>
                <c:pt idx="30">
                  <c:v>1024</c:v>
                </c:pt>
                <c:pt idx="31">
                  <c:v>1029</c:v>
                </c:pt>
                <c:pt idx="32">
                  <c:v>1038</c:v>
                </c:pt>
                <c:pt idx="33">
                  <c:v>1045</c:v>
                </c:pt>
                <c:pt idx="34">
                  <c:v>1049</c:v>
                </c:pt>
                <c:pt idx="35">
                  <c:v>1071</c:v>
                </c:pt>
                <c:pt idx="36">
                  <c:v>Grand Total</c:v>
                </c:pt>
              </c:strCache>
            </c:strRef>
          </c:cat>
          <c:val>
            <c:numRef>
              <c:f>0</c:f>
              <c:numCache>
                <c:formatCode>General</c:formatCode>
                <c:ptCount val="37"/>
                <c:pt idx="0">
                  <c:v>94.3</c:v>
                </c:pt>
                <c:pt idx="1">
                  <c:v>119.7</c:v>
                </c:pt>
                <c:pt idx="2">
                  <c:v>82.3</c:v>
                </c:pt>
                <c:pt idx="3">
                  <c:v>96.8</c:v>
                </c:pt>
                <c:pt idx="4">
                  <c:v>227.1</c:v>
                </c:pt>
                <c:pt idx="5">
                  <c:v>106.6</c:v>
                </c:pt>
                <c:pt idx="6">
                  <c:v>112.1</c:v>
                </c:pt>
                <c:pt idx="7">
                  <c:v>56.6</c:v>
                </c:pt>
                <c:pt idx="8">
                  <c:v>321</c:v>
                </c:pt>
                <c:pt idx="9">
                  <c:v>45.5</c:v>
                </c:pt>
                <c:pt idx="10">
                  <c:v>154.3</c:v>
                </c:pt>
                <c:pt idx="11">
                  <c:v>135.3</c:v>
                </c:pt>
                <c:pt idx="12">
                  <c:v>225.2</c:v>
                </c:pt>
                <c:pt idx="13">
                  <c:v>293.5</c:v>
                </c:pt>
                <c:pt idx="14">
                  <c:v>85.6</c:v>
                </c:pt>
                <c:pt idx="15">
                  <c:v>103</c:v>
                </c:pt>
                <c:pt idx="16">
                  <c:v>73.2</c:v>
                </c:pt>
                <c:pt idx="17">
                  <c:v>109.4</c:v>
                </c:pt>
                <c:pt idx="18">
                  <c:v>123.4</c:v>
                </c:pt>
                <c:pt idx="19">
                  <c:v>114.3</c:v>
                </c:pt>
                <c:pt idx="20">
                  <c:v>162.8</c:v>
                </c:pt>
                <c:pt idx="21">
                  <c:v>273.3</c:v>
                </c:pt>
                <c:pt idx="22">
                  <c:v>180.5</c:v>
                </c:pt>
                <c:pt idx="23">
                  <c:v>64.2</c:v>
                </c:pt>
                <c:pt idx="24">
                  <c:v>108.3</c:v>
                </c:pt>
                <c:pt idx="25">
                  <c:v>157.7</c:v>
                </c:pt>
                <c:pt idx="26">
                  <c:v>98.7</c:v>
                </c:pt>
                <c:pt idx="27">
                  <c:v>107.2</c:v>
                </c:pt>
                <c:pt idx="28">
                  <c:v>266.5</c:v>
                </c:pt>
                <c:pt idx="29">
                  <c:v>132.4</c:v>
                </c:pt>
                <c:pt idx="30">
                  <c:v>78.1</c:v>
                </c:pt>
                <c:pt idx="31">
                  <c:v>88</c:v>
                </c:pt>
                <c:pt idx="32">
                  <c:v>115.1</c:v>
                </c:pt>
                <c:pt idx="33">
                  <c:v>52.3</c:v>
                </c:pt>
                <c:pt idx="34">
                  <c:v>105.9</c:v>
                </c:pt>
                <c:pt idx="35">
                  <c:v>161.8</c:v>
                </c:pt>
                <c:pt idx="36">
                  <c:v>4832</c:v>
                </c:pt>
              </c:numCache>
            </c:numRef>
          </c:val>
          <c:smooth val="0"/>
        </c:ser>
        <c:ser>
          <c:idx val="1"/>
          <c:order val="1"/>
          <c:tx>
            <c:strRef>
              <c:f>label 1</c:f>
              <c:strCache>
                <c:ptCount val="1"/>
                <c:pt idx="0">
                  <c:v>Sum of MatureUnemploy10</c:v>
                </c:pt>
              </c:strCache>
            </c:strRef>
          </c:tx>
          <c:spPr>
            <a:solidFill>
              <a:srgbClr val="c0504d"/>
            </a:solidFill>
            <a:ln cap="rnd" w="28440">
              <a:solidFill>
                <a:srgbClr val="c0504d"/>
              </a:solidFill>
              <a:round/>
            </a:ln>
          </c:spPr>
          <c:marker>
            <c:symbol val="none"/>
          </c:marker>
          <c:dLbls>
            <c:txPr>
              <a:bodyPr wrap="square"/>
              <a:lstStyle/>
              <a:p>
                <a:pPr>
                  <a:defRPr b="0" sz="1000" spc="-1" strike="noStrike">
                    <a:solidFill>
                      <a:srgbClr val="000000"/>
                    </a:solidFill>
                    <a:latin typeface="Cambria"/>
                  </a:defRPr>
                </a:pPr>
              </a:p>
            </c:txPr>
            <c:dLblPos val="r"/>
            <c:showLegendKey val="0"/>
            <c:showVal val="0"/>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37"/>
                <c:pt idx="0">
                  <c:v>934</c:v>
                </c:pt>
                <c:pt idx="1">
                  <c:v>938</c:v>
                </c:pt>
                <c:pt idx="2">
                  <c:v>948</c:v>
                </c:pt>
                <c:pt idx="3">
                  <c:v>950</c:v>
                </c:pt>
                <c:pt idx="4">
                  <c:v>953</c:v>
                </c:pt>
                <c:pt idx="5">
                  <c:v>955</c:v>
                </c:pt>
                <c:pt idx="6">
                  <c:v>956</c:v>
                </c:pt>
                <c:pt idx="7">
                  <c:v>962</c:v>
                </c:pt>
                <c:pt idx="8">
                  <c:v>964</c:v>
                </c:pt>
                <c:pt idx="9">
                  <c:v>965</c:v>
                </c:pt>
                <c:pt idx="10">
                  <c:v>966</c:v>
                </c:pt>
                <c:pt idx="11">
                  <c:v>968</c:v>
                </c:pt>
                <c:pt idx="12">
                  <c:v>969</c:v>
                </c:pt>
                <c:pt idx="13">
                  <c:v>972</c:v>
                </c:pt>
                <c:pt idx="14">
                  <c:v>973</c:v>
                </c:pt>
                <c:pt idx="15">
                  <c:v>974</c:v>
                </c:pt>
                <c:pt idx="16">
                  <c:v>977</c:v>
                </c:pt>
                <c:pt idx="17">
                  <c:v>978</c:v>
                </c:pt>
                <c:pt idx="18">
                  <c:v>981</c:v>
                </c:pt>
                <c:pt idx="19">
                  <c:v>982</c:v>
                </c:pt>
                <c:pt idx="20">
                  <c:v>984</c:v>
                </c:pt>
                <c:pt idx="21">
                  <c:v>985</c:v>
                </c:pt>
                <c:pt idx="22">
                  <c:v>986</c:v>
                </c:pt>
                <c:pt idx="23">
                  <c:v>989</c:v>
                </c:pt>
                <c:pt idx="24">
                  <c:v>990</c:v>
                </c:pt>
                <c:pt idx="25">
                  <c:v>994</c:v>
                </c:pt>
                <c:pt idx="26">
                  <c:v>996</c:v>
                </c:pt>
                <c:pt idx="27">
                  <c:v>998</c:v>
                </c:pt>
                <c:pt idx="28">
                  <c:v>1012</c:v>
                </c:pt>
                <c:pt idx="29">
                  <c:v>1018</c:v>
                </c:pt>
                <c:pt idx="30">
                  <c:v>1024</c:v>
                </c:pt>
                <c:pt idx="31">
                  <c:v>1029</c:v>
                </c:pt>
                <c:pt idx="32">
                  <c:v>1038</c:v>
                </c:pt>
                <c:pt idx="33">
                  <c:v>1045</c:v>
                </c:pt>
                <c:pt idx="34">
                  <c:v>1049</c:v>
                </c:pt>
                <c:pt idx="35">
                  <c:v>1071</c:v>
                </c:pt>
                <c:pt idx="36">
                  <c:v>Grand Total</c:v>
                </c:pt>
              </c:strCache>
            </c:strRef>
          </c:cat>
          <c:val>
            <c:numRef>
              <c:f>1</c:f>
              <c:numCache>
                <c:formatCode>General</c:formatCode>
                <c:ptCount val="37"/>
                <c:pt idx="0">
                  <c:v>33</c:v>
                </c:pt>
                <c:pt idx="1">
                  <c:v>27</c:v>
                </c:pt>
                <c:pt idx="2">
                  <c:v>49</c:v>
                </c:pt>
                <c:pt idx="3">
                  <c:v>40</c:v>
                </c:pt>
                <c:pt idx="4">
                  <c:v>64</c:v>
                </c:pt>
                <c:pt idx="5">
                  <c:v>29</c:v>
                </c:pt>
                <c:pt idx="6">
                  <c:v>44</c:v>
                </c:pt>
                <c:pt idx="7">
                  <c:v>33</c:v>
                </c:pt>
                <c:pt idx="8">
                  <c:v>107</c:v>
                </c:pt>
                <c:pt idx="9">
                  <c:v>20</c:v>
                </c:pt>
                <c:pt idx="10">
                  <c:v>36</c:v>
                </c:pt>
                <c:pt idx="11">
                  <c:v>86</c:v>
                </c:pt>
                <c:pt idx="12">
                  <c:v>70</c:v>
                </c:pt>
                <c:pt idx="13">
                  <c:v>80</c:v>
                </c:pt>
                <c:pt idx="14">
                  <c:v>25</c:v>
                </c:pt>
                <c:pt idx="15">
                  <c:v>28</c:v>
                </c:pt>
                <c:pt idx="16">
                  <c:v>36</c:v>
                </c:pt>
                <c:pt idx="17">
                  <c:v>35</c:v>
                </c:pt>
                <c:pt idx="18">
                  <c:v>29</c:v>
                </c:pt>
                <c:pt idx="19">
                  <c:v>39</c:v>
                </c:pt>
                <c:pt idx="20">
                  <c:v>57</c:v>
                </c:pt>
                <c:pt idx="21">
                  <c:v>78</c:v>
                </c:pt>
                <c:pt idx="22">
                  <c:v>69</c:v>
                </c:pt>
                <c:pt idx="23">
                  <c:v>24</c:v>
                </c:pt>
                <c:pt idx="24">
                  <c:v>34</c:v>
                </c:pt>
                <c:pt idx="25">
                  <c:v>40</c:v>
                </c:pt>
                <c:pt idx="26">
                  <c:v>28</c:v>
                </c:pt>
                <c:pt idx="27">
                  <c:v>15</c:v>
                </c:pt>
                <c:pt idx="28">
                  <c:v>72</c:v>
                </c:pt>
                <c:pt idx="29">
                  <c:v>27</c:v>
                </c:pt>
                <c:pt idx="30">
                  <c:v>28</c:v>
                </c:pt>
                <c:pt idx="31">
                  <c:v>25</c:v>
                </c:pt>
                <c:pt idx="32">
                  <c:v>41</c:v>
                </c:pt>
                <c:pt idx="33">
                  <c:v>39</c:v>
                </c:pt>
                <c:pt idx="34">
                  <c:v>41</c:v>
                </c:pt>
                <c:pt idx="35">
                  <c:v>40</c:v>
                </c:pt>
                <c:pt idx="36">
                  <c:v>1568</c:v>
                </c:pt>
              </c:numCache>
            </c:numRef>
          </c:val>
          <c:smooth val="0"/>
        </c:ser>
        <c:ser>
          <c:idx val="2"/>
          <c:order val="2"/>
          <c:tx>
            <c:strRef>
              <c:f>label 2</c:f>
              <c:strCache>
                <c:ptCount val="1"/>
                <c:pt idx="0">
                  <c:v>Sum of YouthUnemploy10</c:v>
                </c:pt>
              </c:strCache>
            </c:strRef>
          </c:tx>
          <c:spPr>
            <a:solidFill>
              <a:srgbClr val="9bbb59"/>
            </a:solidFill>
            <a:ln cap="rnd" w="28440">
              <a:solidFill>
                <a:srgbClr val="9bbb59"/>
              </a:solidFill>
              <a:round/>
            </a:ln>
          </c:spPr>
          <c:marker>
            <c:symbol val="none"/>
          </c:marker>
          <c:dLbls>
            <c:txPr>
              <a:bodyPr wrap="square"/>
              <a:lstStyle/>
              <a:p>
                <a:pPr>
                  <a:defRPr b="0" sz="1000" spc="-1" strike="noStrike">
                    <a:solidFill>
                      <a:srgbClr val="000000"/>
                    </a:solidFill>
                    <a:latin typeface="Cambria"/>
                  </a:defRPr>
                </a:pPr>
              </a:p>
            </c:txPr>
            <c:dLblPos val="r"/>
            <c:showLegendKey val="0"/>
            <c:showVal val="0"/>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37"/>
                <c:pt idx="0">
                  <c:v>934</c:v>
                </c:pt>
                <c:pt idx="1">
                  <c:v>938</c:v>
                </c:pt>
                <c:pt idx="2">
                  <c:v>948</c:v>
                </c:pt>
                <c:pt idx="3">
                  <c:v>950</c:v>
                </c:pt>
                <c:pt idx="4">
                  <c:v>953</c:v>
                </c:pt>
                <c:pt idx="5">
                  <c:v>955</c:v>
                </c:pt>
                <c:pt idx="6">
                  <c:v>956</c:v>
                </c:pt>
                <c:pt idx="7">
                  <c:v>962</c:v>
                </c:pt>
                <c:pt idx="8">
                  <c:v>964</c:v>
                </c:pt>
                <c:pt idx="9">
                  <c:v>965</c:v>
                </c:pt>
                <c:pt idx="10">
                  <c:v>966</c:v>
                </c:pt>
                <c:pt idx="11">
                  <c:v>968</c:v>
                </c:pt>
                <c:pt idx="12">
                  <c:v>969</c:v>
                </c:pt>
                <c:pt idx="13">
                  <c:v>972</c:v>
                </c:pt>
                <c:pt idx="14">
                  <c:v>973</c:v>
                </c:pt>
                <c:pt idx="15">
                  <c:v>974</c:v>
                </c:pt>
                <c:pt idx="16">
                  <c:v>977</c:v>
                </c:pt>
                <c:pt idx="17">
                  <c:v>978</c:v>
                </c:pt>
                <c:pt idx="18">
                  <c:v>981</c:v>
                </c:pt>
                <c:pt idx="19">
                  <c:v>982</c:v>
                </c:pt>
                <c:pt idx="20">
                  <c:v>984</c:v>
                </c:pt>
                <c:pt idx="21">
                  <c:v>985</c:v>
                </c:pt>
                <c:pt idx="22">
                  <c:v>986</c:v>
                </c:pt>
                <c:pt idx="23">
                  <c:v>989</c:v>
                </c:pt>
                <c:pt idx="24">
                  <c:v>990</c:v>
                </c:pt>
                <c:pt idx="25">
                  <c:v>994</c:v>
                </c:pt>
                <c:pt idx="26">
                  <c:v>996</c:v>
                </c:pt>
                <c:pt idx="27">
                  <c:v>998</c:v>
                </c:pt>
                <c:pt idx="28">
                  <c:v>1012</c:v>
                </c:pt>
                <c:pt idx="29">
                  <c:v>1018</c:v>
                </c:pt>
                <c:pt idx="30">
                  <c:v>1024</c:v>
                </c:pt>
                <c:pt idx="31">
                  <c:v>1029</c:v>
                </c:pt>
                <c:pt idx="32">
                  <c:v>1038</c:v>
                </c:pt>
                <c:pt idx="33">
                  <c:v>1045</c:v>
                </c:pt>
                <c:pt idx="34">
                  <c:v>1049</c:v>
                </c:pt>
                <c:pt idx="35">
                  <c:v>1071</c:v>
                </c:pt>
                <c:pt idx="36">
                  <c:v>Grand Total</c:v>
                </c:pt>
              </c:strCache>
            </c:strRef>
          </c:cat>
          <c:val>
            <c:numRef>
              <c:f>2</c:f>
              <c:numCache>
                <c:formatCode>General</c:formatCode>
                <c:ptCount val="37"/>
                <c:pt idx="0">
                  <c:v>79</c:v>
                </c:pt>
                <c:pt idx="1">
                  <c:v>93</c:v>
                </c:pt>
                <c:pt idx="2">
                  <c:v>125</c:v>
                </c:pt>
                <c:pt idx="3">
                  <c:v>110</c:v>
                </c:pt>
                <c:pt idx="4">
                  <c:v>167</c:v>
                </c:pt>
                <c:pt idx="5">
                  <c:v>85</c:v>
                </c:pt>
                <c:pt idx="6">
                  <c:v>117</c:v>
                </c:pt>
                <c:pt idx="7">
                  <c:v>98</c:v>
                </c:pt>
                <c:pt idx="8">
                  <c:v>276</c:v>
                </c:pt>
                <c:pt idx="9">
                  <c:v>82</c:v>
                </c:pt>
                <c:pt idx="10">
                  <c:v>79</c:v>
                </c:pt>
                <c:pt idx="11">
                  <c:v>241</c:v>
                </c:pt>
                <c:pt idx="12">
                  <c:v>175</c:v>
                </c:pt>
                <c:pt idx="13">
                  <c:v>246</c:v>
                </c:pt>
                <c:pt idx="14">
                  <c:v>76</c:v>
                </c:pt>
                <c:pt idx="15">
                  <c:v>79</c:v>
                </c:pt>
                <c:pt idx="16">
                  <c:v>119</c:v>
                </c:pt>
                <c:pt idx="17">
                  <c:v>93</c:v>
                </c:pt>
                <c:pt idx="18">
                  <c:v>89</c:v>
                </c:pt>
                <c:pt idx="19">
                  <c:v>99</c:v>
                </c:pt>
                <c:pt idx="20">
                  <c:v>178</c:v>
                </c:pt>
                <c:pt idx="21">
                  <c:v>225</c:v>
                </c:pt>
                <c:pt idx="22">
                  <c:v>172</c:v>
                </c:pt>
                <c:pt idx="23">
                  <c:v>79</c:v>
                </c:pt>
                <c:pt idx="24">
                  <c:v>103</c:v>
                </c:pt>
                <c:pt idx="25">
                  <c:v>110</c:v>
                </c:pt>
                <c:pt idx="26">
                  <c:v>80</c:v>
                </c:pt>
                <c:pt idx="27">
                  <c:v>87</c:v>
                </c:pt>
                <c:pt idx="28">
                  <c:v>212</c:v>
                </c:pt>
                <c:pt idx="29">
                  <c:v>105</c:v>
                </c:pt>
                <c:pt idx="30">
                  <c:v>97</c:v>
                </c:pt>
                <c:pt idx="31">
                  <c:v>104</c:v>
                </c:pt>
                <c:pt idx="32">
                  <c:v>143</c:v>
                </c:pt>
                <c:pt idx="33">
                  <c:v>138</c:v>
                </c:pt>
                <c:pt idx="34">
                  <c:v>119</c:v>
                </c:pt>
                <c:pt idx="35">
                  <c:v>100</c:v>
                </c:pt>
                <c:pt idx="36">
                  <c:v>4580</c:v>
                </c:pt>
              </c:numCache>
            </c:numRef>
          </c:val>
          <c:smooth val="0"/>
        </c:ser>
        <c:hiLowLines>
          <c:spPr>
            <a:ln w="0">
              <a:noFill/>
            </a:ln>
          </c:spPr>
        </c:hiLowLines>
        <c:marker val="0"/>
        <c:axId val="49562317"/>
        <c:axId val="56619067"/>
      </c:lineChart>
      <c:catAx>
        <c:axId val="49562317"/>
        <c:scaling>
          <c:orientation val="minMax"/>
        </c:scaling>
        <c:delete val="0"/>
        <c:axPos val="b"/>
        <c:numFmt formatCode="General" sourceLinked="0"/>
        <c:majorTickMark val="none"/>
        <c:minorTickMark val="none"/>
        <c:tickLblPos val="nextTo"/>
        <c:spPr>
          <a:ln w="9360">
            <a:solidFill>
              <a:srgbClr val="d9d9d9"/>
            </a:solidFill>
            <a:round/>
          </a:ln>
        </c:spPr>
        <c:txPr>
          <a:bodyPr/>
          <a:lstStyle/>
          <a:p>
            <a:pPr>
              <a:defRPr b="0" sz="900" spc="-1" strike="noStrike">
                <a:solidFill>
                  <a:srgbClr val="595959"/>
                </a:solidFill>
                <a:latin typeface="Cambria"/>
              </a:defRPr>
            </a:pPr>
          </a:p>
        </c:txPr>
        <c:crossAx val="56619067"/>
        <c:crosses val="autoZero"/>
        <c:auto val="1"/>
        <c:lblAlgn val="ctr"/>
        <c:lblOffset val="100"/>
        <c:noMultiLvlLbl val="0"/>
      </c:catAx>
      <c:valAx>
        <c:axId val="56619067"/>
        <c:scaling>
          <c:orientation val="minMax"/>
        </c:scaling>
        <c:delete val="0"/>
        <c:axPos val="l"/>
        <c:majorGridlines>
          <c:spPr>
            <a:ln w="9360">
              <a:solidFill>
                <a:srgbClr val="d9d9d9"/>
              </a:solidFill>
              <a:round/>
            </a:ln>
          </c:spPr>
        </c:majorGridlines>
        <c:numFmt formatCode="General" sourceLinked="0"/>
        <c:majorTickMark val="none"/>
        <c:minorTickMark val="none"/>
        <c:tickLblPos val="nextTo"/>
        <c:spPr>
          <a:ln w="9360">
            <a:noFill/>
          </a:ln>
        </c:spPr>
        <c:txPr>
          <a:bodyPr/>
          <a:lstStyle/>
          <a:p>
            <a:pPr>
              <a:defRPr b="0" sz="900" spc="-1" strike="noStrike">
                <a:solidFill>
                  <a:srgbClr val="595959"/>
                </a:solidFill>
                <a:latin typeface="Cambria"/>
              </a:defRPr>
            </a:pPr>
          </a:p>
        </c:txPr>
        <c:crossAx val="49562317"/>
        <c:crosses val="autoZero"/>
        <c:crossBetween val="between"/>
      </c:valAx>
      <c:spPr>
        <a:noFill/>
        <a:ln w="0">
          <a:noFill/>
        </a:ln>
      </c:spPr>
    </c:plotArea>
    <c:legend>
      <c:legendPos val="b"/>
      <c:overlay val="0"/>
      <c:spPr>
        <a:noFill/>
        <a:ln w="0">
          <a:noFill/>
        </a:ln>
      </c:spPr>
      <c:txPr>
        <a:bodyPr/>
        <a:lstStyle/>
        <a:p>
          <a:pPr>
            <a:defRPr b="0" sz="900" spc="-1" strike="noStrike">
              <a:solidFill>
                <a:srgbClr val="595959"/>
              </a:solidFill>
              <a:latin typeface="Cambria"/>
            </a:defRPr>
          </a:pPr>
        </a:p>
      </c:txPr>
    </c:legend>
    <c:plotVisOnly val="1"/>
    <c:dispBlanksAs val="gap"/>
  </c:chart>
  <c:spPr>
    <a:solidFill>
      <a:srgbClr val="ffffff"/>
    </a:solidFill>
    <a:ln w="9360">
      <a:solidFill>
        <a:srgbClr val="d9d9d9"/>
      </a:solidFill>
      <a:round/>
    </a:ln>
  </c:spPr>
</c:chartSpace>
</file>

<file path=word/charts/chart2.xml><?xml version="1.0" encoding="utf-8"?>
<c:chartSpace xmlns:c="http://schemas.openxmlformats.org/drawingml/2006/chart" xmlns:a="http://schemas.openxmlformats.org/drawingml/2006/main" xmlns:r="http://schemas.openxmlformats.org/officeDocument/2006/relationships">
  <c:lang val="en-US"/>
  <c:roundedCorners val="0"/>
  <c:chart>
    <c:autoTitleDeleted val="1"/>
    <c:plotArea>
      <c:lineChart>
        <c:grouping val="standard"/>
        <c:varyColors val="0"/>
        <c:ser>
          <c:idx val="0"/>
          <c:order val="0"/>
          <c:tx>
            <c:strRef>
              <c:f>label 0</c:f>
              <c:strCache>
                <c:ptCount val="1"/>
                <c:pt idx="0">
                  <c:v>Sum of CrimeRate</c:v>
                </c:pt>
              </c:strCache>
            </c:strRef>
          </c:tx>
          <c:spPr>
            <a:solidFill>
              <a:srgbClr val="4f81bd"/>
            </a:solidFill>
            <a:ln cap="rnd" w="28440">
              <a:solidFill>
                <a:srgbClr val="4f81bd"/>
              </a:solidFill>
              <a:round/>
            </a:ln>
          </c:spPr>
          <c:marker>
            <c:symbol val="none"/>
          </c:marker>
          <c:dLbls>
            <c:txPr>
              <a:bodyPr wrap="square"/>
              <a:lstStyle/>
              <a:p>
                <a:pPr>
                  <a:defRPr b="0" sz="1000" spc="-1" strike="noStrike">
                    <a:solidFill>
                      <a:srgbClr val="000000"/>
                    </a:solidFill>
                    <a:latin typeface="Cambria"/>
                  </a:defRPr>
                </a:pPr>
              </a:p>
            </c:txPr>
            <c:dLblPos val="r"/>
            <c:showLegendKey val="0"/>
            <c:showVal val="0"/>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37"/>
                <c:pt idx="0">
                  <c:v>934</c:v>
                </c:pt>
                <c:pt idx="1">
                  <c:v>938</c:v>
                </c:pt>
                <c:pt idx="2">
                  <c:v>948</c:v>
                </c:pt>
                <c:pt idx="3">
                  <c:v>950</c:v>
                </c:pt>
                <c:pt idx="4">
                  <c:v>953</c:v>
                </c:pt>
                <c:pt idx="5">
                  <c:v>955</c:v>
                </c:pt>
                <c:pt idx="6">
                  <c:v>956</c:v>
                </c:pt>
                <c:pt idx="7">
                  <c:v>962</c:v>
                </c:pt>
                <c:pt idx="8">
                  <c:v>964</c:v>
                </c:pt>
                <c:pt idx="9">
                  <c:v>965</c:v>
                </c:pt>
                <c:pt idx="10">
                  <c:v>966</c:v>
                </c:pt>
                <c:pt idx="11">
                  <c:v>968</c:v>
                </c:pt>
                <c:pt idx="12">
                  <c:v>969</c:v>
                </c:pt>
                <c:pt idx="13">
                  <c:v>972</c:v>
                </c:pt>
                <c:pt idx="14">
                  <c:v>973</c:v>
                </c:pt>
                <c:pt idx="15">
                  <c:v>974</c:v>
                </c:pt>
                <c:pt idx="16">
                  <c:v>977</c:v>
                </c:pt>
                <c:pt idx="17">
                  <c:v>978</c:v>
                </c:pt>
                <c:pt idx="18">
                  <c:v>981</c:v>
                </c:pt>
                <c:pt idx="19">
                  <c:v>982</c:v>
                </c:pt>
                <c:pt idx="20">
                  <c:v>984</c:v>
                </c:pt>
                <c:pt idx="21">
                  <c:v>985</c:v>
                </c:pt>
                <c:pt idx="22">
                  <c:v>986</c:v>
                </c:pt>
                <c:pt idx="23">
                  <c:v>989</c:v>
                </c:pt>
                <c:pt idx="24">
                  <c:v>990</c:v>
                </c:pt>
                <c:pt idx="25">
                  <c:v>994</c:v>
                </c:pt>
                <c:pt idx="26">
                  <c:v>996</c:v>
                </c:pt>
                <c:pt idx="27">
                  <c:v>998</c:v>
                </c:pt>
                <c:pt idx="28">
                  <c:v>1012</c:v>
                </c:pt>
                <c:pt idx="29">
                  <c:v>1018</c:v>
                </c:pt>
                <c:pt idx="30">
                  <c:v>1024</c:v>
                </c:pt>
                <c:pt idx="31">
                  <c:v>1029</c:v>
                </c:pt>
                <c:pt idx="32">
                  <c:v>1038</c:v>
                </c:pt>
                <c:pt idx="33">
                  <c:v>1045</c:v>
                </c:pt>
                <c:pt idx="34">
                  <c:v>1049</c:v>
                </c:pt>
                <c:pt idx="35">
                  <c:v>1071</c:v>
                </c:pt>
                <c:pt idx="36">
                  <c:v>Grand Total</c:v>
                </c:pt>
              </c:strCache>
            </c:strRef>
          </c:cat>
          <c:val>
            <c:numRef>
              <c:f>0</c:f>
              <c:numCache>
                <c:formatCode>General</c:formatCode>
                <c:ptCount val="37"/>
                <c:pt idx="0">
                  <c:v>94.3</c:v>
                </c:pt>
                <c:pt idx="1">
                  <c:v>119.7</c:v>
                </c:pt>
                <c:pt idx="2">
                  <c:v>82.3</c:v>
                </c:pt>
                <c:pt idx="3">
                  <c:v>96.8</c:v>
                </c:pt>
                <c:pt idx="4">
                  <c:v>227.1</c:v>
                </c:pt>
                <c:pt idx="5">
                  <c:v>106.6</c:v>
                </c:pt>
                <c:pt idx="6">
                  <c:v>112.1</c:v>
                </c:pt>
                <c:pt idx="7">
                  <c:v>56.6</c:v>
                </c:pt>
                <c:pt idx="8">
                  <c:v>321</c:v>
                </c:pt>
                <c:pt idx="9">
                  <c:v>45.5</c:v>
                </c:pt>
                <c:pt idx="10">
                  <c:v>154.3</c:v>
                </c:pt>
                <c:pt idx="11">
                  <c:v>135.3</c:v>
                </c:pt>
                <c:pt idx="12">
                  <c:v>225.2</c:v>
                </c:pt>
                <c:pt idx="13">
                  <c:v>293.5</c:v>
                </c:pt>
                <c:pt idx="14">
                  <c:v>85.6</c:v>
                </c:pt>
                <c:pt idx="15">
                  <c:v>103</c:v>
                </c:pt>
                <c:pt idx="16">
                  <c:v>73.2</c:v>
                </c:pt>
                <c:pt idx="17">
                  <c:v>109.4</c:v>
                </c:pt>
                <c:pt idx="18">
                  <c:v>123.4</c:v>
                </c:pt>
                <c:pt idx="19">
                  <c:v>114.3</c:v>
                </c:pt>
                <c:pt idx="20">
                  <c:v>162.8</c:v>
                </c:pt>
                <c:pt idx="21">
                  <c:v>273.3</c:v>
                </c:pt>
                <c:pt idx="22">
                  <c:v>180.5</c:v>
                </c:pt>
                <c:pt idx="23">
                  <c:v>64.2</c:v>
                </c:pt>
                <c:pt idx="24">
                  <c:v>108.3</c:v>
                </c:pt>
                <c:pt idx="25">
                  <c:v>157.7</c:v>
                </c:pt>
                <c:pt idx="26">
                  <c:v>98.7</c:v>
                </c:pt>
                <c:pt idx="27">
                  <c:v>107.2</c:v>
                </c:pt>
                <c:pt idx="28">
                  <c:v>266.5</c:v>
                </c:pt>
                <c:pt idx="29">
                  <c:v>132.4</c:v>
                </c:pt>
                <c:pt idx="30">
                  <c:v>78.1</c:v>
                </c:pt>
                <c:pt idx="31">
                  <c:v>88</c:v>
                </c:pt>
                <c:pt idx="32">
                  <c:v>115.1</c:v>
                </c:pt>
                <c:pt idx="33">
                  <c:v>52.3</c:v>
                </c:pt>
                <c:pt idx="34">
                  <c:v>105.9</c:v>
                </c:pt>
                <c:pt idx="35">
                  <c:v>161.8</c:v>
                </c:pt>
                <c:pt idx="36">
                  <c:v>4832</c:v>
                </c:pt>
              </c:numCache>
            </c:numRef>
          </c:val>
          <c:smooth val="0"/>
        </c:ser>
        <c:ser>
          <c:idx val="1"/>
          <c:order val="1"/>
          <c:tx>
            <c:strRef>
              <c:f>label 1</c:f>
              <c:strCache>
                <c:ptCount val="1"/>
                <c:pt idx="0">
                  <c:v>Sum of HighYouthUnemploy10</c:v>
                </c:pt>
              </c:strCache>
            </c:strRef>
          </c:tx>
          <c:spPr>
            <a:solidFill>
              <a:srgbClr val="c0504d"/>
            </a:solidFill>
            <a:ln cap="rnd" w="28440">
              <a:solidFill>
                <a:srgbClr val="c0504d"/>
              </a:solidFill>
              <a:round/>
            </a:ln>
          </c:spPr>
          <c:marker>
            <c:symbol val="none"/>
          </c:marker>
          <c:dLbls>
            <c:txPr>
              <a:bodyPr wrap="square"/>
              <a:lstStyle/>
              <a:p>
                <a:pPr>
                  <a:defRPr b="0" sz="1000" spc="-1" strike="noStrike">
                    <a:solidFill>
                      <a:srgbClr val="000000"/>
                    </a:solidFill>
                    <a:latin typeface="Cambria"/>
                  </a:defRPr>
                </a:pPr>
              </a:p>
            </c:txPr>
            <c:dLblPos val="r"/>
            <c:showLegendKey val="0"/>
            <c:showVal val="0"/>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37"/>
                <c:pt idx="0">
                  <c:v>934</c:v>
                </c:pt>
                <c:pt idx="1">
                  <c:v>938</c:v>
                </c:pt>
                <c:pt idx="2">
                  <c:v>948</c:v>
                </c:pt>
                <c:pt idx="3">
                  <c:v>950</c:v>
                </c:pt>
                <c:pt idx="4">
                  <c:v>953</c:v>
                </c:pt>
                <c:pt idx="5">
                  <c:v>955</c:v>
                </c:pt>
                <c:pt idx="6">
                  <c:v>956</c:v>
                </c:pt>
                <c:pt idx="7">
                  <c:v>962</c:v>
                </c:pt>
                <c:pt idx="8">
                  <c:v>964</c:v>
                </c:pt>
                <c:pt idx="9">
                  <c:v>965</c:v>
                </c:pt>
                <c:pt idx="10">
                  <c:v>966</c:v>
                </c:pt>
                <c:pt idx="11">
                  <c:v>968</c:v>
                </c:pt>
                <c:pt idx="12">
                  <c:v>969</c:v>
                </c:pt>
                <c:pt idx="13">
                  <c:v>972</c:v>
                </c:pt>
                <c:pt idx="14">
                  <c:v>973</c:v>
                </c:pt>
                <c:pt idx="15">
                  <c:v>974</c:v>
                </c:pt>
                <c:pt idx="16">
                  <c:v>977</c:v>
                </c:pt>
                <c:pt idx="17">
                  <c:v>978</c:v>
                </c:pt>
                <c:pt idx="18">
                  <c:v>981</c:v>
                </c:pt>
                <c:pt idx="19">
                  <c:v>982</c:v>
                </c:pt>
                <c:pt idx="20">
                  <c:v>984</c:v>
                </c:pt>
                <c:pt idx="21">
                  <c:v>985</c:v>
                </c:pt>
                <c:pt idx="22">
                  <c:v>986</c:v>
                </c:pt>
                <c:pt idx="23">
                  <c:v>989</c:v>
                </c:pt>
                <c:pt idx="24">
                  <c:v>990</c:v>
                </c:pt>
                <c:pt idx="25">
                  <c:v>994</c:v>
                </c:pt>
                <c:pt idx="26">
                  <c:v>996</c:v>
                </c:pt>
                <c:pt idx="27">
                  <c:v>998</c:v>
                </c:pt>
                <c:pt idx="28">
                  <c:v>1012</c:v>
                </c:pt>
                <c:pt idx="29">
                  <c:v>1018</c:v>
                </c:pt>
                <c:pt idx="30">
                  <c:v>1024</c:v>
                </c:pt>
                <c:pt idx="31">
                  <c:v>1029</c:v>
                </c:pt>
                <c:pt idx="32">
                  <c:v>1038</c:v>
                </c:pt>
                <c:pt idx="33">
                  <c:v>1045</c:v>
                </c:pt>
                <c:pt idx="34">
                  <c:v>1049</c:v>
                </c:pt>
                <c:pt idx="35">
                  <c:v>1071</c:v>
                </c:pt>
                <c:pt idx="36">
                  <c:v>Grand Total</c:v>
                </c:pt>
              </c:strCache>
            </c:strRef>
          </c:cat>
          <c:val>
            <c:numRef>
              <c:f>1</c:f>
              <c:numCache>
                <c:formatCode>General</c:formatCode>
                <c:ptCount val="37"/>
                <c:pt idx="0">
                  <c:v>0</c:v>
                </c:pt>
                <c:pt idx="1">
                  <c:v>1</c:v>
                </c:pt>
                <c:pt idx="2">
                  <c:v>0</c:v>
                </c:pt>
                <c:pt idx="3">
                  <c:v>0</c:v>
                </c:pt>
                <c:pt idx="4">
                  <c:v>0</c:v>
                </c:pt>
                <c:pt idx="5">
                  <c:v>0</c:v>
                </c:pt>
                <c:pt idx="6">
                  <c:v>0</c:v>
                </c:pt>
                <c:pt idx="7">
                  <c:v>0</c:v>
                </c:pt>
                <c:pt idx="8">
                  <c:v>0</c:v>
                </c:pt>
                <c:pt idx="9">
                  <c:v>1</c:v>
                </c:pt>
                <c:pt idx="10">
                  <c:v>0</c:v>
                </c:pt>
                <c:pt idx="11">
                  <c:v>1</c:v>
                </c:pt>
                <c:pt idx="12">
                  <c:v>0</c:v>
                </c:pt>
                <c:pt idx="13">
                  <c:v>2</c:v>
                </c:pt>
                <c:pt idx="14">
                  <c:v>1</c:v>
                </c:pt>
                <c:pt idx="15">
                  <c:v>0</c:v>
                </c:pt>
                <c:pt idx="16">
                  <c:v>1</c:v>
                </c:pt>
                <c:pt idx="17">
                  <c:v>0</c:v>
                </c:pt>
                <c:pt idx="18">
                  <c:v>1</c:v>
                </c:pt>
                <c:pt idx="19">
                  <c:v>0</c:v>
                </c:pt>
                <c:pt idx="20">
                  <c:v>2</c:v>
                </c:pt>
                <c:pt idx="21">
                  <c:v>1</c:v>
                </c:pt>
                <c:pt idx="22">
                  <c:v>0</c:v>
                </c:pt>
                <c:pt idx="23">
                  <c:v>1</c:v>
                </c:pt>
                <c:pt idx="24">
                  <c:v>1</c:v>
                </c:pt>
                <c:pt idx="25">
                  <c:v>0</c:v>
                </c:pt>
                <c:pt idx="26">
                  <c:v>0</c:v>
                </c:pt>
                <c:pt idx="27">
                  <c:v>0</c:v>
                </c:pt>
                <c:pt idx="28">
                  <c:v>1</c:v>
                </c:pt>
                <c:pt idx="29">
                  <c:v>1</c:v>
                </c:pt>
                <c:pt idx="30">
                  <c:v>1</c:v>
                </c:pt>
                <c:pt idx="31">
                  <c:v>1</c:v>
                </c:pt>
                <c:pt idx="32">
                  <c:v>1</c:v>
                </c:pt>
                <c:pt idx="33">
                  <c:v>1</c:v>
                </c:pt>
                <c:pt idx="34">
                  <c:v>0</c:v>
                </c:pt>
                <c:pt idx="35">
                  <c:v>0</c:v>
                </c:pt>
                <c:pt idx="36">
                  <c:v>19</c:v>
                </c:pt>
              </c:numCache>
            </c:numRef>
          </c:val>
          <c:smooth val="0"/>
        </c:ser>
        <c:ser>
          <c:idx val="2"/>
          <c:order val="2"/>
          <c:tx>
            <c:strRef>
              <c:f>label 2</c:f>
              <c:strCache>
                <c:ptCount val="1"/>
                <c:pt idx="0">
                  <c:v>Sum of Wage10</c:v>
                </c:pt>
              </c:strCache>
            </c:strRef>
          </c:tx>
          <c:spPr>
            <a:solidFill>
              <a:srgbClr val="9bbb59"/>
            </a:solidFill>
            <a:ln cap="rnd" w="28440">
              <a:solidFill>
                <a:srgbClr val="9bbb59"/>
              </a:solidFill>
              <a:round/>
            </a:ln>
          </c:spPr>
          <c:marker>
            <c:symbol val="none"/>
          </c:marker>
          <c:dLbls>
            <c:txPr>
              <a:bodyPr wrap="square"/>
              <a:lstStyle/>
              <a:p>
                <a:pPr>
                  <a:defRPr b="0" sz="1000" spc="-1" strike="noStrike">
                    <a:solidFill>
                      <a:srgbClr val="000000"/>
                    </a:solidFill>
                    <a:latin typeface="Cambria"/>
                  </a:defRPr>
                </a:pPr>
              </a:p>
            </c:txPr>
            <c:dLblPos val="r"/>
            <c:showLegendKey val="0"/>
            <c:showVal val="0"/>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37"/>
                <c:pt idx="0">
                  <c:v>934</c:v>
                </c:pt>
                <c:pt idx="1">
                  <c:v>938</c:v>
                </c:pt>
                <c:pt idx="2">
                  <c:v>948</c:v>
                </c:pt>
                <c:pt idx="3">
                  <c:v>950</c:v>
                </c:pt>
                <c:pt idx="4">
                  <c:v>953</c:v>
                </c:pt>
                <c:pt idx="5">
                  <c:v>955</c:v>
                </c:pt>
                <c:pt idx="6">
                  <c:v>956</c:v>
                </c:pt>
                <c:pt idx="7">
                  <c:v>962</c:v>
                </c:pt>
                <c:pt idx="8">
                  <c:v>964</c:v>
                </c:pt>
                <c:pt idx="9">
                  <c:v>965</c:v>
                </c:pt>
                <c:pt idx="10">
                  <c:v>966</c:v>
                </c:pt>
                <c:pt idx="11">
                  <c:v>968</c:v>
                </c:pt>
                <c:pt idx="12">
                  <c:v>969</c:v>
                </c:pt>
                <c:pt idx="13">
                  <c:v>972</c:v>
                </c:pt>
                <c:pt idx="14">
                  <c:v>973</c:v>
                </c:pt>
                <c:pt idx="15">
                  <c:v>974</c:v>
                </c:pt>
                <c:pt idx="16">
                  <c:v>977</c:v>
                </c:pt>
                <c:pt idx="17">
                  <c:v>978</c:v>
                </c:pt>
                <c:pt idx="18">
                  <c:v>981</c:v>
                </c:pt>
                <c:pt idx="19">
                  <c:v>982</c:v>
                </c:pt>
                <c:pt idx="20">
                  <c:v>984</c:v>
                </c:pt>
                <c:pt idx="21">
                  <c:v>985</c:v>
                </c:pt>
                <c:pt idx="22">
                  <c:v>986</c:v>
                </c:pt>
                <c:pt idx="23">
                  <c:v>989</c:v>
                </c:pt>
                <c:pt idx="24">
                  <c:v>990</c:v>
                </c:pt>
                <c:pt idx="25">
                  <c:v>994</c:v>
                </c:pt>
                <c:pt idx="26">
                  <c:v>996</c:v>
                </c:pt>
                <c:pt idx="27">
                  <c:v>998</c:v>
                </c:pt>
                <c:pt idx="28">
                  <c:v>1012</c:v>
                </c:pt>
                <c:pt idx="29">
                  <c:v>1018</c:v>
                </c:pt>
                <c:pt idx="30">
                  <c:v>1024</c:v>
                </c:pt>
                <c:pt idx="31">
                  <c:v>1029</c:v>
                </c:pt>
                <c:pt idx="32">
                  <c:v>1038</c:v>
                </c:pt>
                <c:pt idx="33">
                  <c:v>1045</c:v>
                </c:pt>
                <c:pt idx="34">
                  <c:v>1049</c:v>
                </c:pt>
                <c:pt idx="35">
                  <c:v>1071</c:v>
                </c:pt>
                <c:pt idx="36">
                  <c:v>Grand Total</c:v>
                </c:pt>
              </c:strCache>
            </c:strRef>
          </c:cat>
          <c:val>
            <c:numRef>
              <c:f>2</c:f>
              <c:numCache>
                <c:formatCode>General</c:formatCode>
                <c:ptCount val="37"/>
                <c:pt idx="0">
                  <c:v>692</c:v>
                </c:pt>
                <c:pt idx="1">
                  <c:v>698</c:v>
                </c:pt>
                <c:pt idx="2">
                  <c:v>639</c:v>
                </c:pt>
                <c:pt idx="3">
                  <c:v>465</c:v>
                </c:pt>
                <c:pt idx="4">
                  <c:v>1065</c:v>
                </c:pt>
                <c:pt idx="5">
                  <c:v>499</c:v>
                </c:pt>
                <c:pt idx="6">
                  <c:v>500</c:v>
                </c:pt>
                <c:pt idx="7">
                  <c:v>359</c:v>
                </c:pt>
                <c:pt idx="8">
                  <c:v>2056</c:v>
                </c:pt>
                <c:pt idx="9">
                  <c:v>632</c:v>
                </c:pt>
                <c:pt idx="10">
                  <c:v>719</c:v>
                </c:pt>
                <c:pt idx="11">
                  <c:v>1060</c:v>
                </c:pt>
                <c:pt idx="12">
                  <c:v>917</c:v>
                </c:pt>
                <c:pt idx="13">
                  <c:v>1731</c:v>
                </c:pt>
                <c:pt idx="14">
                  <c:v>568</c:v>
                </c:pt>
                <c:pt idx="15">
                  <c:v>456</c:v>
                </c:pt>
                <c:pt idx="16">
                  <c:v>561</c:v>
                </c:pt>
                <c:pt idx="17">
                  <c:v>703</c:v>
                </c:pt>
                <c:pt idx="18">
                  <c:v>550</c:v>
                </c:pt>
                <c:pt idx="19">
                  <c:v>696</c:v>
                </c:pt>
                <c:pt idx="20">
                  <c:v>1177</c:v>
                </c:pt>
                <c:pt idx="21">
                  <c:v>1333</c:v>
                </c:pt>
                <c:pt idx="22">
                  <c:v>1061</c:v>
                </c:pt>
                <c:pt idx="23">
                  <c:v>660</c:v>
                </c:pt>
                <c:pt idx="24">
                  <c:v>659</c:v>
                </c:pt>
                <c:pt idx="25">
                  <c:v>739</c:v>
                </c:pt>
                <c:pt idx="26">
                  <c:v>562</c:v>
                </c:pt>
                <c:pt idx="27">
                  <c:v>656</c:v>
                </c:pt>
                <c:pt idx="28">
                  <c:v>1316</c:v>
                </c:pt>
                <c:pt idx="29">
                  <c:v>617</c:v>
                </c:pt>
                <c:pt idx="30">
                  <c:v>499</c:v>
                </c:pt>
                <c:pt idx="31">
                  <c:v>570</c:v>
                </c:pt>
                <c:pt idx="32">
                  <c:v>615</c:v>
                </c:pt>
                <c:pt idx="33">
                  <c:v>521</c:v>
                </c:pt>
                <c:pt idx="34">
                  <c:v>649</c:v>
                </c:pt>
                <c:pt idx="35">
                  <c:v>748</c:v>
                </c:pt>
                <c:pt idx="36">
                  <c:v>27948</c:v>
                </c:pt>
              </c:numCache>
            </c:numRef>
          </c:val>
          <c:smooth val="0"/>
        </c:ser>
        <c:hiLowLines>
          <c:spPr>
            <a:ln w="0">
              <a:noFill/>
            </a:ln>
          </c:spPr>
        </c:hiLowLines>
        <c:marker val="0"/>
        <c:axId val="3659376"/>
        <c:axId val="78638145"/>
      </c:lineChart>
      <c:catAx>
        <c:axId val="3659376"/>
        <c:scaling>
          <c:orientation val="minMax"/>
        </c:scaling>
        <c:delete val="0"/>
        <c:axPos val="b"/>
        <c:numFmt formatCode="General" sourceLinked="0"/>
        <c:majorTickMark val="none"/>
        <c:minorTickMark val="none"/>
        <c:tickLblPos val="nextTo"/>
        <c:spPr>
          <a:ln w="9360">
            <a:solidFill>
              <a:srgbClr val="d9d9d9"/>
            </a:solidFill>
            <a:round/>
          </a:ln>
        </c:spPr>
        <c:txPr>
          <a:bodyPr/>
          <a:lstStyle/>
          <a:p>
            <a:pPr>
              <a:defRPr b="0" sz="900" spc="-1" strike="noStrike">
                <a:solidFill>
                  <a:srgbClr val="595959"/>
                </a:solidFill>
                <a:latin typeface="Cambria"/>
              </a:defRPr>
            </a:pPr>
          </a:p>
        </c:txPr>
        <c:crossAx val="78638145"/>
        <c:crosses val="autoZero"/>
        <c:auto val="1"/>
        <c:lblAlgn val="ctr"/>
        <c:lblOffset val="100"/>
        <c:noMultiLvlLbl val="0"/>
      </c:catAx>
      <c:valAx>
        <c:axId val="78638145"/>
        <c:scaling>
          <c:orientation val="minMax"/>
        </c:scaling>
        <c:delete val="0"/>
        <c:axPos val="l"/>
        <c:majorGridlines>
          <c:spPr>
            <a:ln w="9360">
              <a:solidFill>
                <a:srgbClr val="d9d9d9"/>
              </a:solidFill>
              <a:round/>
            </a:ln>
          </c:spPr>
        </c:majorGridlines>
        <c:numFmt formatCode="General" sourceLinked="0"/>
        <c:majorTickMark val="none"/>
        <c:minorTickMark val="none"/>
        <c:tickLblPos val="nextTo"/>
        <c:spPr>
          <a:ln w="9360">
            <a:noFill/>
          </a:ln>
        </c:spPr>
        <c:txPr>
          <a:bodyPr/>
          <a:lstStyle/>
          <a:p>
            <a:pPr>
              <a:defRPr b="0" sz="900" spc="-1" strike="noStrike">
                <a:solidFill>
                  <a:srgbClr val="595959"/>
                </a:solidFill>
                <a:latin typeface="Cambria"/>
              </a:defRPr>
            </a:pPr>
          </a:p>
        </c:txPr>
        <c:crossAx val="3659376"/>
        <c:crosses val="autoZero"/>
        <c:crossBetween val="between"/>
      </c:valAx>
      <c:spPr>
        <a:noFill/>
        <a:ln w="0">
          <a:noFill/>
        </a:ln>
      </c:spPr>
    </c:plotArea>
    <c:legend>
      <c:legendPos val="b"/>
      <c:overlay val="0"/>
      <c:spPr>
        <a:noFill/>
        <a:ln w="0">
          <a:noFill/>
        </a:ln>
      </c:spPr>
      <c:txPr>
        <a:bodyPr/>
        <a:lstStyle/>
        <a:p>
          <a:pPr>
            <a:defRPr b="0" sz="900" spc="-1" strike="noStrike">
              <a:solidFill>
                <a:srgbClr val="595959"/>
              </a:solidFill>
              <a:latin typeface="Cambria"/>
            </a:defRPr>
          </a:pPr>
        </a:p>
      </c:txPr>
    </c:legend>
    <c:plotVisOnly val="1"/>
    <c:dispBlanksAs val="gap"/>
  </c:chart>
  <c:spPr>
    <a:solidFill>
      <a:srgbClr val="ffffff"/>
    </a:solidFill>
    <a:ln w="9360">
      <a:solidFill>
        <a:srgbClr val="d9d9d9"/>
      </a:solidFill>
      <a:round/>
    </a:ln>
  </c:spPr>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6</TotalTime>
  <Application>LibreOffice/7.1.2.2$Windows_X86_64 LibreOffice_project/8a45595d069ef5570103caea1b71cc9d82b2aae4</Application>
  <AppVersion>15.0000</AppVersion>
  <Pages>21</Pages>
  <Words>3734</Words>
  <Characters>18196</Characters>
  <CharactersWithSpaces>21008</CharactersWithSpaces>
  <Paragraphs>1111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en-US</dc:language>
  <cp:lastModifiedBy/>
  <dcterms:modified xsi:type="dcterms:W3CDTF">2022-05-10T12:07:08Z</dcterms:modified>
  <cp:revision>1</cp:revision>
  <dc:subject/>
  <dc:title/>
</cp:coreProperties>
</file>