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213C7" w14:textId="7C3CFF9B" w:rsidR="00A37B2A" w:rsidRPr="00D4517B" w:rsidRDefault="002721B9" w:rsidP="002721B9">
      <w:pPr>
        <w:jc w:val="center"/>
        <w:rPr>
          <w:rFonts w:ascii="Times New Roman" w:hAnsi="Times New Roman" w:cs="Times New Roman"/>
          <w:b/>
          <w:bCs/>
          <w:sz w:val="23"/>
          <w:szCs w:val="23"/>
          <w:u w:val="single"/>
        </w:rPr>
      </w:pPr>
      <w:bookmarkStart w:id="0" w:name="_GoBack"/>
      <w:bookmarkEnd w:id="0"/>
      <w:r w:rsidRPr="00D4517B">
        <w:rPr>
          <w:rFonts w:ascii="Times New Roman" w:hAnsi="Times New Roman" w:cs="Times New Roman"/>
          <w:b/>
          <w:bCs/>
          <w:sz w:val="23"/>
          <w:szCs w:val="23"/>
          <w:u w:val="single"/>
        </w:rPr>
        <w:t>On the Fortifications of the Roman Fortress at Caerleon, Wales</w:t>
      </w:r>
      <w:r w:rsidR="0012777A" w:rsidRPr="00D4517B">
        <w:rPr>
          <w:rFonts w:ascii="Times New Roman" w:hAnsi="Times New Roman" w:cs="Times New Roman"/>
          <w:b/>
          <w:bCs/>
          <w:noProof/>
          <w:sz w:val="23"/>
          <w:szCs w:val="23"/>
          <w:u w:val="single"/>
        </w:rPr>
        <w:drawing>
          <wp:inline distT="0" distB="0" distL="0" distR="0" wp14:anchorId="71F97802" wp14:editId="2D6FE78E">
            <wp:extent cx="4524375" cy="2867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t="-608" r="20965" b="9119"/>
                    <a:stretch/>
                  </pic:blipFill>
                  <pic:spPr bwMode="auto">
                    <a:xfrm>
                      <a:off x="0" y="0"/>
                      <a:ext cx="4524375" cy="2867025"/>
                    </a:xfrm>
                    <a:prstGeom prst="rect">
                      <a:avLst/>
                    </a:prstGeom>
                    <a:noFill/>
                    <a:ln>
                      <a:noFill/>
                    </a:ln>
                    <a:extLst>
                      <a:ext uri="{53640926-AAD7-44D8-BBD7-CCE9431645EC}">
                        <a14:shadowObscured xmlns:a14="http://schemas.microsoft.com/office/drawing/2010/main"/>
                      </a:ext>
                    </a:extLst>
                  </pic:spPr>
                </pic:pic>
              </a:graphicData>
            </a:graphic>
          </wp:inline>
        </w:drawing>
      </w:r>
    </w:p>
    <w:p w14:paraId="158AC9A5" w14:textId="64B38812" w:rsidR="002721B9" w:rsidRPr="00D4517B" w:rsidRDefault="002721B9" w:rsidP="00523918">
      <w:pPr>
        <w:jc w:val="both"/>
        <w:rPr>
          <w:rFonts w:ascii="Times New Roman" w:hAnsi="Times New Roman" w:cs="Times New Roman"/>
          <w:sz w:val="23"/>
          <w:szCs w:val="23"/>
        </w:rPr>
      </w:pPr>
      <w:r w:rsidRPr="00D4517B">
        <w:rPr>
          <w:rFonts w:ascii="Times New Roman" w:hAnsi="Times New Roman" w:cs="Times New Roman"/>
          <w:b/>
          <w:bCs/>
          <w:sz w:val="23"/>
          <w:szCs w:val="23"/>
        </w:rPr>
        <w:tab/>
      </w:r>
      <w:r w:rsidR="00523918" w:rsidRPr="00D4517B">
        <w:rPr>
          <w:rFonts w:ascii="Times New Roman" w:hAnsi="Times New Roman" w:cs="Times New Roman"/>
          <w:sz w:val="23"/>
          <w:szCs w:val="23"/>
        </w:rPr>
        <w:t xml:space="preserve">As is typical of Roman fortresses, or Castrum, Caerleon was roughly rectangular in shape, with the edge of the land within the walls dedicated to the barracks of, assuming the accuracy of </w:t>
      </w:r>
      <w:r w:rsidR="00523918" w:rsidRPr="00D4517B">
        <w:rPr>
          <w:rFonts w:ascii="Times New Roman" w:hAnsi="Times New Roman" w:cs="Times New Roman"/>
          <w:i/>
          <w:iCs/>
          <w:sz w:val="23"/>
          <w:szCs w:val="23"/>
        </w:rPr>
        <w:t>The</w:t>
      </w:r>
      <w:r w:rsidR="00523918" w:rsidRPr="00D4517B">
        <w:rPr>
          <w:rFonts w:ascii="Times New Roman" w:hAnsi="Times New Roman" w:cs="Times New Roman"/>
          <w:i/>
          <w:iCs/>
          <w:sz w:val="23"/>
          <w:szCs w:val="23"/>
        </w:rPr>
        <w:t xml:space="preserve"> Liber </w:t>
      </w:r>
      <w:r w:rsidR="00523918" w:rsidRPr="00D4517B">
        <w:rPr>
          <w:rFonts w:ascii="Times New Roman" w:hAnsi="Times New Roman" w:cs="Times New Roman"/>
          <w:i/>
          <w:iCs/>
          <w:sz w:val="23"/>
          <w:szCs w:val="23"/>
        </w:rPr>
        <w:t>D</w:t>
      </w:r>
      <w:r w:rsidR="00523918" w:rsidRPr="00D4517B">
        <w:rPr>
          <w:rFonts w:ascii="Times New Roman" w:hAnsi="Times New Roman" w:cs="Times New Roman"/>
          <w:i/>
          <w:iCs/>
          <w:sz w:val="23"/>
          <w:szCs w:val="23"/>
        </w:rPr>
        <w:t xml:space="preserve">e </w:t>
      </w:r>
      <w:r w:rsidR="00523918" w:rsidRPr="00D4517B">
        <w:rPr>
          <w:rFonts w:ascii="Times New Roman" w:hAnsi="Times New Roman" w:cs="Times New Roman"/>
          <w:i/>
          <w:iCs/>
          <w:sz w:val="23"/>
          <w:szCs w:val="23"/>
        </w:rPr>
        <w:t>M</w:t>
      </w:r>
      <w:r w:rsidR="00523918" w:rsidRPr="00D4517B">
        <w:rPr>
          <w:rFonts w:ascii="Times New Roman" w:hAnsi="Times New Roman" w:cs="Times New Roman"/>
          <w:i/>
          <w:iCs/>
          <w:sz w:val="23"/>
          <w:szCs w:val="23"/>
        </w:rPr>
        <w:t>unitionibus</w:t>
      </w:r>
      <w:r w:rsidR="00523918" w:rsidRPr="00D4517B">
        <w:rPr>
          <w:rFonts w:ascii="Times New Roman" w:hAnsi="Times New Roman" w:cs="Times New Roman"/>
          <w:i/>
          <w:iCs/>
          <w:sz w:val="23"/>
          <w:szCs w:val="23"/>
        </w:rPr>
        <w:t xml:space="preserve"> C</w:t>
      </w:r>
      <w:r w:rsidR="00523918" w:rsidRPr="00D4517B">
        <w:rPr>
          <w:rFonts w:ascii="Times New Roman" w:hAnsi="Times New Roman" w:cs="Times New Roman"/>
          <w:i/>
          <w:iCs/>
          <w:sz w:val="23"/>
          <w:szCs w:val="23"/>
        </w:rPr>
        <w:t>astrorum</w:t>
      </w:r>
      <w:r w:rsidR="00523918" w:rsidRPr="00D4517B">
        <w:rPr>
          <w:rFonts w:ascii="Times New Roman" w:hAnsi="Times New Roman" w:cs="Times New Roman"/>
          <w:sz w:val="23"/>
          <w:szCs w:val="23"/>
        </w:rPr>
        <w:t>, Legionary forces</w:t>
      </w:r>
      <w:r w:rsidR="00523918" w:rsidRPr="00D4517B">
        <w:rPr>
          <w:rStyle w:val="FootnoteReference"/>
          <w:rFonts w:ascii="Times New Roman" w:hAnsi="Times New Roman" w:cs="Times New Roman"/>
          <w:sz w:val="23"/>
          <w:szCs w:val="23"/>
        </w:rPr>
        <w:footnoteReference w:id="1"/>
      </w:r>
      <w:r w:rsidR="008A2E75" w:rsidRPr="00D4517B">
        <w:rPr>
          <w:rFonts w:ascii="Times New Roman" w:hAnsi="Times New Roman" w:cs="Times New Roman"/>
          <w:sz w:val="23"/>
          <w:szCs w:val="23"/>
        </w:rPr>
        <w:t>. The walls, initially constructed from earth banks, and topped with wooden ramparts, but later replaced with stone, are estimated to have been up to three metres in height, and – certainly by the time they were replaced with stone – were intervaled with towers</w:t>
      </w:r>
      <w:r w:rsidR="00215C7F" w:rsidRPr="00D4517B">
        <w:rPr>
          <w:rFonts w:ascii="Times New Roman" w:hAnsi="Times New Roman" w:cs="Times New Roman"/>
          <w:sz w:val="23"/>
          <w:szCs w:val="23"/>
        </w:rPr>
        <w:t>, providing a vantage point from which bows could be fired, in the event of an assault</w:t>
      </w:r>
      <w:r w:rsidR="00215C7F" w:rsidRPr="00D4517B">
        <w:rPr>
          <w:rStyle w:val="FootnoteReference"/>
          <w:rFonts w:ascii="Times New Roman" w:hAnsi="Times New Roman" w:cs="Times New Roman"/>
          <w:sz w:val="23"/>
          <w:szCs w:val="23"/>
        </w:rPr>
        <w:footnoteReference w:id="2"/>
      </w:r>
      <w:r w:rsidR="00215C7F" w:rsidRPr="00D4517B">
        <w:rPr>
          <w:rFonts w:ascii="Times New Roman" w:hAnsi="Times New Roman" w:cs="Times New Roman"/>
          <w:sz w:val="23"/>
          <w:szCs w:val="23"/>
        </w:rPr>
        <w:t>. These walls, and the ditches which fronted them, separated the Castrum from the larger civilian settlement which surrounded it, although archaeology upon the site has shown that these did not prevent interaction between the soldiers, and the local population</w:t>
      </w:r>
      <w:r w:rsidR="00215C7F" w:rsidRPr="00D4517B">
        <w:rPr>
          <w:rStyle w:val="FootnoteReference"/>
          <w:rFonts w:ascii="Times New Roman" w:hAnsi="Times New Roman" w:cs="Times New Roman"/>
          <w:sz w:val="23"/>
          <w:szCs w:val="23"/>
        </w:rPr>
        <w:footnoteReference w:id="3"/>
      </w:r>
      <w:r w:rsidR="007A68BA" w:rsidRPr="00D4517B">
        <w:rPr>
          <w:rFonts w:ascii="Times New Roman" w:hAnsi="Times New Roman" w:cs="Times New Roman"/>
          <w:sz w:val="23"/>
          <w:szCs w:val="23"/>
        </w:rPr>
        <w:t xml:space="preserve">. </w:t>
      </w:r>
    </w:p>
    <w:p w14:paraId="1445E114" w14:textId="77777777" w:rsidR="00F23D0D" w:rsidRPr="00D4517B" w:rsidRDefault="007A68BA" w:rsidP="00523918">
      <w:pPr>
        <w:jc w:val="both"/>
        <w:rPr>
          <w:rFonts w:ascii="Times New Roman" w:hAnsi="Times New Roman" w:cs="Times New Roman"/>
          <w:sz w:val="23"/>
          <w:szCs w:val="23"/>
        </w:rPr>
      </w:pPr>
      <w:r w:rsidRPr="00D4517B">
        <w:rPr>
          <w:rFonts w:ascii="Times New Roman" w:hAnsi="Times New Roman" w:cs="Times New Roman"/>
          <w:sz w:val="23"/>
          <w:szCs w:val="23"/>
        </w:rPr>
        <w:tab/>
        <w:t xml:space="preserve">Though crude, relative to defensive structures seen in later periods, these defences were certainly adequate for the site. The earthen wall, </w:t>
      </w:r>
      <w:r w:rsidR="00074817" w:rsidRPr="00D4517B">
        <w:rPr>
          <w:rFonts w:ascii="Times New Roman" w:hAnsi="Times New Roman" w:cs="Times New Roman"/>
          <w:sz w:val="23"/>
          <w:szCs w:val="23"/>
        </w:rPr>
        <w:t xml:space="preserve">and wooden rampart, of the earlier period of the Castrum’s existence, is essentially the same type defence seen in many pre-Roman, Brittonic contour </w:t>
      </w:r>
      <w:r w:rsidR="00F23D0D" w:rsidRPr="00D4517B">
        <w:rPr>
          <w:rFonts w:ascii="Times New Roman" w:hAnsi="Times New Roman" w:cs="Times New Roman"/>
          <w:sz w:val="23"/>
          <w:szCs w:val="23"/>
        </w:rPr>
        <w:t>hillforts, but none the less seems to have been effective; the fortress was occupied by the Romans from 74AD, until around 300AD, and was abandoned due to the politics of the Roman Empire of that time, rather than any sort of counter-conquest</w:t>
      </w:r>
      <w:r w:rsidR="00074817" w:rsidRPr="00D4517B">
        <w:rPr>
          <w:rStyle w:val="FootnoteReference"/>
          <w:rFonts w:ascii="Times New Roman" w:hAnsi="Times New Roman" w:cs="Times New Roman"/>
          <w:sz w:val="23"/>
          <w:szCs w:val="23"/>
        </w:rPr>
        <w:footnoteReference w:id="4"/>
      </w:r>
      <w:r w:rsidR="00F23D0D" w:rsidRPr="00D4517B">
        <w:rPr>
          <w:rFonts w:ascii="Times New Roman" w:hAnsi="Times New Roman" w:cs="Times New Roman"/>
          <w:sz w:val="23"/>
          <w:szCs w:val="23"/>
        </w:rPr>
        <w:t xml:space="preserve">. </w:t>
      </w:r>
    </w:p>
    <w:p w14:paraId="567809BB" w14:textId="4244941E" w:rsidR="007A68BA" w:rsidRPr="00D4517B" w:rsidRDefault="00F23D0D" w:rsidP="00F23D0D">
      <w:pPr>
        <w:ind w:firstLine="720"/>
        <w:jc w:val="both"/>
        <w:rPr>
          <w:rFonts w:ascii="Times New Roman" w:hAnsi="Times New Roman" w:cs="Times New Roman"/>
          <w:sz w:val="23"/>
          <w:szCs w:val="23"/>
        </w:rPr>
      </w:pPr>
      <w:r w:rsidRPr="00D4517B">
        <w:rPr>
          <w:rFonts w:ascii="Times New Roman" w:hAnsi="Times New Roman" w:cs="Times New Roman"/>
          <w:sz w:val="23"/>
          <w:szCs w:val="23"/>
        </w:rPr>
        <w:t>Despite the crudeness of the defences, the design of the Castrum shows great tactical consideration</w:t>
      </w:r>
      <w:r w:rsidR="008E3EA2" w:rsidRPr="00D4517B">
        <w:rPr>
          <w:rFonts w:ascii="Times New Roman" w:hAnsi="Times New Roman" w:cs="Times New Roman"/>
          <w:sz w:val="23"/>
          <w:szCs w:val="23"/>
        </w:rPr>
        <w:t xml:space="preserve">. For example, it is built in such a way as to have the corners facing the cardinal points </w:t>
      </w:r>
      <w:r w:rsidR="008E3EA2" w:rsidRPr="00D4517B">
        <w:rPr>
          <w:rFonts w:ascii="Times New Roman" w:hAnsi="Times New Roman" w:cs="Times New Roman"/>
          <w:sz w:val="23"/>
          <w:szCs w:val="23"/>
        </w:rPr>
        <w:lastRenderedPageBreak/>
        <w:t>of a compass, meaning – in turn – that much of the walls face according to</w:t>
      </w:r>
      <w:r w:rsidR="00292C8C" w:rsidRPr="00D4517B">
        <w:rPr>
          <w:rFonts w:ascii="Times New Roman" w:hAnsi="Times New Roman" w:cs="Times New Roman"/>
          <w:sz w:val="23"/>
          <w:szCs w:val="23"/>
        </w:rPr>
        <w:t xml:space="preserve"> ordinal points </w:t>
      </w:r>
      <w:r w:rsidR="00F0789B" w:rsidRPr="00D4517B">
        <w:rPr>
          <w:noProof/>
          <w:sz w:val="23"/>
          <w:szCs w:val="23"/>
        </w:rPr>
        <w:drawing>
          <wp:anchor distT="0" distB="0" distL="114300" distR="114300" simplePos="0" relativeHeight="251658240" behindDoc="1" locked="0" layoutInCell="1" allowOverlap="1" wp14:anchorId="0FA12EF9" wp14:editId="49AFAE1C">
            <wp:simplePos x="0" y="0"/>
            <wp:positionH relativeFrom="margin">
              <wp:align>left</wp:align>
            </wp:positionH>
            <wp:positionV relativeFrom="paragraph">
              <wp:posOffset>0</wp:posOffset>
            </wp:positionV>
            <wp:extent cx="3334385" cy="3933825"/>
            <wp:effectExtent l="0" t="0" r="0" b="0"/>
            <wp:wrapTight wrapText="bothSides">
              <wp:wrapPolygon edited="0">
                <wp:start x="0" y="0"/>
                <wp:lineTo x="0" y="21443"/>
                <wp:lineTo x="21472" y="21443"/>
                <wp:lineTo x="2147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2775" cy="394361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92C8C" w:rsidRPr="00D4517B">
        <w:rPr>
          <w:rFonts w:ascii="Times New Roman" w:hAnsi="Times New Roman" w:cs="Times New Roman"/>
          <w:sz w:val="23"/>
          <w:szCs w:val="23"/>
        </w:rPr>
        <w:t>of a compass</w:t>
      </w:r>
      <w:r w:rsidR="00F0789B" w:rsidRPr="00D4517B">
        <w:rPr>
          <w:rStyle w:val="FootnoteReference"/>
          <w:rFonts w:ascii="Times New Roman" w:hAnsi="Times New Roman" w:cs="Times New Roman"/>
          <w:sz w:val="23"/>
          <w:szCs w:val="23"/>
        </w:rPr>
        <w:footnoteReference w:id="5"/>
      </w:r>
      <w:r w:rsidR="00292C8C" w:rsidRPr="00D4517B">
        <w:rPr>
          <w:rFonts w:ascii="Times New Roman" w:hAnsi="Times New Roman" w:cs="Times New Roman"/>
          <w:sz w:val="23"/>
          <w:szCs w:val="23"/>
        </w:rPr>
        <w:t>. This is significant as it means that, at no point in the day, could the glare of a setting, or rising, sun impede the lines of sight of the majority of the defending Romans. This leaves the eastern, and western, corners of the fortress the most vulnerable, far smaller areas than would have been vulnerable, had the walls faced the cardinal points of a compass, and therefore easier to compensate for</w:t>
      </w:r>
      <w:r w:rsidR="00397261" w:rsidRPr="00D4517B">
        <w:rPr>
          <w:rFonts w:ascii="Times New Roman" w:hAnsi="Times New Roman" w:cs="Times New Roman"/>
          <w:sz w:val="23"/>
          <w:szCs w:val="23"/>
        </w:rPr>
        <w:t>. Additionally, at least by the time of the fortresses use of stone walls, the walls sported towers at intervals of no more than fifty metres, meaning that soldiers on guard would be within sight of one another</w:t>
      </w:r>
      <w:r w:rsidR="00397261" w:rsidRPr="00D4517B">
        <w:rPr>
          <w:rStyle w:val="FootnoteReference"/>
          <w:rFonts w:ascii="Times New Roman" w:hAnsi="Times New Roman" w:cs="Times New Roman"/>
          <w:sz w:val="23"/>
          <w:szCs w:val="23"/>
        </w:rPr>
        <w:footnoteReference w:id="6"/>
      </w:r>
      <w:r w:rsidR="00397261" w:rsidRPr="00D4517B">
        <w:rPr>
          <w:rFonts w:ascii="Times New Roman" w:hAnsi="Times New Roman" w:cs="Times New Roman"/>
          <w:sz w:val="23"/>
          <w:szCs w:val="23"/>
        </w:rPr>
        <w:t>.</w:t>
      </w:r>
    </w:p>
    <w:p w14:paraId="47DD3DC3" w14:textId="19B20850" w:rsidR="00DE612B" w:rsidRPr="00D4517B" w:rsidRDefault="00F0789B" w:rsidP="00F23D0D">
      <w:pPr>
        <w:ind w:firstLine="720"/>
        <w:jc w:val="both"/>
        <w:rPr>
          <w:rFonts w:ascii="Times New Roman" w:hAnsi="Times New Roman" w:cs="Times New Roman"/>
          <w:sz w:val="23"/>
          <w:szCs w:val="23"/>
        </w:rPr>
      </w:pPr>
      <w:r w:rsidRPr="00D4517B">
        <w:rPr>
          <w:rFonts w:ascii="Times New Roman" w:hAnsi="Times New Roman" w:cs="Times New Roman"/>
          <w:sz w:val="23"/>
          <w:szCs w:val="23"/>
        </w:rPr>
        <w:t>Interestingly, the walls at Caerleon are outward facing only,</w:t>
      </w:r>
      <w:r w:rsidR="00DE612B" w:rsidRPr="00D4517B">
        <w:rPr>
          <w:rFonts w:ascii="Times New Roman" w:hAnsi="Times New Roman" w:cs="Times New Roman"/>
          <w:sz w:val="23"/>
          <w:szCs w:val="23"/>
        </w:rPr>
        <w:t xml:space="preserve"> with</w:t>
      </w:r>
      <w:r w:rsidRPr="00D4517B">
        <w:rPr>
          <w:rFonts w:ascii="Times New Roman" w:hAnsi="Times New Roman" w:cs="Times New Roman"/>
          <w:sz w:val="23"/>
          <w:szCs w:val="23"/>
        </w:rPr>
        <w:t xml:space="preserve"> </w:t>
      </w:r>
      <w:r w:rsidR="00AC2BAE" w:rsidRPr="00D4517B">
        <w:rPr>
          <w:rFonts w:ascii="Times New Roman" w:hAnsi="Times New Roman" w:cs="Times New Roman"/>
          <w:sz w:val="23"/>
          <w:szCs w:val="23"/>
        </w:rPr>
        <w:t>relatively easy access to the wall from the inside of the fortress</w:t>
      </w:r>
      <w:r w:rsidR="00AC2BAE" w:rsidRPr="00D4517B">
        <w:rPr>
          <w:rStyle w:val="FootnoteReference"/>
          <w:rFonts w:ascii="Times New Roman" w:hAnsi="Times New Roman" w:cs="Times New Roman"/>
          <w:sz w:val="23"/>
          <w:szCs w:val="23"/>
        </w:rPr>
        <w:footnoteReference w:id="7"/>
      </w:r>
      <w:r w:rsidR="00AC2BAE" w:rsidRPr="00D4517B">
        <w:rPr>
          <w:rFonts w:ascii="Times New Roman" w:hAnsi="Times New Roman" w:cs="Times New Roman"/>
          <w:sz w:val="23"/>
          <w:szCs w:val="23"/>
        </w:rPr>
        <w:t>. Tactically this is both an advantage and a disadvantage. It is an advantage in that it allows defenders easy access to the walls, and means that an invading enemy cannot take the walls, without taking the entire fortress at the same time, making the task of conquest far more difficult. However, it also leaves the fortress vulnerable to internal strife, with no internal face of the walls, and the premise of a central keep having yet to be invented, loyal soldiers would have no where to retreat to, in the event of a mutiny.</w:t>
      </w:r>
    </w:p>
    <w:p w14:paraId="36260C7B" w14:textId="48094679" w:rsidR="00DE612B" w:rsidRPr="00D4517B" w:rsidRDefault="00DE612B" w:rsidP="00F23D0D">
      <w:pPr>
        <w:ind w:firstLine="720"/>
        <w:jc w:val="both"/>
        <w:rPr>
          <w:rFonts w:ascii="Times New Roman" w:hAnsi="Times New Roman" w:cs="Times New Roman"/>
          <w:sz w:val="23"/>
          <w:szCs w:val="23"/>
        </w:rPr>
      </w:pPr>
      <w:r w:rsidRPr="00D4517B">
        <w:rPr>
          <w:noProof/>
          <w:sz w:val="23"/>
          <w:szCs w:val="23"/>
        </w:rPr>
        <w:drawing>
          <wp:anchor distT="0" distB="0" distL="114300" distR="114300" simplePos="0" relativeHeight="251659264" behindDoc="1" locked="0" layoutInCell="1" allowOverlap="1" wp14:anchorId="33B9105C" wp14:editId="3FE889B3">
            <wp:simplePos x="0" y="0"/>
            <wp:positionH relativeFrom="margin">
              <wp:align>left</wp:align>
            </wp:positionH>
            <wp:positionV relativeFrom="paragraph">
              <wp:posOffset>1270</wp:posOffset>
            </wp:positionV>
            <wp:extent cx="2171700" cy="1743075"/>
            <wp:effectExtent l="0" t="0" r="0" b="9525"/>
            <wp:wrapTight wrapText="bothSides">
              <wp:wrapPolygon edited="0">
                <wp:start x="0" y="0"/>
                <wp:lineTo x="0" y="21482"/>
                <wp:lineTo x="21411" y="21482"/>
                <wp:lineTo x="2141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71700" cy="1743075"/>
                    </a:xfrm>
                    <a:prstGeom prst="rect">
                      <a:avLst/>
                    </a:prstGeom>
                    <a:noFill/>
                    <a:ln>
                      <a:noFill/>
                    </a:ln>
                  </pic:spPr>
                </pic:pic>
              </a:graphicData>
            </a:graphic>
          </wp:anchor>
        </w:drawing>
      </w:r>
      <w:r w:rsidRPr="00D4517B">
        <w:rPr>
          <w:rFonts w:ascii="Times New Roman" w:hAnsi="Times New Roman" w:cs="Times New Roman"/>
          <w:sz w:val="23"/>
          <w:szCs w:val="23"/>
        </w:rPr>
        <w:t>Per the instructions of Hygenius, the Castrum featured barracks in strips, along its perimeter</w:t>
      </w:r>
      <w:r w:rsidRPr="00D4517B">
        <w:rPr>
          <w:rStyle w:val="FootnoteReference"/>
          <w:rFonts w:ascii="Times New Roman" w:hAnsi="Times New Roman" w:cs="Times New Roman"/>
          <w:sz w:val="23"/>
          <w:szCs w:val="23"/>
        </w:rPr>
        <w:footnoteReference w:id="8"/>
      </w:r>
      <w:r w:rsidR="00CB015F" w:rsidRPr="00D4517B">
        <w:rPr>
          <w:rFonts w:ascii="Times New Roman" w:hAnsi="Times New Roman" w:cs="Times New Roman"/>
          <w:sz w:val="23"/>
          <w:szCs w:val="23"/>
        </w:rPr>
        <w:t>. A tactically sound design, as it meant – in the event of an assault – that all the necessary troops could reach, and defend, the walls within a relatively short amount of time. Having the barracks along the perimeter also would mean that the more vulnerable, and the more vital, personnel would be safer, during any attack, towards the centre of the fort</w:t>
      </w:r>
      <w:r w:rsidR="00CB015F" w:rsidRPr="00D4517B">
        <w:rPr>
          <w:rStyle w:val="FootnoteReference"/>
          <w:rFonts w:ascii="Times New Roman" w:hAnsi="Times New Roman" w:cs="Times New Roman"/>
          <w:sz w:val="23"/>
          <w:szCs w:val="23"/>
        </w:rPr>
        <w:footnoteReference w:id="9"/>
      </w:r>
      <w:r w:rsidR="00CB015F" w:rsidRPr="00D4517B">
        <w:rPr>
          <w:rFonts w:ascii="Times New Roman" w:hAnsi="Times New Roman" w:cs="Times New Roman"/>
          <w:sz w:val="23"/>
          <w:szCs w:val="23"/>
        </w:rPr>
        <w:t>. Thus, the things vital to sustaining the troops; doctors, stores, and commanders; would be kept in relative safety.</w:t>
      </w:r>
    </w:p>
    <w:p w14:paraId="26E175C9" w14:textId="6EE8BDF7" w:rsidR="00CB015F" w:rsidRDefault="00CB015F" w:rsidP="00F23D0D">
      <w:pPr>
        <w:ind w:firstLine="720"/>
        <w:jc w:val="both"/>
        <w:rPr>
          <w:rFonts w:ascii="Times New Roman" w:hAnsi="Times New Roman" w:cs="Times New Roman"/>
          <w:sz w:val="23"/>
          <w:szCs w:val="23"/>
        </w:rPr>
      </w:pPr>
      <w:r w:rsidRPr="00D4517B">
        <w:rPr>
          <w:rFonts w:ascii="Times New Roman" w:hAnsi="Times New Roman" w:cs="Times New Roman"/>
          <w:sz w:val="23"/>
          <w:szCs w:val="23"/>
        </w:rPr>
        <w:t xml:space="preserve">Overall, I find the fortifications at Caerleon to </w:t>
      </w:r>
      <w:r w:rsidR="00D4517B" w:rsidRPr="00D4517B">
        <w:rPr>
          <w:rFonts w:ascii="Times New Roman" w:hAnsi="Times New Roman" w:cs="Times New Roman"/>
          <w:sz w:val="23"/>
          <w:szCs w:val="23"/>
        </w:rPr>
        <w:t>have been simple, but effective. Generally, adequate for the defence of the fort, and very well designed. Pretty much typical of Roman fortifications in every way, they show that knowledge was shared across the Empire, but also innovated upon, with consideration of local conditions.</w:t>
      </w:r>
    </w:p>
    <w:p w14:paraId="71CC9EEB" w14:textId="4E791AB8" w:rsidR="00D4517B" w:rsidRDefault="00D4517B" w:rsidP="00D4517B">
      <w:pPr>
        <w:jc w:val="both"/>
        <w:rPr>
          <w:rFonts w:ascii="Times New Roman" w:hAnsi="Times New Roman" w:cs="Times New Roman"/>
          <w:b/>
          <w:bCs/>
          <w:sz w:val="23"/>
          <w:szCs w:val="23"/>
          <w:u w:val="single"/>
        </w:rPr>
      </w:pPr>
      <w:r>
        <w:rPr>
          <w:rFonts w:ascii="Times New Roman" w:hAnsi="Times New Roman" w:cs="Times New Roman"/>
          <w:b/>
          <w:bCs/>
          <w:sz w:val="23"/>
          <w:szCs w:val="23"/>
          <w:u w:val="single"/>
        </w:rPr>
        <w:lastRenderedPageBreak/>
        <w:t>Bibliography</w:t>
      </w:r>
    </w:p>
    <w:p w14:paraId="1702D0E6" w14:textId="62655B7B" w:rsidR="00D4517B" w:rsidRDefault="00D4517B" w:rsidP="00D4517B">
      <w:pPr>
        <w:jc w:val="both"/>
        <w:rPr>
          <w:rFonts w:ascii="Times New Roman" w:hAnsi="Times New Roman" w:cs="Times New Roman"/>
          <w:b/>
          <w:bCs/>
          <w:sz w:val="23"/>
          <w:szCs w:val="23"/>
        </w:rPr>
      </w:pPr>
      <w:r>
        <w:rPr>
          <w:rFonts w:ascii="Times New Roman" w:hAnsi="Times New Roman" w:cs="Times New Roman"/>
          <w:b/>
          <w:bCs/>
          <w:sz w:val="23"/>
          <w:szCs w:val="23"/>
        </w:rPr>
        <w:t>Primary Sources</w:t>
      </w:r>
    </w:p>
    <w:p w14:paraId="65736EAC" w14:textId="79352FAB" w:rsidR="00D4517B" w:rsidRDefault="00D4517B" w:rsidP="00D4517B">
      <w:pPr>
        <w:jc w:val="both"/>
        <w:rPr>
          <w:rFonts w:ascii="Times New Roman" w:hAnsi="Times New Roman" w:cs="Times New Roman"/>
        </w:rPr>
      </w:pPr>
      <w:r w:rsidRPr="008A2E75">
        <w:rPr>
          <w:rFonts w:ascii="Times New Roman" w:hAnsi="Times New Roman" w:cs="Times New Roman"/>
        </w:rPr>
        <w:t xml:space="preserve">Gaius Julius Hygenius, </w:t>
      </w:r>
      <w:r w:rsidRPr="008A2E75">
        <w:rPr>
          <w:rFonts w:ascii="Times New Roman" w:hAnsi="Times New Roman" w:cs="Times New Roman"/>
          <w:i/>
          <w:iCs/>
        </w:rPr>
        <w:t xml:space="preserve">FORTIFYING </w:t>
      </w:r>
      <w:r w:rsidRPr="00215C7F">
        <w:rPr>
          <w:rFonts w:ascii="Times New Roman" w:hAnsi="Times New Roman" w:cs="Times New Roman"/>
          <w:i/>
          <w:iCs/>
        </w:rPr>
        <w:t>A</w:t>
      </w:r>
      <w:r>
        <w:rPr>
          <w:rFonts w:ascii="Times New Roman" w:hAnsi="Times New Roman" w:cs="Times New Roman"/>
          <w:i/>
          <w:iCs/>
        </w:rPr>
        <w:t xml:space="preserve"> </w:t>
      </w:r>
      <w:r w:rsidRPr="00215C7F">
        <w:rPr>
          <w:rFonts w:ascii="Times New Roman" w:hAnsi="Times New Roman" w:cs="Times New Roman"/>
          <w:i/>
          <w:iCs/>
        </w:rPr>
        <w:t>ROMAN CAMP: The Liber de Munitionibus Castrorum of Hyginus</w:t>
      </w:r>
      <w:r w:rsidRPr="00215C7F">
        <w:rPr>
          <w:rFonts w:ascii="Times New Roman" w:hAnsi="Times New Roman" w:cs="Times New Roman"/>
        </w:rPr>
        <w:t xml:space="preserve">, </w:t>
      </w:r>
      <w:r w:rsidRPr="00074817">
        <w:rPr>
          <w:rFonts w:ascii="Times New Roman" w:hAnsi="Times New Roman" w:cs="Times New Roman"/>
        </w:rPr>
        <w:t>trans. by Campbell,</w:t>
      </w:r>
      <w:r>
        <w:rPr>
          <w:rFonts w:ascii="Times New Roman" w:hAnsi="Times New Roman" w:cs="Times New Roman"/>
        </w:rPr>
        <w:t xml:space="preserve"> D. B.,</w:t>
      </w:r>
      <w:r w:rsidRPr="00074817">
        <w:rPr>
          <w:rFonts w:ascii="Times New Roman" w:hAnsi="Times New Roman" w:cs="Times New Roman"/>
        </w:rPr>
        <w:t xml:space="preserve"> (Bocca della Verità Publishing, Glasgow, 2018</w:t>
      </w:r>
      <w:proofErr w:type="gramStart"/>
      <w:r w:rsidRPr="00074817">
        <w:rPr>
          <w:rFonts w:ascii="Times New Roman" w:hAnsi="Times New Roman" w:cs="Times New Roman"/>
        </w:rPr>
        <w:t>)</w:t>
      </w:r>
      <w:r>
        <w:rPr>
          <w:rFonts w:ascii="Times New Roman" w:hAnsi="Times New Roman" w:cs="Times New Roman"/>
        </w:rPr>
        <w:t>.#</w:t>
      </w:r>
      <w:proofErr w:type="gramEnd"/>
    </w:p>
    <w:p w14:paraId="0872AD55" w14:textId="0C5E7481" w:rsidR="00D4517B" w:rsidRDefault="00D4517B" w:rsidP="00D4517B">
      <w:pPr>
        <w:jc w:val="both"/>
        <w:rPr>
          <w:rFonts w:ascii="Times New Roman" w:hAnsi="Times New Roman" w:cs="Times New Roman"/>
          <w:b/>
          <w:bCs/>
        </w:rPr>
      </w:pPr>
      <w:r>
        <w:rPr>
          <w:rFonts w:ascii="Times New Roman" w:hAnsi="Times New Roman" w:cs="Times New Roman"/>
          <w:b/>
          <w:bCs/>
        </w:rPr>
        <w:t>Secondary Sources</w:t>
      </w:r>
    </w:p>
    <w:p w14:paraId="1EA83FAC" w14:textId="503FE442" w:rsidR="00D4517B" w:rsidRDefault="00D4517B" w:rsidP="00D4517B">
      <w:pPr>
        <w:jc w:val="both"/>
        <w:rPr>
          <w:rFonts w:ascii="Times New Roman" w:hAnsi="Times New Roman" w:cs="Times New Roman"/>
        </w:rPr>
      </w:pPr>
      <w:r w:rsidRPr="00074817">
        <w:rPr>
          <w:rFonts w:ascii="Times New Roman" w:hAnsi="Times New Roman" w:cs="Times New Roman"/>
        </w:rPr>
        <w:t>Knight,</w:t>
      </w:r>
      <w:r>
        <w:rPr>
          <w:rFonts w:ascii="Times New Roman" w:hAnsi="Times New Roman" w:cs="Times New Roman"/>
        </w:rPr>
        <w:t xml:space="preserve"> J. K.,</w:t>
      </w:r>
      <w:r w:rsidRPr="00074817">
        <w:rPr>
          <w:rFonts w:ascii="Times New Roman" w:hAnsi="Times New Roman" w:cs="Times New Roman"/>
        </w:rPr>
        <w:t xml:space="preserve"> </w:t>
      </w:r>
      <w:r w:rsidRPr="00074817">
        <w:rPr>
          <w:rFonts w:ascii="Times New Roman" w:hAnsi="Times New Roman" w:cs="Times New Roman"/>
          <w:i/>
          <w:iCs/>
        </w:rPr>
        <w:t>Caerleon Roman Fortress</w:t>
      </w:r>
      <w:r w:rsidRPr="00074817">
        <w:rPr>
          <w:rFonts w:ascii="Times New Roman" w:hAnsi="Times New Roman" w:cs="Times New Roman"/>
        </w:rPr>
        <w:t>, (</w:t>
      </w:r>
      <w:proofErr w:type="spellStart"/>
      <w:r w:rsidRPr="00074817">
        <w:rPr>
          <w:rFonts w:ascii="Times New Roman" w:hAnsi="Times New Roman" w:cs="Times New Roman"/>
        </w:rPr>
        <w:t>Cadw</w:t>
      </w:r>
      <w:proofErr w:type="spellEnd"/>
      <w:r w:rsidRPr="00074817">
        <w:rPr>
          <w:rFonts w:ascii="Times New Roman" w:hAnsi="Times New Roman" w:cs="Times New Roman"/>
        </w:rPr>
        <w:t>, Cardiff, 2003</w:t>
      </w:r>
      <w:r>
        <w:rPr>
          <w:rFonts w:ascii="Times New Roman" w:hAnsi="Times New Roman" w:cs="Times New Roman"/>
        </w:rPr>
        <w:t>).</w:t>
      </w:r>
    </w:p>
    <w:p w14:paraId="3E248800" w14:textId="0CC71A57" w:rsidR="00D4517B" w:rsidRDefault="00D4517B" w:rsidP="00D4517B">
      <w:pPr>
        <w:jc w:val="both"/>
        <w:rPr>
          <w:rFonts w:ascii="Times New Roman" w:hAnsi="Times New Roman" w:cs="Times New Roman"/>
          <w:b/>
          <w:bCs/>
        </w:rPr>
      </w:pPr>
      <w:r>
        <w:rPr>
          <w:rFonts w:ascii="Times New Roman" w:hAnsi="Times New Roman" w:cs="Times New Roman"/>
          <w:b/>
          <w:bCs/>
        </w:rPr>
        <w:t>Electronic Sources</w:t>
      </w:r>
    </w:p>
    <w:p w14:paraId="4D4A335A" w14:textId="090C8CC5" w:rsidR="00D4517B" w:rsidRPr="00D4517B" w:rsidRDefault="00D4517B" w:rsidP="00D4517B">
      <w:pPr>
        <w:jc w:val="both"/>
        <w:rPr>
          <w:rFonts w:ascii="Times New Roman" w:hAnsi="Times New Roman" w:cs="Times New Roman"/>
          <w:sz w:val="23"/>
          <w:szCs w:val="23"/>
        </w:rPr>
      </w:pPr>
      <w:r w:rsidRPr="00D4517B">
        <w:rPr>
          <w:rFonts w:ascii="Times New Roman" w:hAnsi="Times New Roman" w:cs="Times New Roman"/>
          <w:sz w:val="23"/>
          <w:szCs w:val="23"/>
        </w:rPr>
        <w:t xml:space="preserve">A. </w:t>
      </w:r>
      <w:proofErr w:type="spellStart"/>
      <w:r w:rsidRPr="00D4517B">
        <w:rPr>
          <w:rFonts w:ascii="Times New Roman" w:hAnsi="Times New Roman" w:cs="Times New Roman"/>
          <w:sz w:val="23"/>
          <w:szCs w:val="23"/>
        </w:rPr>
        <w:t>Henton</w:t>
      </w:r>
      <w:proofErr w:type="spellEnd"/>
      <w:r w:rsidRPr="00D4517B">
        <w:rPr>
          <w:rFonts w:ascii="Times New Roman" w:hAnsi="Times New Roman" w:cs="Times New Roman"/>
          <w:sz w:val="23"/>
          <w:szCs w:val="23"/>
        </w:rPr>
        <w:t>, ‘Iron Age Hillforts’, The Field, (2012)</w:t>
      </w:r>
      <w:r>
        <w:rPr>
          <w:rFonts w:ascii="Times New Roman" w:hAnsi="Times New Roman" w:cs="Times New Roman"/>
          <w:sz w:val="23"/>
          <w:szCs w:val="23"/>
        </w:rPr>
        <w:t xml:space="preserve">, </w:t>
      </w:r>
      <w:r w:rsidRPr="00D4517B">
        <w:rPr>
          <w:rFonts w:ascii="Times New Roman" w:hAnsi="Times New Roman" w:cs="Times New Roman"/>
          <w:sz w:val="23"/>
          <w:szCs w:val="23"/>
        </w:rPr>
        <w:t>https://www.thefield.co.uk/features/iron-age-hillforts-21556</w:t>
      </w:r>
      <w:r>
        <w:rPr>
          <w:rFonts w:ascii="Times New Roman" w:hAnsi="Times New Roman" w:cs="Times New Roman"/>
          <w:sz w:val="23"/>
          <w:szCs w:val="23"/>
        </w:rPr>
        <w:t xml:space="preserve"> [Date Accessed: 16/02/2020]</w:t>
      </w:r>
    </w:p>
    <w:p w14:paraId="314CE5CA" w14:textId="262B4492" w:rsidR="00397261" w:rsidRPr="00397261" w:rsidRDefault="00AC2BAE" w:rsidP="00F23D0D">
      <w:pPr>
        <w:ind w:firstLine="720"/>
        <w:jc w:val="both"/>
        <w:rPr>
          <w:rFonts w:ascii="Times New Roman" w:hAnsi="Times New Roman" w:cs="Times New Roman"/>
          <w:sz w:val="24"/>
          <w:szCs w:val="24"/>
        </w:rPr>
      </w:pPr>
      <w:r>
        <w:rPr>
          <w:rFonts w:ascii="Times New Roman" w:hAnsi="Times New Roman" w:cs="Times New Roman"/>
          <w:sz w:val="24"/>
          <w:szCs w:val="24"/>
        </w:rPr>
        <w:t xml:space="preserve"> </w:t>
      </w:r>
    </w:p>
    <w:sectPr w:rsidR="00397261" w:rsidRPr="0039726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4F0E49" w14:textId="77777777" w:rsidR="00A01DFC" w:rsidRDefault="00A01DFC" w:rsidP="002721B9">
      <w:pPr>
        <w:spacing w:after="0" w:line="240" w:lineRule="auto"/>
      </w:pPr>
      <w:r>
        <w:separator/>
      </w:r>
    </w:p>
  </w:endnote>
  <w:endnote w:type="continuationSeparator" w:id="0">
    <w:p w14:paraId="136B85E7" w14:textId="77777777" w:rsidR="00A01DFC" w:rsidRDefault="00A01DFC" w:rsidP="00272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152F90" w14:textId="77777777" w:rsidR="00A01DFC" w:rsidRDefault="00A01DFC" w:rsidP="002721B9">
      <w:pPr>
        <w:spacing w:after="0" w:line="240" w:lineRule="auto"/>
      </w:pPr>
      <w:r>
        <w:separator/>
      </w:r>
    </w:p>
  </w:footnote>
  <w:footnote w:type="continuationSeparator" w:id="0">
    <w:p w14:paraId="616CB557" w14:textId="77777777" w:rsidR="00A01DFC" w:rsidRDefault="00A01DFC" w:rsidP="002721B9">
      <w:pPr>
        <w:spacing w:after="0" w:line="240" w:lineRule="auto"/>
      </w:pPr>
      <w:r>
        <w:continuationSeparator/>
      </w:r>
    </w:p>
  </w:footnote>
  <w:footnote w:id="1">
    <w:p w14:paraId="3C7A3003" w14:textId="611AA761" w:rsidR="00523918" w:rsidRPr="00074817" w:rsidRDefault="00523918" w:rsidP="00523918">
      <w:pPr>
        <w:pStyle w:val="FootnoteText"/>
        <w:rPr>
          <w:rFonts w:ascii="Times New Roman" w:hAnsi="Times New Roman" w:cs="Times New Roman"/>
        </w:rPr>
      </w:pPr>
      <w:r w:rsidRPr="008A2E75">
        <w:rPr>
          <w:rStyle w:val="FootnoteReference"/>
          <w:rFonts w:ascii="Times New Roman" w:hAnsi="Times New Roman" w:cs="Times New Roman"/>
        </w:rPr>
        <w:footnoteRef/>
      </w:r>
      <w:r w:rsidRPr="008A2E75">
        <w:rPr>
          <w:rFonts w:ascii="Times New Roman" w:hAnsi="Times New Roman" w:cs="Times New Roman"/>
        </w:rPr>
        <w:t xml:space="preserve"> Gaius Julius Hygenius, </w:t>
      </w:r>
      <w:r w:rsidRPr="008A2E75">
        <w:rPr>
          <w:rFonts w:ascii="Times New Roman" w:hAnsi="Times New Roman" w:cs="Times New Roman"/>
          <w:i/>
          <w:iCs/>
        </w:rPr>
        <w:t xml:space="preserve">FORTIFYING </w:t>
      </w:r>
      <w:r w:rsidRPr="00215C7F">
        <w:rPr>
          <w:rFonts w:ascii="Times New Roman" w:hAnsi="Times New Roman" w:cs="Times New Roman"/>
          <w:i/>
          <w:iCs/>
        </w:rPr>
        <w:t>A</w:t>
      </w:r>
      <w:r w:rsidR="00F0789B">
        <w:rPr>
          <w:rFonts w:ascii="Times New Roman" w:hAnsi="Times New Roman" w:cs="Times New Roman"/>
          <w:i/>
          <w:iCs/>
        </w:rPr>
        <w:t xml:space="preserve"> </w:t>
      </w:r>
      <w:r w:rsidRPr="00215C7F">
        <w:rPr>
          <w:rFonts w:ascii="Times New Roman" w:hAnsi="Times New Roman" w:cs="Times New Roman"/>
          <w:i/>
          <w:iCs/>
        </w:rPr>
        <w:t>ROMAN CAMP</w:t>
      </w:r>
      <w:r w:rsidRPr="00215C7F">
        <w:rPr>
          <w:rFonts w:ascii="Times New Roman" w:hAnsi="Times New Roman" w:cs="Times New Roman"/>
          <w:i/>
          <w:iCs/>
        </w:rPr>
        <w:t xml:space="preserve">: </w:t>
      </w:r>
      <w:r w:rsidRPr="00215C7F">
        <w:rPr>
          <w:rFonts w:ascii="Times New Roman" w:hAnsi="Times New Roman" w:cs="Times New Roman"/>
          <w:i/>
          <w:iCs/>
        </w:rPr>
        <w:t>The</w:t>
      </w:r>
      <w:r w:rsidRPr="00215C7F">
        <w:rPr>
          <w:rFonts w:ascii="Times New Roman" w:hAnsi="Times New Roman" w:cs="Times New Roman"/>
          <w:i/>
          <w:iCs/>
        </w:rPr>
        <w:t xml:space="preserve"> </w:t>
      </w:r>
      <w:r w:rsidRPr="00215C7F">
        <w:rPr>
          <w:rFonts w:ascii="Times New Roman" w:hAnsi="Times New Roman" w:cs="Times New Roman"/>
          <w:i/>
          <w:iCs/>
        </w:rPr>
        <w:t xml:space="preserve">Liber de </w:t>
      </w:r>
      <w:r w:rsidRPr="00215C7F">
        <w:rPr>
          <w:rFonts w:ascii="Times New Roman" w:hAnsi="Times New Roman" w:cs="Times New Roman"/>
          <w:i/>
          <w:iCs/>
        </w:rPr>
        <w:t>M</w:t>
      </w:r>
      <w:r w:rsidRPr="00215C7F">
        <w:rPr>
          <w:rFonts w:ascii="Times New Roman" w:hAnsi="Times New Roman" w:cs="Times New Roman"/>
          <w:i/>
          <w:iCs/>
        </w:rPr>
        <w:t>unitionibus</w:t>
      </w:r>
      <w:r w:rsidRPr="00215C7F">
        <w:rPr>
          <w:rFonts w:ascii="Times New Roman" w:hAnsi="Times New Roman" w:cs="Times New Roman"/>
          <w:i/>
          <w:iCs/>
        </w:rPr>
        <w:t xml:space="preserve"> C</w:t>
      </w:r>
      <w:r w:rsidRPr="00215C7F">
        <w:rPr>
          <w:rFonts w:ascii="Times New Roman" w:hAnsi="Times New Roman" w:cs="Times New Roman"/>
          <w:i/>
          <w:iCs/>
        </w:rPr>
        <w:t>astrorum of Hyginus</w:t>
      </w:r>
      <w:r w:rsidRPr="00215C7F">
        <w:rPr>
          <w:rFonts w:ascii="Times New Roman" w:hAnsi="Times New Roman" w:cs="Times New Roman"/>
        </w:rPr>
        <w:t xml:space="preserve">, </w:t>
      </w:r>
      <w:r w:rsidRPr="00074817">
        <w:rPr>
          <w:rFonts w:ascii="Times New Roman" w:hAnsi="Times New Roman" w:cs="Times New Roman"/>
        </w:rPr>
        <w:t>trans. by D. B. Campbell, (</w:t>
      </w:r>
      <w:r w:rsidRPr="00074817">
        <w:rPr>
          <w:rFonts w:ascii="Times New Roman" w:hAnsi="Times New Roman" w:cs="Times New Roman"/>
        </w:rPr>
        <w:t>Bocca della Verità Publishing</w:t>
      </w:r>
      <w:r w:rsidRPr="00074817">
        <w:rPr>
          <w:rFonts w:ascii="Times New Roman" w:hAnsi="Times New Roman" w:cs="Times New Roman"/>
        </w:rPr>
        <w:t xml:space="preserve">, </w:t>
      </w:r>
      <w:r w:rsidRPr="00074817">
        <w:rPr>
          <w:rFonts w:ascii="Times New Roman" w:hAnsi="Times New Roman" w:cs="Times New Roman"/>
        </w:rPr>
        <w:t>Glasgow</w:t>
      </w:r>
      <w:r w:rsidRPr="00074817">
        <w:rPr>
          <w:rFonts w:ascii="Times New Roman" w:hAnsi="Times New Roman" w:cs="Times New Roman"/>
        </w:rPr>
        <w:t xml:space="preserve">, </w:t>
      </w:r>
      <w:r w:rsidR="008A2E75" w:rsidRPr="00074817">
        <w:rPr>
          <w:rFonts w:ascii="Times New Roman" w:hAnsi="Times New Roman" w:cs="Times New Roman"/>
        </w:rPr>
        <w:t>2018), Pp. 17-19 &amp; P. 79.</w:t>
      </w:r>
    </w:p>
  </w:footnote>
  <w:footnote w:id="2">
    <w:p w14:paraId="54914B74" w14:textId="6D54DD79" w:rsidR="00215C7F" w:rsidRPr="00074817" w:rsidRDefault="00215C7F">
      <w:pPr>
        <w:pStyle w:val="FootnoteText"/>
        <w:rPr>
          <w:rFonts w:ascii="Times New Roman" w:hAnsi="Times New Roman" w:cs="Times New Roman"/>
        </w:rPr>
      </w:pPr>
      <w:r w:rsidRPr="00074817">
        <w:rPr>
          <w:rStyle w:val="FootnoteReference"/>
          <w:rFonts w:ascii="Times New Roman" w:hAnsi="Times New Roman" w:cs="Times New Roman"/>
        </w:rPr>
        <w:footnoteRef/>
      </w:r>
      <w:r w:rsidRPr="00074817">
        <w:rPr>
          <w:rFonts w:ascii="Times New Roman" w:hAnsi="Times New Roman" w:cs="Times New Roman"/>
        </w:rPr>
        <w:t xml:space="preserve"> J. K. Knight, </w:t>
      </w:r>
      <w:r w:rsidRPr="00074817">
        <w:rPr>
          <w:rFonts w:ascii="Times New Roman" w:hAnsi="Times New Roman" w:cs="Times New Roman"/>
          <w:i/>
          <w:iCs/>
        </w:rPr>
        <w:t>Caerleon Roman Fortress</w:t>
      </w:r>
      <w:r w:rsidRPr="00074817">
        <w:rPr>
          <w:rFonts w:ascii="Times New Roman" w:hAnsi="Times New Roman" w:cs="Times New Roman"/>
        </w:rPr>
        <w:t>, (</w:t>
      </w:r>
      <w:proofErr w:type="spellStart"/>
      <w:r w:rsidRPr="00074817">
        <w:rPr>
          <w:rFonts w:ascii="Times New Roman" w:hAnsi="Times New Roman" w:cs="Times New Roman"/>
        </w:rPr>
        <w:t>Cadw</w:t>
      </w:r>
      <w:proofErr w:type="spellEnd"/>
      <w:r w:rsidRPr="00074817">
        <w:rPr>
          <w:rFonts w:ascii="Times New Roman" w:hAnsi="Times New Roman" w:cs="Times New Roman"/>
        </w:rPr>
        <w:t>, Cardiff, 2003), Pp. 15-17.</w:t>
      </w:r>
    </w:p>
  </w:footnote>
  <w:footnote w:id="3">
    <w:p w14:paraId="7EEF5C8C" w14:textId="79443F39" w:rsidR="00215C7F" w:rsidRPr="00397261" w:rsidRDefault="00215C7F">
      <w:pPr>
        <w:pStyle w:val="FootnoteText"/>
        <w:rPr>
          <w:rFonts w:ascii="Times New Roman" w:hAnsi="Times New Roman" w:cs="Times New Roman"/>
        </w:rPr>
      </w:pPr>
      <w:r w:rsidRPr="00074817">
        <w:rPr>
          <w:rStyle w:val="FootnoteReference"/>
          <w:rFonts w:ascii="Times New Roman" w:hAnsi="Times New Roman" w:cs="Times New Roman"/>
        </w:rPr>
        <w:footnoteRef/>
      </w:r>
      <w:r w:rsidRPr="00074817">
        <w:rPr>
          <w:rFonts w:ascii="Times New Roman" w:hAnsi="Times New Roman" w:cs="Times New Roman"/>
        </w:rPr>
        <w:t xml:space="preserve"> </w:t>
      </w:r>
      <w:r w:rsidRPr="00397261">
        <w:rPr>
          <w:rFonts w:ascii="Times New Roman" w:hAnsi="Times New Roman" w:cs="Times New Roman"/>
        </w:rPr>
        <w:t xml:space="preserve">Knight, </w:t>
      </w:r>
      <w:r w:rsidRPr="00397261">
        <w:rPr>
          <w:rFonts w:ascii="Times New Roman" w:hAnsi="Times New Roman" w:cs="Times New Roman"/>
          <w:i/>
          <w:iCs/>
        </w:rPr>
        <w:t>Caerleon</w:t>
      </w:r>
      <w:r w:rsidRPr="00397261">
        <w:rPr>
          <w:rFonts w:ascii="Times New Roman" w:hAnsi="Times New Roman" w:cs="Times New Roman"/>
        </w:rPr>
        <w:t>, P</w:t>
      </w:r>
      <w:r w:rsidR="0012777A" w:rsidRPr="00397261">
        <w:rPr>
          <w:rFonts w:ascii="Times New Roman" w:hAnsi="Times New Roman" w:cs="Times New Roman"/>
        </w:rPr>
        <w:t>. 16 &amp; P.28 &amp; P. 41.</w:t>
      </w:r>
    </w:p>
  </w:footnote>
  <w:footnote w:id="4">
    <w:p w14:paraId="7BCDB033" w14:textId="40F76FF7" w:rsidR="00F23D0D" w:rsidRPr="00397261" w:rsidRDefault="00074817">
      <w:pPr>
        <w:pStyle w:val="FootnoteText"/>
        <w:rPr>
          <w:rFonts w:ascii="Times New Roman" w:hAnsi="Times New Roman" w:cs="Times New Roman"/>
        </w:rPr>
      </w:pPr>
      <w:r w:rsidRPr="00397261">
        <w:rPr>
          <w:rStyle w:val="FootnoteReference"/>
          <w:rFonts w:ascii="Times New Roman" w:hAnsi="Times New Roman" w:cs="Times New Roman"/>
        </w:rPr>
        <w:footnoteRef/>
      </w:r>
      <w:r w:rsidRPr="00397261">
        <w:rPr>
          <w:rFonts w:ascii="Times New Roman" w:hAnsi="Times New Roman" w:cs="Times New Roman"/>
        </w:rPr>
        <w:t xml:space="preserve"> A. </w:t>
      </w:r>
      <w:proofErr w:type="spellStart"/>
      <w:r w:rsidRPr="00397261">
        <w:rPr>
          <w:rFonts w:ascii="Times New Roman" w:hAnsi="Times New Roman" w:cs="Times New Roman"/>
        </w:rPr>
        <w:t>Henton</w:t>
      </w:r>
      <w:proofErr w:type="spellEnd"/>
      <w:r w:rsidRPr="00397261">
        <w:rPr>
          <w:rFonts w:ascii="Times New Roman" w:hAnsi="Times New Roman" w:cs="Times New Roman"/>
        </w:rPr>
        <w:t xml:space="preserve">, ‘Iron Age Hillforts’, </w:t>
      </w:r>
      <w:r w:rsidRPr="00397261">
        <w:rPr>
          <w:rFonts w:ascii="Times New Roman" w:hAnsi="Times New Roman" w:cs="Times New Roman"/>
          <w:i/>
          <w:iCs/>
        </w:rPr>
        <w:t>The Field</w:t>
      </w:r>
      <w:r w:rsidRPr="00397261">
        <w:rPr>
          <w:rFonts w:ascii="Times New Roman" w:hAnsi="Times New Roman" w:cs="Times New Roman"/>
        </w:rPr>
        <w:t>, (2012).</w:t>
      </w:r>
      <w:r w:rsidR="00F23D0D" w:rsidRPr="00397261">
        <w:rPr>
          <w:rFonts w:ascii="Times New Roman" w:hAnsi="Times New Roman" w:cs="Times New Roman"/>
        </w:rPr>
        <w:t xml:space="preserve"> &amp; Knight, </w:t>
      </w:r>
      <w:r w:rsidR="00F23D0D" w:rsidRPr="00397261">
        <w:rPr>
          <w:rFonts w:ascii="Times New Roman" w:hAnsi="Times New Roman" w:cs="Times New Roman"/>
          <w:i/>
          <w:iCs/>
        </w:rPr>
        <w:t>Caerleon</w:t>
      </w:r>
      <w:r w:rsidR="00F23D0D" w:rsidRPr="00397261">
        <w:rPr>
          <w:rFonts w:ascii="Times New Roman" w:hAnsi="Times New Roman" w:cs="Times New Roman"/>
        </w:rPr>
        <w:t>, P. 3 &amp; P</w:t>
      </w:r>
      <w:r w:rsidR="008E3EA2" w:rsidRPr="00397261">
        <w:rPr>
          <w:rFonts w:ascii="Times New Roman" w:hAnsi="Times New Roman" w:cs="Times New Roman"/>
        </w:rPr>
        <w:t>p</w:t>
      </w:r>
      <w:r w:rsidR="00F23D0D" w:rsidRPr="00397261">
        <w:rPr>
          <w:rFonts w:ascii="Times New Roman" w:hAnsi="Times New Roman" w:cs="Times New Roman"/>
        </w:rPr>
        <w:t>. 12</w:t>
      </w:r>
      <w:r w:rsidR="008E3EA2" w:rsidRPr="00397261">
        <w:rPr>
          <w:rFonts w:ascii="Times New Roman" w:hAnsi="Times New Roman" w:cs="Times New Roman"/>
        </w:rPr>
        <w:t>-14</w:t>
      </w:r>
      <w:r w:rsidR="00F23D0D" w:rsidRPr="00397261">
        <w:rPr>
          <w:rFonts w:ascii="Times New Roman" w:hAnsi="Times New Roman" w:cs="Times New Roman"/>
        </w:rPr>
        <w:t>.</w:t>
      </w:r>
    </w:p>
  </w:footnote>
  <w:footnote w:id="5">
    <w:p w14:paraId="6A33523C" w14:textId="1D47A892" w:rsidR="00F0789B" w:rsidRPr="00CB015F" w:rsidRDefault="00F0789B">
      <w:pPr>
        <w:pStyle w:val="FootnoteText"/>
        <w:rPr>
          <w:rFonts w:ascii="Times New Roman" w:hAnsi="Times New Roman" w:cs="Times New Roman"/>
        </w:rPr>
      </w:pPr>
      <w:r>
        <w:rPr>
          <w:rStyle w:val="FootnoteReference"/>
        </w:rPr>
        <w:footnoteRef/>
      </w:r>
      <w:r>
        <w:t xml:space="preserve"> </w:t>
      </w:r>
      <w:r w:rsidRPr="00CB015F">
        <w:rPr>
          <w:rFonts w:ascii="Times New Roman" w:hAnsi="Times New Roman" w:cs="Times New Roman"/>
        </w:rPr>
        <w:t xml:space="preserve">Knight, </w:t>
      </w:r>
      <w:r w:rsidRPr="00CB015F">
        <w:rPr>
          <w:rFonts w:ascii="Times New Roman" w:hAnsi="Times New Roman" w:cs="Times New Roman"/>
          <w:i/>
          <w:iCs/>
        </w:rPr>
        <w:t>Caerleon</w:t>
      </w:r>
      <w:r w:rsidRPr="00CB015F">
        <w:rPr>
          <w:rFonts w:ascii="Times New Roman" w:hAnsi="Times New Roman" w:cs="Times New Roman"/>
        </w:rPr>
        <w:t>, P. 17.</w:t>
      </w:r>
    </w:p>
  </w:footnote>
  <w:footnote w:id="6">
    <w:p w14:paraId="41AE3444" w14:textId="48C0FC45" w:rsidR="00AC2BAE" w:rsidRPr="00CB015F" w:rsidRDefault="00397261">
      <w:pPr>
        <w:pStyle w:val="FootnoteText"/>
        <w:rPr>
          <w:rFonts w:ascii="Times New Roman" w:hAnsi="Times New Roman" w:cs="Times New Roman"/>
        </w:rPr>
      </w:pPr>
      <w:r w:rsidRPr="00CB015F">
        <w:rPr>
          <w:rStyle w:val="FootnoteReference"/>
          <w:rFonts w:ascii="Times New Roman" w:hAnsi="Times New Roman" w:cs="Times New Roman"/>
        </w:rPr>
        <w:footnoteRef/>
      </w:r>
      <w:r w:rsidRPr="00CB015F">
        <w:rPr>
          <w:rFonts w:ascii="Times New Roman" w:hAnsi="Times New Roman" w:cs="Times New Roman"/>
        </w:rPr>
        <w:t xml:space="preserve"> </w:t>
      </w:r>
      <w:r w:rsidR="00AC2BAE" w:rsidRPr="00CB015F">
        <w:rPr>
          <w:rFonts w:ascii="Times New Roman" w:hAnsi="Times New Roman" w:cs="Times New Roman"/>
        </w:rPr>
        <w:t>Ibid,</w:t>
      </w:r>
      <w:r w:rsidRPr="00CB015F">
        <w:rPr>
          <w:rFonts w:ascii="Times New Roman" w:hAnsi="Times New Roman" w:cs="Times New Roman"/>
        </w:rPr>
        <w:t xml:space="preserve"> P. 17.</w:t>
      </w:r>
    </w:p>
  </w:footnote>
  <w:footnote w:id="7">
    <w:p w14:paraId="2D2A3068" w14:textId="67C3E9EE" w:rsidR="00AC2BAE" w:rsidRPr="00CB015F" w:rsidRDefault="00AC2BAE">
      <w:pPr>
        <w:pStyle w:val="FootnoteText"/>
        <w:rPr>
          <w:rFonts w:ascii="Times New Roman" w:hAnsi="Times New Roman" w:cs="Times New Roman"/>
        </w:rPr>
      </w:pPr>
      <w:r w:rsidRPr="00CB015F">
        <w:rPr>
          <w:rStyle w:val="FootnoteReference"/>
          <w:rFonts w:ascii="Times New Roman" w:hAnsi="Times New Roman" w:cs="Times New Roman"/>
        </w:rPr>
        <w:footnoteRef/>
      </w:r>
      <w:r w:rsidRPr="00CB015F">
        <w:rPr>
          <w:rFonts w:ascii="Times New Roman" w:hAnsi="Times New Roman" w:cs="Times New Roman"/>
        </w:rPr>
        <w:t xml:space="preserve"> Ibid, P. 38-40</w:t>
      </w:r>
    </w:p>
  </w:footnote>
  <w:footnote w:id="8">
    <w:p w14:paraId="71EBDE3E" w14:textId="75D57B65" w:rsidR="00DE612B" w:rsidRPr="00CB015F" w:rsidRDefault="00DE612B">
      <w:pPr>
        <w:pStyle w:val="FootnoteText"/>
        <w:rPr>
          <w:rFonts w:ascii="Times New Roman" w:hAnsi="Times New Roman" w:cs="Times New Roman"/>
        </w:rPr>
      </w:pPr>
      <w:r w:rsidRPr="00CB015F">
        <w:rPr>
          <w:rStyle w:val="FootnoteReference"/>
          <w:rFonts w:ascii="Times New Roman" w:hAnsi="Times New Roman" w:cs="Times New Roman"/>
        </w:rPr>
        <w:footnoteRef/>
      </w:r>
      <w:r w:rsidRPr="00CB015F">
        <w:rPr>
          <w:rFonts w:ascii="Times New Roman" w:hAnsi="Times New Roman" w:cs="Times New Roman"/>
        </w:rPr>
        <w:t xml:space="preserve"> Hygenius, </w:t>
      </w:r>
      <w:r w:rsidRPr="00CB015F">
        <w:rPr>
          <w:rFonts w:ascii="Times New Roman" w:hAnsi="Times New Roman" w:cs="Times New Roman"/>
          <w:i/>
          <w:iCs/>
        </w:rPr>
        <w:t>Castrorum</w:t>
      </w:r>
      <w:r w:rsidRPr="00CB015F">
        <w:rPr>
          <w:rFonts w:ascii="Times New Roman" w:hAnsi="Times New Roman" w:cs="Times New Roman"/>
        </w:rPr>
        <w:t xml:space="preserve">, trans. by Campbell, P. 19. &amp; Knight, </w:t>
      </w:r>
      <w:r w:rsidRPr="00CB015F">
        <w:rPr>
          <w:rFonts w:ascii="Times New Roman" w:hAnsi="Times New Roman" w:cs="Times New Roman"/>
          <w:i/>
          <w:iCs/>
        </w:rPr>
        <w:t>Caerleon</w:t>
      </w:r>
      <w:r w:rsidRPr="00CB015F">
        <w:rPr>
          <w:rFonts w:ascii="Times New Roman" w:hAnsi="Times New Roman" w:cs="Times New Roman"/>
        </w:rPr>
        <w:t>, Pp. 42-43.</w:t>
      </w:r>
    </w:p>
  </w:footnote>
  <w:footnote w:id="9">
    <w:p w14:paraId="7EF59AA4" w14:textId="3505876A" w:rsidR="00CB015F" w:rsidRPr="00CB015F" w:rsidRDefault="00CB015F">
      <w:pPr>
        <w:pStyle w:val="FootnoteText"/>
      </w:pPr>
      <w:r w:rsidRPr="00CB015F">
        <w:rPr>
          <w:rStyle w:val="FootnoteReference"/>
          <w:rFonts w:ascii="Times New Roman" w:hAnsi="Times New Roman" w:cs="Times New Roman"/>
        </w:rPr>
        <w:footnoteRef/>
      </w:r>
      <w:r w:rsidRPr="00CB015F">
        <w:rPr>
          <w:rFonts w:ascii="Times New Roman" w:hAnsi="Times New Roman" w:cs="Times New Roman"/>
        </w:rPr>
        <w:t xml:space="preserve"> Knight, </w:t>
      </w:r>
      <w:r w:rsidRPr="00CB015F">
        <w:rPr>
          <w:rFonts w:ascii="Times New Roman" w:hAnsi="Times New Roman" w:cs="Times New Roman"/>
          <w:i/>
          <w:iCs/>
        </w:rPr>
        <w:t xml:space="preserve">Caerleon, </w:t>
      </w:r>
      <w:r w:rsidRPr="00CB015F">
        <w:rPr>
          <w:rFonts w:ascii="Times New Roman" w:hAnsi="Times New Roman" w:cs="Times New Roman"/>
        </w:rPr>
        <w:t>P. 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962FF" w14:textId="182B18F9" w:rsidR="002721B9" w:rsidRPr="002721B9" w:rsidRDefault="002721B9" w:rsidP="002721B9">
    <w:pPr>
      <w:pStyle w:val="Header"/>
      <w:jc w:val="center"/>
      <w:rPr>
        <w:rFonts w:ascii="Times New Roman" w:hAnsi="Times New Roman" w:cs="Times New Roman"/>
        <w:sz w:val="20"/>
        <w:szCs w:val="20"/>
      </w:rPr>
    </w:pPr>
    <w:r>
      <w:rPr>
        <w:rFonts w:ascii="Times New Roman" w:hAnsi="Times New Roman" w:cs="Times New Roman"/>
        <w:sz w:val="20"/>
        <w:szCs w:val="20"/>
      </w:rPr>
      <w:t>Samuel Lawrence – Roman History and Literature – Booklet Task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1B9"/>
    <w:rsid w:val="00074817"/>
    <w:rsid w:val="0012777A"/>
    <w:rsid w:val="00215C7F"/>
    <w:rsid w:val="002721B9"/>
    <w:rsid w:val="00292C8C"/>
    <w:rsid w:val="00397261"/>
    <w:rsid w:val="00523918"/>
    <w:rsid w:val="007A68BA"/>
    <w:rsid w:val="00896C85"/>
    <w:rsid w:val="008A2E75"/>
    <w:rsid w:val="008E3EA2"/>
    <w:rsid w:val="00A01DFC"/>
    <w:rsid w:val="00A37B2A"/>
    <w:rsid w:val="00AC2BAE"/>
    <w:rsid w:val="00CB015F"/>
    <w:rsid w:val="00D4517B"/>
    <w:rsid w:val="00DE612B"/>
    <w:rsid w:val="00F0789B"/>
    <w:rsid w:val="00F23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8FADE"/>
  <w15:chartTrackingRefBased/>
  <w15:docId w15:val="{27623548-C5AF-4B59-8284-F3E97CCCB8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21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21B9"/>
  </w:style>
  <w:style w:type="paragraph" w:styleId="Footer">
    <w:name w:val="footer"/>
    <w:basedOn w:val="Normal"/>
    <w:link w:val="FooterChar"/>
    <w:uiPriority w:val="99"/>
    <w:unhideWhenUsed/>
    <w:rsid w:val="00272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21B9"/>
  </w:style>
  <w:style w:type="paragraph" w:styleId="FootnoteText">
    <w:name w:val="footnote text"/>
    <w:basedOn w:val="Normal"/>
    <w:link w:val="FootnoteTextChar"/>
    <w:uiPriority w:val="99"/>
    <w:semiHidden/>
    <w:unhideWhenUsed/>
    <w:rsid w:val="005239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3918"/>
    <w:rPr>
      <w:sz w:val="20"/>
      <w:szCs w:val="20"/>
    </w:rPr>
  </w:style>
  <w:style w:type="character" w:styleId="FootnoteReference">
    <w:name w:val="footnote reference"/>
    <w:basedOn w:val="DefaultParagraphFont"/>
    <w:uiPriority w:val="99"/>
    <w:semiHidden/>
    <w:unhideWhenUsed/>
    <w:rsid w:val="00523918"/>
    <w:rPr>
      <w:vertAlign w:val="superscript"/>
    </w:rPr>
  </w:style>
  <w:style w:type="character" w:styleId="Hyperlink">
    <w:name w:val="Hyperlink"/>
    <w:basedOn w:val="DefaultParagraphFont"/>
    <w:uiPriority w:val="99"/>
    <w:unhideWhenUsed/>
    <w:rsid w:val="00D4517B"/>
    <w:rPr>
      <w:color w:val="0563C1" w:themeColor="hyperlink"/>
      <w:u w:val="single"/>
    </w:rPr>
  </w:style>
  <w:style w:type="character" w:styleId="UnresolvedMention">
    <w:name w:val="Unresolved Mention"/>
    <w:basedOn w:val="DefaultParagraphFont"/>
    <w:uiPriority w:val="99"/>
    <w:semiHidden/>
    <w:unhideWhenUsed/>
    <w:rsid w:val="00D451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DB638-7107-4C6E-90F5-D329246B3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TotalTime>
  <Pages>3</Pages>
  <Words>653</Words>
  <Characters>3725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1</cp:revision>
  <dcterms:created xsi:type="dcterms:W3CDTF">2020-02-17T17:22:00Z</dcterms:created>
  <dcterms:modified xsi:type="dcterms:W3CDTF">2020-02-17T20:15:00Z</dcterms:modified>
</cp:coreProperties>
</file>