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525B3"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099BF02" wp14:editId="65418777">
            <wp:extent cx="5731200" cy="1435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1435100"/>
                    </a:xfrm>
                    <a:prstGeom prst="rect">
                      <a:avLst/>
                    </a:prstGeom>
                    <a:ln/>
                  </pic:spPr>
                </pic:pic>
              </a:graphicData>
            </a:graphic>
          </wp:inline>
        </w:drawing>
      </w:r>
    </w:p>
    <w:p w14:paraId="45B42476" w14:textId="77777777" w:rsidR="00591277" w:rsidRDefault="00591277">
      <w:pPr>
        <w:spacing w:line="360" w:lineRule="auto"/>
        <w:jc w:val="both"/>
        <w:rPr>
          <w:rFonts w:ascii="Times New Roman" w:eastAsia="Times New Roman" w:hAnsi="Times New Roman" w:cs="Times New Roman"/>
          <w:sz w:val="24"/>
          <w:szCs w:val="24"/>
        </w:rPr>
      </w:pPr>
    </w:p>
    <w:p w14:paraId="2AE793F1" w14:textId="77777777" w:rsidR="00591277"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Research Topic: </w:t>
      </w:r>
      <w:r>
        <w:rPr>
          <w:rFonts w:ascii="Times New Roman" w:eastAsia="Times New Roman" w:hAnsi="Times New Roman" w:cs="Times New Roman"/>
          <w:sz w:val="24"/>
          <w:szCs w:val="24"/>
        </w:rPr>
        <w:t>Responsible AI and Workforce Retention in Private Healthcare: A Philosophical and Methodological Review</w:t>
      </w:r>
    </w:p>
    <w:p w14:paraId="11234C8F" w14:textId="77777777" w:rsidR="00591277" w:rsidRDefault="00591277">
      <w:pPr>
        <w:spacing w:line="360" w:lineRule="auto"/>
        <w:jc w:val="center"/>
        <w:rPr>
          <w:rFonts w:ascii="Times New Roman" w:eastAsia="Times New Roman" w:hAnsi="Times New Roman" w:cs="Times New Roman"/>
          <w:sz w:val="24"/>
          <w:szCs w:val="24"/>
        </w:rPr>
      </w:pPr>
    </w:p>
    <w:p w14:paraId="123CD2C8" w14:textId="77777777" w:rsidR="00591277" w:rsidRDefault="00591277">
      <w:pPr>
        <w:spacing w:line="360" w:lineRule="auto"/>
        <w:jc w:val="center"/>
        <w:rPr>
          <w:rFonts w:ascii="Times New Roman" w:eastAsia="Times New Roman" w:hAnsi="Times New Roman" w:cs="Times New Roman"/>
          <w:sz w:val="24"/>
          <w:szCs w:val="24"/>
        </w:rPr>
      </w:pPr>
    </w:p>
    <w:p w14:paraId="3915A34C" w14:textId="1BE72B1B" w:rsidR="00591277"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r w:rsidR="00AE1C00">
        <w:rPr>
          <w:rFonts w:ascii="Times New Roman" w:eastAsia="Times New Roman" w:hAnsi="Times New Roman" w:cs="Times New Roman"/>
          <w:sz w:val="24"/>
          <w:szCs w:val="24"/>
        </w:rPr>
        <w:t xml:space="preserve"> 2542690</w:t>
      </w:r>
    </w:p>
    <w:p w14:paraId="142ECF73" w14:textId="4E73872D" w:rsidR="008F5FAF" w:rsidRDefault="008F5FA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Lecturer: Dr </w:t>
      </w:r>
      <w:proofErr w:type="spellStart"/>
      <w:r>
        <w:rPr>
          <w:rFonts w:ascii="Times New Roman" w:eastAsia="Times New Roman" w:hAnsi="Times New Roman" w:cs="Times New Roman"/>
          <w:sz w:val="24"/>
          <w:szCs w:val="24"/>
        </w:rPr>
        <w:t>Ebad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Banissi</w:t>
      </w:r>
      <w:proofErr w:type="spellEnd"/>
    </w:p>
    <w:p w14:paraId="0E266085" w14:textId="77777777" w:rsidR="00591277" w:rsidRDefault="00591277">
      <w:pPr>
        <w:spacing w:line="360" w:lineRule="auto"/>
        <w:jc w:val="center"/>
        <w:rPr>
          <w:rFonts w:ascii="Times New Roman" w:eastAsia="Times New Roman" w:hAnsi="Times New Roman" w:cs="Times New Roman"/>
          <w:sz w:val="24"/>
          <w:szCs w:val="24"/>
        </w:rPr>
      </w:pPr>
    </w:p>
    <w:p w14:paraId="61A1DB40" w14:textId="77777777" w:rsidR="00591277" w:rsidRDefault="00591277">
      <w:pPr>
        <w:spacing w:line="360" w:lineRule="auto"/>
        <w:jc w:val="both"/>
        <w:rPr>
          <w:rFonts w:ascii="Times New Roman" w:eastAsia="Times New Roman" w:hAnsi="Times New Roman" w:cs="Times New Roman"/>
          <w:sz w:val="24"/>
          <w:szCs w:val="24"/>
        </w:rPr>
      </w:pPr>
    </w:p>
    <w:p w14:paraId="196503FD" w14:textId="77777777" w:rsidR="00591277" w:rsidRDefault="00000000">
      <w:pPr>
        <w:spacing w:line="360" w:lineRule="auto"/>
        <w:jc w:val="both"/>
        <w:rPr>
          <w:rFonts w:ascii="Times New Roman" w:eastAsia="Times New Roman" w:hAnsi="Times New Roman" w:cs="Times New Roman"/>
          <w:sz w:val="24"/>
          <w:szCs w:val="24"/>
        </w:rPr>
      </w:pPr>
      <w:r>
        <w:br w:type="page"/>
      </w:r>
    </w:p>
    <w:p w14:paraId="5356BD4D" w14:textId="77777777" w:rsidR="00591277" w:rsidRDefault="00000000">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Declaration</w:t>
      </w:r>
    </w:p>
    <w:p w14:paraId="41A91C3F" w14:textId="77777777" w:rsidR="00591277" w:rsidRDefault="00591277">
      <w:pPr>
        <w:spacing w:line="360" w:lineRule="auto"/>
        <w:jc w:val="both"/>
        <w:rPr>
          <w:rFonts w:ascii="Times New Roman" w:eastAsia="Times New Roman" w:hAnsi="Times New Roman" w:cs="Times New Roman"/>
          <w:b/>
          <w:bCs/>
          <w:sz w:val="24"/>
          <w:szCs w:val="24"/>
        </w:rPr>
      </w:pPr>
    </w:p>
    <w:p w14:paraId="0FAD7E99" w14:textId="21EAF519" w:rsidR="00591277"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confirm that this assignment is my own work, that it has not been submitted for any other award, and that all sources have been acknowledged.</w:t>
      </w:r>
      <w:r w:rsidR="00802BF2">
        <w:rPr>
          <w:rFonts w:ascii="Times New Roman" w:eastAsia="Times New Roman" w:hAnsi="Times New Roman" w:cs="Times New Roman"/>
          <w:sz w:val="24"/>
          <w:szCs w:val="24"/>
        </w:rPr>
        <w:t xml:space="preserve"> </w:t>
      </w:r>
      <w:r w:rsidR="00F3412D">
        <w:rPr>
          <w:rFonts w:ascii="Times New Roman" w:eastAsia="Times New Roman" w:hAnsi="Times New Roman" w:cs="Times New Roman"/>
          <w:sz w:val="24"/>
          <w:szCs w:val="24"/>
        </w:rPr>
        <w:t>I did not use AI</w:t>
      </w:r>
      <w:r w:rsidR="00D81C3F">
        <w:rPr>
          <w:rFonts w:ascii="Times New Roman" w:eastAsia="Times New Roman" w:hAnsi="Times New Roman" w:cs="Times New Roman"/>
          <w:sz w:val="24"/>
          <w:szCs w:val="24"/>
        </w:rPr>
        <w:t xml:space="preserve"> for this work</w:t>
      </w:r>
      <w:r w:rsidR="00674E9C">
        <w:rPr>
          <w:rFonts w:ascii="Times New Roman" w:eastAsia="Times New Roman" w:hAnsi="Times New Roman" w:cs="Times New Roman"/>
          <w:sz w:val="24"/>
          <w:szCs w:val="24"/>
        </w:rPr>
        <w:t>.</w:t>
      </w:r>
    </w:p>
    <w:p w14:paraId="0DDE61AB" w14:textId="77777777" w:rsidR="00591277"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755856F" w14:textId="6E73318C" w:rsidR="00591277"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Signed</w:t>
      </w:r>
      <w:r w:rsidR="00802BF2">
        <w:rPr>
          <w:rFonts w:ascii="Times New Roman" w:eastAsia="Times New Roman" w:hAnsi="Times New Roman" w:cs="Times New Roman"/>
          <w:sz w:val="24"/>
          <w:szCs w:val="24"/>
        </w:rPr>
        <w:t>: Ajirony Rahman Nilema</w:t>
      </w:r>
    </w:p>
    <w:p w14:paraId="16ECC287" w14:textId="77777777" w:rsidR="00591277"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280E860" w14:textId="77777777" w:rsidR="00591277" w:rsidRDefault="00591277">
      <w:pPr>
        <w:spacing w:before="240" w:after="240" w:line="360" w:lineRule="auto"/>
        <w:jc w:val="both"/>
        <w:rPr>
          <w:rFonts w:ascii="Times New Roman" w:eastAsia="Times New Roman" w:hAnsi="Times New Roman" w:cs="Times New Roman"/>
          <w:sz w:val="24"/>
          <w:szCs w:val="24"/>
        </w:rPr>
      </w:pPr>
    </w:p>
    <w:p w14:paraId="065F90A2" w14:textId="77777777" w:rsidR="00591277" w:rsidRDefault="00000000">
      <w:pPr>
        <w:spacing w:line="360" w:lineRule="auto"/>
        <w:rPr>
          <w:rFonts w:ascii="Times New Roman" w:eastAsia="Times New Roman" w:hAnsi="Times New Roman" w:cs="Times New Roman"/>
          <w:b/>
          <w:bCs/>
          <w:sz w:val="24"/>
          <w:szCs w:val="24"/>
        </w:rPr>
      </w:pPr>
      <w:r>
        <w:br w:type="page"/>
      </w:r>
    </w:p>
    <w:p w14:paraId="1B3C3D98" w14:textId="77777777" w:rsidR="00591277" w:rsidRDefault="00000000">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List of Figures</w:t>
      </w:r>
    </w:p>
    <w:sdt>
      <w:sdtPr>
        <w:id w:val="1440896676"/>
        <w:docPartObj>
          <w:docPartGallery w:val="Table of Contents"/>
          <w:docPartUnique/>
        </w:docPartObj>
      </w:sdtPr>
      <w:sdtContent>
        <w:p w14:paraId="7113A02C" w14:textId="77777777" w:rsidR="00591277" w:rsidRDefault="00591277">
          <w:pPr>
            <w:widowControl w:val="0"/>
            <w:tabs>
              <w:tab w:val="right" w:pos="9025"/>
            </w:tabs>
            <w:spacing w:before="60" w:line="240" w:lineRule="auto"/>
            <w:ind w:left="360"/>
            <w:rPr>
              <w:color w:val="000000"/>
            </w:rPr>
          </w:pPr>
          <w:r>
            <w:fldChar w:fldCharType="begin"/>
          </w:r>
          <w:r w:rsidR="00000000">
            <w:instrText xml:space="preserve"> TOC \h \u \z \t "Heading 1,1,Heading 2,2,Heading 3,3,Heading 4,4,Heading 5,5,Heading 6,6,"</w:instrText>
          </w:r>
          <w:r>
            <w:fldChar w:fldCharType="separate"/>
          </w:r>
          <w:hyperlink w:anchor="_qin0vu2xfl24">
            <w:r>
              <w:rPr>
                <w:color w:val="000000"/>
              </w:rPr>
              <w:t>Abstract</w:t>
            </w:r>
            <w:r>
              <w:rPr>
                <w:color w:val="000000"/>
              </w:rPr>
              <w:tab/>
            </w:r>
          </w:hyperlink>
          <w:r w:rsidR="00000000">
            <w:fldChar w:fldCharType="begin"/>
          </w:r>
          <w:r w:rsidR="00000000">
            <w:instrText xml:space="preserve"> PAGEREF _qin0vu2xfl24 \h </w:instrText>
          </w:r>
          <w:r w:rsidR="00000000">
            <w:fldChar w:fldCharType="separate"/>
          </w:r>
          <w:r w:rsidR="00000000">
            <w:t>4</w:t>
          </w:r>
          <w:r w:rsidR="00000000">
            <w:fldChar w:fldCharType="end"/>
          </w:r>
        </w:p>
        <w:p w14:paraId="18F49B6B" w14:textId="77777777" w:rsidR="00591277" w:rsidRDefault="00591277">
          <w:pPr>
            <w:widowControl w:val="0"/>
            <w:tabs>
              <w:tab w:val="right" w:pos="9025"/>
            </w:tabs>
            <w:spacing w:before="60" w:line="240" w:lineRule="auto"/>
            <w:ind w:left="720"/>
            <w:rPr>
              <w:color w:val="000000"/>
            </w:rPr>
          </w:pPr>
          <w:hyperlink w:anchor="_pa9ofzfae0vb">
            <w:r>
              <w:rPr>
                <w:color w:val="000000"/>
              </w:rPr>
              <w:t>Purpose</w:t>
            </w:r>
            <w:r>
              <w:rPr>
                <w:color w:val="000000"/>
              </w:rPr>
              <w:tab/>
            </w:r>
          </w:hyperlink>
          <w:r>
            <w:fldChar w:fldCharType="begin"/>
          </w:r>
          <w:r>
            <w:instrText xml:space="preserve"> PAGEREF _pa9ofzfae0vb \h </w:instrText>
          </w:r>
          <w:r>
            <w:fldChar w:fldCharType="separate"/>
          </w:r>
          <w:r>
            <w:t>4</w:t>
          </w:r>
          <w:r>
            <w:fldChar w:fldCharType="end"/>
          </w:r>
        </w:p>
        <w:p w14:paraId="7AFB0CD8" w14:textId="77777777" w:rsidR="00591277" w:rsidRDefault="00591277">
          <w:pPr>
            <w:widowControl w:val="0"/>
            <w:tabs>
              <w:tab w:val="right" w:pos="9025"/>
            </w:tabs>
            <w:spacing w:before="60" w:line="240" w:lineRule="auto"/>
            <w:ind w:left="720"/>
            <w:rPr>
              <w:color w:val="000000"/>
            </w:rPr>
          </w:pPr>
          <w:hyperlink w:anchor="_zeds0k28r4o7">
            <w:r>
              <w:rPr>
                <w:color w:val="000000"/>
              </w:rPr>
              <w:t>Method</w:t>
            </w:r>
            <w:r>
              <w:rPr>
                <w:color w:val="000000"/>
              </w:rPr>
              <w:tab/>
            </w:r>
          </w:hyperlink>
          <w:r>
            <w:fldChar w:fldCharType="begin"/>
          </w:r>
          <w:r>
            <w:instrText xml:space="preserve"> PAGEREF _zeds0k28r4o7 \h </w:instrText>
          </w:r>
          <w:r>
            <w:fldChar w:fldCharType="separate"/>
          </w:r>
          <w:r>
            <w:t>4</w:t>
          </w:r>
          <w:r>
            <w:fldChar w:fldCharType="end"/>
          </w:r>
        </w:p>
        <w:p w14:paraId="0C28A46C" w14:textId="77777777" w:rsidR="00591277" w:rsidRDefault="00591277">
          <w:pPr>
            <w:widowControl w:val="0"/>
            <w:tabs>
              <w:tab w:val="right" w:pos="9025"/>
            </w:tabs>
            <w:spacing w:before="60" w:line="240" w:lineRule="auto"/>
            <w:ind w:left="720"/>
            <w:rPr>
              <w:color w:val="000000"/>
            </w:rPr>
          </w:pPr>
          <w:hyperlink w:anchor="_vuek7oernfeq">
            <w:r>
              <w:rPr>
                <w:color w:val="000000"/>
              </w:rPr>
              <w:t>Findings</w:t>
            </w:r>
            <w:r>
              <w:rPr>
                <w:color w:val="000000"/>
              </w:rPr>
              <w:tab/>
            </w:r>
          </w:hyperlink>
          <w:r>
            <w:fldChar w:fldCharType="begin"/>
          </w:r>
          <w:r>
            <w:instrText xml:space="preserve"> PAGEREF _vuek7oernfeq \h </w:instrText>
          </w:r>
          <w:r>
            <w:fldChar w:fldCharType="separate"/>
          </w:r>
          <w:r>
            <w:t>4</w:t>
          </w:r>
          <w:r>
            <w:fldChar w:fldCharType="end"/>
          </w:r>
        </w:p>
        <w:p w14:paraId="0E3870B8" w14:textId="77777777" w:rsidR="00591277" w:rsidRDefault="00591277">
          <w:pPr>
            <w:widowControl w:val="0"/>
            <w:tabs>
              <w:tab w:val="right" w:pos="9025"/>
            </w:tabs>
            <w:spacing w:before="60" w:line="240" w:lineRule="auto"/>
            <w:ind w:left="720"/>
            <w:rPr>
              <w:color w:val="000000"/>
            </w:rPr>
          </w:pPr>
          <w:hyperlink w:anchor="_blxf177c2ir1">
            <w:r>
              <w:rPr>
                <w:color w:val="000000"/>
              </w:rPr>
              <w:t>Originality and value</w:t>
            </w:r>
            <w:r>
              <w:rPr>
                <w:color w:val="000000"/>
              </w:rPr>
              <w:tab/>
            </w:r>
          </w:hyperlink>
          <w:r>
            <w:fldChar w:fldCharType="begin"/>
          </w:r>
          <w:r>
            <w:instrText xml:space="preserve"> PAGEREF _blxf177c2ir1 \h </w:instrText>
          </w:r>
          <w:r>
            <w:fldChar w:fldCharType="separate"/>
          </w:r>
          <w:r>
            <w:t>5</w:t>
          </w:r>
          <w:r>
            <w:fldChar w:fldCharType="end"/>
          </w:r>
        </w:p>
        <w:p w14:paraId="26490023" w14:textId="77777777" w:rsidR="00591277" w:rsidRDefault="00591277">
          <w:pPr>
            <w:widowControl w:val="0"/>
            <w:tabs>
              <w:tab w:val="right" w:pos="9025"/>
            </w:tabs>
            <w:spacing w:before="60" w:line="240" w:lineRule="auto"/>
            <w:ind w:left="360"/>
            <w:rPr>
              <w:color w:val="000000"/>
            </w:rPr>
          </w:pPr>
          <w:hyperlink w:anchor="_632ufwj9rdsy">
            <w:r>
              <w:rPr>
                <w:color w:val="000000"/>
              </w:rPr>
              <w:t>1. Introduction</w:t>
            </w:r>
            <w:r>
              <w:rPr>
                <w:color w:val="000000"/>
              </w:rPr>
              <w:tab/>
            </w:r>
          </w:hyperlink>
          <w:r>
            <w:fldChar w:fldCharType="begin"/>
          </w:r>
          <w:r>
            <w:instrText xml:space="preserve"> PAGEREF _632ufwj9rdsy \h </w:instrText>
          </w:r>
          <w:r>
            <w:fldChar w:fldCharType="separate"/>
          </w:r>
          <w:r>
            <w:t>6</w:t>
          </w:r>
          <w:r>
            <w:fldChar w:fldCharType="end"/>
          </w:r>
        </w:p>
        <w:p w14:paraId="59970885" w14:textId="77777777" w:rsidR="00591277" w:rsidRDefault="00591277">
          <w:pPr>
            <w:widowControl w:val="0"/>
            <w:tabs>
              <w:tab w:val="right" w:pos="9025"/>
            </w:tabs>
            <w:spacing w:before="60" w:line="240" w:lineRule="auto"/>
            <w:ind w:left="720"/>
            <w:rPr>
              <w:color w:val="000000"/>
            </w:rPr>
          </w:pPr>
          <w:hyperlink w:anchor="_j3a7qieeevy4">
            <w:r>
              <w:rPr>
                <w:color w:val="000000"/>
              </w:rPr>
              <w:t>1.1 Background</w:t>
            </w:r>
            <w:r>
              <w:rPr>
                <w:color w:val="000000"/>
              </w:rPr>
              <w:tab/>
            </w:r>
          </w:hyperlink>
          <w:r>
            <w:fldChar w:fldCharType="begin"/>
          </w:r>
          <w:r>
            <w:instrText xml:space="preserve"> PAGEREF _j3a7qieeevy4 \h </w:instrText>
          </w:r>
          <w:r>
            <w:fldChar w:fldCharType="separate"/>
          </w:r>
          <w:r>
            <w:t>6</w:t>
          </w:r>
          <w:r>
            <w:fldChar w:fldCharType="end"/>
          </w:r>
        </w:p>
        <w:p w14:paraId="122EACF0" w14:textId="77777777" w:rsidR="00591277" w:rsidRDefault="00591277">
          <w:pPr>
            <w:widowControl w:val="0"/>
            <w:tabs>
              <w:tab w:val="right" w:pos="9025"/>
            </w:tabs>
            <w:spacing w:before="60" w:line="240" w:lineRule="auto"/>
            <w:ind w:left="720"/>
            <w:rPr>
              <w:color w:val="000000"/>
            </w:rPr>
          </w:pPr>
          <w:hyperlink w:anchor="_k25pfsfpy447">
            <w:r>
              <w:rPr>
                <w:color w:val="000000"/>
              </w:rPr>
              <w:t>1.2 Research Problem</w:t>
            </w:r>
            <w:r>
              <w:rPr>
                <w:color w:val="000000"/>
              </w:rPr>
              <w:tab/>
            </w:r>
          </w:hyperlink>
          <w:r>
            <w:fldChar w:fldCharType="begin"/>
          </w:r>
          <w:r>
            <w:instrText xml:space="preserve"> PAGEREF _k25pfsfpy447 \h </w:instrText>
          </w:r>
          <w:r>
            <w:fldChar w:fldCharType="separate"/>
          </w:r>
          <w:r>
            <w:t>7</w:t>
          </w:r>
          <w:r>
            <w:fldChar w:fldCharType="end"/>
          </w:r>
        </w:p>
        <w:p w14:paraId="23AD25C4" w14:textId="77777777" w:rsidR="00591277" w:rsidRDefault="00591277">
          <w:pPr>
            <w:widowControl w:val="0"/>
            <w:tabs>
              <w:tab w:val="right" w:pos="9025"/>
            </w:tabs>
            <w:spacing w:before="60" w:line="240" w:lineRule="auto"/>
            <w:ind w:left="720"/>
            <w:rPr>
              <w:color w:val="000000"/>
            </w:rPr>
          </w:pPr>
          <w:hyperlink w:anchor="_rmh4rwpirpn5">
            <w:r>
              <w:rPr>
                <w:color w:val="000000"/>
              </w:rPr>
              <w:t>1.3 Purpose of the Coursework</w:t>
            </w:r>
            <w:r>
              <w:rPr>
                <w:color w:val="000000"/>
              </w:rPr>
              <w:tab/>
            </w:r>
          </w:hyperlink>
          <w:r>
            <w:fldChar w:fldCharType="begin"/>
          </w:r>
          <w:r>
            <w:instrText xml:space="preserve"> PAGEREF _rmh4rwpirpn5 \h </w:instrText>
          </w:r>
          <w:r>
            <w:fldChar w:fldCharType="separate"/>
          </w:r>
          <w:r>
            <w:t>8</w:t>
          </w:r>
          <w:r>
            <w:fldChar w:fldCharType="end"/>
          </w:r>
        </w:p>
        <w:p w14:paraId="448E9AFB" w14:textId="77777777" w:rsidR="00591277" w:rsidRDefault="00591277">
          <w:pPr>
            <w:widowControl w:val="0"/>
            <w:tabs>
              <w:tab w:val="right" w:pos="9025"/>
            </w:tabs>
            <w:spacing w:before="60" w:line="240" w:lineRule="auto"/>
            <w:ind w:left="720"/>
            <w:rPr>
              <w:color w:val="000000"/>
            </w:rPr>
          </w:pPr>
          <w:hyperlink w:anchor="_nllqv691bugv">
            <w:r>
              <w:rPr>
                <w:color w:val="000000"/>
              </w:rPr>
              <w:t>1.4 Research Questions</w:t>
            </w:r>
            <w:r>
              <w:rPr>
                <w:color w:val="000000"/>
              </w:rPr>
              <w:tab/>
            </w:r>
          </w:hyperlink>
          <w:r>
            <w:fldChar w:fldCharType="begin"/>
          </w:r>
          <w:r>
            <w:instrText xml:space="preserve"> PAGEREF _nllqv691bugv \h </w:instrText>
          </w:r>
          <w:r>
            <w:fldChar w:fldCharType="separate"/>
          </w:r>
          <w:r>
            <w:t>8</w:t>
          </w:r>
          <w:r>
            <w:fldChar w:fldCharType="end"/>
          </w:r>
        </w:p>
        <w:p w14:paraId="2DDC73AA" w14:textId="77777777" w:rsidR="00591277" w:rsidRDefault="00591277">
          <w:pPr>
            <w:widowControl w:val="0"/>
            <w:tabs>
              <w:tab w:val="right" w:pos="9025"/>
            </w:tabs>
            <w:spacing w:before="60" w:line="240" w:lineRule="auto"/>
            <w:ind w:left="720"/>
            <w:rPr>
              <w:color w:val="000000"/>
            </w:rPr>
          </w:pPr>
          <w:hyperlink w:anchor="_e1dspsswtppc">
            <w:r>
              <w:rPr>
                <w:color w:val="000000"/>
              </w:rPr>
              <w:t>1.5 Key Concepts</w:t>
            </w:r>
            <w:r>
              <w:rPr>
                <w:color w:val="000000"/>
              </w:rPr>
              <w:tab/>
            </w:r>
          </w:hyperlink>
          <w:r>
            <w:fldChar w:fldCharType="begin"/>
          </w:r>
          <w:r>
            <w:instrText xml:space="preserve"> PAGEREF _e1dspsswtppc \h </w:instrText>
          </w:r>
          <w:r>
            <w:fldChar w:fldCharType="separate"/>
          </w:r>
          <w:r>
            <w:t>9</w:t>
          </w:r>
          <w:r>
            <w:fldChar w:fldCharType="end"/>
          </w:r>
        </w:p>
        <w:p w14:paraId="7D4E0A7C" w14:textId="77777777" w:rsidR="00591277" w:rsidRDefault="00591277">
          <w:pPr>
            <w:widowControl w:val="0"/>
            <w:tabs>
              <w:tab w:val="right" w:pos="9025"/>
            </w:tabs>
            <w:spacing w:before="60" w:line="240" w:lineRule="auto"/>
            <w:ind w:left="360"/>
            <w:rPr>
              <w:color w:val="000000"/>
            </w:rPr>
          </w:pPr>
          <w:hyperlink w:anchor="_6vy0699e33ny">
            <w:r>
              <w:rPr>
                <w:color w:val="000000"/>
              </w:rPr>
              <w:t>2. Method for Conducting the Literature Review</w:t>
            </w:r>
            <w:r>
              <w:rPr>
                <w:color w:val="000000"/>
              </w:rPr>
              <w:tab/>
            </w:r>
          </w:hyperlink>
          <w:r>
            <w:fldChar w:fldCharType="begin"/>
          </w:r>
          <w:r>
            <w:instrText xml:space="preserve"> PAGEREF _6vy0699e33ny \h </w:instrText>
          </w:r>
          <w:r>
            <w:fldChar w:fldCharType="separate"/>
          </w:r>
          <w:r>
            <w:t>10</w:t>
          </w:r>
          <w:r>
            <w:fldChar w:fldCharType="end"/>
          </w:r>
        </w:p>
        <w:p w14:paraId="35F52D0F" w14:textId="77777777" w:rsidR="00591277" w:rsidRDefault="00591277">
          <w:pPr>
            <w:widowControl w:val="0"/>
            <w:tabs>
              <w:tab w:val="right" w:pos="9025"/>
            </w:tabs>
            <w:spacing w:before="60" w:line="240" w:lineRule="auto"/>
            <w:ind w:left="720"/>
            <w:rPr>
              <w:color w:val="000000"/>
            </w:rPr>
          </w:pPr>
          <w:hyperlink w:anchor="_j774xtmtjy29">
            <w:r>
              <w:rPr>
                <w:color w:val="000000"/>
              </w:rPr>
              <w:t>2.1 Review Design</w:t>
            </w:r>
            <w:r>
              <w:rPr>
                <w:color w:val="000000"/>
              </w:rPr>
              <w:tab/>
            </w:r>
          </w:hyperlink>
          <w:r>
            <w:fldChar w:fldCharType="begin"/>
          </w:r>
          <w:r>
            <w:instrText xml:space="preserve"> PAGEREF _j774xtmtjy29 \h </w:instrText>
          </w:r>
          <w:r>
            <w:fldChar w:fldCharType="separate"/>
          </w:r>
          <w:r>
            <w:t>10</w:t>
          </w:r>
          <w:r>
            <w:fldChar w:fldCharType="end"/>
          </w:r>
        </w:p>
        <w:p w14:paraId="19CE7596" w14:textId="77777777" w:rsidR="00591277" w:rsidRDefault="00591277">
          <w:pPr>
            <w:widowControl w:val="0"/>
            <w:tabs>
              <w:tab w:val="right" w:pos="9025"/>
            </w:tabs>
            <w:spacing w:before="60" w:line="240" w:lineRule="auto"/>
            <w:ind w:left="720"/>
            <w:rPr>
              <w:color w:val="000000"/>
            </w:rPr>
          </w:pPr>
          <w:hyperlink w:anchor="_u5v62yu03pfn">
            <w:r>
              <w:rPr>
                <w:color w:val="000000"/>
              </w:rPr>
              <w:t>2.2 Search Strategy</w:t>
            </w:r>
            <w:r>
              <w:rPr>
                <w:color w:val="000000"/>
              </w:rPr>
              <w:tab/>
            </w:r>
          </w:hyperlink>
          <w:r>
            <w:fldChar w:fldCharType="begin"/>
          </w:r>
          <w:r>
            <w:instrText xml:space="preserve"> PAGEREF _u5v62yu03pfn \h </w:instrText>
          </w:r>
          <w:r>
            <w:fldChar w:fldCharType="separate"/>
          </w:r>
          <w:r>
            <w:t>10</w:t>
          </w:r>
          <w:r>
            <w:fldChar w:fldCharType="end"/>
          </w:r>
        </w:p>
        <w:p w14:paraId="2081CCDE" w14:textId="77777777" w:rsidR="00591277" w:rsidRDefault="00591277">
          <w:pPr>
            <w:widowControl w:val="0"/>
            <w:tabs>
              <w:tab w:val="right" w:pos="9025"/>
            </w:tabs>
            <w:spacing w:before="60" w:line="240" w:lineRule="auto"/>
            <w:ind w:left="720"/>
            <w:rPr>
              <w:color w:val="000000"/>
            </w:rPr>
          </w:pPr>
          <w:hyperlink w:anchor="_hjdjyy2s5jrb">
            <w:r>
              <w:rPr>
                <w:color w:val="000000"/>
              </w:rPr>
              <w:t>2.3 Inclusion, Exclusion and Analytical Procedure</w:t>
            </w:r>
            <w:r>
              <w:rPr>
                <w:color w:val="000000"/>
              </w:rPr>
              <w:tab/>
            </w:r>
          </w:hyperlink>
          <w:r>
            <w:fldChar w:fldCharType="begin"/>
          </w:r>
          <w:r>
            <w:instrText xml:space="preserve"> PAGEREF _hjdjyy2s5jrb \h </w:instrText>
          </w:r>
          <w:r>
            <w:fldChar w:fldCharType="separate"/>
          </w:r>
          <w:r>
            <w:t>11</w:t>
          </w:r>
          <w:r>
            <w:fldChar w:fldCharType="end"/>
          </w:r>
        </w:p>
        <w:p w14:paraId="2E9D1E2A" w14:textId="77777777" w:rsidR="00591277" w:rsidRDefault="00591277">
          <w:pPr>
            <w:widowControl w:val="0"/>
            <w:tabs>
              <w:tab w:val="right" w:pos="9025"/>
            </w:tabs>
            <w:spacing w:before="60" w:line="240" w:lineRule="auto"/>
            <w:ind w:left="360"/>
            <w:rPr>
              <w:color w:val="000000"/>
            </w:rPr>
          </w:pPr>
          <w:hyperlink w:anchor="_xh5gs3o3eda4">
            <w:r>
              <w:rPr>
                <w:color w:val="000000"/>
              </w:rPr>
              <w:t>3. Critical Literature Review</w:t>
            </w:r>
            <w:r>
              <w:rPr>
                <w:color w:val="000000"/>
              </w:rPr>
              <w:tab/>
            </w:r>
          </w:hyperlink>
          <w:r>
            <w:fldChar w:fldCharType="begin"/>
          </w:r>
          <w:r>
            <w:instrText xml:space="preserve"> PAGEREF _xh5gs3o3eda4 \h </w:instrText>
          </w:r>
          <w:r>
            <w:fldChar w:fldCharType="separate"/>
          </w:r>
          <w:r>
            <w:t>13</w:t>
          </w:r>
          <w:r>
            <w:fldChar w:fldCharType="end"/>
          </w:r>
        </w:p>
        <w:p w14:paraId="5C9B0FF7" w14:textId="77777777" w:rsidR="00591277" w:rsidRDefault="00591277">
          <w:pPr>
            <w:widowControl w:val="0"/>
            <w:tabs>
              <w:tab w:val="right" w:pos="9025"/>
            </w:tabs>
            <w:spacing w:before="60" w:line="240" w:lineRule="auto"/>
            <w:ind w:left="720"/>
            <w:rPr>
              <w:color w:val="000000"/>
            </w:rPr>
          </w:pPr>
          <w:hyperlink w:anchor="_b036w594xt1s">
            <w:r>
              <w:rPr>
                <w:color w:val="000000"/>
              </w:rPr>
              <w:t>3.1 Psychological Contract Fulfilment in AI-Enabled Organisations</w:t>
            </w:r>
            <w:r>
              <w:rPr>
                <w:color w:val="000000"/>
              </w:rPr>
              <w:tab/>
            </w:r>
          </w:hyperlink>
          <w:r>
            <w:fldChar w:fldCharType="begin"/>
          </w:r>
          <w:r>
            <w:instrText xml:space="preserve"> PAGEREF _b036w594xt1s \h </w:instrText>
          </w:r>
          <w:r>
            <w:fldChar w:fldCharType="separate"/>
          </w:r>
          <w:r>
            <w:t>13</w:t>
          </w:r>
          <w:r>
            <w:fldChar w:fldCharType="end"/>
          </w:r>
        </w:p>
        <w:p w14:paraId="43C06759" w14:textId="77777777" w:rsidR="00591277" w:rsidRDefault="00591277">
          <w:pPr>
            <w:widowControl w:val="0"/>
            <w:tabs>
              <w:tab w:val="right" w:pos="9025"/>
            </w:tabs>
            <w:spacing w:before="60" w:line="240" w:lineRule="auto"/>
            <w:ind w:left="720"/>
            <w:rPr>
              <w:color w:val="000000"/>
            </w:rPr>
          </w:pPr>
          <w:hyperlink w:anchor="_ttgjh3srihb">
            <w:r>
              <w:rPr>
                <w:color w:val="000000"/>
              </w:rPr>
              <w:t>3.2 Organisational Justice and Employee Retention</w:t>
            </w:r>
            <w:r>
              <w:rPr>
                <w:color w:val="000000"/>
              </w:rPr>
              <w:tab/>
            </w:r>
          </w:hyperlink>
          <w:r>
            <w:fldChar w:fldCharType="begin"/>
          </w:r>
          <w:r>
            <w:instrText xml:space="preserve"> PAGEREF _ttgjh3srihb \h </w:instrText>
          </w:r>
          <w:r>
            <w:fldChar w:fldCharType="separate"/>
          </w:r>
          <w:r>
            <w:t>15</w:t>
          </w:r>
          <w:r>
            <w:fldChar w:fldCharType="end"/>
          </w:r>
        </w:p>
        <w:p w14:paraId="47499B65" w14:textId="77777777" w:rsidR="00591277" w:rsidRDefault="00591277">
          <w:pPr>
            <w:widowControl w:val="0"/>
            <w:tabs>
              <w:tab w:val="right" w:pos="9025"/>
            </w:tabs>
            <w:spacing w:before="60" w:line="240" w:lineRule="auto"/>
            <w:ind w:left="720"/>
            <w:rPr>
              <w:color w:val="000000"/>
            </w:rPr>
          </w:pPr>
          <w:hyperlink w:anchor="_m3vsn8b2un51">
            <w:r>
              <w:rPr>
                <w:color w:val="000000"/>
              </w:rPr>
              <w:t>3.3 Responsible AI Adoption and Human-Centred Transformation</w:t>
            </w:r>
            <w:r>
              <w:rPr>
                <w:color w:val="000000"/>
              </w:rPr>
              <w:tab/>
            </w:r>
          </w:hyperlink>
          <w:r>
            <w:fldChar w:fldCharType="begin"/>
          </w:r>
          <w:r>
            <w:instrText xml:space="preserve"> PAGEREF _m3vsn8b2un51 \h </w:instrText>
          </w:r>
          <w:r>
            <w:fldChar w:fldCharType="separate"/>
          </w:r>
          <w:r>
            <w:t>16</w:t>
          </w:r>
          <w:r>
            <w:fldChar w:fldCharType="end"/>
          </w:r>
        </w:p>
        <w:p w14:paraId="6DDB5844" w14:textId="77777777" w:rsidR="00591277" w:rsidRDefault="00591277">
          <w:pPr>
            <w:widowControl w:val="0"/>
            <w:tabs>
              <w:tab w:val="right" w:pos="9025"/>
            </w:tabs>
            <w:spacing w:before="60" w:line="240" w:lineRule="auto"/>
            <w:ind w:left="720"/>
            <w:rPr>
              <w:color w:val="000000"/>
            </w:rPr>
          </w:pPr>
          <w:hyperlink w:anchor="_voassvugz9xv">
            <w:r>
              <w:rPr>
                <w:color w:val="000000"/>
              </w:rPr>
              <w:t>3.4 Strategic Workforce Retention</w:t>
            </w:r>
            <w:r>
              <w:rPr>
                <w:color w:val="000000"/>
              </w:rPr>
              <w:tab/>
            </w:r>
          </w:hyperlink>
          <w:r>
            <w:fldChar w:fldCharType="begin"/>
          </w:r>
          <w:r>
            <w:instrText xml:space="preserve"> PAGEREF _voassvugz9xv \h </w:instrText>
          </w:r>
          <w:r>
            <w:fldChar w:fldCharType="separate"/>
          </w:r>
          <w:r>
            <w:t>18</w:t>
          </w:r>
          <w:r>
            <w:fldChar w:fldCharType="end"/>
          </w:r>
        </w:p>
        <w:p w14:paraId="12D61C19" w14:textId="77777777" w:rsidR="00591277" w:rsidRDefault="00591277">
          <w:pPr>
            <w:widowControl w:val="0"/>
            <w:tabs>
              <w:tab w:val="right" w:pos="9025"/>
            </w:tabs>
            <w:spacing w:before="60" w:line="240" w:lineRule="auto"/>
            <w:ind w:left="720"/>
            <w:rPr>
              <w:color w:val="000000"/>
            </w:rPr>
          </w:pPr>
          <w:hyperlink w:anchor="_xpaf1d2k4icv">
            <w:r>
              <w:rPr>
                <w:color w:val="000000"/>
              </w:rPr>
              <w:t>3.5 Comparative Philosophical Perspectives Applied to the Literature</w:t>
            </w:r>
            <w:r>
              <w:rPr>
                <w:color w:val="000000"/>
              </w:rPr>
              <w:tab/>
            </w:r>
          </w:hyperlink>
          <w:r>
            <w:fldChar w:fldCharType="begin"/>
          </w:r>
          <w:r>
            <w:instrText xml:space="preserve"> PAGEREF _xpaf1d2k4icv \h </w:instrText>
          </w:r>
          <w:r>
            <w:fldChar w:fldCharType="separate"/>
          </w:r>
          <w:r>
            <w:t>19</w:t>
          </w:r>
          <w:r>
            <w:fldChar w:fldCharType="end"/>
          </w:r>
        </w:p>
        <w:p w14:paraId="3B009412" w14:textId="77777777" w:rsidR="00591277" w:rsidRDefault="00591277">
          <w:pPr>
            <w:widowControl w:val="0"/>
            <w:tabs>
              <w:tab w:val="right" w:pos="9025"/>
            </w:tabs>
            <w:spacing w:before="60" w:line="240" w:lineRule="auto"/>
            <w:ind w:left="720"/>
            <w:rPr>
              <w:color w:val="000000"/>
            </w:rPr>
          </w:pPr>
          <w:hyperlink w:anchor="_n6nih1lnhbov">
            <w:r>
              <w:rPr>
                <w:color w:val="000000"/>
              </w:rPr>
              <w:t>3.6 Literature Synthesis and Research Gaps</w:t>
            </w:r>
            <w:r>
              <w:rPr>
                <w:color w:val="000000"/>
              </w:rPr>
              <w:tab/>
            </w:r>
          </w:hyperlink>
          <w:r>
            <w:fldChar w:fldCharType="begin"/>
          </w:r>
          <w:r>
            <w:instrText xml:space="preserve"> PAGEREF _n6nih1lnhbov \h </w:instrText>
          </w:r>
          <w:r>
            <w:fldChar w:fldCharType="separate"/>
          </w:r>
          <w:r>
            <w:t>21</w:t>
          </w:r>
          <w:r>
            <w:fldChar w:fldCharType="end"/>
          </w:r>
        </w:p>
        <w:p w14:paraId="203D37BB" w14:textId="77777777" w:rsidR="00591277" w:rsidRDefault="00591277">
          <w:pPr>
            <w:widowControl w:val="0"/>
            <w:tabs>
              <w:tab w:val="right" w:pos="9025"/>
            </w:tabs>
            <w:spacing w:before="60" w:line="240" w:lineRule="auto"/>
            <w:ind w:left="360"/>
            <w:rPr>
              <w:color w:val="000000"/>
            </w:rPr>
          </w:pPr>
          <w:hyperlink w:anchor="_6qkhudv179f1">
            <w:r>
              <w:rPr>
                <w:color w:val="000000"/>
              </w:rPr>
              <w:t>4. Philosophical and Methodological Analysis of the Selected Study</w:t>
            </w:r>
            <w:r>
              <w:rPr>
                <w:color w:val="000000"/>
              </w:rPr>
              <w:tab/>
            </w:r>
          </w:hyperlink>
          <w:r>
            <w:fldChar w:fldCharType="begin"/>
          </w:r>
          <w:r>
            <w:instrText xml:space="preserve"> PAGEREF _6qkhudv179f1 \h </w:instrText>
          </w:r>
          <w:r>
            <w:fldChar w:fldCharType="separate"/>
          </w:r>
          <w:r>
            <w:t>24</w:t>
          </w:r>
          <w:r>
            <w:fldChar w:fldCharType="end"/>
          </w:r>
        </w:p>
        <w:p w14:paraId="678FB575" w14:textId="77777777" w:rsidR="00591277" w:rsidRDefault="00591277">
          <w:pPr>
            <w:widowControl w:val="0"/>
            <w:tabs>
              <w:tab w:val="right" w:pos="9025"/>
            </w:tabs>
            <w:spacing w:before="60" w:line="240" w:lineRule="auto"/>
            <w:ind w:left="720"/>
            <w:rPr>
              <w:color w:val="000000"/>
            </w:rPr>
          </w:pPr>
          <w:hyperlink w:anchor="_vi4rxgw8pezo">
            <w:r>
              <w:rPr>
                <w:color w:val="000000"/>
              </w:rPr>
              <w:t>4.1 Selected Study</w:t>
            </w:r>
            <w:r>
              <w:rPr>
                <w:color w:val="000000"/>
              </w:rPr>
              <w:tab/>
            </w:r>
          </w:hyperlink>
          <w:r>
            <w:fldChar w:fldCharType="begin"/>
          </w:r>
          <w:r>
            <w:instrText xml:space="preserve"> PAGEREF _vi4rxgw8pezo \h </w:instrText>
          </w:r>
          <w:r>
            <w:fldChar w:fldCharType="separate"/>
          </w:r>
          <w:r>
            <w:t>24</w:t>
          </w:r>
          <w:r>
            <w:fldChar w:fldCharType="end"/>
          </w:r>
        </w:p>
        <w:p w14:paraId="0F313002" w14:textId="77777777" w:rsidR="00591277" w:rsidRDefault="00591277">
          <w:pPr>
            <w:widowControl w:val="0"/>
            <w:tabs>
              <w:tab w:val="right" w:pos="9025"/>
            </w:tabs>
            <w:spacing w:before="60" w:line="240" w:lineRule="auto"/>
            <w:ind w:left="720"/>
            <w:rPr>
              <w:color w:val="000000"/>
            </w:rPr>
          </w:pPr>
          <w:hyperlink w:anchor="_32wje1l9hlno">
            <w:r>
              <w:rPr>
                <w:color w:val="000000"/>
              </w:rPr>
              <w:t>4.2 Ontology and Epistemology</w:t>
            </w:r>
            <w:r>
              <w:rPr>
                <w:color w:val="000000"/>
              </w:rPr>
              <w:tab/>
            </w:r>
          </w:hyperlink>
          <w:r>
            <w:fldChar w:fldCharType="begin"/>
          </w:r>
          <w:r>
            <w:instrText xml:space="preserve"> PAGEREF _32wje1l9hlno \h </w:instrText>
          </w:r>
          <w:r>
            <w:fldChar w:fldCharType="separate"/>
          </w:r>
          <w:r>
            <w:t>24</w:t>
          </w:r>
          <w:r>
            <w:fldChar w:fldCharType="end"/>
          </w:r>
        </w:p>
        <w:p w14:paraId="6D0B82C8" w14:textId="77777777" w:rsidR="00591277" w:rsidRDefault="00591277">
          <w:pPr>
            <w:widowControl w:val="0"/>
            <w:tabs>
              <w:tab w:val="right" w:pos="9025"/>
            </w:tabs>
            <w:spacing w:before="60" w:line="240" w:lineRule="auto"/>
            <w:ind w:left="720"/>
            <w:rPr>
              <w:color w:val="000000"/>
            </w:rPr>
          </w:pPr>
          <w:hyperlink w:anchor="_r3ny4i29puhy">
            <w:r>
              <w:rPr>
                <w:color w:val="000000"/>
              </w:rPr>
              <w:t>4.3 Axiology and the positionality of the researcher</w:t>
            </w:r>
            <w:r>
              <w:rPr>
                <w:color w:val="000000"/>
              </w:rPr>
              <w:tab/>
            </w:r>
          </w:hyperlink>
          <w:r>
            <w:fldChar w:fldCharType="begin"/>
          </w:r>
          <w:r>
            <w:instrText xml:space="preserve"> PAGEREF _r3ny4i29puhy \h </w:instrText>
          </w:r>
          <w:r>
            <w:fldChar w:fldCharType="separate"/>
          </w:r>
          <w:r>
            <w:t>25</w:t>
          </w:r>
          <w:r>
            <w:fldChar w:fldCharType="end"/>
          </w:r>
        </w:p>
        <w:p w14:paraId="6DA52C7D" w14:textId="77777777" w:rsidR="00591277" w:rsidRDefault="00591277">
          <w:pPr>
            <w:widowControl w:val="0"/>
            <w:tabs>
              <w:tab w:val="right" w:pos="9025"/>
            </w:tabs>
            <w:spacing w:before="60" w:line="240" w:lineRule="auto"/>
            <w:ind w:left="720"/>
            <w:rPr>
              <w:color w:val="000000"/>
            </w:rPr>
          </w:pPr>
          <w:hyperlink w:anchor="_vjuizrte0uaf">
            <w:r>
              <w:rPr>
                <w:color w:val="000000"/>
              </w:rPr>
              <w:t>4.4 Reliability and Validity</w:t>
            </w:r>
            <w:r>
              <w:rPr>
                <w:color w:val="000000"/>
              </w:rPr>
              <w:tab/>
            </w:r>
          </w:hyperlink>
          <w:r>
            <w:fldChar w:fldCharType="begin"/>
          </w:r>
          <w:r>
            <w:instrText xml:space="preserve"> PAGEREF _vjuizrte0uaf \h </w:instrText>
          </w:r>
          <w:r>
            <w:fldChar w:fldCharType="separate"/>
          </w:r>
          <w:r>
            <w:t>26</w:t>
          </w:r>
          <w:r>
            <w:fldChar w:fldCharType="end"/>
          </w:r>
        </w:p>
        <w:p w14:paraId="74A89EBC" w14:textId="77777777" w:rsidR="00591277" w:rsidRDefault="00591277">
          <w:pPr>
            <w:widowControl w:val="0"/>
            <w:tabs>
              <w:tab w:val="right" w:pos="9025"/>
            </w:tabs>
            <w:spacing w:before="60" w:line="240" w:lineRule="auto"/>
            <w:ind w:left="720"/>
            <w:rPr>
              <w:color w:val="000000"/>
            </w:rPr>
          </w:pPr>
          <w:hyperlink w:anchor="_9f6imp3nm8in">
            <w:r>
              <w:rPr>
                <w:color w:val="000000"/>
              </w:rPr>
              <w:t>4.5 Ethical Considerations</w:t>
            </w:r>
            <w:r>
              <w:rPr>
                <w:color w:val="000000"/>
              </w:rPr>
              <w:tab/>
            </w:r>
          </w:hyperlink>
          <w:r>
            <w:fldChar w:fldCharType="begin"/>
          </w:r>
          <w:r>
            <w:instrText xml:space="preserve"> PAGEREF _9f6imp3nm8in \h </w:instrText>
          </w:r>
          <w:r>
            <w:fldChar w:fldCharType="separate"/>
          </w:r>
          <w:r>
            <w:t>28</w:t>
          </w:r>
          <w:r>
            <w:fldChar w:fldCharType="end"/>
          </w:r>
        </w:p>
        <w:p w14:paraId="03DE7EB9" w14:textId="77777777" w:rsidR="00591277" w:rsidRDefault="00591277">
          <w:pPr>
            <w:widowControl w:val="0"/>
            <w:tabs>
              <w:tab w:val="right" w:pos="9025"/>
            </w:tabs>
            <w:spacing w:before="60" w:line="240" w:lineRule="auto"/>
            <w:ind w:left="360"/>
            <w:rPr>
              <w:color w:val="000000"/>
            </w:rPr>
          </w:pPr>
          <w:hyperlink w:anchor="_xath672rtag4">
            <w:r>
              <w:rPr>
                <w:color w:val="000000"/>
              </w:rPr>
              <w:t>5. Discussion and Contribution</w:t>
            </w:r>
            <w:r>
              <w:rPr>
                <w:color w:val="000000"/>
              </w:rPr>
              <w:tab/>
            </w:r>
          </w:hyperlink>
          <w:r>
            <w:fldChar w:fldCharType="begin"/>
          </w:r>
          <w:r>
            <w:instrText xml:space="preserve"> PAGEREF _xath672rtag4 \h </w:instrText>
          </w:r>
          <w:r>
            <w:fldChar w:fldCharType="separate"/>
          </w:r>
          <w:r>
            <w:t>29</w:t>
          </w:r>
          <w:r>
            <w:fldChar w:fldCharType="end"/>
          </w:r>
        </w:p>
        <w:p w14:paraId="09B02C64" w14:textId="77777777" w:rsidR="00591277" w:rsidRDefault="00591277">
          <w:pPr>
            <w:widowControl w:val="0"/>
            <w:tabs>
              <w:tab w:val="right" w:pos="9025"/>
            </w:tabs>
            <w:spacing w:before="60" w:line="240" w:lineRule="auto"/>
            <w:ind w:left="360"/>
            <w:rPr>
              <w:color w:val="000000"/>
            </w:rPr>
          </w:pPr>
          <w:hyperlink w:anchor="_vtj7p2adcne">
            <w:r>
              <w:rPr>
                <w:color w:val="000000"/>
              </w:rPr>
              <w:t>6. Conclusion</w:t>
            </w:r>
            <w:r>
              <w:rPr>
                <w:color w:val="000000"/>
              </w:rPr>
              <w:tab/>
            </w:r>
          </w:hyperlink>
          <w:r>
            <w:fldChar w:fldCharType="begin"/>
          </w:r>
          <w:r>
            <w:instrText xml:space="preserve"> PAGEREF _vtj7p2adcne \h </w:instrText>
          </w:r>
          <w:r>
            <w:fldChar w:fldCharType="separate"/>
          </w:r>
          <w:r>
            <w:t>32</w:t>
          </w:r>
          <w:r>
            <w:fldChar w:fldCharType="end"/>
          </w:r>
        </w:p>
        <w:p w14:paraId="46A3C01C" w14:textId="77777777" w:rsidR="00591277" w:rsidRDefault="00591277">
          <w:pPr>
            <w:widowControl w:val="0"/>
            <w:tabs>
              <w:tab w:val="right" w:pos="9025"/>
            </w:tabs>
            <w:spacing w:before="60" w:line="240" w:lineRule="auto"/>
            <w:ind w:left="360"/>
            <w:rPr>
              <w:color w:val="000000"/>
            </w:rPr>
          </w:pPr>
          <w:hyperlink w:anchor="_uhidn9i79foo">
            <w:r>
              <w:rPr>
                <w:color w:val="000000"/>
              </w:rPr>
              <w:t>References</w:t>
            </w:r>
            <w:r>
              <w:rPr>
                <w:color w:val="000000"/>
              </w:rPr>
              <w:tab/>
            </w:r>
          </w:hyperlink>
          <w:r>
            <w:fldChar w:fldCharType="begin"/>
          </w:r>
          <w:r>
            <w:instrText xml:space="preserve"> PAGEREF _uhidn9i79foo \h </w:instrText>
          </w:r>
          <w:r>
            <w:fldChar w:fldCharType="separate"/>
          </w:r>
          <w:r>
            <w:t>34</w:t>
          </w:r>
          <w:r>
            <w:fldChar w:fldCharType="end"/>
          </w:r>
          <w:r>
            <w:fldChar w:fldCharType="end"/>
          </w:r>
        </w:p>
      </w:sdtContent>
    </w:sdt>
    <w:p w14:paraId="130DCC77" w14:textId="77777777" w:rsidR="00591277" w:rsidRDefault="00000000">
      <w:pPr>
        <w:spacing w:line="360" w:lineRule="auto"/>
        <w:rPr>
          <w:rFonts w:ascii="Times New Roman" w:eastAsia="Times New Roman" w:hAnsi="Times New Roman" w:cs="Times New Roman"/>
          <w:sz w:val="24"/>
          <w:szCs w:val="24"/>
        </w:rPr>
      </w:pPr>
      <w:r>
        <w:br w:type="page"/>
      </w:r>
    </w:p>
    <w:p w14:paraId="13699FFD" w14:textId="77777777" w:rsidR="00591277" w:rsidRDefault="00000000">
      <w:pPr>
        <w:pStyle w:val="Heading1"/>
        <w:spacing w:before="240" w:after="240" w:line="360" w:lineRule="auto"/>
        <w:jc w:val="both"/>
        <w:rPr>
          <w:rFonts w:ascii="Times New Roman" w:eastAsia="Times New Roman" w:hAnsi="Times New Roman" w:cs="Times New Roman"/>
          <w:b/>
          <w:bCs/>
          <w:sz w:val="36"/>
          <w:szCs w:val="36"/>
        </w:rPr>
      </w:pPr>
      <w:bookmarkStart w:id="0" w:name="_5elaqd7feukm" w:colFirst="0" w:colLast="0"/>
      <w:bookmarkEnd w:id="0"/>
      <w:r>
        <w:rPr>
          <w:rFonts w:ascii="Times New Roman" w:eastAsia="Times New Roman" w:hAnsi="Times New Roman" w:cs="Times New Roman"/>
          <w:b/>
          <w:bCs/>
          <w:sz w:val="36"/>
          <w:szCs w:val="36"/>
        </w:rPr>
        <w:lastRenderedPageBreak/>
        <w:t>Responsible AI and Workforce Retention in Private Healthcare: A Philosophical and Methodological Review</w:t>
      </w:r>
    </w:p>
    <w:p w14:paraId="562B6D92" w14:textId="77777777" w:rsidR="00591277" w:rsidRDefault="00591277">
      <w:pPr>
        <w:spacing w:line="360" w:lineRule="auto"/>
        <w:jc w:val="both"/>
        <w:rPr>
          <w:rFonts w:ascii="Times New Roman" w:eastAsia="Times New Roman" w:hAnsi="Times New Roman" w:cs="Times New Roman"/>
        </w:rPr>
      </w:pPr>
    </w:p>
    <w:p w14:paraId="5B1770E0" w14:textId="77777777" w:rsidR="00591277" w:rsidRDefault="00000000">
      <w:pPr>
        <w:pStyle w:val="Heading2"/>
        <w:keepNext w:val="0"/>
        <w:keepLines w:val="0"/>
        <w:spacing w:after="80" w:line="360" w:lineRule="auto"/>
        <w:jc w:val="both"/>
        <w:rPr>
          <w:rFonts w:ascii="Times New Roman" w:eastAsia="Times New Roman" w:hAnsi="Times New Roman" w:cs="Times New Roman"/>
          <w:b/>
          <w:bCs/>
          <w:sz w:val="34"/>
          <w:szCs w:val="34"/>
        </w:rPr>
      </w:pPr>
      <w:bookmarkStart w:id="1" w:name="_qin0vu2xfl24" w:colFirst="0" w:colLast="0"/>
      <w:bookmarkEnd w:id="1"/>
      <w:r>
        <w:rPr>
          <w:rFonts w:ascii="Times New Roman" w:eastAsia="Times New Roman" w:hAnsi="Times New Roman" w:cs="Times New Roman"/>
          <w:b/>
          <w:bCs/>
          <w:sz w:val="34"/>
          <w:szCs w:val="34"/>
        </w:rPr>
        <w:t>Abstract</w:t>
      </w:r>
    </w:p>
    <w:p w14:paraId="2D521E5D" w14:textId="77777777" w:rsidR="00591277" w:rsidRDefault="00000000">
      <w:pPr>
        <w:pStyle w:val="Heading3"/>
        <w:rPr>
          <w:rFonts w:ascii="Times New Roman" w:eastAsia="Times New Roman" w:hAnsi="Times New Roman" w:cs="Times New Roman"/>
        </w:rPr>
      </w:pPr>
      <w:bookmarkStart w:id="2" w:name="_pa9ofzfae0vb" w:colFirst="0" w:colLast="0"/>
      <w:bookmarkEnd w:id="2"/>
      <w:r>
        <w:rPr>
          <w:rFonts w:ascii="Times New Roman" w:eastAsia="Times New Roman" w:hAnsi="Times New Roman" w:cs="Times New Roman"/>
        </w:rPr>
        <w:t>Purpose</w:t>
      </w:r>
    </w:p>
    <w:p w14:paraId="42639939"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is transforming health care jobs by providing clinical decision support, administrative automation, worker analytics and novel ways to work together with AI. These changes could have beneficial effects on the organisations' functioning, but they can also affect their employees' conceptions, notions of fairness, working independence, trust and job security. </w:t>
      </w:r>
    </w:p>
    <w:p w14:paraId="01F9E578" w14:textId="77777777" w:rsidR="00591277" w:rsidRDefault="00591277">
      <w:pPr>
        <w:spacing w:line="360" w:lineRule="auto"/>
        <w:jc w:val="both"/>
        <w:rPr>
          <w:rFonts w:ascii="Times New Roman" w:eastAsia="Times New Roman" w:hAnsi="Times New Roman" w:cs="Times New Roman"/>
          <w:sz w:val="24"/>
          <w:szCs w:val="24"/>
        </w:rPr>
      </w:pPr>
    </w:p>
    <w:p w14:paraId="6AE4E430"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review critically explores the potential of the responsible use of AI on the retention of workers in the private health sector in terms of psychological contract fulfilment, organisational justice, employee trust and engagement.</w:t>
      </w:r>
    </w:p>
    <w:p w14:paraId="6A12FD19" w14:textId="77777777" w:rsidR="00591277" w:rsidRDefault="00000000">
      <w:pPr>
        <w:pStyle w:val="Heading3"/>
        <w:rPr>
          <w:rFonts w:ascii="Times New Roman" w:eastAsia="Times New Roman" w:hAnsi="Times New Roman" w:cs="Times New Roman"/>
        </w:rPr>
      </w:pPr>
      <w:bookmarkStart w:id="3" w:name="_zeds0k28r4o7" w:colFirst="0" w:colLast="0"/>
      <w:bookmarkEnd w:id="3"/>
      <w:r>
        <w:rPr>
          <w:rFonts w:ascii="Times New Roman" w:eastAsia="Times New Roman" w:hAnsi="Times New Roman" w:cs="Times New Roman"/>
        </w:rPr>
        <w:t>Method</w:t>
      </w:r>
    </w:p>
    <w:p w14:paraId="75849BFE"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thematic and philosophical approach was used for a critical literature review. Selected seminal theoretical and methodological works, as well as academic literature produced from 2021 to 2026, were analysed. Studies were compared based on the theoretical perspective, philosophical assumptions, research design, sample, findings, methodological quality, and limitations. </w:t>
      </w:r>
    </w:p>
    <w:p w14:paraId="7B615F66" w14:textId="77777777" w:rsidR="00591277" w:rsidRDefault="00591277">
      <w:pPr>
        <w:spacing w:line="360" w:lineRule="auto"/>
        <w:jc w:val="both"/>
        <w:rPr>
          <w:rFonts w:ascii="Times New Roman" w:eastAsia="Times New Roman" w:hAnsi="Times New Roman" w:cs="Times New Roman"/>
          <w:sz w:val="24"/>
          <w:szCs w:val="24"/>
        </w:rPr>
      </w:pPr>
    </w:p>
    <w:p w14:paraId="6195BD45"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concepts of ontology, epistemology, axiology, ethics, reliability, validity and the consequences of quantitative, qualitative and configurational approaches received special attention.</w:t>
      </w:r>
    </w:p>
    <w:p w14:paraId="488AEB97" w14:textId="77777777" w:rsidR="00591277" w:rsidRDefault="00000000">
      <w:pPr>
        <w:pStyle w:val="Heading3"/>
        <w:rPr>
          <w:rFonts w:ascii="Times New Roman" w:eastAsia="Times New Roman" w:hAnsi="Times New Roman" w:cs="Times New Roman"/>
        </w:rPr>
      </w:pPr>
      <w:bookmarkStart w:id="4" w:name="_vuek7oernfeq" w:colFirst="0" w:colLast="0"/>
      <w:bookmarkEnd w:id="4"/>
      <w:r>
        <w:rPr>
          <w:rFonts w:ascii="Times New Roman" w:eastAsia="Times New Roman" w:hAnsi="Times New Roman" w:cs="Times New Roman"/>
        </w:rPr>
        <w:t>Findings</w:t>
      </w:r>
    </w:p>
    <w:p w14:paraId="147CCC6F"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can have both positive and negative impacts on employees, as suggested in the literature. Its effects are greatly shaped by the process of and experience with technological change. The concept of psychological contract fulfilment is used to provide an explanation for the changing </w:t>
      </w:r>
      <w:r>
        <w:rPr>
          <w:rFonts w:ascii="Times New Roman" w:eastAsia="Times New Roman" w:hAnsi="Times New Roman" w:cs="Times New Roman"/>
          <w:sz w:val="24"/>
          <w:szCs w:val="24"/>
        </w:rPr>
        <w:lastRenderedPageBreak/>
        <w:t xml:space="preserve">views on training, security and organisational support, and organisational justice is used to explain the perceptions of fairness in AI-related decisions. </w:t>
      </w:r>
    </w:p>
    <w:p w14:paraId="12BB8A3B" w14:textId="77777777" w:rsidR="00591277" w:rsidRDefault="00591277">
      <w:pPr>
        <w:spacing w:line="360" w:lineRule="auto"/>
        <w:jc w:val="both"/>
        <w:rPr>
          <w:rFonts w:ascii="Times New Roman" w:eastAsia="Times New Roman" w:hAnsi="Times New Roman" w:cs="Times New Roman"/>
          <w:sz w:val="24"/>
          <w:szCs w:val="24"/>
        </w:rPr>
      </w:pPr>
    </w:p>
    <w:p w14:paraId="3FB2ACFC"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AI adds an ethical and governance perspective – transparency, accountability, human oversight and employee participation. Despite this, there is still some fragmentation in the literature, and significant cross-sectional research has been conducted, while synthesis of these views in the context of the research on retention in the healthcare workforce is relatively limited.</w:t>
      </w:r>
    </w:p>
    <w:p w14:paraId="44A31830" w14:textId="77777777" w:rsidR="00591277" w:rsidRDefault="00000000">
      <w:pPr>
        <w:pStyle w:val="Heading3"/>
        <w:spacing w:line="360" w:lineRule="auto"/>
        <w:jc w:val="both"/>
        <w:rPr>
          <w:rFonts w:ascii="Times New Roman" w:eastAsia="Times New Roman" w:hAnsi="Times New Roman" w:cs="Times New Roman"/>
        </w:rPr>
      </w:pPr>
      <w:bookmarkStart w:id="5" w:name="_blxf177c2ir1" w:colFirst="0" w:colLast="0"/>
      <w:bookmarkEnd w:id="5"/>
      <w:r>
        <w:rPr>
          <w:rFonts w:ascii="Times New Roman" w:eastAsia="Times New Roman" w:hAnsi="Times New Roman" w:cs="Times New Roman"/>
        </w:rPr>
        <w:t>Originality and value</w:t>
      </w:r>
    </w:p>
    <w:p w14:paraId="3FE3BEB5"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review suggests that workforce retention should be thought of as a capability of the organisation. Responsible AI adoption has a conceptual pathway that impacts psychological contract fulfilment and organisational justice, which then affect employee trust and engagement, ultimately impacting employee retention and organisational stability. </w:t>
      </w:r>
    </w:p>
    <w:p w14:paraId="1F17F45B" w14:textId="77777777" w:rsidR="00591277" w:rsidRDefault="00591277">
      <w:pPr>
        <w:spacing w:line="360" w:lineRule="auto"/>
        <w:jc w:val="both"/>
        <w:rPr>
          <w:rFonts w:ascii="Times New Roman" w:eastAsia="Times New Roman" w:hAnsi="Times New Roman" w:cs="Times New Roman"/>
        </w:rPr>
      </w:pPr>
    </w:p>
    <w:p w14:paraId="75060F49" w14:textId="77777777" w:rsidR="00591277" w:rsidRDefault="00000000">
      <w:pPr>
        <w:spacing w:line="360" w:lineRule="auto"/>
        <w:jc w:val="both"/>
        <w:rPr>
          <w:rFonts w:ascii="Times New Roman" w:eastAsia="Times New Roman" w:hAnsi="Times New Roman" w:cs="Times New Roman"/>
        </w:rPr>
      </w:pPr>
      <w:r>
        <w:br w:type="page"/>
      </w:r>
    </w:p>
    <w:p w14:paraId="0485679F" w14:textId="77777777" w:rsidR="00591277" w:rsidRDefault="00000000">
      <w:pPr>
        <w:pStyle w:val="Heading2"/>
        <w:spacing w:line="360" w:lineRule="auto"/>
        <w:jc w:val="both"/>
        <w:rPr>
          <w:rFonts w:ascii="Times New Roman" w:eastAsia="Times New Roman" w:hAnsi="Times New Roman" w:cs="Times New Roman"/>
        </w:rPr>
      </w:pPr>
      <w:bookmarkStart w:id="6" w:name="_632ufwj9rdsy" w:colFirst="0" w:colLast="0"/>
      <w:bookmarkEnd w:id="6"/>
      <w:r>
        <w:rPr>
          <w:rFonts w:ascii="Times New Roman" w:eastAsia="Times New Roman" w:hAnsi="Times New Roman" w:cs="Times New Roman"/>
        </w:rPr>
        <w:lastRenderedPageBreak/>
        <w:t>1. Introduction</w:t>
      </w:r>
    </w:p>
    <w:p w14:paraId="0CE4FB3B" w14:textId="77777777" w:rsidR="00591277" w:rsidRDefault="00000000">
      <w:pPr>
        <w:pStyle w:val="Heading3"/>
        <w:spacing w:line="360" w:lineRule="auto"/>
        <w:jc w:val="both"/>
        <w:rPr>
          <w:rFonts w:ascii="Times New Roman" w:eastAsia="Times New Roman" w:hAnsi="Times New Roman" w:cs="Times New Roman"/>
        </w:rPr>
      </w:pPr>
      <w:bookmarkStart w:id="7" w:name="_j3a7qieeevy4" w:colFirst="0" w:colLast="0"/>
      <w:bookmarkEnd w:id="7"/>
      <w:r>
        <w:rPr>
          <w:rFonts w:ascii="Times New Roman" w:eastAsia="Times New Roman" w:hAnsi="Times New Roman" w:cs="Times New Roman"/>
        </w:rPr>
        <w:t>1.1 Background</w:t>
      </w:r>
    </w:p>
    <w:p w14:paraId="4786D050"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application in healthcare is already expanding across various areas, including clinical decision support, predictive analytics, administrative automation, and digital documentation. However, there’s still a need for professional knowledge, judgment, and interpersonal relationships in the healthcare industry. </w:t>
      </w:r>
    </w:p>
    <w:p w14:paraId="19F26AA7" w14:textId="77777777" w:rsidR="00591277" w:rsidRDefault="00591277">
      <w:pPr>
        <w:spacing w:line="360" w:lineRule="auto"/>
        <w:jc w:val="both"/>
        <w:rPr>
          <w:rFonts w:ascii="Times New Roman" w:eastAsia="Times New Roman" w:hAnsi="Times New Roman" w:cs="Times New Roman"/>
          <w:sz w:val="24"/>
          <w:szCs w:val="24"/>
        </w:rPr>
      </w:pPr>
    </w:p>
    <w:p w14:paraId="03F23721" w14:textId="790ADAB5"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is not just impacting the way things are </w:t>
      </w:r>
      <w:r w:rsidR="00CA3203">
        <w:rPr>
          <w:rFonts w:ascii="Times New Roman" w:eastAsia="Times New Roman" w:hAnsi="Times New Roman" w:cs="Times New Roman"/>
          <w:sz w:val="24"/>
          <w:szCs w:val="24"/>
        </w:rPr>
        <w:t>done but</w:t>
      </w:r>
      <w:r>
        <w:rPr>
          <w:rFonts w:ascii="Times New Roman" w:eastAsia="Times New Roman" w:hAnsi="Times New Roman" w:cs="Times New Roman"/>
          <w:sz w:val="24"/>
          <w:szCs w:val="24"/>
        </w:rPr>
        <w:t xml:space="preserve"> also impacting the purpose of working and the interconnection of employees and </w:t>
      </w:r>
      <w:r w:rsidR="00CA3203">
        <w:rPr>
          <w:rFonts w:ascii="Times New Roman" w:eastAsia="Times New Roman" w:hAnsi="Times New Roman" w:cs="Times New Roman"/>
          <w:sz w:val="24"/>
          <w:szCs w:val="24"/>
        </w:rPr>
        <w:t>organisations</w:t>
      </w:r>
      <w:r>
        <w:rPr>
          <w:rFonts w:ascii="Times New Roman" w:eastAsia="Times New Roman" w:hAnsi="Times New Roman" w:cs="Times New Roman"/>
          <w:sz w:val="24"/>
          <w:szCs w:val="24"/>
        </w:rPr>
        <w:t>. While the capabilities of AI tools are important, the reaction of healthcare professionals is more nuanced, influenced by other aspects such as transparency, training, usability, reliability, professional autonomy, and ethical safeguards (Tun et al., 2025).</w:t>
      </w:r>
    </w:p>
    <w:p w14:paraId="7E3991C6" w14:textId="77777777" w:rsidR="00591277" w:rsidRDefault="00591277">
      <w:pPr>
        <w:spacing w:line="360" w:lineRule="auto"/>
        <w:jc w:val="both"/>
        <w:rPr>
          <w:rFonts w:ascii="Times New Roman" w:eastAsia="Times New Roman" w:hAnsi="Times New Roman" w:cs="Times New Roman"/>
          <w:sz w:val="23"/>
          <w:szCs w:val="23"/>
        </w:rPr>
      </w:pPr>
    </w:p>
    <w:p w14:paraId="019A6041" w14:textId="0FCEFB7E"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This poses a special strategic dilemma for private healthcare companies. Hard-to-replicate knowledge resources are skilled healthcare workers, and turnover includes recruitment, training, service, and </w:t>
      </w:r>
      <w:r w:rsidR="0057089F">
        <w:rPr>
          <w:rFonts w:ascii="Times New Roman" w:eastAsia="Times New Roman" w:hAnsi="Times New Roman" w:cs="Times New Roman"/>
          <w:sz w:val="23"/>
          <w:szCs w:val="23"/>
        </w:rPr>
        <w:t>organisational</w:t>
      </w:r>
      <w:r>
        <w:rPr>
          <w:rFonts w:ascii="Times New Roman" w:eastAsia="Times New Roman" w:hAnsi="Times New Roman" w:cs="Times New Roman"/>
          <w:sz w:val="23"/>
          <w:szCs w:val="23"/>
        </w:rPr>
        <w:t xml:space="preserve"> knowledge costs. While AI will help </w:t>
      </w:r>
      <w:r w:rsidR="00BB7C9C">
        <w:rPr>
          <w:rFonts w:ascii="Times New Roman" w:eastAsia="Times New Roman" w:hAnsi="Times New Roman" w:cs="Times New Roman"/>
          <w:sz w:val="23"/>
          <w:szCs w:val="23"/>
        </w:rPr>
        <w:t>minimise</w:t>
      </w:r>
      <w:r>
        <w:rPr>
          <w:rFonts w:ascii="Times New Roman" w:eastAsia="Times New Roman" w:hAnsi="Times New Roman" w:cs="Times New Roman"/>
          <w:sz w:val="23"/>
          <w:szCs w:val="23"/>
        </w:rPr>
        <w:t xml:space="preserve"> repetitive tasks and aid in decision-making, it could also be seen as a threat to work identity, autonomy, and job security for those who practice it. </w:t>
      </w:r>
    </w:p>
    <w:p w14:paraId="1A6B52E4" w14:textId="77777777" w:rsidR="00591277" w:rsidRDefault="00591277">
      <w:pPr>
        <w:spacing w:line="360" w:lineRule="auto"/>
        <w:jc w:val="both"/>
        <w:rPr>
          <w:rFonts w:ascii="Times New Roman" w:eastAsia="Times New Roman" w:hAnsi="Times New Roman" w:cs="Times New Roman"/>
          <w:sz w:val="24"/>
          <w:szCs w:val="24"/>
        </w:rPr>
      </w:pPr>
    </w:p>
    <w:p w14:paraId="2257ADED"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According to a study done in Ghana, there is a correlation between digital transformation, technological readiness, leadership support and psychological contract factors with healthcare professionals' intentions to leave the job (Amoako et al., 2024).</w:t>
      </w:r>
    </w:p>
    <w:p w14:paraId="18B82BD0" w14:textId="77777777" w:rsidR="00591277" w:rsidRDefault="00591277">
      <w:pPr>
        <w:spacing w:line="360" w:lineRule="auto"/>
        <w:jc w:val="both"/>
        <w:rPr>
          <w:rFonts w:ascii="Times New Roman" w:eastAsia="Times New Roman" w:hAnsi="Times New Roman" w:cs="Times New Roman"/>
          <w:sz w:val="24"/>
          <w:szCs w:val="24"/>
        </w:rPr>
      </w:pPr>
    </w:p>
    <w:p w14:paraId="6C758A10" w14:textId="5AA32286"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shift towards AI might change these expectations through new training needs, flexibility, and technological adaptation requirements. Trust and withdrawal may be enhanced or reduced depending on </w:t>
      </w:r>
      <w:r w:rsidR="00BA322D">
        <w:rPr>
          <w:rFonts w:ascii="Times New Roman" w:eastAsia="Times New Roman" w:hAnsi="Times New Roman" w:cs="Times New Roman"/>
          <w:sz w:val="24"/>
          <w:szCs w:val="24"/>
        </w:rPr>
        <w:t>employees' perceptions of the existing organisational</w:t>
      </w:r>
      <w:r>
        <w:rPr>
          <w:rFonts w:ascii="Times New Roman" w:eastAsia="Times New Roman" w:hAnsi="Times New Roman" w:cs="Times New Roman"/>
          <w:sz w:val="24"/>
          <w:szCs w:val="24"/>
        </w:rPr>
        <w:t xml:space="preserve"> obligations. </w:t>
      </w:r>
    </w:p>
    <w:p w14:paraId="743E728C" w14:textId="77777777" w:rsidR="00591277" w:rsidRDefault="00591277">
      <w:pPr>
        <w:spacing w:line="360" w:lineRule="auto"/>
        <w:jc w:val="both"/>
        <w:rPr>
          <w:rFonts w:ascii="Times New Roman" w:eastAsia="Times New Roman" w:hAnsi="Times New Roman" w:cs="Times New Roman"/>
          <w:sz w:val="24"/>
          <w:szCs w:val="24"/>
        </w:rPr>
      </w:pPr>
    </w:p>
    <w:p w14:paraId="1ABD484B" w14:textId="75205101"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Technological transformation can increase employees' perceptions </w:t>
      </w:r>
      <w:r w:rsidR="00994493">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the fulfilment of obligations and consequently increase trust in the </w:t>
      </w:r>
      <w:r w:rsidR="00E5586B">
        <w:rPr>
          <w:rFonts w:ascii="Times New Roman" w:eastAsia="Times New Roman" w:hAnsi="Times New Roman" w:cs="Times New Roman"/>
          <w:sz w:val="24"/>
          <w:szCs w:val="24"/>
        </w:rPr>
        <w:t>organisation and reduce withdrawal; on the other hand, if employees experience the violation of promises or expectations, then they will become less satisfied with the organisation</w:t>
      </w:r>
      <w:r>
        <w:rPr>
          <w:rFonts w:ascii="Times New Roman" w:eastAsia="Times New Roman" w:hAnsi="Times New Roman" w:cs="Times New Roman"/>
          <w:sz w:val="24"/>
          <w:szCs w:val="24"/>
        </w:rPr>
        <w:t xml:space="preserve"> and more inclined to withdraw. The research </w:t>
      </w:r>
      <w:r>
        <w:rPr>
          <w:rFonts w:ascii="Times New Roman" w:eastAsia="Times New Roman" w:hAnsi="Times New Roman" w:cs="Times New Roman"/>
          <w:sz w:val="24"/>
          <w:szCs w:val="24"/>
        </w:rPr>
        <w:lastRenderedPageBreak/>
        <w:t>suggests positive relationships between psychological contracts and engagement and trust, whereas AI adoption can have a negative effect on these relationships (Braganza et al., 2021).</w:t>
      </w:r>
    </w:p>
    <w:p w14:paraId="6A8B1A38" w14:textId="77777777" w:rsidR="00591277" w:rsidRDefault="00591277">
      <w:pPr>
        <w:spacing w:line="360" w:lineRule="auto"/>
        <w:jc w:val="both"/>
        <w:rPr>
          <w:rFonts w:ascii="Times New Roman" w:eastAsia="Times New Roman" w:hAnsi="Times New Roman" w:cs="Times New Roman"/>
          <w:sz w:val="24"/>
          <w:szCs w:val="24"/>
        </w:rPr>
      </w:pPr>
    </w:p>
    <w:p w14:paraId="7579C04A" w14:textId="3869365C"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alternative explanation is offered by organisational justice. Not only do workers consider their gains from technological progress but also the processes that generate these gains. There are three types of justice: distributive justice, which involves outcomes</w:t>
      </w:r>
      <w:r w:rsidR="00E5586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procedural justice, which involves decision processes; and interactional justice, which involves interpersonal treatment (Colquitt, 2001). However, evidence in healthcare suggests that organisational justice is related negatively to turnover intention, whereas work engagement and motivation are potential mechanisms through which organisational justice relates to employees' decisions to stay or leave (Zhao et al., 2024; Zhou et al., 2022).</w:t>
      </w:r>
    </w:p>
    <w:p w14:paraId="5AD2D0F1" w14:textId="77777777" w:rsidR="00591277" w:rsidRDefault="00591277">
      <w:pPr>
        <w:spacing w:line="360" w:lineRule="auto"/>
        <w:jc w:val="both"/>
        <w:rPr>
          <w:rFonts w:ascii="Times New Roman" w:eastAsia="Times New Roman" w:hAnsi="Times New Roman" w:cs="Times New Roman"/>
          <w:sz w:val="24"/>
          <w:szCs w:val="24"/>
        </w:rPr>
      </w:pPr>
    </w:p>
    <w:p w14:paraId="64A68357"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central thesis of this review is therefore that a simple theory or a single model of the technological-adoption process alone will not help to understand retention. Involving responsible AI, psychological contracts, organisational justice, trust, and engagement gives a more complete understanding of how an employee might stay with or leave an AI-enabled healthcare organisation.</w:t>
      </w:r>
    </w:p>
    <w:p w14:paraId="63099FFB" w14:textId="77777777" w:rsidR="00591277" w:rsidRDefault="00000000">
      <w:pPr>
        <w:pStyle w:val="Heading3"/>
        <w:spacing w:before="240" w:after="240" w:line="360" w:lineRule="auto"/>
        <w:jc w:val="both"/>
        <w:rPr>
          <w:rFonts w:ascii="Times New Roman" w:eastAsia="Times New Roman" w:hAnsi="Times New Roman" w:cs="Times New Roman"/>
        </w:rPr>
      </w:pPr>
      <w:bookmarkStart w:id="8" w:name="_k25pfsfpy447" w:colFirst="0" w:colLast="0"/>
      <w:bookmarkEnd w:id="8"/>
      <w:r>
        <w:rPr>
          <w:rFonts w:ascii="Times New Roman" w:eastAsia="Times New Roman" w:hAnsi="Times New Roman" w:cs="Times New Roman"/>
        </w:rPr>
        <w:t>1.2 Research Problem</w:t>
      </w:r>
    </w:p>
    <w:p w14:paraId="034B584C" w14:textId="2B01E6E8"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three </w:t>
      </w:r>
      <w:r w:rsidR="00E5586B">
        <w:rPr>
          <w:rFonts w:ascii="Times New Roman" w:eastAsia="Times New Roman" w:hAnsi="Times New Roman" w:cs="Times New Roman"/>
          <w:sz w:val="24"/>
          <w:szCs w:val="24"/>
        </w:rPr>
        <w:t>empirical problems</w:t>
      </w:r>
      <w:r>
        <w:rPr>
          <w:rFonts w:ascii="Times New Roman" w:eastAsia="Times New Roman" w:hAnsi="Times New Roman" w:cs="Times New Roman"/>
          <w:sz w:val="24"/>
          <w:szCs w:val="24"/>
        </w:rPr>
        <w:t>.</w:t>
      </w:r>
    </w:p>
    <w:p w14:paraId="7C87159A"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there are a number of distinct studies on AI and workers. Some studies are related to trust and acceptance of AI, while others to psychological contracts, organisational justice or intention to leave. While these perspectives yield valuable findings, they are not necessarily explanatory of how technological governance translates into employment relationships, and then to retention outcomes.</w:t>
      </w:r>
    </w:p>
    <w:p w14:paraId="6554A56A"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 in healthcare evidence, employees' reactions are contradictory. AI may be seen as supportive when it takes away administrative work or enhances professional decision-making, but AI can be seen as threatening when it involves surveillance, diminishes autonomy and causes uncertainty. A survey of health professionals' experiences revealed significant differences in four aspects: usefulness, trustworthiness, and supporting clinical judgment, with AI being generally considered useful but not so trustworthy and supportive of clinical judgment (Ayorinde et al., 2024). Likewise, studies of healthcare practitioners have indicated that </w:t>
      </w:r>
      <w:r>
        <w:rPr>
          <w:rFonts w:ascii="Times New Roman" w:eastAsia="Times New Roman" w:hAnsi="Times New Roman" w:cs="Times New Roman"/>
          <w:sz w:val="24"/>
          <w:szCs w:val="24"/>
        </w:rPr>
        <w:lastRenderedPageBreak/>
        <w:t>perceptions of AI could evolve as systems become more autonomous and the responsibility for the outcomes of these AI-supported processes is transferred to the healthcare system (Daly et al., 2025).</w:t>
      </w:r>
    </w:p>
    <w:p w14:paraId="7B5AB6A2"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Thirdly, there is a knowledge and methodology issue. Most of the empirical literature is based on cross-sectional surveys and variable-based models. These designs can detect statistical correlations and are less successful in explaining the development of employee perceptions in the technological shift. Interpretive research can offer more depth to the lived experience, while losing some comparability and breadth. Alternatively, configurational approaches, like the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offer a way to do so, because they capture the idea that multiple sets of conditions can yield similar results (Fiss, 2011; Pappas and Woodside, 2021).</w:t>
      </w:r>
    </w:p>
    <w:p w14:paraId="621D70F7" w14:textId="77777777" w:rsidR="00591277" w:rsidRDefault="00000000">
      <w:pPr>
        <w:pStyle w:val="Heading3"/>
        <w:spacing w:before="240" w:after="240" w:line="360" w:lineRule="auto"/>
        <w:jc w:val="both"/>
        <w:rPr>
          <w:rFonts w:ascii="Times New Roman" w:eastAsia="Times New Roman" w:hAnsi="Times New Roman" w:cs="Times New Roman"/>
        </w:rPr>
      </w:pPr>
      <w:bookmarkStart w:id="9" w:name="_rmh4rwpirpn5" w:colFirst="0" w:colLast="0"/>
      <w:bookmarkEnd w:id="9"/>
      <w:r>
        <w:rPr>
          <w:rFonts w:ascii="Times New Roman" w:eastAsia="Times New Roman" w:hAnsi="Times New Roman" w:cs="Times New Roman"/>
        </w:rPr>
        <w:t>1.3 Purpose of the Coursework</w:t>
      </w:r>
    </w:p>
    <w:p w14:paraId="1E83A759" w14:textId="24219B40"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review aims to critically </w:t>
      </w:r>
      <w:r w:rsidR="00081BF3">
        <w:rPr>
          <w:rFonts w:ascii="Times New Roman" w:eastAsia="Times New Roman" w:hAnsi="Times New Roman" w:cs="Times New Roman"/>
          <w:sz w:val="24"/>
          <w:szCs w:val="24"/>
        </w:rPr>
        <w:t>analyse current research on workforce retention in private health care settings using AI and to explore the impact of research philosophies on understanding the concepts of psychological contract fulfilment</w:t>
      </w:r>
      <w:r>
        <w:rPr>
          <w:rFonts w:ascii="Times New Roman" w:eastAsia="Times New Roman" w:hAnsi="Times New Roman" w:cs="Times New Roman"/>
          <w:sz w:val="24"/>
          <w:szCs w:val="24"/>
        </w:rPr>
        <w:t>, organisational justice, responsible AI use and employee outcomes.</w:t>
      </w:r>
    </w:p>
    <w:p w14:paraId="3BB7BF39"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also outlines a critical evaluation of the philosophical and methodological underpinning of the researcher's choice of an empirical study and a conceptual argument for researching workforce retention as an organisational capability at a DBA level.</w:t>
      </w:r>
    </w:p>
    <w:p w14:paraId="132FC8E6" w14:textId="77777777" w:rsidR="00591277" w:rsidRDefault="00000000">
      <w:pPr>
        <w:pStyle w:val="Heading3"/>
        <w:spacing w:before="240" w:after="240" w:line="360" w:lineRule="auto"/>
        <w:jc w:val="both"/>
        <w:rPr>
          <w:rFonts w:ascii="Times New Roman" w:eastAsia="Times New Roman" w:hAnsi="Times New Roman" w:cs="Times New Roman"/>
        </w:rPr>
      </w:pPr>
      <w:bookmarkStart w:id="10" w:name="_nllqv691bugv" w:colFirst="0" w:colLast="0"/>
      <w:bookmarkEnd w:id="10"/>
      <w:r>
        <w:rPr>
          <w:rFonts w:ascii="Times New Roman" w:eastAsia="Times New Roman" w:hAnsi="Times New Roman" w:cs="Times New Roman"/>
        </w:rPr>
        <w:t>1.4 Research Questions</w:t>
      </w:r>
    </w:p>
    <w:p w14:paraId="2B3AD534" w14:textId="5209D75C"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private healthcare organisations, how do the research philosophy and methodology influence the understanding of workforce retention when engaging in responsible adoption of AI?</w:t>
      </w:r>
    </w:p>
    <w:p w14:paraId="0B1207D5"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Supporting questions</w:t>
      </w:r>
    </w:p>
    <w:p w14:paraId="4DC324FC"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relationships between psychological contract fulfilment, organisational justice, and organisational retention in an AI transformation?</w:t>
      </w:r>
    </w:p>
    <w:p w14:paraId="526EB0A3"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impacts of adopting AI responsibly on employee trust and engagement?</w:t>
      </w:r>
    </w:p>
    <w:p w14:paraId="7B7B35ED"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current assumptions and methods behind the evidence on AI, health care staff and retention?</w:t>
      </w:r>
    </w:p>
    <w:p w14:paraId="40D0C7B3"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What research gaps are worthy of a future DBA study of responsible AI and strategic workforce retention?</w:t>
      </w:r>
    </w:p>
    <w:p w14:paraId="2489E895" w14:textId="77777777" w:rsidR="00591277" w:rsidRDefault="00000000">
      <w:pPr>
        <w:pStyle w:val="Heading3"/>
        <w:spacing w:before="240" w:after="240" w:line="360" w:lineRule="auto"/>
        <w:jc w:val="both"/>
        <w:rPr>
          <w:rFonts w:ascii="Times New Roman" w:eastAsia="Times New Roman" w:hAnsi="Times New Roman" w:cs="Times New Roman"/>
        </w:rPr>
      </w:pPr>
      <w:bookmarkStart w:id="11" w:name="_e1dspsswtppc" w:colFirst="0" w:colLast="0"/>
      <w:bookmarkEnd w:id="11"/>
      <w:r>
        <w:rPr>
          <w:rFonts w:ascii="Times New Roman" w:eastAsia="Times New Roman" w:hAnsi="Times New Roman" w:cs="Times New Roman"/>
        </w:rPr>
        <w:t>1.5 Key Concepts</w:t>
      </w:r>
    </w:p>
    <w:p w14:paraId="59AC6BB4" w14:textId="3FDA9F5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Workforce retention is the ability of an organisation to retain staff and sustain valuable human resources over a period of time. </w:t>
      </w:r>
      <w:r w:rsidR="00C5675C">
        <w:rPr>
          <w:rFonts w:ascii="Times New Roman" w:eastAsia="Times New Roman" w:hAnsi="Times New Roman" w:cs="Times New Roman"/>
          <w:sz w:val="24"/>
          <w:szCs w:val="24"/>
        </w:rPr>
        <w:t>It is</w:t>
      </w:r>
      <w:r>
        <w:rPr>
          <w:rFonts w:ascii="Times New Roman" w:eastAsia="Times New Roman" w:hAnsi="Times New Roman" w:cs="Times New Roman"/>
          <w:sz w:val="24"/>
          <w:szCs w:val="24"/>
        </w:rPr>
        <w:t xml:space="preserve"> not the same as turnover intention, which is a worker's self-reported probability of leaving. Turnover intention, however, is an indicator or antecedent of the actual turnover and not turnover itself (Zhou et al., 2022).</w:t>
      </w:r>
    </w:p>
    <w:p w14:paraId="46ACAE7C" w14:textId="6FDE4379"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 engagement is a state of commitment that is manifested in employees' attitudes and </w:t>
      </w:r>
      <w:r w:rsidR="00C5675C">
        <w:rPr>
          <w:rFonts w:ascii="Times New Roman" w:eastAsia="Times New Roman" w:hAnsi="Times New Roman" w:cs="Times New Roman"/>
          <w:sz w:val="24"/>
          <w:szCs w:val="24"/>
        </w:rPr>
        <w:t>behaviours</w:t>
      </w:r>
      <w:r>
        <w:rPr>
          <w:rFonts w:ascii="Times New Roman" w:eastAsia="Times New Roman" w:hAnsi="Times New Roman" w:cs="Times New Roman"/>
          <w:sz w:val="24"/>
          <w:szCs w:val="24"/>
        </w:rPr>
        <w:t xml:space="preserve"> towards their work. It can be a factor in retention</w:t>
      </w:r>
      <w:r w:rsidR="00C5675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but the constructs are still conceptually separate. Some research in the healthcare field indicates that engagement might be a mediating variable in the relationship between organisational factors and turnover intention (Zhou et al., 2022).</w:t>
      </w:r>
    </w:p>
    <w:p w14:paraId="69AE9992"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stability is the ability of the organisation to operate effectively, sustain people and services, and adapt to change. It is therefore considered here as an organisational outcome of the downstream process, not a synonym for retention.</w:t>
      </w:r>
    </w:p>
    <w:p w14:paraId="6A465DAA"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Psychological contract fulfilment is related to the employees' perceptions that the organisation has performed its reciprocal duties and expectations. Organisational justice is defined as the perceived fairness of interpersonal treatment, processes and outcomes. Responsible AI refers to AI governance and implementation that takes account of transparency, fairness, accountability, human oversight and affected stakeholders (WHO, 2021; </w:t>
      </w:r>
      <w:proofErr w:type="spellStart"/>
      <w:r>
        <w:rPr>
          <w:rFonts w:ascii="Times New Roman" w:eastAsia="Times New Roman" w:hAnsi="Times New Roman" w:cs="Times New Roman"/>
          <w:sz w:val="24"/>
          <w:szCs w:val="24"/>
        </w:rPr>
        <w:t>Rozenblit</w:t>
      </w:r>
      <w:proofErr w:type="spellEnd"/>
      <w:r>
        <w:rPr>
          <w:rFonts w:ascii="Times New Roman" w:eastAsia="Times New Roman" w:hAnsi="Times New Roman" w:cs="Times New Roman"/>
          <w:sz w:val="24"/>
          <w:szCs w:val="24"/>
        </w:rPr>
        <w:t xml:space="preserve"> et al., 2025).</w:t>
      </w:r>
    </w:p>
    <w:p w14:paraId="2884249E" w14:textId="77777777" w:rsidR="00591277" w:rsidRDefault="00000000">
      <w:pPr>
        <w:pStyle w:val="Heading2"/>
        <w:keepNext w:val="0"/>
        <w:keepLines w:val="0"/>
        <w:spacing w:before="480" w:line="360" w:lineRule="auto"/>
        <w:jc w:val="both"/>
        <w:rPr>
          <w:rFonts w:ascii="Times New Roman" w:eastAsia="Times New Roman" w:hAnsi="Times New Roman" w:cs="Times New Roman"/>
        </w:rPr>
      </w:pPr>
      <w:bookmarkStart w:id="12" w:name="_5k8p83ui1wk3" w:colFirst="0" w:colLast="0"/>
      <w:bookmarkEnd w:id="12"/>
      <w:r>
        <w:br w:type="page"/>
      </w:r>
    </w:p>
    <w:p w14:paraId="707D7D6A" w14:textId="77777777" w:rsidR="00591277" w:rsidRDefault="00000000">
      <w:pPr>
        <w:pStyle w:val="Heading2"/>
        <w:keepNext w:val="0"/>
        <w:keepLines w:val="0"/>
        <w:spacing w:before="480" w:line="360" w:lineRule="auto"/>
        <w:jc w:val="both"/>
        <w:rPr>
          <w:rFonts w:ascii="Times New Roman" w:eastAsia="Times New Roman" w:hAnsi="Times New Roman" w:cs="Times New Roman"/>
        </w:rPr>
      </w:pPr>
      <w:bookmarkStart w:id="13" w:name="_6vy0699e33ny" w:colFirst="0" w:colLast="0"/>
      <w:bookmarkEnd w:id="13"/>
      <w:r>
        <w:rPr>
          <w:rFonts w:ascii="Times New Roman" w:eastAsia="Times New Roman" w:hAnsi="Times New Roman" w:cs="Times New Roman"/>
        </w:rPr>
        <w:lastRenderedPageBreak/>
        <w:t>2. Method for Conducting the Literature Review</w:t>
      </w:r>
    </w:p>
    <w:p w14:paraId="1941384E" w14:textId="77777777" w:rsidR="00591277" w:rsidRDefault="00000000">
      <w:pPr>
        <w:pStyle w:val="Heading3"/>
        <w:spacing w:before="240" w:after="240" w:line="360" w:lineRule="auto"/>
        <w:jc w:val="both"/>
        <w:rPr>
          <w:rFonts w:ascii="Times New Roman" w:eastAsia="Times New Roman" w:hAnsi="Times New Roman" w:cs="Times New Roman"/>
        </w:rPr>
      </w:pPr>
      <w:bookmarkStart w:id="14" w:name="_j774xtmtjy29" w:colFirst="0" w:colLast="0"/>
      <w:bookmarkEnd w:id="14"/>
      <w:r>
        <w:rPr>
          <w:rFonts w:ascii="Times New Roman" w:eastAsia="Times New Roman" w:hAnsi="Times New Roman" w:cs="Times New Roman"/>
        </w:rPr>
        <w:t>2.1 Review Design</w:t>
      </w:r>
    </w:p>
    <w:p w14:paraId="7619D848"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critical literature review was deemed appropriate because the aim is not to derive a single pooled effect, but to analyse the different theories, philosophies and methodologies in the construction of knowledge around AI and workforce retention. The critical reviewing process is not a descriptive process; rather, it involves comparing evidence, identifying disagreement, and evaluating the premises that may support published research (Grant and Booth, 2009).</w:t>
      </w:r>
    </w:p>
    <w:p w14:paraId="588B3B17"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was divided into six categories of comparison:</w:t>
      </w:r>
    </w:p>
    <w:p w14:paraId="7066C1C9" w14:textId="77777777" w:rsidR="00591277" w:rsidRDefault="00000000">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theoretical framework;</w:t>
      </w:r>
    </w:p>
    <w:p w14:paraId="31253375" w14:textId="77777777" w:rsidR="00591277"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philosophical orientation;</w:t>
      </w:r>
    </w:p>
    <w:p w14:paraId="7B33D7A8" w14:textId="77777777" w:rsidR="00591277"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Design and methodology for research;</w:t>
      </w:r>
    </w:p>
    <w:p w14:paraId="0EE5452A" w14:textId="77777777" w:rsidR="00591277"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sample and context;</w:t>
      </w:r>
    </w:p>
    <w:p w14:paraId="0C9B1CED" w14:textId="77777777" w:rsidR="00591277"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principal findings;</w:t>
      </w:r>
    </w:p>
    <w:p w14:paraId="35B15A35" w14:textId="77777777" w:rsidR="00591277" w:rsidRDefault="00000000">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Limits due to methodology and philosophy.</w:t>
      </w:r>
    </w:p>
    <w:p w14:paraId="6FDE803D" w14:textId="7C1D8605"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identify common relationships between psychological contracts, justice, responsible AI, trust and engagement and retention, a thematic synthesis approach was adopted. When the results of several qualitative and empirical studies must be </w:t>
      </w:r>
      <w:r w:rsidR="00C5675C">
        <w:rPr>
          <w:rFonts w:ascii="Times New Roman" w:eastAsia="Times New Roman" w:hAnsi="Times New Roman" w:cs="Times New Roman"/>
          <w:sz w:val="24"/>
          <w:szCs w:val="24"/>
        </w:rPr>
        <w:t>synthesised</w:t>
      </w:r>
      <w:r>
        <w:rPr>
          <w:rFonts w:ascii="Times New Roman" w:eastAsia="Times New Roman" w:hAnsi="Times New Roman" w:cs="Times New Roman"/>
          <w:sz w:val="24"/>
          <w:szCs w:val="24"/>
        </w:rPr>
        <w:t>, but their differences in context must be maintained, thematic synthesis is a particularly beneficial method to use (Braun and Clarke, 2021; Thomas and Harden, 2008).</w:t>
      </w:r>
    </w:p>
    <w:p w14:paraId="45EA8DF5" w14:textId="77777777" w:rsidR="00591277" w:rsidRDefault="00000000">
      <w:pPr>
        <w:pStyle w:val="Heading3"/>
        <w:spacing w:before="240" w:after="240" w:line="360" w:lineRule="auto"/>
        <w:jc w:val="both"/>
        <w:rPr>
          <w:rFonts w:ascii="Times New Roman" w:eastAsia="Times New Roman" w:hAnsi="Times New Roman" w:cs="Times New Roman"/>
        </w:rPr>
      </w:pPr>
      <w:bookmarkStart w:id="15" w:name="_u5v62yu03pfn" w:colFirst="0" w:colLast="0"/>
      <w:bookmarkEnd w:id="15"/>
      <w:r>
        <w:rPr>
          <w:rFonts w:ascii="Times New Roman" w:eastAsia="Times New Roman" w:hAnsi="Times New Roman" w:cs="Times New Roman"/>
        </w:rPr>
        <w:t>2.2 Search Strategy</w:t>
      </w:r>
    </w:p>
    <w:p w14:paraId="5254DC20" w14:textId="2974E666"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literature was analysed around four related themes: AI and digital transformation in healthcare; Employee retention and attrition; Psychological contract, organisational justice, and responsible AI</w:t>
      </w:r>
      <w:r w:rsidR="007A27B4">
        <w:rPr>
          <w:rFonts w:ascii="Times New Roman" w:eastAsia="Times New Roman" w:hAnsi="Times New Roman" w:cs="Times New Roman"/>
          <w:sz w:val="24"/>
          <w:szCs w:val="24"/>
        </w:rPr>
        <w:t>; and trust</w:t>
      </w:r>
      <w:r>
        <w:rPr>
          <w:rFonts w:ascii="Times New Roman" w:eastAsia="Times New Roman" w:hAnsi="Times New Roman" w:cs="Times New Roman"/>
          <w:sz w:val="24"/>
          <w:szCs w:val="24"/>
        </w:rPr>
        <w:t xml:space="preserve"> and employee engagement. </w:t>
      </w:r>
    </w:p>
    <w:p w14:paraId="1C8D9596" w14:textId="6D9037A5"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Academic literature was searched using a combination of keywords and related terms. The keywords used were AI, AI Adoption, Digital Transformation, Healthcare, Private Healthcare, Workforce Retention, Employee Retention, Turnover Intent, Psychological Contract, Organisational Justice, </w:t>
      </w:r>
      <w:r w:rsidR="007A27B4">
        <w:rPr>
          <w:rFonts w:ascii="Times New Roman" w:eastAsia="Times New Roman" w:hAnsi="Times New Roman" w:cs="Times New Roman"/>
          <w:sz w:val="24"/>
          <w:szCs w:val="24"/>
        </w:rPr>
        <w:t>Responsible</w:t>
      </w:r>
      <w:r>
        <w:rPr>
          <w:rFonts w:ascii="Times New Roman" w:eastAsia="Times New Roman" w:hAnsi="Times New Roman" w:cs="Times New Roman"/>
          <w:sz w:val="24"/>
          <w:szCs w:val="24"/>
        </w:rPr>
        <w:t xml:space="preserve"> AI, AI Governance, employee trust, and employee </w:t>
      </w:r>
      <w:r>
        <w:rPr>
          <w:rFonts w:ascii="Times New Roman" w:eastAsia="Times New Roman" w:hAnsi="Times New Roman" w:cs="Times New Roman"/>
          <w:sz w:val="24"/>
          <w:szCs w:val="24"/>
        </w:rPr>
        <w:lastRenderedPageBreak/>
        <w:t xml:space="preserve">engagement. Alternatively, synonyms and different spellings of the same word were merged to </w:t>
      </w:r>
      <w:r w:rsidR="007A27B4">
        <w:rPr>
          <w:rFonts w:ascii="Times New Roman" w:eastAsia="Times New Roman" w:hAnsi="Times New Roman" w:cs="Times New Roman"/>
          <w:sz w:val="24"/>
          <w:szCs w:val="24"/>
        </w:rPr>
        <w:t>avoid excluding relevant studies based on</w:t>
      </w:r>
      <w:r>
        <w:rPr>
          <w:rFonts w:ascii="Times New Roman" w:eastAsia="Times New Roman" w:hAnsi="Times New Roman" w:cs="Times New Roman"/>
          <w:sz w:val="24"/>
          <w:szCs w:val="24"/>
        </w:rPr>
        <w:t xml:space="preserve"> term usage.</w:t>
      </w:r>
    </w:p>
    <w:p w14:paraId="7EB06CC9"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search was focused mainly on literature published in the last five years (2021-2026) to capture the latest advancements in AI and the need for timely evidence. The earlier seminal studies were left in where they served as a significant theoretical or methodological base, such as in the areas of psychological contracts, organisational justice, social exchange theory, dynamic capabilities, and research philosophy.</w:t>
      </w:r>
    </w:p>
    <w:p w14:paraId="514A5E4B" w14:textId="62513A45" w:rsidR="00591277"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 xml:space="preserve">Iterative refinement of searches was done by reviewing keywords, abstracts, and reference lists of highly relevant studies. If there was an overly broad or narrow set of results from an initial search, search terms were modified to make them more relevant. This iterative strategy is appropriate, as literature-search strategies may need to be tested and refined to identify key studies to </w:t>
      </w:r>
      <w:r w:rsidR="005F0A32">
        <w:rPr>
          <w:rFonts w:ascii="Times New Roman" w:eastAsia="Times New Roman" w:hAnsi="Times New Roman" w:cs="Times New Roman"/>
          <w:sz w:val="24"/>
          <w:szCs w:val="24"/>
        </w:rPr>
        <w:t>maximise the number of studies identified with relevant data while minimising</w:t>
      </w:r>
      <w:r>
        <w:rPr>
          <w:rFonts w:ascii="Times New Roman" w:eastAsia="Times New Roman" w:hAnsi="Times New Roman" w:cs="Times New Roman"/>
          <w:sz w:val="24"/>
          <w:szCs w:val="24"/>
        </w:rPr>
        <w:t xml:space="preserve"> the amount of irrelevant data retrieved (Page et al., 2021).</w:t>
      </w:r>
    </w:p>
    <w:p w14:paraId="2D104614" w14:textId="77777777" w:rsidR="00591277" w:rsidRDefault="00000000">
      <w:pPr>
        <w:pStyle w:val="Heading3"/>
        <w:keepNext w:val="0"/>
        <w:keepLines w:val="0"/>
        <w:spacing w:line="360" w:lineRule="auto"/>
        <w:jc w:val="both"/>
        <w:rPr>
          <w:rFonts w:ascii="Times New Roman" w:eastAsia="Times New Roman" w:hAnsi="Times New Roman" w:cs="Times New Roman"/>
        </w:rPr>
      </w:pPr>
      <w:bookmarkStart w:id="16" w:name="_hjdjyy2s5jrb" w:colFirst="0" w:colLast="0"/>
      <w:bookmarkEnd w:id="16"/>
      <w:r>
        <w:rPr>
          <w:rFonts w:ascii="Times New Roman" w:eastAsia="Times New Roman" w:hAnsi="Times New Roman" w:cs="Times New Roman"/>
        </w:rPr>
        <w:t>2.3 Inclusion, Exclusion and Analytical Procedure</w:t>
      </w:r>
    </w:p>
    <w:p w14:paraId="645D3725"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Included studies included peer-reviewed English-language research on healthcare, HRM, business and management, organisational AI, digital transformation, or employee outcomes from publications from 2021 to 2026.</w:t>
      </w:r>
    </w:p>
    <w:p w14:paraId="67196406" w14:textId="77777777" w:rsidR="00591277" w:rsidRDefault="00591277">
      <w:pPr>
        <w:spacing w:line="360" w:lineRule="auto"/>
        <w:rPr>
          <w:rFonts w:ascii="Times New Roman" w:eastAsia="Times New Roman" w:hAnsi="Times New Roman" w:cs="Times New Roman"/>
          <w:sz w:val="24"/>
          <w:szCs w:val="24"/>
        </w:rPr>
      </w:pPr>
    </w:p>
    <w:p w14:paraId="541F355C" w14:textId="54404559"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Only AI-development studies with no workforce implications, or clinical studies with no organisational implications, were included, as were opinion pieces and non-health-related studies with no implications for the </w:t>
      </w:r>
      <w:r w:rsidR="005F0A32">
        <w:rPr>
          <w:rFonts w:ascii="Times New Roman" w:eastAsia="Times New Roman" w:hAnsi="Times New Roman" w:cs="Times New Roman"/>
          <w:sz w:val="24"/>
          <w:szCs w:val="24"/>
        </w:rPr>
        <w:t>healthcare</w:t>
      </w:r>
      <w:r>
        <w:rPr>
          <w:rFonts w:ascii="Times New Roman" w:eastAsia="Times New Roman" w:hAnsi="Times New Roman" w:cs="Times New Roman"/>
          <w:sz w:val="24"/>
          <w:szCs w:val="24"/>
        </w:rPr>
        <w:t xml:space="preserve"> workforce.</w:t>
      </w:r>
    </w:p>
    <w:p w14:paraId="4C4EFBF0" w14:textId="77777777" w:rsidR="00591277" w:rsidRDefault="00591277">
      <w:pPr>
        <w:spacing w:line="360" w:lineRule="auto"/>
        <w:rPr>
          <w:rFonts w:ascii="Times New Roman" w:eastAsia="Times New Roman" w:hAnsi="Times New Roman" w:cs="Times New Roman"/>
          <w:sz w:val="24"/>
          <w:szCs w:val="24"/>
        </w:rPr>
      </w:pPr>
    </w:p>
    <w:p w14:paraId="0D240726" w14:textId="6C267AC2"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was not a formal systematic review, but rather informed by PRISMA, since it was a critical synthesis, not a systematic review with meta-analysis. Transparent reporting of search, selection, and synthesis procedures (Page et al., 2021) is </w:t>
      </w:r>
      <w:r w:rsidR="005F0A32">
        <w:rPr>
          <w:rFonts w:ascii="Times New Roman" w:eastAsia="Times New Roman" w:hAnsi="Times New Roman" w:cs="Times New Roman"/>
          <w:sz w:val="24"/>
          <w:szCs w:val="24"/>
        </w:rPr>
        <w:t>emphasised</w:t>
      </w:r>
      <w:r>
        <w:rPr>
          <w:rFonts w:ascii="Times New Roman" w:eastAsia="Times New Roman" w:hAnsi="Times New Roman" w:cs="Times New Roman"/>
          <w:sz w:val="24"/>
          <w:szCs w:val="24"/>
        </w:rPr>
        <w:t xml:space="preserve"> by PRISMA 2020.</w:t>
      </w:r>
    </w:p>
    <w:p w14:paraId="3A32F1EE" w14:textId="77777777" w:rsidR="00591277" w:rsidRDefault="00591277">
      <w:pPr>
        <w:spacing w:line="360" w:lineRule="auto"/>
        <w:rPr>
          <w:rFonts w:ascii="Times New Roman" w:eastAsia="Times New Roman" w:hAnsi="Times New Roman" w:cs="Times New Roman"/>
          <w:sz w:val="24"/>
          <w:szCs w:val="24"/>
        </w:rPr>
      </w:pPr>
    </w:p>
    <w:p w14:paraId="4F7808FB"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literature was then classified into the categories listed above for comparisons. Comparisons of studies were made for convergence and contradiction. Special focus was placed on the nature in which the researcher(s) handled the employees' responses, namely as </w:t>
      </w:r>
      <w:r>
        <w:rPr>
          <w:rFonts w:ascii="Times New Roman" w:eastAsia="Times New Roman" w:hAnsi="Times New Roman" w:cs="Times New Roman"/>
          <w:sz w:val="24"/>
          <w:szCs w:val="24"/>
        </w:rPr>
        <w:lastRenderedPageBreak/>
        <w:t>measurable variables, socially constructed experiences, manifestations of deeper mechanisms, or practical problems that demanded multiple types of evidence.</w:t>
      </w:r>
    </w:p>
    <w:p w14:paraId="4AFD7700" w14:textId="77777777" w:rsidR="00591277" w:rsidRDefault="00591277">
      <w:pPr>
        <w:spacing w:line="360" w:lineRule="auto"/>
        <w:rPr>
          <w:rFonts w:ascii="Times New Roman" w:eastAsia="Times New Roman" w:hAnsi="Times New Roman" w:cs="Times New Roman"/>
          <w:sz w:val="24"/>
          <w:szCs w:val="24"/>
        </w:rPr>
      </w:pPr>
    </w:p>
    <w:p w14:paraId="78CB1177" w14:textId="77777777" w:rsidR="00591277" w:rsidRDefault="00000000">
      <w:pPr>
        <w:pStyle w:val="Heading2"/>
        <w:spacing w:line="360" w:lineRule="auto"/>
        <w:rPr>
          <w:rFonts w:ascii="Times New Roman" w:eastAsia="Times New Roman" w:hAnsi="Times New Roman" w:cs="Times New Roman"/>
        </w:rPr>
      </w:pPr>
      <w:bookmarkStart w:id="17" w:name="_ej6yqy7yq7oa" w:colFirst="0" w:colLast="0"/>
      <w:bookmarkEnd w:id="17"/>
      <w:r>
        <w:br w:type="page"/>
      </w:r>
    </w:p>
    <w:p w14:paraId="2169F399" w14:textId="77777777" w:rsidR="00591277" w:rsidRDefault="00000000">
      <w:pPr>
        <w:pStyle w:val="Heading2"/>
        <w:spacing w:line="360" w:lineRule="auto"/>
        <w:rPr>
          <w:rFonts w:ascii="Times New Roman" w:eastAsia="Times New Roman" w:hAnsi="Times New Roman" w:cs="Times New Roman"/>
        </w:rPr>
      </w:pPr>
      <w:bookmarkStart w:id="18" w:name="_xh5gs3o3eda4" w:colFirst="0" w:colLast="0"/>
      <w:bookmarkEnd w:id="18"/>
      <w:r>
        <w:rPr>
          <w:rFonts w:ascii="Times New Roman" w:eastAsia="Times New Roman" w:hAnsi="Times New Roman" w:cs="Times New Roman"/>
        </w:rPr>
        <w:lastRenderedPageBreak/>
        <w:t>3. Critical Literature Review</w:t>
      </w:r>
    </w:p>
    <w:p w14:paraId="78B307AD" w14:textId="77777777" w:rsidR="00591277" w:rsidRDefault="00000000">
      <w:pPr>
        <w:pStyle w:val="Heading3"/>
        <w:keepNext w:val="0"/>
        <w:keepLines w:val="0"/>
        <w:spacing w:line="360" w:lineRule="auto"/>
        <w:rPr>
          <w:rFonts w:ascii="Times New Roman" w:eastAsia="Times New Roman" w:hAnsi="Times New Roman" w:cs="Times New Roman"/>
        </w:rPr>
      </w:pPr>
      <w:bookmarkStart w:id="19" w:name="_b036w594xt1s" w:colFirst="0" w:colLast="0"/>
      <w:bookmarkEnd w:id="19"/>
      <w:r>
        <w:rPr>
          <w:rFonts w:ascii="Times New Roman" w:eastAsia="Times New Roman" w:hAnsi="Times New Roman" w:cs="Times New Roman"/>
        </w:rPr>
        <w:t>3.1 Psychological Contract Fulfilment in AI-Enabled Organisations</w:t>
      </w:r>
    </w:p>
    <w:p w14:paraId="073A628D"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important starting point is the concept of Psychological Contract Theory, as AI alters the employment relationship, not just the technology employed to perform tasks. Employees' psychological contracts consist of their expectations regarding reciprocal obligations, such as development, support, security, recognition and fairness (Rousseau, 1995). Social Exchange Theory also suggests that employment relationships emerge as a result of exchanges between the employee and the employer, such that positive employee reactions can be maintained by positive treatment (Blau, 1964).</w:t>
      </w:r>
    </w:p>
    <w:p w14:paraId="65E36182" w14:textId="77777777" w:rsidR="00591277" w:rsidRDefault="00591277">
      <w:pPr>
        <w:spacing w:line="360" w:lineRule="auto"/>
        <w:rPr>
          <w:rFonts w:ascii="Times New Roman" w:eastAsia="Times New Roman" w:hAnsi="Times New Roman" w:cs="Times New Roman"/>
          <w:sz w:val="24"/>
          <w:szCs w:val="24"/>
        </w:rPr>
      </w:pPr>
    </w:p>
    <w:p w14:paraId="5F20B175"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AI can be seen as an organisational change and not solely as an information system, the relevance of these theories is more apparent. AI could change jobs, job skills, job performance expectations and career paths. An employee who previously knew that the organisation was required to provide him or her with a stable job may now think that continued employment is contingent upon the employee learning to perform new technologies. The psychological contract is thus a dynamic phenomenon.</w:t>
      </w:r>
    </w:p>
    <w:p w14:paraId="0444D1AA" w14:textId="77777777" w:rsidR="00591277" w:rsidRDefault="00591277">
      <w:pPr>
        <w:spacing w:line="360" w:lineRule="auto"/>
        <w:rPr>
          <w:rFonts w:ascii="Times New Roman" w:eastAsia="Times New Roman" w:hAnsi="Times New Roman" w:cs="Times New Roman"/>
          <w:sz w:val="24"/>
          <w:szCs w:val="24"/>
        </w:rPr>
      </w:pPr>
    </w:p>
    <w:p w14:paraId="5F2C1968"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(Braganza et al., 2021)  conducted research to uncover the relationships between psychological contracts, job engagement, and employee trust among 232 workers, and the findings indicated positive relationships. However, adoption of AI had a dampening effect on the positive relationship between psychological contracts and engagement. </w:t>
      </w:r>
    </w:p>
    <w:p w14:paraId="39D7A2E4" w14:textId="77777777" w:rsidR="00591277" w:rsidRDefault="00591277">
      <w:pPr>
        <w:spacing w:line="360" w:lineRule="auto"/>
        <w:rPr>
          <w:rFonts w:ascii="Times New Roman" w:eastAsia="Times New Roman" w:hAnsi="Times New Roman" w:cs="Times New Roman"/>
          <w:sz w:val="24"/>
          <w:szCs w:val="24"/>
        </w:rPr>
      </w:pPr>
    </w:p>
    <w:p w14:paraId="2090E530" w14:textId="0B3EB431"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It's not that technology just made people engage more</w:t>
      </w:r>
      <w:r w:rsidR="005F0A3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fact, it's the opposite. It's not that technology made people engage more; it's the opposite of that. Rather, the impact of this technology was based in part on the employment relationship that encompassed it.</w:t>
      </w:r>
    </w:p>
    <w:p w14:paraId="71B52C8A" w14:textId="77777777" w:rsidR="00591277" w:rsidRDefault="00591277">
      <w:pPr>
        <w:spacing w:line="360" w:lineRule="auto"/>
        <w:rPr>
          <w:rFonts w:ascii="Times New Roman" w:eastAsia="Times New Roman" w:hAnsi="Times New Roman" w:cs="Times New Roman"/>
          <w:sz w:val="24"/>
          <w:szCs w:val="24"/>
        </w:rPr>
      </w:pPr>
    </w:p>
    <w:p w14:paraId="4E7A9C9F" w14:textId="58401005"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this discovery is because of its challenge to technological determinism. </w:t>
      </w:r>
      <w:r w:rsidR="005F0A32">
        <w:rPr>
          <w:rFonts w:ascii="Times New Roman" w:eastAsia="Times New Roman" w:hAnsi="Times New Roman" w:cs="Times New Roman"/>
          <w:sz w:val="24"/>
          <w:szCs w:val="24"/>
        </w:rPr>
        <w:t>The better the outcome for</w:t>
      </w:r>
      <w:r>
        <w:rPr>
          <w:rFonts w:ascii="Times New Roman" w:eastAsia="Times New Roman" w:hAnsi="Times New Roman" w:cs="Times New Roman"/>
          <w:sz w:val="24"/>
          <w:szCs w:val="24"/>
        </w:rPr>
        <w:t xml:space="preserve"> employees, the higher should be the level of technology adoption, which should further boost engagement. </w:t>
      </w:r>
    </w:p>
    <w:p w14:paraId="50D76E94" w14:textId="77777777" w:rsidR="00591277" w:rsidRDefault="00591277">
      <w:pPr>
        <w:spacing w:line="360" w:lineRule="auto"/>
        <w:rPr>
          <w:rFonts w:ascii="Times New Roman" w:eastAsia="Times New Roman" w:hAnsi="Times New Roman" w:cs="Times New Roman"/>
          <w:sz w:val="24"/>
          <w:szCs w:val="24"/>
        </w:rPr>
      </w:pPr>
    </w:p>
    <w:p w14:paraId="73BA1667" w14:textId="2CB38408"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better the outcomes of employees, the better the level of technology adoption, which should further increase engagement. Rather, evidence indicates that AI can transform the </w:t>
      </w:r>
      <w:r>
        <w:rPr>
          <w:rFonts w:ascii="Times New Roman" w:eastAsia="Times New Roman" w:hAnsi="Times New Roman" w:cs="Times New Roman"/>
          <w:sz w:val="24"/>
          <w:szCs w:val="24"/>
        </w:rPr>
        <w:lastRenderedPageBreak/>
        <w:t xml:space="preserve">nature of positive employment relationships (Braganza et al., 2021). The technology then has a consequence because </w:t>
      </w:r>
      <w:r w:rsidR="005F0A32">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the practice of organisations and the interpretation by employees.</w:t>
      </w:r>
    </w:p>
    <w:p w14:paraId="44FA6A2C" w14:textId="77777777" w:rsidR="00591277" w:rsidRDefault="00591277">
      <w:pPr>
        <w:spacing w:line="360" w:lineRule="auto"/>
        <w:rPr>
          <w:rFonts w:ascii="Times New Roman" w:eastAsia="Times New Roman" w:hAnsi="Times New Roman" w:cs="Times New Roman"/>
          <w:sz w:val="24"/>
          <w:szCs w:val="24"/>
        </w:rPr>
      </w:pPr>
    </w:p>
    <w:p w14:paraId="55C80475"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corroborated by newer health care research. (Amoako et al., 2024) conducted research that linked digital transformation, technological readiness, HR practices, leadership support, and psychological contract and turnover intention with 509 healthcare workers in Ghana. Importantly, both the covariance-based SEM and the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xml:space="preserve"> demonstrate that the relationship is not necessarily linear, and that it is not necessarily a single path, but rather an interplay between various paths.</w:t>
      </w:r>
    </w:p>
    <w:p w14:paraId="755FDA9C" w14:textId="77777777" w:rsidR="00591277" w:rsidRDefault="00591277">
      <w:pPr>
        <w:spacing w:line="360" w:lineRule="auto"/>
        <w:rPr>
          <w:rFonts w:ascii="Times New Roman" w:eastAsia="Times New Roman" w:hAnsi="Times New Roman" w:cs="Times New Roman"/>
          <w:sz w:val="24"/>
          <w:szCs w:val="24"/>
        </w:rPr>
      </w:pPr>
    </w:p>
    <w:p w14:paraId="79529844"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Ghana study has a methodological constraint, however. The findings are limited in their ability to explain the psychological contract formation in technological change because of the convenience sampling used and the cross-sectional design. </w:t>
      </w:r>
    </w:p>
    <w:p w14:paraId="70A863CF" w14:textId="77777777" w:rsidR="00591277" w:rsidRDefault="00591277">
      <w:pPr>
        <w:spacing w:line="360" w:lineRule="auto"/>
        <w:rPr>
          <w:rFonts w:ascii="Times New Roman" w:eastAsia="Times New Roman" w:hAnsi="Times New Roman" w:cs="Times New Roman"/>
          <w:sz w:val="24"/>
          <w:szCs w:val="24"/>
        </w:rPr>
      </w:pPr>
    </w:p>
    <w:p w14:paraId="0709E6D3"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implementing digital transformation, employees can report an association between digital transformation and turnover intention, but the design does not fully allow for testing of whether the digital transformation also led to an interpretation of the psychological contracts in a negative way or whether the employees already felt dissatisfied before the digital transformation was introduced (Amoako et al., 2024).</w:t>
      </w:r>
    </w:p>
    <w:p w14:paraId="21E8F26A" w14:textId="77777777" w:rsidR="00591277" w:rsidRDefault="00591277">
      <w:pPr>
        <w:spacing w:line="360" w:lineRule="auto"/>
        <w:rPr>
          <w:rFonts w:ascii="Times New Roman" w:eastAsia="Times New Roman" w:hAnsi="Times New Roman" w:cs="Times New Roman"/>
          <w:sz w:val="24"/>
          <w:szCs w:val="24"/>
        </w:rPr>
      </w:pPr>
    </w:p>
    <w:p w14:paraId="00A8841C"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an epistemological difference. A positivist survey is able to move psychological contract fulfilment from a subjective to a measurable dimension, which facilitates comparison of the responses between the respondents. In the process of measuring such a complex relational experience, however, a number of indicators are inevitably instituted. </w:t>
      </w:r>
    </w:p>
    <w:p w14:paraId="5BE0D11B" w14:textId="77777777" w:rsidR="00591277" w:rsidRDefault="00591277">
      <w:pPr>
        <w:spacing w:line="360" w:lineRule="auto"/>
        <w:rPr>
          <w:rFonts w:ascii="Times New Roman" w:eastAsia="Times New Roman" w:hAnsi="Times New Roman" w:cs="Times New Roman"/>
          <w:sz w:val="24"/>
          <w:szCs w:val="24"/>
        </w:rPr>
      </w:pPr>
    </w:p>
    <w:p w14:paraId="5AC2D5B8"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interpretivist method might examine the meaning employees give to what their employer “owes” them following the implementation of AI, which could vary among nurses, physicians, administrators and technical workers.</w:t>
      </w:r>
    </w:p>
    <w:p w14:paraId="7F8DE222" w14:textId="77777777" w:rsidR="00591277" w:rsidRDefault="00591277">
      <w:pPr>
        <w:spacing w:line="360" w:lineRule="auto"/>
        <w:rPr>
          <w:rFonts w:ascii="Times New Roman" w:eastAsia="Times New Roman" w:hAnsi="Times New Roman" w:cs="Times New Roman"/>
          <w:sz w:val="24"/>
          <w:szCs w:val="24"/>
        </w:rPr>
      </w:pPr>
    </w:p>
    <w:p w14:paraId="012940F2"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view is backed up by recent qualitative research in the field of organisational AI. Conversational AI has been explored in a global organisation through an interpretive case study, revealing three dimensions of the formation of trust: emotional, cognitive and organisational (</w:t>
      </w:r>
      <w:proofErr w:type="spellStart"/>
      <w:r>
        <w:rPr>
          <w:rFonts w:ascii="Times New Roman" w:eastAsia="Times New Roman" w:hAnsi="Times New Roman" w:cs="Times New Roman"/>
          <w:sz w:val="24"/>
          <w:szCs w:val="24"/>
        </w:rPr>
        <w:t>Gkinko</w:t>
      </w:r>
      <w:proofErr w:type="spellEnd"/>
      <w:r>
        <w:rPr>
          <w:rFonts w:ascii="Times New Roman" w:eastAsia="Times New Roman" w:hAnsi="Times New Roman" w:cs="Times New Roman"/>
          <w:sz w:val="24"/>
          <w:szCs w:val="24"/>
        </w:rPr>
        <w:t xml:space="preserve"> and Elbanna, 2023). The findings indicate that trust is built based on past experiences and the context of the organisation, and not a fixed trait of the employee.</w:t>
      </w:r>
    </w:p>
    <w:p w14:paraId="26AD2A81" w14:textId="77777777" w:rsidR="00591277" w:rsidRDefault="00591277">
      <w:pPr>
        <w:spacing w:line="360" w:lineRule="auto"/>
        <w:rPr>
          <w:rFonts w:ascii="Times New Roman" w:eastAsia="Times New Roman" w:hAnsi="Times New Roman" w:cs="Times New Roman"/>
          <w:sz w:val="24"/>
          <w:szCs w:val="24"/>
        </w:rPr>
      </w:pPr>
    </w:p>
    <w:p w14:paraId="5C445F3E"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distinction is crucial in the healthcare setting because different professional groups could interact differently with the same AI system. For a radiologist, AI can be an extra diagnostic tool, and for an administrator, it can be a tool for performance management. Thus, the apparent scores of “AI acceptance” can mask meaningful variations in psychological contract expectations and/or professional identity.</w:t>
      </w:r>
    </w:p>
    <w:p w14:paraId="4606C4B2" w14:textId="77777777" w:rsidR="00591277" w:rsidRDefault="00000000">
      <w:pPr>
        <w:pStyle w:val="Heading3"/>
        <w:rPr>
          <w:rFonts w:ascii="Times New Roman" w:eastAsia="Times New Roman" w:hAnsi="Times New Roman" w:cs="Times New Roman"/>
        </w:rPr>
      </w:pPr>
      <w:bookmarkStart w:id="20" w:name="_ttgjh3srihb" w:colFirst="0" w:colLast="0"/>
      <w:bookmarkEnd w:id="20"/>
      <w:r>
        <w:rPr>
          <w:rFonts w:ascii="Times New Roman" w:eastAsia="Times New Roman" w:hAnsi="Times New Roman" w:cs="Times New Roman"/>
        </w:rPr>
        <w:t>3.2 Organisational Justice and Employee Retention</w:t>
      </w:r>
    </w:p>
    <w:p w14:paraId="0CB4C9DE"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justice has been introduced as a complement to psychological contract theory as it moves the focus from the exchange of mutual commitments to fairness perceptions of employees. Evidence-based justice includes the procedural, distributive, interpersonal, and informational aspects of justice as established by (Colquitt, 2001). These dimensions are especially crucial in an AI-enabled organisation as algorithms can be involved in workload, scheduling, performance, recruitment, or allocation of resources.</w:t>
      </w:r>
    </w:p>
    <w:p w14:paraId="0EB0FE07"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Evidence from healthcare also indicates that distributive justice can influence turnover intention through organisational commitment and work engagement (Chen et al., 2022). </w:t>
      </w:r>
    </w:p>
    <w:p w14:paraId="370E04BF"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Distributive justice is the issue of the distribution of benefits and burdens. While AI can help to alleviate repetitive tasks and increase productivity, the advantages are not uniform. Some staff might get more freedom and less work, others might be monitored more intensively or even deemed redundant. Efficiency in the organisation cannot be identified with fairness for the employees.</w:t>
      </w:r>
    </w:p>
    <w:p w14:paraId="2FD8E1B0"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conceptual literature used in the draft was weak compared to the recent healthcare evidence. The study with 1200 primary health care staff members showed that there was a statistically significant negative relationship between organisational justice and intention to quit. Distributive and procedural justice were both significantly influential, and work motivation partially explained this relationship (Zhao et al., 2024).</w:t>
      </w:r>
    </w:p>
    <w:p w14:paraId="2E56EFA9"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particular, procedural justice is a factor to consider in relation to AI because employees may be interested in the process that leads to the decision, rather than the decision itself. Even if the algorithm is more efficient, if an employee cannot challenge the result, then the process could be considered unfair.</w:t>
      </w:r>
    </w:p>
    <w:p w14:paraId="5834EE40"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provides a deeper epistemological question. An algorithm could have a consistent technical process, but not be considered “fair” when implemented in an organisation. Technical consistency is not social legitimacy, therefore. While a positivist view may evaluate if an algorithm has a consistent result across individuals, an interpretive view may question what the outcomes of the algorithm mean to affected employees.</w:t>
      </w:r>
    </w:p>
    <w:p w14:paraId="01A4EE83"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with healthcare practitioners should illustrate the importance of taking justice into account in addition to autonomy and trust. The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xml:space="preserve"> analysis of 401 healthcare professionals revealed various sets of justice, autonomy, and trust that were linked with the feeling of responsibility for AI, varying by organisational complexity (Wang et al., 2024).</w:t>
      </w:r>
    </w:p>
    <w:p w14:paraId="2F5EC23A"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crucial because it does not support the notion of a uniform effect of justice. The level of governance considered 'adequate' might be influenced by organisational complexity, technological maturity and its professional context.</w:t>
      </w:r>
    </w:p>
    <w:p w14:paraId="614DEC1C"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Interactional justice incorporates the communication aspect of leadership. AI is not a technology per se that users encounter directly. Managers provide reasons for introducing AI, what their staff will need to do, and how their jobs will be impacted and supported. Therefore, it is important that leadership communication helps create the right understanding of AI as an organisational investment or an organisational threat.</w:t>
      </w:r>
    </w:p>
    <w:p w14:paraId="0567C6A1"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leadership showed a positive relationship with organisational justice, and organisational justice showed a negative relationship with turnover intention, which in turn showed a negative relationship with responsible leadership and turnover intention (Khanam et al., 2024).</w:t>
      </w:r>
    </w:p>
    <w:p w14:paraId="793BBF30" w14:textId="77777777" w:rsidR="00591277" w:rsidRDefault="00000000">
      <w:pPr>
        <w:pStyle w:val="Heading3"/>
        <w:keepNext w:val="0"/>
        <w:keepLines w:val="0"/>
        <w:spacing w:line="360" w:lineRule="auto"/>
        <w:jc w:val="both"/>
        <w:rPr>
          <w:rFonts w:ascii="Times New Roman" w:eastAsia="Times New Roman" w:hAnsi="Times New Roman" w:cs="Times New Roman"/>
        </w:rPr>
      </w:pPr>
      <w:bookmarkStart w:id="21" w:name="_m3vsn8b2un51" w:colFirst="0" w:colLast="0"/>
      <w:bookmarkEnd w:id="21"/>
      <w:r>
        <w:rPr>
          <w:rFonts w:ascii="Times New Roman" w:eastAsia="Times New Roman" w:hAnsi="Times New Roman" w:cs="Times New Roman"/>
        </w:rPr>
        <w:t>3.3 Responsible AI Adoption and Human-Centred Transformation</w:t>
      </w:r>
    </w:p>
    <w:p w14:paraId="04229731"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AI is different from using AI as a technical tool to using AI as a socio-organisational tool. Ethical governance, transparency, accountability, human autonomy, and protection from harm are key points that the WHO considers vital in the context of AI for health (WHO, 2021). Similarly, the study of healthcare AI governance suggests that a multi-stakeholder strategy is needed due to differing interests among patients, professionals, managers, and the AI developers and regulators.</w:t>
      </w:r>
    </w:p>
    <w:p w14:paraId="3E0EE4EE"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But the question is, do these “responsible AI” principles really generate employee trust and positive organisational outcomes?</w:t>
      </w:r>
    </w:p>
    <w:p w14:paraId="5C7145CB"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Transparency is frequently viewed as a pathway to trust, but it does not necessarily spell trust. A system can be explainable but not accurate. On the other hand, a very precise system could be very hard to use for employees. A systematic review of the literature revealed that healthcare workers' trust in AI-based clinical decision-support tools was influenced by a combination of factors, such as transparency, training, usability, reliability, validation, ethical protections, and human-centred design and user control, which were interrelated (Tun et al., 2025).</w:t>
      </w:r>
    </w:p>
    <w:p w14:paraId="008F5398"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means that explainability is not enough. People need to know and have the power to act on an explanation for it to mean anything.</w:t>
      </w:r>
    </w:p>
    <w:p w14:paraId="15868F57"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with the research on trust and technology, research on the development of an AI trust and acceptance model has also highlighted the need to consider trust to be multidimensional or not just a willingness to adopt technology (Stevens and Stetson, 2023).</w:t>
      </w:r>
    </w:p>
    <w:p w14:paraId="6635BB05"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also worth considering whether more trust is always a good thing. If too much trust is placed in algorithms, it can lead to automation bias, meaning employees may blindly follow the algorithms without properly evaluating them professionally. The desired result is not blind faith, but a degree of faith. Attitudes to AI have been found to evolve over time and to vary by role within an organisation (Daly et al., 2025).</w:t>
      </w:r>
    </w:p>
    <w:p w14:paraId="36549FEC"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indicates that the human-centred argument is supported across the board, as healthcare workers are not all equally affected by AI. Research has revealed diverse attitudes towards the acceptance of AI, along with concerns and challenges in implementation within the healthcare industry (Yousif et al., 2024; Ayorinde et al., 2024).</w:t>
      </w:r>
    </w:p>
    <w:p w14:paraId="6787EE82"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applications in healthcare were also found to be positively related to different tensions between the aspects of learning and performance, belonging and power, respectively (Irgang et al., 2025). This defies the notion that employee concerns will always thwart adoption. Opportunity and threat can both be present at the same time for employees.</w:t>
      </w:r>
    </w:p>
    <w:p w14:paraId="64D5DFE5"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here that the philosophical question comes into play. If the answers given by employees are conflicting, then a simple variable-based model may consider the inconsistency as statistical noise. However, an interpretivist view might alternatively view contradiction as an indication </w:t>
      </w:r>
      <w:r>
        <w:rPr>
          <w:rFonts w:ascii="Times New Roman" w:eastAsia="Times New Roman" w:hAnsi="Times New Roman" w:cs="Times New Roman"/>
          <w:sz w:val="24"/>
          <w:szCs w:val="24"/>
        </w:rPr>
        <w:lastRenderedPageBreak/>
        <w:t>that employees have multiple meanings of the same technology. Qualitative research shows that ‘contradictions in interview data can help understand how the interviewees construct meaning and identity; they are not necessarily 'bad evidence' (Watson, 2006: 172).</w:t>
      </w:r>
    </w:p>
    <w:p w14:paraId="7BFB38E4" w14:textId="77777777" w:rsidR="00591277" w:rsidRDefault="00000000">
      <w:pPr>
        <w:pStyle w:val="Heading3"/>
        <w:spacing w:before="240" w:after="240" w:line="360" w:lineRule="auto"/>
        <w:jc w:val="both"/>
        <w:rPr>
          <w:rFonts w:ascii="Times New Roman" w:eastAsia="Times New Roman" w:hAnsi="Times New Roman" w:cs="Times New Roman"/>
        </w:rPr>
      </w:pPr>
      <w:bookmarkStart w:id="22" w:name="_voassvugz9xv" w:colFirst="0" w:colLast="0"/>
      <w:bookmarkEnd w:id="22"/>
      <w:r>
        <w:rPr>
          <w:rFonts w:ascii="Times New Roman" w:eastAsia="Times New Roman" w:hAnsi="Times New Roman" w:cs="Times New Roman"/>
        </w:rPr>
        <w:t>3.4 Strategic Workforce Retention</w:t>
      </w:r>
    </w:p>
    <w:p w14:paraId="6FC287D3"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Traditionally, the topic of workforce retention is found in the domain of strategic HRM where it is generally seen as a way to hold onto human resources and minimise the organisational cost of turnover. Strategic HRM research has highlighted the importance of the knowledge and capabilities of employees to an organization's performance (Wright and McMahan, 2011). Dynamic Capabilities Theory builds on this as it takes into account how organisations adapt their resources and capabilities in response to changes in the environment (Teece, 2007; Teece et al., 2016).</w:t>
      </w:r>
    </w:p>
    <w:p w14:paraId="14E19361"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Dynamic Capabilities Theory contributes something that other theories such as psychological contract and justice theories do not. The primary explanations for the employee–organisation relationship are found in Psychological Contract Theory, and for employee perceptions of fairness in the organisation, Organisational Justice Theory. It is rather the question of Dynamic Capabilities Theory whether the organisation is able to transform its resources, routines and capabilities on a regular basis when things change.</w:t>
      </w:r>
    </w:p>
    <w:p w14:paraId="2CDFAF1B"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important for an AI-powered healthcare system. Adopting AI is not a single event, but an ongoing journey within a healthcare organisation. Systems change, employees need to be reskilled, workflows are redesigned, and governance structures evolve over time. As a result, Strategic retention necessitates that the organisation be aware of technological change, react with HR practices, and alter the workforce's capabilities (Teece, 2007).</w:t>
      </w:r>
    </w:p>
    <w:p w14:paraId="1C4D617F"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involvement of employees may be important as a mediator. If AI is making repetitive tasks easier and offering learning opportunities and aids to professional judgment, there may be an increase in engagement. If AI is perceived as watching them or taking over their jobs, there may be a drop in engagement.</w:t>
      </w:r>
    </w:p>
    <w:p w14:paraId="5FA211F0"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Engagement has emerged as a mediator between performance and use of AI in recent research, and between responsible AI and healthcare employee engagement (Hameed et al., 2026; Zhou et al., 2022), with evidence amongst healthcare workers pointing to its mediating role between the two.</w:t>
      </w:r>
    </w:p>
    <w:p w14:paraId="679704FE" w14:textId="20DD234C"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However, engagement </w:t>
      </w:r>
      <w:r w:rsidR="005F0A32">
        <w:rPr>
          <w:rFonts w:ascii="Times New Roman" w:eastAsia="Times New Roman" w:hAnsi="Times New Roman" w:cs="Times New Roman"/>
          <w:sz w:val="24"/>
          <w:szCs w:val="24"/>
        </w:rPr>
        <w:t>should not</w:t>
      </w:r>
      <w:r>
        <w:rPr>
          <w:rFonts w:ascii="Times New Roman" w:eastAsia="Times New Roman" w:hAnsi="Times New Roman" w:cs="Times New Roman"/>
          <w:sz w:val="24"/>
          <w:szCs w:val="24"/>
        </w:rPr>
        <w:t xml:space="preserve"> be the only indicator of retention. Staff can be highly engaged but motivated to move on with their careers, and staff can be relatively disengaged but motivated to stay for financial, professional and/or family reasons. Therefore, workforce retention is a behavioural outcome that is influenced by a number of mechanisms.</w:t>
      </w:r>
    </w:p>
    <w:p w14:paraId="27A77830" w14:textId="77777777" w:rsidR="00591277" w:rsidRDefault="00000000">
      <w:pPr>
        <w:pStyle w:val="Heading3"/>
        <w:keepNext w:val="0"/>
        <w:keepLines w:val="0"/>
        <w:spacing w:line="360" w:lineRule="auto"/>
        <w:jc w:val="both"/>
        <w:rPr>
          <w:rFonts w:ascii="Times New Roman" w:eastAsia="Times New Roman" w:hAnsi="Times New Roman" w:cs="Times New Roman"/>
        </w:rPr>
      </w:pPr>
      <w:bookmarkStart w:id="23" w:name="_xpaf1d2k4icv" w:colFirst="0" w:colLast="0"/>
      <w:bookmarkEnd w:id="23"/>
      <w:r>
        <w:rPr>
          <w:rFonts w:ascii="Times New Roman" w:eastAsia="Times New Roman" w:hAnsi="Times New Roman" w:cs="Times New Roman"/>
        </w:rPr>
        <w:t>3.5 Comparative Philosophical Perspectives Applied to the Literature</w:t>
      </w:r>
    </w:p>
    <w:p w14:paraId="5EBAA333"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difference in philosophy that has been noted in the literature is not a superficial one. They shape the findings and conclusions of researchers regarding AI and employee retention. They directly impact the findings and conclusions of researchers on AI and employee retention.</w:t>
      </w:r>
    </w:p>
    <w:p w14:paraId="3913CC98"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Positivism</w:t>
      </w:r>
    </w:p>
    <w:p w14:paraId="479CC0BB" w14:textId="5E9FD354"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the positive approach, research generally takes the stance that social phenomena are measurable and that there is a possibility to test the relationships between variables empirically. The quantitative approach to studies on psychological contract, justice, engagement, and intention to turn over (I.T.T.) provides examples of this (Braganza et al., 2021; Zhao et al., 2024; Zhou et al., 2022).</w:t>
      </w:r>
    </w:p>
    <w:p w14:paraId="639A93C8" w14:textId="741E8E7E"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Comparability and statistical testing are strengths. Relatively large samples can be used to estimate relationships. </w:t>
      </w:r>
      <w:r w:rsidR="005F0A32">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there is a need to measure what constitutes evidence. What is perceived as “fairness” is turned into a number instead of a contextual description of how the decision is felt to be unfair.</w:t>
      </w:r>
    </w:p>
    <w:p w14:paraId="3C24554B"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Interpretivism</w:t>
      </w:r>
    </w:p>
    <w:p w14:paraId="58E8FED4"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does it mean to ask about interpreting? How can we ask about the construction of meaning in social situations? This orientation is presented in an interpretive case study of conversational AI, which conveys that trust is a process that employees go through and build and is more than just a variable that is used to predict use (</w:t>
      </w:r>
      <w:proofErr w:type="spellStart"/>
      <w:r>
        <w:rPr>
          <w:rFonts w:ascii="Times New Roman" w:eastAsia="Times New Roman" w:hAnsi="Times New Roman" w:cs="Times New Roman"/>
          <w:sz w:val="24"/>
          <w:szCs w:val="24"/>
        </w:rPr>
        <w:t>Gkinko</w:t>
      </w:r>
      <w:proofErr w:type="spellEnd"/>
      <w:r>
        <w:rPr>
          <w:rFonts w:ascii="Times New Roman" w:eastAsia="Times New Roman" w:hAnsi="Times New Roman" w:cs="Times New Roman"/>
          <w:sz w:val="24"/>
          <w:szCs w:val="24"/>
        </w:rPr>
        <w:t xml:space="preserve"> and Elbanna, 2023).</w:t>
      </w:r>
    </w:p>
    <w:p w14:paraId="7D84EA05"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Qualitative research into inconsistencies in the interviews is also important since they can show the way in which participants account for their behaviour rather than just that the data is unreliable (Watson, 2006).</w:t>
      </w:r>
    </w:p>
    <w:p w14:paraId="6F12CE4E"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Depth is then the strength of interpretivism. The downside is that the results are more context-specific and not necessarily best for estimating the prevalence of specific relationships.</w:t>
      </w:r>
    </w:p>
    <w:p w14:paraId="3F81765B"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Critical Realism</w:t>
      </w:r>
    </w:p>
    <w:p w14:paraId="64A649D0"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critical realism has another approach to the problem. It allows differentiating between observable events and underlying mechanisms that produce them. Turnover can be seen, and can be explained as psychological contract breach, perceived injustice, leadership practices, perceived uncertainty about technology, or labour-market conditions.</w:t>
      </w:r>
    </w:p>
    <w:p w14:paraId="5A6A98B6" w14:textId="65CA6781"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especially helpful when the multiple mechanisms are functioning at the same time. </w:t>
      </w:r>
      <w:r w:rsidR="00833AB6">
        <w:rPr>
          <w:rFonts w:ascii="Times New Roman" w:eastAsia="Times New Roman" w:hAnsi="Times New Roman" w:cs="Times New Roman"/>
          <w:sz w:val="24"/>
          <w:szCs w:val="24"/>
        </w:rPr>
        <w:t>This avoids</w:t>
      </w:r>
      <w:r>
        <w:rPr>
          <w:rFonts w:ascii="Times New Roman" w:eastAsia="Times New Roman" w:hAnsi="Times New Roman" w:cs="Times New Roman"/>
          <w:sz w:val="24"/>
          <w:szCs w:val="24"/>
        </w:rPr>
        <w:t xml:space="preserve"> assuming the equivalence of statistical correlation and causal explanation.</w:t>
      </w:r>
    </w:p>
    <w:p w14:paraId="46716A63"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critical realism also requires the careful justification of statements of underlying mechanisms. No explanation can be called “realist” since the research deals with complexity. Ontological statements must be directly linked with evidence and theoretical explanations.</w:t>
      </w:r>
    </w:p>
    <w:p w14:paraId="080B43DE" w14:textId="77777777" w:rsidR="00591277" w:rsidRDefault="00000000">
      <w:pPr>
        <w:spacing w:before="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Pragmatism</w:t>
      </w:r>
    </w:p>
    <w:p w14:paraId="33373E57" w14:textId="7470A8B5"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Pragmatism </w:t>
      </w:r>
      <w:r w:rsidR="00833AB6">
        <w:rPr>
          <w:rFonts w:ascii="Times New Roman" w:eastAsia="Times New Roman" w:hAnsi="Times New Roman" w:cs="Times New Roman"/>
          <w:sz w:val="24"/>
          <w:szCs w:val="24"/>
        </w:rPr>
        <w:t>emphasises</w:t>
      </w:r>
      <w:r>
        <w:rPr>
          <w:rFonts w:ascii="Times New Roman" w:eastAsia="Times New Roman" w:hAnsi="Times New Roman" w:cs="Times New Roman"/>
          <w:sz w:val="24"/>
          <w:szCs w:val="24"/>
        </w:rPr>
        <w:t xml:space="preserve"> the practical consequences of the problem being studied and the research problem. It can enable the integration of quantitative and qualitative evidence where the various approaches can answer different parts of the research question.</w:t>
      </w:r>
    </w:p>
    <w:p w14:paraId="695F6D43"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Pragmatism offers a compelling rationale for the measurement of the relationships between responsible AI, justice, psychological contracts, trust, engagement and retention, as well as the use of interviews to gain insights into how employees interpret AI-enabled change for this research topic.</w:t>
      </w:r>
    </w:p>
    <w:p w14:paraId="0CEFA57E"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flexibility in methodology does not make a philosophical inconsistency. Mixed methods should be used as justified by the question of the research, not merely because there seems to be a desire for both quantitative and qualitative data.</w:t>
      </w:r>
    </w:p>
    <w:p w14:paraId="60AC99CE" w14:textId="77777777" w:rsidR="00591277" w:rsidRDefault="00000000">
      <w:pPr>
        <w:pStyle w:val="Heading3"/>
        <w:keepNext w:val="0"/>
        <w:keepLines w:val="0"/>
        <w:spacing w:line="360" w:lineRule="auto"/>
        <w:jc w:val="both"/>
        <w:rPr>
          <w:rFonts w:ascii="Times New Roman" w:eastAsia="Times New Roman" w:hAnsi="Times New Roman" w:cs="Times New Roman"/>
        </w:rPr>
      </w:pPr>
      <w:bookmarkStart w:id="24" w:name="_n6nih1lnhbov" w:colFirst="0" w:colLast="0"/>
      <w:bookmarkEnd w:id="24"/>
      <w:r>
        <w:rPr>
          <w:rFonts w:ascii="Times New Roman" w:eastAsia="Times New Roman" w:hAnsi="Times New Roman" w:cs="Times New Roman"/>
        </w:rPr>
        <w:t>3.6 Literature Synthesis and Research Gaps</w:t>
      </w:r>
    </w:p>
    <w:tbl>
      <w:tblPr>
        <w:tblStyle w:val="a"/>
        <w:tblW w:w="11445" w:type="dxa"/>
        <w:tblInd w:w="-1140" w:type="dxa"/>
        <w:tblBorders>
          <w:top w:val="nil"/>
          <w:left w:val="nil"/>
          <w:bottom w:val="nil"/>
          <w:right w:val="nil"/>
          <w:insideH w:val="nil"/>
          <w:insideV w:val="nil"/>
        </w:tblBorders>
        <w:tblLayout w:type="fixed"/>
        <w:tblLook w:val="0600" w:firstRow="0" w:lastRow="0" w:firstColumn="0" w:lastColumn="0" w:noHBand="1" w:noVBand="1"/>
      </w:tblPr>
      <w:tblGrid>
        <w:gridCol w:w="2550"/>
        <w:gridCol w:w="1725"/>
        <w:gridCol w:w="1515"/>
        <w:gridCol w:w="1860"/>
        <w:gridCol w:w="1650"/>
        <w:gridCol w:w="2145"/>
      </w:tblGrid>
      <w:tr w:rsidR="00591277" w14:paraId="6FCC8DC9" w14:textId="77777777">
        <w:trPr>
          <w:trHeight w:val="785"/>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95552B"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Established knowledge</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F12A96"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Contradiction/tension</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B9FC7"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Methodological limitation</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2D3C55"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Philosophical limitation</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7054B4"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Research gap</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6E76B2"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DBA opportunity</w:t>
            </w:r>
          </w:p>
        </w:tc>
      </w:tr>
      <w:tr w:rsidR="00591277" w14:paraId="4F852EE8" w14:textId="77777777">
        <w:trPr>
          <w:trHeight w:val="1910"/>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68536E"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AI can support efficiency and professional work</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555CBB"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can also create insecurity, surveillance and autonomy concerns</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D34D80"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Cross-sectional designs dominate</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50D9A1"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meanings may be reduced to variables</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9BCD1"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understanding of change over time</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8D9B22"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Longitudinal study</w:t>
            </w:r>
          </w:p>
        </w:tc>
      </w:tr>
      <w:tr w:rsidR="00591277" w14:paraId="658BD430" w14:textId="77777777">
        <w:trPr>
          <w:trHeight w:val="2480"/>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656607"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Psychological contract influences engagement, trust and turnover-related outcomes</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07FC07"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can weaken positive employment relationships</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5C5815"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Survey-based measurement dominates</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ABF8AB"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Psychological contract is treated as measurable rather than relational</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F8633"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AI-specific psychological contract evidence in private healthcare</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7C1058"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Combine surveys with interviews</w:t>
            </w:r>
          </w:p>
        </w:tc>
      </w:tr>
      <w:tr w:rsidR="00591277" w14:paraId="6788434D" w14:textId="77777777">
        <w:trPr>
          <w:trHeight w:val="2195"/>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581592"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justice is associated with lower turnover intention</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405D9B"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justice dimensions may operate differently across contexts</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53B56F"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Mostly cross-sectional evidence</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45104"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Fairness is measured rather than interpreted</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8503A8"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research on fairness during AI implementation</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EA31E0"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Context-sensitive justice analysis</w:t>
            </w:r>
          </w:p>
        </w:tc>
      </w:tr>
      <w:tr w:rsidR="00591277" w14:paraId="3AF2E31C" w14:textId="77777777">
        <w:trPr>
          <w:trHeight w:val="1355"/>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8AD482"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AI can support trust</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0782DF"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Explainability does not automatically produce trust</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34AAC3"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studies focus on adoption rather than retention</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87B729"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Responsibility is normatively contested</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8A5BD7"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integration of responsible AI and retention</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F20693"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Study governance as organisational capability</w:t>
            </w:r>
          </w:p>
        </w:tc>
      </w:tr>
      <w:tr w:rsidR="00591277" w14:paraId="0ED00411" w14:textId="77777777">
        <w:trPr>
          <w:trHeight w:val="1640"/>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FF7B5F"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Trust supports AI collaboration and engagement</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2CA8F3"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Excessive trust may create automation bias</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5A7062"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Trust often measured as a static construct</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62E0E"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Trust is treated as individual perception</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18961"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understanding of calibrated trust</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B03436"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Examine trust longitudinally</w:t>
            </w:r>
          </w:p>
        </w:tc>
      </w:tr>
      <w:tr w:rsidR="00591277" w14:paraId="0686B155" w14:textId="77777777">
        <w:trPr>
          <w:trHeight w:val="1910"/>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8AACF"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Engagement is associated with retention-related outcomes</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FDAE99"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Engagement does not equal retention</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016E5"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Turnover intention often substitutes for actual retention</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1B3DEF"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Behavioural outcomes are simplified</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23E57E"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direct evidence linking AI to actual retention</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813A6"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Track actual workforce outcomes</w:t>
            </w:r>
          </w:p>
        </w:tc>
      </w:tr>
      <w:tr w:rsidR="00591277" w14:paraId="4BC626B9" w14:textId="77777777">
        <w:trPr>
          <w:trHeight w:val="2195"/>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4DBE40" w14:textId="77777777" w:rsidR="00591277"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xml:space="preserve"> captures causal configurations</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889C2D"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Configurations do not necessarily explain meanings or temporal change</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DC5F29"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Calibration and sampling decisions affect results</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3B888D"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Set membership still depends on researcher conceptualisation</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F26F34"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configurational AI-retention research</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A0D989" w14:textId="77777777" w:rsidR="0059127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Mixed configurational and qualitative design</w:t>
            </w:r>
          </w:p>
        </w:tc>
      </w:tr>
    </w:tbl>
    <w:p w14:paraId="0BC86BC4" w14:textId="77777777" w:rsidR="00591277" w:rsidRDefault="00591277">
      <w:pPr>
        <w:spacing w:after="80" w:line="360" w:lineRule="auto"/>
        <w:jc w:val="both"/>
        <w:rPr>
          <w:rFonts w:ascii="Times New Roman" w:eastAsia="Times New Roman" w:hAnsi="Times New Roman" w:cs="Times New Roman"/>
          <w:sz w:val="24"/>
          <w:szCs w:val="24"/>
        </w:rPr>
      </w:pPr>
    </w:p>
    <w:p w14:paraId="22DAE88A"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synthesis, five gaps are identified.</w:t>
      </w:r>
    </w:p>
    <w:p w14:paraId="4317C1A9"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the psychological contract fulfilment and organisational justice are not sufficiently involved with AI adoption.</w:t>
      </w:r>
    </w:p>
    <w:p w14:paraId="016D4DD6"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there is too much emphasis on cross-sectional evidence, which makes it hard to see how employee perceptions change over the life of the embedding of AI.</w:t>
      </w:r>
    </w:p>
    <w:p w14:paraId="594FAB43"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 qualitative evidence is not as well represented as quantitative evidence in research examining the relationship between AI and employee outcomes, as evidenced by recent reviews in the healthcare field (Tun et al., 2025; Ayorinde et al., 2024), where the value of professional practice and contextual interpretation is highlighted.</w:t>
      </w:r>
    </w:p>
    <w:p w14:paraId="6069FCBC"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Fourth, a significant portion of trust, ethics, and adoption research in this field is not about retaining the workforce but rather about their trust, ethics, and adoption.</w:t>
      </w:r>
    </w:p>
    <w:p w14:paraId="5D11A3F8"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Fifth, in comparison, not much research and development work has been carried out on the integration of these constructs in an explicit organisational capability framework based on a research philosophy.</w:t>
      </w:r>
    </w:p>
    <w:p w14:paraId="08CC3B9C"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this opportunity for DBA means, then, is to explore how these expectations of responsible AI are being translated into organisations' practices that support perceptions of fairness, build calibrated trust and engagement, and ultimately help with workforce retention.</w:t>
      </w:r>
      <w:r>
        <w:br w:type="page"/>
      </w:r>
    </w:p>
    <w:p w14:paraId="1E179356" w14:textId="77777777" w:rsidR="00591277" w:rsidRDefault="00000000">
      <w:pPr>
        <w:pStyle w:val="Heading2"/>
        <w:keepNext w:val="0"/>
        <w:keepLines w:val="0"/>
        <w:spacing w:before="480" w:line="360" w:lineRule="auto"/>
        <w:jc w:val="both"/>
        <w:rPr>
          <w:rFonts w:ascii="Times New Roman" w:eastAsia="Times New Roman" w:hAnsi="Times New Roman" w:cs="Times New Roman"/>
          <w:sz w:val="23"/>
          <w:szCs w:val="23"/>
        </w:rPr>
      </w:pPr>
      <w:bookmarkStart w:id="25" w:name="_6qkhudv179f1" w:colFirst="0" w:colLast="0"/>
      <w:bookmarkEnd w:id="25"/>
      <w:r>
        <w:rPr>
          <w:rFonts w:ascii="Times New Roman" w:eastAsia="Times New Roman" w:hAnsi="Times New Roman" w:cs="Times New Roman"/>
        </w:rPr>
        <w:lastRenderedPageBreak/>
        <w:t>4. Philosophical and Methodological Analysis of the Selected Study</w:t>
      </w:r>
    </w:p>
    <w:p w14:paraId="097BFE8C" w14:textId="77777777" w:rsidR="00591277" w:rsidRDefault="00000000">
      <w:pPr>
        <w:pStyle w:val="Heading3"/>
        <w:spacing w:line="360" w:lineRule="auto"/>
        <w:jc w:val="both"/>
        <w:rPr>
          <w:rFonts w:ascii="Times New Roman" w:eastAsia="Times New Roman" w:hAnsi="Times New Roman" w:cs="Times New Roman"/>
        </w:rPr>
      </w:pPr>
      <w:bookmarkStart w:id="26" w:name="_vi4rxgw8pezo" w:colFirst="0" w:colLast="0"/>
      <w:bookmarkEnd w:id="26"/>
      <w:r>
        <w:rPr>
          <w:rFonts w:ascii="Times New Roman" w:eastAsia="Times New Roman" w:hAnsi="Times New Roman" w:cs="Times New Roman"/>
        </w:rPr>
        <w:t>4.1 Selected Study</w:t>
      </w:r>
    </w:p>
    <w:p w14:paraId="74E0EC17"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was chosen for detailed appraisal because it applies fuzzy-set Qualitative Comparative Analysis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(Wang et al., 2024) to explore the concept of justice in healthcare, autonomy in healthcare, trust, and accountability towards AI and healthcare professionals.</w:t>
      </w:r>
    </w:p>
    <w:p w14:paraId="73CE2723"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was chosen due to the fact that it provides a strong link between the substantive research problem and the methodological needs of this module. It integrates AI, healthcare professionals, justice, autonomy, trust, ethics, and organisational complexity under one roof.</w:t>
      </w:r>
    </w:p>
    <w:p w14:paraId="46C0626D"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data analysis of 401 healthcare professionals was carried out, and configurations linked to felt accountability towards AI were identified by applying the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The study revealed that the following conditions were significant for enacting AI ethics: combinations of justice and autonomy; and trust in the reliability and functionality of AI. It also revealed that the configurations were different with the complexity of the hospital (Wang et al., 2024).</w:t>
      </w:r>
    </w:p>
    <w:p w14:paraId="5D8CBB0D"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the result is a sense of responsibility for AI, instead of employee retention. This separation is very important. Although the study is very relevant to the proposed framework, it cannot be taken as conclusive evidence that justice and trust actually lead to employees staying with healthcare organisations.</w:t>
      </w:r>
    </w:p>
    <w:p w14:paraId="7AF0B830"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Configurational research is particularly concerned with causal complexity, equifinality and the possibility that different combinations of conditions can produce the same outcome (Ragin, 2000; Ragin, 2008; </w:t>
      </w:r>
      <w:proofErr w:type="spellStart"/>
      <w:r>
        <w:rPr>
          <w:rFonts w:ascii="Times New Roman" w:eastAsia="Times New Roman" w:hAnsi="Times New Roman" w:cs="Times New Roman"/>
          <w:sz w:val="24"/>
          <w:szCs w:val="24"/>
        </w:rPr>
        <w:t>Rihoux</w:t>
      </w:r>
      <w:proofErr w:type="spellEnd"/>
      <w:r>
        <w:rPr>
          <w:rFonts w:ascii="Times New Roman" w:eastAsia="Times New Roman" w:hAnsi="Times New Roman" w:cs="Times New Roman"/>
          <w:sz w:val="24"/>
          <w:szCs w:val="24"/>
        </w:rPr>
        <w:t xml:space="preserve"> and Ragin, 2009; Woodside, 2013). </w:t>
      </w:r>
    </w:p>
    <w:p w14:paraId="7FD6FACD" w14:textId="77777777" w:rsidR="00591277" w:rsidRDefault="00000000">
      <w:pPr>
        <w:pStyle w:val="Heading3"/>
        <w:spacing w:line="360" w:lineRule="auto"/>
        <w:jc w:val="both"/>
        <w:rPr>
          <w:rFonts w:ascii="Times New Roman" w:eastAsia="Times New Roman" w:hAnsi="Times New Roman" w:cs="Times New Roman"/>
        </w:rPr>
      </w:pPr>
      <w:bookmarkStart w:id="27" w:name="_32wje1l9hlno" w:colFirst="0" w:colLast="0"/>
      <w:bookmarkEnd w:id="27"/>
      <w:r>
        <w:rPr>
          <w:rFonts w:ascii="Times New Roman" w:eastAsia="Times New Roman" w:hAnsi="Times New Roman" w:cs="Times New Roman"/>
        </w:rPr>
        <w:t>4.2 Ontology and Epistemology</w:t>
      </w:r>
    </w:p>
    <w:p w14:paraId="756083EE"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respect to methodology, one of the important points is that the authors do not make an unsupported claim in regard to their philosophical stance. The study is not just positivist, critical realist, or pragmatic within the management research lexicon. Thus, among the philosophical interpretations, there must be discernment between the explicit theoretical position taken by the authors and the assumptions that can be reasonably assumed from the research design.</w:t>
      </w:r>
    </w:p>
    <w:p w14:paraId="12B22C3D"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xml:space="preserve"> means that an ontology is used that can accommodate causal complexity, equifinality, and configurational relationships. Instead of looking at one independent variable </w:t>
      </w:r>
      <w:r>
        <w:rPr>
          <w:rFonts w:ascii="Times New Roman" w:eastAsia="Times New Roman" w:hAnsi="Times New Roman" w:cs="Times New Roman"/>
          <w:sz w:val="24"/>
          <w:szCs w:val="24"/>
        </w:rPr>
        <w:lastRenderedPageBreak/>
        <w:t>and its effect on an outcome, the study is looking at combinations of conditions. This is in keeping with the logic of configurational research, in which varying causal processes can lead to comparable results (Fiss, 2011; Pappas and Woodside, 2021).</w:t>
      </w:r>
    </w:p>
    <w:p w14:paraId="5857CD7E"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an epistemological perspective, the study adheres to a qualitative stance that emphasizes the collection of empirical data from a systematic perspective and the operationalization of constructs. This makes it possible to compare cases and to identify cases' configurations. But the way of working also relies on the researchers' conception of justice, autonomy, trust, and accountability.</w:t>
      </w:r>
    </w:p>
    <w:p w14:paraId="3B73307E" w14:textId="77777777" w:rsidR="00591277" w:rsidRDefault="00000000">
      <w:pPr>
        <w:pStyle w:val="Heading3"/>
        <w:spacing w:line="360" w:lineRule="auto"/>
        <w:jc w:val="both"/>
        <w:rPr>
          <w:rFonts w:ascii="Times New Roman" w:eastAsia="Times New Roman" w:hAnsi="Times New Roman" w:cs="Times New Roman"/>
        </w:rPr>
      </w:pPr>
      <w:bookmarkStart w:id="28" w:name="_r3ny4i29puhy" w:colFirst="0" w:colLast="0"/>
      <w:bookmarkEnd w:id="28"/>
      <w:r>
        <w:rPr>
          <w:rFonts w:ascii="Times New Roman" w:eastAsia="Times New Roman" w:hAnsi="Times New Roman" w:cs="Times New Roman"/>
        </w:rPr>
        <w:t>4.3 Axiology and the positionality of the researcher</w:t>
      </w:r>
    </w:p>
    <w:p w14:paraId="4D1823D2"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of values in research is called axiology. The study is normatively significant as its research problem is related to justice, autonomy, and ethical responsibility. The study raises the question of the ethical conditions' impact on professional responsibility, which is not considered a value-neutral technology, but is treated as one (Wang et al., 2024).</w:t>
      </w:r>
    </w:p>
    <w:p w14:paraId="32230528"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values can be introduced to research through a variety of ways, such as in the selection of research questions, conceptualisation of constructs, the choice of measurements, interpretation, and recommendations.</w:t>
      </w:r>
    </w:p>
    <w:p w14:paraId="0489AF85"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assessment around ‘positionality' also has some implications for the future DBA researcher. A scientist studying AI and retention, for example, might come to the project with a presupposition that it is good to be responsible when working with AI and that the wellbeing of employees should be safeguarded. They might be used to guide questions in an interview, interpretation, and framework development, etc.</w:t>
      </w:r>
    </w:p>
    <w:p w14:paraId="311F2894"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Reflexivity is thus required. The researcher needs to delineate evidence from normative preference. An example is that if employees value human oversight, this does not prove that all organisations are required to have that governance structure.</w:t>
      </w:r>
    </w:p>
    <w:p w14:paraId="13649680" w14:textId="77777777" w:rsidR="00591277" w:rsidRDefault="00000000">
      <w:p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future DBA researcher should, therefore, keep a reflexive research record of the reasoning behind the choice of constructs, the processes of interpretation and the handling of contradictory evidence.</w:t>
      </w:r>
    </w:p>
    <w:p w14:paraId="14EE7316" w14:textId="5A714CA3" w:rsidR="00591277" w:rsidRDefault="00000000">
      <w:pPr>
        <w:spacing w:after="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This is directly related to qualitative studies of inconsistencies in interviews. </w:t>
      </w:r>
      <w:r w:rsidR="005F0A32">
        <w:rPr>
          <w:rFonts w:ascii="Times New Roman" w:eastAsia="Times New Roman" w:hAnsi="Times New Roman" w:cs="Times New Roman"/>
          <w:sz w:val="24"/>
          <w:szCs w:val="24"/>
        </w:rPr>
        <w:t>Do not</w:t>
      </w:r>
      <w:r>
        <w:rPr>
          <w:rFonts w:ascii="Times New Roman" w:eastAsia="Times New Roman" w:hAnsi="Times New Roman" w:cs="Times New Roman"/>
          <w:sz w:val="24"/>
          <w:szCs w:val="24"/>
        </w:rPr>
        <w:t xml:space="preserve"> remove contradictory interview material because it ruins the neatness of the account. The apparent inconsistencies can also highlight the complexity of employees' meaning-making processes (Watson, 2006). </w:t>
      </w:r>
    </w:p>
    <w:p w14:paraId="1AC1CA84" w14:textId="77777777" w:rsidR="00591277" w:rsidRDefault="00000000">
      <w:pPr>
        <w:pStyle w:val="Heading3"/>
        <w:keepNext w:val="0"/>
        <w:keepLines w:val="0"/>
        <w:spacing w:line="360" w:lineRule="auto"/>
        <w:jc w:val="both"/>
        <w:rPr>
          <w:rFonts w:ascii="Times New Roman" w:eastAsia="Times New Roman" w:hAnsi="Times New Roman" w:cs="Times New Roman"/>
        </w:rPr>
      </w:pPr>
      <w:bookmarkStart w:id="29" w:name="_vjuizrte0uaf" w:colFirst="0" w:colLast="0"/>
      <w:bookmarkEnd w:id="29"/>
      <w:r>
        <w:rPr>
          <w:rFonts w:ascii="Times New Roman" w:eastAsia="Times New Roman" w:hAnsi="Times New Roman" w:cs="Times New Roman"/>
        </w:rPr>
        <w:lastRenderedPageBreak/>
        <w:t>4.4 Reliability and Validity</w:t>
      </w:r>
    </w:p>
    <w:p w14:paraId="1782F449" w14:textId="4795F290"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methodological strengths of the selected study are</w:t>
      </w:r>
      <w:r w:rsidR="005F0A3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first, that a sample of 401 health care professionals was used to perform the study, and second,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xml:space="preserve"> was used to explore several configurations. This method is suitable when the result is obtained by combinations, instead of independent effects (Wang et al., 2024).</w:t>
      </w:r>
    </w:p>
    <w:p w14:paraId="15E24F31"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methodological quality needs to be more thoroughly investigated.</w:t>
      </w:r>
    </w:p>
    <w:p w14:paraId="2604C6E5"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Sampling adequacy</w:t>
      </w:r>
    </w:p>
    <w:p w14:paraId="204F0C98" w14:textId="11946624"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sample is large enough for configurational analysis</w:t>
      </w:r>
      <w:r w:rsidR="00833AB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however, a large sample size does not imply representativeness. The applicability of findings to private healthcare organisations is influenced by the healthcare context and characteristics of the organisation.</w:t>
      </w:r>
    </w:p>
    <w:p w14:paraId="13A2EF0D"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concern is supported by the discovery that the relevant configuration is dependent on organisation complexity. However, if complexity is important in the field of healthcare, then differences between public and private organisations, countries, professional groups and organisational sizes could also be important.</w:t>
      </w:r>
    </w:p>
    <w:p w14:paraId="6CB9724D"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Measurement validity</w:t>
      </w:r>
    </w:p>
    <w:p w14:paraId="2162F719"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relies on constructs like justice, autonomy, trust and accountability. Construct validity is based on the extent to which the measures agree with the concepts.</w:t>
      </w:r>
    </w:p>
    <w:p w14:paraId="6CAE4F20" w14:textId="051F24C2"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important especially for accountability. Responsibility and accountability are not the same thing, nor is either the same as employee retention. A professional might feel responsible for a decision made with AI and at the same time be thinking of leaving the organisation.</w:t>
      </w:r>
      <w:r w:rsidR="00833A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professional may feel responsible for a decision made with AI and at the same time also be thinking of leaving the organisation.</w:t>
      </w:r>
    </w:p>
    <w:p w14:paraId="761E5EAE"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conceptual gap between the outcome of the study and the suggested retention outcome, therefore, restricts the conclusions that can be drawn.</w:t>
      </w:r>
    </w:p>
    <w:p w14:paraId="06233452"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Common-method bias</w:t>
      </w:r>
    </w:p>
    <w:p w14:paraId="0F9AF20D" w14:textId="16D1EA5D"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Common-method bias is a potential concern due to some constructs being assessed using self-reported responses. The study presents statistical procedures to assess common-method bias</w:t>
      </w:r>
      <w:r w:rsidR="00833AB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did not reveal any significant common-method bias (Wang et al., 2024).</w:t>
      </w:r>
    </w:p>
    <w:p w14:paraId="4644A268"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enhances the methodological argument, but none of the statistical tests can rule out all potential concerns about common method effects. Risk might be further mitigated by time separation, multiple data sources or objective organisational indicators in the future.</w:t>
      </w:r>
    </w:p>
    <w:p w14:paraId="521746C6"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Calibration</w:t>
      </w:r>
    </w:p>
    <w:p w14:paraId="6202EF59"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Calibration is at the heart of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Continuous responses need to be transformed into membership scores of degrees of set membership. Qualitative anchors for full membership, crossover and full non-membership are used in the study (Wang et al., 2024).</w:t>
      </w:r>
    </w:p>
    <w:p w14:paraId="25A505DF" w14:textId="1B056CA9"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results in a significant methodological problem: calibration is not mechanical. Researchers need to explain their reasons for choosing specific thresholds as meaningful membership levels. </w:t>
      </w:r>
      <w:r w:rsidR="00011043">
        <w:rPr>
          <w:rFonts w:ascii="Times New Roman" w:eastAsia="Times New Roman" w:hAnsi="Times New Roman" w:cs="Times New Roman"/>
          <w:sz w:val="24"/>
          <w:szCs w:val="24"/>
        </w:rPr>
        <w:t xml:space="preserve">Poorly calibrated calibration can impact </w:t>
      </w:r>
      <w:r>
        <w:rPr>
          <w:rFonts w:ascii="Times New Roman" w:eastAsia="Times New Roman" w:hAnsi="Times New Roman" w:cs="Times New Roman"/>
          <w:sz w:val="24"/>
          <w:szCs w:val="24"/>
        </w:rPr>
        <w:t>which configurations seem to be essential.</w:t>
      </w:r>
    </w:p>
    <w:p w14:paraId="46DEFC00"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configurational methodology, there is a good deal of consensus on the significance of transparent calibration and the use of suitable thresholds in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xml:space="preserve"> (Pappas and Woodside, 2021).</w:t>
      </w:r>
    </w:p>
    <w:p w14:paraId="73766A7B"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Necessity and sufficiency</w:t>
      </w:r>
    </w:p>
    <w:p w14:paraId="20DFF2C3" w14:textId="1943201E"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 of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xml:space="preserve"> is different from </w:t>
      </w:r>
      <w:r w:rsidR="00011043">
        <w:rPr>
          <w:rFonts w:ascii="Times New Roman" w:eastAsia="Times New Roman" w:hAnsi="Times New Roman" w:cs="Times New Roman"/>
          <w:sz w:val="24"/>
          <w:szCs w:val="24"/>
        </w:rPr>
        <w:t>traditional regression, as it focuses on the relations</w:t>
      </w:r>
      <w:r>
        <w:rPr>
          <w:rFonts w:ascii="Times New Roman" w:eastAsia="Times New Roman" w:hAnsi="Times New Roman" w:cs="Times New Roman"/>
          <w:sz w:val="24"/>
          <w:szCs w:val="24"/>
        </w:rPr>
        <w:t xml:space="preserve"> and structures of sets. A combination may be sufficient</w:t>
      </w:r>
      <w:r w:rsidR="0001104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but each condition is not necessary, and a condition may be necessary but not sufficient.</w:t>
      </w:r>
    </w:p>
    <w:p w14:paraId="4A70E2E7"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above reason, it is important that researchers can differentiate between:</w:t>
      </w:r>
    </w:p>
    <w:p w14:paraId="67BD9D5E" w14:textId="1A4CD3EA" w:rsidR="00591277" w:rsidRDefault="00000000">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necessity: if something </w:t>
      </w:r>
      <w:r w:rsidR="00011043">
        <w:rPr>
          <w:rFonts w:ascii="Times New Roman" w:eastAsia="Times New Roman" w:hAnsi="Times New Roman" w:cs="Times New Roman"/>
          <w:sz w:val="24"/>
          <w:szCs w:val="24"/>
        </w:rPr>
        <w:t>does not</w:t>
      </w:r>
      <w:r>
        <w:rPr>
          <w:rFonts w:ascii="Times New Roman" w:eastAsia="Times New Roman" w:hAnsi="Times New Roman" w:cs="Times New Roman"/>
          <w:sz w:val="24"/>
          <w:szCs w:val="24"/>
        </w:rPr>
        <w:t xml:space="preserve"> happen for a reason, then it is rarely happening without a reason.</w:t>
      </w:r>
    </w:p>
    <w:p w14:paraId="704B1D1A" w14:textId="77777777" w:rsidR="00591277"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sufficiency: whether a set of conditions is strongly linked to the results;</w:t>
      </w:r>
    </w:p>
    <w:p w14:paraId="0CA85540" w14:textId="77777777" w:rsidR="00591277"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consistency: the closeness of the cases to the proposed set relation;</w:t>
      </w:r>
    </w:p>
    <w:p w14:paraId="30DB33D2" w14:textId="5F033633" w:rsidR="00591277" w:rsidRDefault="00000000">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empirical relevance: </w:t>
      </w:r>
      <w:r w:rsidR="00011043">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proportion of the outcome accounted for by the configuration, coverage.</w:t>
      </w:r>
    </w:p>
    <w:p w14:paraId="645FC246" w14:textId="55F2C236"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is an advantage of the approach of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xml:space="preserve">, but </w:t>
      </w:r>
      <w:r w:rsidR="00176A29">
        <w:rPr>
          <w:rFonts w:ascii="Times New Roman" w:eastAsia="Times New Roman" w:hAnsi="Times New Roman" w:cs="Times New Roman"/>
          <w:sz w:val="24"/>
          <w:szCs w:val="24"/>
        </w:rPr>
        <w:t xml:space="preserve">it is also </w:t>
      </w:r>
      <w:r>
        <w:rPr>
          <w:rFonts w:ascii="Times New Roman" w:eastAsia="Times New Roman" w:hAnsi="Times New Roman" w:cs="Times New Roman"/>
          <w:sz w:val="24"/>
          <w:szCs w:val="24"/>
        </w:rPr>
        <w:t>a limitation of the type of interpretation that can be made of the findings as opposed to regression coefficients (Fiss, 2011; Pappas and Woodside, 2021).</w:t>
      </w:r>
    </w:p>
    <w:p w14:paraId="48ACE01B" w14:textId="77777777" w:rsidR="00591277" w:rsidRDefault="00000000">
      <w:pPr>
        <w:pStyle w:val="Heading3"/>
        <w:spacing w:before="240" w:after="240" w:line="360" w:lineRule="auto"/>
        <w:jc w:val="both"/>
        <w:rPr>
          <w:rFonts w:ascii="Times New Roman" w:eastAsia="Times New Roman" w:hAnsi="Times New Roman" w:cs="Times New Roman"/>
        </w:rPr>
      </w:pPr>
      <w:bookmarkStart w:id="30" w:name="_9f6imp3nm8in" w:colFirst="0" w:colLast="0"/>
      <w:bookmarkEnd w:id="30"/>
      <w:r>
        <w:rPr>
          <w:rFonts w:ascii="Times New Roman" w:eastAsia="Times New Roman" w:hAnsi="Times New Roman" w:cs="Times New Roman"/>
        </w:rPr>
        <w:t>4.5 Ethical Considerations</w:t>
      </w:r>
    </w:p>
    <w:p w14:paraId="2B1E3C22"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Ethical assessment needs to be able to separate out what was actually described in the studies that are selected from other ethical issues affecting AI research.</w:t>
      </w:r>
    </w:p>
    <w:p w14:paraId="41F5B367"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Ethical sensitivity is exhibited in the substantive level of the central concern, which is justice, autonomy, and responsibility, in the study. It also acknowledges the need for several actors to be involved in decisions regarding the use of AI in healthcare (Wang et al., 2024).</w:t>
      </w:r>
    </w:p>
    <w:p w14:paraId="09F04219" w14:textId="01E6A713" w:rsidR="00591277" w:rsidRDefault="00176A2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wider employee research raises other ethical issues.</w:t>
      </w:r>
    </w:p>
    <w:p w14:paraId="61247E17"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often a lack of confidentiality and vulnerability of employees.</w:t>
      </w:r>
    </w:p>
    <w:p w14:paraId="50061D5C"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employers identify these AI systems, healthcare workers may not be inclined to criticise them. Anonymity, then, is ethically as well as epistemically significant: anonymously participating subjects may give more honest answers.</w:t>
      </w:r>
    </w:p>
    <w:p w14:paraId="15A12692"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Informed consent</w:t>
      </w:r>
    </w:p>
    <w:p w14:paraId="625161D7" w14:textId="1EA2994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should be aware of what participation entails, how the data will be </w:t>
      </w:r>
      <w:r w:rsidR="00176A29">
        <w:rPr>
          <w:rFonts w:ascii="Times New Roman" w:eastAsia="Times New Roman" w:hAnsi="Times New Roman" w:cs="Times New Roman"/>
          <w:sz w:val="24"/>
          <w:szCs w:val="24"/>
        </w:rPr>
        <w:t>utilised,</w:t>
      </w:r>
      <w:r>
        <w:rPr>
          <w:rFonts w:ascii="Times New Roman" w:eastAsia="Times New Roman" w:hAnsi="Times New Roman" w:cs="Times New Roman"/>
          <w:sz w:val="24"/>
          <w:szCs w:val="24"/>
        </w:rPr>
        <w:t xml:space="preserve"> and if participation might impact employment. If research is to be undertaken within an organisation, this is particularly relevant.</w:t>
      </w:r>
    </w:p>
    <w:p w14:paraId="672354C9"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AI surveillance</w:t>
      </w:r>
    </w:p>
    <w:p w14:paraId="5178A17F"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Potential areas where workforce AI can be applied include monitoring productivity, communication, attendance, or performance. This can pose a threat to the effective management of responsible AI as it can be mistaken for organisational control. This is why a future retention study should explore whether or not employees are able to tell the difference between AI that helps them work and AI that monitors them.</w:t>
      </w:r>
    </w:p>
    <w:p w14:paraId="1BD8765B"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Algorithmic bias</w:t>
      </w:r>
    </w:p>
    <w:p w14:paraId="5A414624" w14:textId="46E680E5"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If there are biased patterns in the data that an AI system is trained on, these systems can perpetuate history. This might affect hiring practices, employee assessment or staff assignment in an HR context. Therefore, the principle of fairness needs to be judged at the level of the model outputs as well as the level of how it is implemented at the </w:t>
      </w:r>
      <w:r w:rsidR="00176A29">
        <w:rPr>
          <w:rFonts w:ascii="Times New Roman" w:eastAsia="Times New Roman" w:hAnsi="Times New Roman" w:cs="Times New Roman"/>
          <w:sz w:val="24"/>
          <w:szCs w:val="24"/>
        </w:rPr>
        <w:t>organisational</w:t>
      </w:r>
      <w:r>
        <w:rPr>
          <w:rFonts w:ascii="Times New Roman" w:eastAsia="Times New Roman" w:hAnsi="Times New Roman" w:cs="Times New Roman"/>
          <w:sz w:val="24"/>
          <w:szCs w:val="24"/>
        </w:rPr>
        <w:t xml:space="preserve"> level.</w:t>
      </w:r>
    </w:p>
    <w:p w14:paraId="152CBF0D"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Accountability</w:t>
      </w:r>
    </w:p>
    <w:p w14:paraId="70AA25BE" w14:textId="2B4B0F8C"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selected study is a significant contribution that explores felt accountability. </w:t>
      </w:r>
      <w:r w:rsidR="00176A29">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when system design is beyond an individual's control, accountability should not take the place of the individual professional. To create responsible governance, there is a need for accountability of managers, technology providers, governance teams and users (Wang et al., 2024).</w:t>
      </w:r>
    </w:p>
    <w:p w14:paraId="4A76E9ED"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WHO recommendations also include autonomy, transparency, responsibility and protection from harm as key aspects of AI governance in healthcare (WHO, 2021).</w:t>
      </w:r>
    </w:p>
    <w:p w14:paraId="4EF90555"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 will assess alternative designs and evaluate their effectiveness.</w:t>
      </w:r>
    </w:p>
    <w:p w14:paraId="424E7EB9" w14:textId="1B47FE94"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advantage of the chosen study is its configurational approach to the topic of AI accountability. It does not take a </w:t>
      </w:r>
      <w:r w:rsidR="00212AD6">
        <w:rPr>
          <w:rFonts w:ascii="Times New Roman" w:eastAsia="Times New Roman" w:hAnsi="Times New Roman" w:cs="Times New Roman"/>
          <w:sz w:val="24"/>
          <w:szCs w:val="24"/>
        </w:rPr>
        <w:t>single-path</w:t>
      </w:r>
      <w:r>
        <w:rPr>
          <w:rFonts w:ascii="Times New Roman" w:eastAsia="Times New Roman" w:hAnsi="Times New Roman" w:cs="Times New Roman"/>
          <w:sz w:val="24"/>
          <w:szCs w:val="24"/>
        </w:rPr>
        <w:t xml:space="preserve"> approach to causality, but acknowledges that there is an interaction between justice, autonomy, trust and organisational complexity (Wang et al., 2024).</w:t>
      </w:r>
    </w:p>
    <w:p w14:paraId="586047D0" w14:textId="67C7BE02"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its drawbacks </w:t>
      </w:r>
      <w:r w:rsidR="00212AD6">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 current study is that it does not focus directly on the issue of workforce retention.</w:t>
      </w:r>
    </w:p>
    <w:p w14:paraId="00AFD0C8" w14:textId="77777777" w:rsidR="00591277" w:rsidRDefault="00000000">
      <w:pPr>
        <w:pStyle w:val="Heading2"/>
        <w:spacing w:before="240" w:after="240" w:line="360" w:lineRule="auto"/>
        <w:jc w:val="both"/>
        <w:rPr>
          <w:rFonts w:ascii="Times New Roman" w:eastAsia="Times New Roman" w:hAnsi="Times New Roman" w:cs="Times New Roman"/>
        </w:rPr>
      </w:pPr>
      <w:bookmarkStart w:id="31" w:name="_xath672rtag4" w:colFirst="0" w:colLast="0"/>
      <w:bookmarkEnd w:id="31"/>
      <w:r>
        <w:rPr>
          <w:rFonts w:ascii="Times New Roman" w:eastAsia="Times New Roman" w:hAnsi="Times New Roman" w:cs="Times New Roman"/>
        </w:rPr>
        <w:t>5. Discussion and Contribution</w:t>
      </w:r>
    </w:p>
    <w:p w14:paraId="73E93071"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review suggests that the adoption of AI should not be directly and automatically equated with workforce retention. Its impact is more likely to be indirect and situational in nature.</w:t>
      </w:r>
    </w:p>
    <w:p w14:paraId="53F44A33"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proposed structure is:</w:t>
      </w:r>
    </w:p>
    <w:p w14:paraId="5DCF622A"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AI Adoption</w:t>
      </w:r>
    </w:p>
    <w:p w14:paraId="77F5C4B7"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Cardo" w:eastAsia="Cardo" w:hAnsi="Cardo" w:cs="Cardo"/>
          <w:sz w:val="24"/>
          <w:szCs w:val="24"/>
        </w:rPr>
        <w:t xml:space="preserve"> ↓</w:t>
      </w:r>
    </w:p>
    <w:p w14:paraId="2A888A0E" w14:textId="7F69C2E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Psychological Contract Fulfilment + Organisational Justice</w:t>
      </w:r>
    </w:p>
    <w:p w14:paraId="53251260"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Cardo" w:eastAsia="Cardo" w:hAnsi="Cardo" w:cs="Cardo"/>
          <w:sz w:val="24"/>
          <w:szCs w:val="24"/>
        </w:rPr>
        <w:lastRenderedPageBreak/>
        <w:t xml:space="preserve"> ↓</w:t>
      </w:r>
    </w:p>
    <w:p w14:paraId="503EDE2A"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Employee Trust + Engagement</w:t>
      </w:r>
    </w:p>
    <w:p w14:paraId="16DDE3AD"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Cardo" w:eastAsia="Cardo" w:hAnsi="Cardo" w:cs="Cardo"/>
          <w:sz w:val="24"/>
          <w:szCs w:val="24"/>
        </w:rPr>
        <w:t xml:space="preserve"> ↓</w:t>
      </w:r>
    </w:p>
    <w:p w14:paraId="59742555"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Workforce Retention</w:t>
      </w:r>
    </w:p>
    <w:p w14:paraId="57C924A4"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Cardo" w:eastAsia="Cardo" w:hAnsi="Cardo" w:cs="Cardo"/>
          <w:sz w:val="24"/>
          <w:szCs w:val="24"/>
        </w:rPr>
        <w:t xml:space="preserve"> ↓</w:t>
      </w:r>
    </w:p>
    <w:p w14:paraId="5A8F7D98"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Organisational Stability</w:t>
      </w:r>
    </w:p>
    <w:p w14:paraId="4DD21E23"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Interpretations of the relationships should be taken with a grain of salt.</w:t>
      </w:r>
    </w:p>
    <w:p w14:paraId="10DB1077" w14:textId="77777777" w:rsidR="00591277" w:rsidRDefault="00591277">
      <w:pPr>
        <w:spacing w:before="240" w:after="240" w:line="360" w:lineRule="auto"/>
        <w:jc w:val="both"/>
        <w:rPr>
          <w:rFonts w:ascii="Times New Roman" w:eastAsia="Times New Roman" w:hAnsi="Times New Roman" w:cs="Times New Roman"/>
          <w:b/>
          <w:bCs/>
          <w:sz w:val="24"/>
          <w:szCs w:val="24"/>
        </w:rPr>
      </w:pPr>
    </w:p>
    <w:p w14:paraId="3F136059"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Theoretical contribution</w:t>
      </w:r>
    </w:p>
    <w:p w14:paraId="65641C3C"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Psychological Contract Theory offers insights into how AI affects the expectations of reciprocity between employees and the organisation. Psychological Contract Theory provides insights into how AI impacts reciprocal expectations between employees and the organisation. Organisational Justice Theory captures the perception of employees on AI decision-making as fair or unfair. </w:t>
      </w:r>
    </w:p>
    <w:p w14:paraId="4C9C04D6"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reasons behind the development of reciprocal commitment due to fair and supportive treatment are covered by Social Exchange Theory, and the strategic importance of organisational capability in managing technological change is discussed by Dynamic Capabilities Theory (Blau, 1964; Rousseau, 1995; Colquitt, 2001; Teece, 2007).</w:t>
      </w:r>
    </w:p>
    <w:p w14:paraId="187253D2"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traditional ideas are insufficient to cover the governance element of responsible AI.</w:t>
      </w:r>
    </w:p>
    <w:p w14:paraId="75065D1A"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Philosophical contribution</w:t>
      </w:r>
    </w:p>
    <w:p w14:paraId="102EA908"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review shows that there are different philosophies resulting in different types of knowledge. Positivism can measure relationships, interpretivism can measure employee meaning, critical realism can investigate the mechanisms, and pragmatism can justify the incorporation of various types of evidence.</w:t>
      </w:r>
    </w:p>
    <w:p w14:paraId="691751AC" w14:textId="26EA23BD"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most appropriate future position, probably, is pragmatic and critical realist sensitivity. Pragmatism is in </w:t>
      </w:r>
      <w:r w:rsidR="00212AD6">
        <w:rPr>
          <w:rFonts w:ascii="Times New Roman" w:eastAsia="Times New Roman" w:hAnsi="Times New Roman" w:cs="Times New Roman"/>
          <w:sz w:val="24"/>
          <w:szCs w:val="24"/>
        </w:rPr>
        <w:t>favour</w:t>
      </w:r>
      <w:r>
        <w:rPr>
          <w:rFonts w:ascii="Times New Roman" w:eastAsia="Times New Roman" w:hAnsi="Times New Roman" w:cs="Times New Roman"/>
          <w:sz w:val="24"/>
          <w:szCs w:val="24"/>
        </w:rPr>
        <w:t xml:space="preserve"> of methodological flexibility, and critical realism of investigating mechanisms and contextual factors, not just statistical relationships, as explanations.</w:t>
      </w:r>
    </w:p>
    <w:p w14:paraId="3EA53569"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Methodological contribution</w:t>
      </w:r>
    </w:p>
    <w:p w14:paraId="62FED5A2"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of the literature revealed that there was a lack of a long-term study using a mixed-methods approach. The relationships between the proposed constructs could be explored in quantitative analysis, and the employees' interpretations of the topic of the AI transformation could be explained in qualitative analysis.</w:t>
      </w:r>
    </w:p>
    <w:p w14:paraId="6556958B"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also important to clearly differentiate between the following: retention, intention to turn over, engagement, and organisational stability, rather than equating these constructs.</w:t>
      </w:r>
    </w:p>
    <w:p w14:paraId="45B3F2B4" w14:textId="77777777" w:rsidR="00591277"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Management contribution</w:t>
      </w:r>
    </w:p>
    <w:p w14:paraId="2372AAE0"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adoption of AI should be considered beyond the perspective of operational efficiency. Indicators that are relevant should encompass employee trust, perceived justice, psychological contract fulfilment, employee engagement, opportunities for reskilling, and opportunities for retention.</w:t>
      </w:r>
    </w:p>
    <w:p w14:paraId="011211CB"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communication is especially crucial as it can shape the employees' perception of AI, either as a tool for support or as a threat to the organisation. Other contextual conditions that should be included in the strength of the relationships proposed are digital readiness and organisational culture.</w:t>
      </w:r>
    </w:p>
    <w:p w14:paraId="2D4157FD"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makes a contribution to DBA research design.</w:t>
      </w:r>
    </w:p>
    <w:p w14:paraId="3ED94414"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challenge that arises from this DBA opportunity is whether responsible AI can be made an organisational ability to retain employees. It is not that responsible AI will help to ensure workforce retention, but that responsible AI can help create the conditions within the organisation that support fulfilment, fairness, trust and engagement, which can help improve the chances of workforce stability.</w:t>
      </w:r>
    </w:p>
    <w:p w14:paraId="301576F7" w14:textId="77777777" w:rsidR="00591277" w:rsidRDefault="00591277">
      <w:pPr>
        <w:spacing w:before="240" w:after="240" w:line="360" w:lineRule="auto"/>
        <w:jc w:val="both"/>
        <w:rPr>
          <w:rFonts w:ascii="Times New Roman" w:eastAsia="Times New Roman" w:hAnsi="Times New Roman" w:cs="Times New Roman"/>
        </w:rPr>
      </w:pPr>
    </w:p>
    <w:p w14:paraId="4281ACA9" w14:textId="77777777" w:rsidR="00591277" w:rsidRDefault="00000000">
      <w:pPr>
        <w:pStyle w:val="Heading2"/>
        <w:spacing w:before="240" w:after="240" w:line="360" w:lineRule="auto"/>
        <w:jc w:val="both"/>
        <w:rPr>
          <w:rFonts w:ascii="Times New Roman" w:eastAsia="Times New Roman" w:hAnsi="Times New Roman" w:cs="Times New Roman"/>
        </w:rPr>
      </w:pPr>
      <w:bookmarkStart w:id="32" w:name="_vtj7p2adcne" w:colFirst="0" w:colLast="0"/>
      <w:bookmarkEnd w:id="32"/>
      <w:r>
        <w:rPr>
          <w:rFonts w:ascii="Times New Roman" w:eastAsia="Times New Roman" w:hAnsi="Times New Roman" w:cs="Times New Roman"/>
        </w:rPr>
        <w:lastRenderedPageBreak/>
        <w:t>6. Conclusion</w:t>
      </w:r>
    </w:p>
    <w:p w14:paraId="03C99B73" w14:textId="33DA7065"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literature confirms that the use of AI is impacting healthcare jobs, but it does not present a straightforward link between AI use and workforce retention. One thing is becoming more evident</w:t>
      </w:r>
      <w:r w:rsidR="00B631C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outcomes of the technological transformation that employees face are dependent on its governance and experience.</w:t>
      </w:r>
    </w:p>
    <w:p w14:paraId="685D4C43" w14:textId="77777777" w:rsidR="00591277" w:rsidRDefault="00000000">
      <w:pPr>
        <w:spacing w:before="240" w:after="240" w:line="36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The psychological contract theory (PCT) provides a lens to understand the effects of AI on employees' expectations and psychological contracts. AI can influence an employee's psychological contract by changing their expectations of support, development, security and reciprocation from the organisation.AI can impact an employee's psychological contract by altering their expectations of support, development, security, and organisational reciprocity. Based on the principles of Organisational Justice Theory, employees perceive the fairness of the outcomes, processes, and information associated with AI. </w:t>
      </w:r>
    </w:p>
    <w:p w14:paraId="5E439D1A" w14:textId="646C3825"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Responsible AI research is complemented by ethical principles of transparency, accountability, human oversight, and stakeholder engagement.</w:t>
      </w:r>
      <w:r w:rsidR="00B631C8">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Ethical principles of transparency, accountability, human oversight, and stakeholder engagement are added to responsible AI research. In recent healthcare evidence, it is also revealed that trust, engagement, and professional autonomy are key factors influencing employees' reactions to the use of AI.</w:t>
      </w:r>
      <w:r>
        <w:rPr>
          <w:rFonts w:ascii="Times New Roman" w:eastAsia="Times New Roman" w:hAnsi="Times New Roman" w:cs="Times New Roman"/>
          <w:sz w:val="24"/>
          <w:szCs w:val="24"/>
        </w:rPr>
        <w:t xml:space="preserve"> </w:t>
      </w:r>
    </w:p>
    <w:p w14:paraId="62EEC476"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yet to be understood how these mechanisms operate in the long term and whether they have an impact on actual workforce retention. What is currently known is limited in that some studies use cross-sectional designs, some are fragmented, some are context-specific, and some collect data on employee perception but do not investigate the process of change in perception.</w:t>
      </w:r>
    </w:p>
    <w:p w14:paraId="7CF3D0C9" w14:textId="127BABC4"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uncertainty is further confirmed by the philosophical analysis. Positivist methods help to </w:t>
      </w:r>
      <w:r w:rsidR="00176A29">
        <w:rPr>
          <w:rFonts w:ascii="Times New Roman" w:eastAsia="Times New Roman" w:hAnsi="Times New Roman" w:cs="Times New Roman"/>
          <w:sz w:val="24"/>
          <w:szCs w:val="24"/>
        </w:rPr>
        <w:t>provide</w:t>
      </w:r>
      <w:r>
        <w:rPr>
          <w:rFonts w:ascii="Times New Roman" w:eastAsia="Times New Roman" w:hAnsi="Times New Roman" w:cs="Times New Roman"/>
          <w:sz w:val="24"/>
          <w:szCs w:val="24"/>
        </w:rPr>
        <w:t xml:space="preserve"> evidence of relationships but may underrepresent the meaning of employee relationships. Interpretivist research gives more depth to the context, but lacks breadth. The selected study provides an important insight into causal complexity, which is also related to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but the selected configurations do not capture the nuances of meaning or evolution of employee experience over time (Wang et al., 2024).</w:t>
      </w:r>
    </w:p>
    <w:p w14:paraId="309D9AC5"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Future research for the DBA is needed to explore the proposed pathway from responsible AI adoption to the psychological contract fulfilment to organisational justice to trust and engagement to workforce retention and organisational stability. Contextual conditions should </w:t>
      </w:r>
      <w:r>
        <w:rPr>
          <w:rFonts w:ascii="Times New Roman" w:eastAsia="Times New Roman" w:hAnsi="Times New Roman" w:cs="Times New Roman"/>
          <w:sz w:val="24"/>
          <w:szCs w:val="24"/>
        </w:rPr>
        <w:lastRenderedPageBreak/>
        <w:t>be considered, including leadership communication, digital readiness, and organisational culture.</w:t>
      </w:r>
    </w:p>
    <w:p w14:paraId="294732D6" w14:textId="77777777" w:rsidR="00591277"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The primary conclusion is that there is a need to consider employment relations as an organisational competency that involves a joint management of technology, people, governance and employment relations in a private healthcare context supported by AI.</w:t>
      </w:r>
      <w:r>
        <w:rPr>
          <w:rFonts w:ascii="Times New Roman" w:eastAsia="Times New Roman" w:hAnsi="Times New Roman" w:cs="Times New Roman"/>
          <w:sz w:val="24"/>
          <w:szCs w:val="24"/>
        </w:rPr>
        <w:t xml:space="preserve"> The question then is not so much whether AI is effective as when and how it will work within an organisation, and under which philosophical principles it will be effective for a workforce that will stay.</w:t>
      </w:r>
    </w:p>
    <w:p w14:paraId="2B760938" w14:textId="77777777" w:rsidR="00591277" w:rsidRDefault="00000000">
      <w:pPr>
        <w:pStyle w:val="Heading2"/>
        <w:spacing w:before="240" w:after="240" w:line="360" w:lineRule="auto"/>
        <w:jc w:val="both"/>
        <w:rPr>
          <w:rFonts w:ascii="Times New Roman" w:eastAsia="Times New Roman" w:hAnsi="Times New Roman" w:cs="Times New Roman"/>
        </w:rPr>
      </w:pPr>
      <w:bookmarkStart w:id="33" w:name="_m47or8lo48f8" w:colFirst="0" w:colLast="0"/>
      <w:bookmarkEnd w:id="33"/>
      <w:r>
        <w:br w:type="page"/>
      </w:r>
    </w:p>
    <w:p w14:paraId="6A4C7C23" w14:textId="77777777" w:rsidR="00591277" w:rsidRDefault="00000000">
      <w:pPr>
        <w:pStyle w:val="Heading2"/>
        <w:spacing w:before="240" w:after="240" w:line="360" w:lineRule="auto"/>
        <w:jc w:val="both"/>
        <w:rPr>
          <w:rFonts w:ascii="Times New Roman" w:eastAsia="Times New Roman" w:hAnsi="Times New Roman" w:cs="Times New Roman"/>
        </w:rPr>
      </w:pPr>
      <w:bookmarkStart w:id="34" w:name="_uhidn9i79foo" w:colFirst="0" w:colLast="0"/>
      <w:bookmarkEnd w:id="34"/>
      <w:r>
        <w:rPr>
          <w:rFonts w:ascii="Times New Roman" w:eastAsia="Times New Roman" w:hAnsi="Times New Roman" w:cs="Times New Roman"/>
        </w:rPr>
        <w:lastRenderedPageBreak/>
        <w:t>References</w:t>
      </w:r>
    </w:p>
    <w:p w14:paraId="13433FE8"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Amoako, G.K., Kumi, E., Appiah, T. and Ofori, K.S. (2024) ‘The effects of digital transformation, technological readiness, leadership support, and psychological contract on turnover intentions among healthcare professionals in Ghana: a mediated, moderated study’, </w:t>
      </w:r>
      <w:r>
        <w:rPr>
          <w:rFonts w:ascii="Times New Roman" w:eastAsia="Times New Roman" w:hAnsi="Times New Roman" w:cs="Times New Roman"/>
          <w:i/>
          <w:iCs/>
          <w:sz w:val="24"/>
          <w:szCs w:val="24"/>
        </w:rPr>
        <w:t>SN Business &amp; Economics</w:t>
      </w:r>
      <w:r>
        <w:rPr>
          <w:rFonts w:ascii="Times New Roman" w:eastAsia="Times New Roman" w:hAnsi="Times New Roman" w:cs="Times New Roman"/>
          <w:sz w:val="24"/>
          <w:szCs w:val="24"/>
        </w:rPr>
        <w:t xml:space="preserve">, 4(12). </w:t>
      </w:r>
    </w:p>
    <w:p w14:paraId="15F75E0F" w14:textId="77777777" w:rsidR="00591277" w:rsidRDefault="00591277">
      <w:pPr>
        <w:spacing w:line="360" w:lineRule="auto"/>
        <w:rPr>
          <w:rFonts w:ascii="Times New Roman" w:eastAsia="Times New Roman" w:hAnsi="Times New Roman" w:cs="Times New Roman"/>
          <w:sz w:val="24"/>
          <w:szCs w:val="24"/>
        </w:rPr>
      </w:pPr>
      <w:hyperlink r:id="rId12">
        <w:r>
          <w:rPr>
            <w:rFonts w:ascii="Times New Roman" w:eastAsia="Times New Roman" w:hAnsi="Times New Roman" w:cs="Times New Roman"/>
            <w:color w:val="1155CC"/>
            <w:sz w:val="24"/>
            <w:szCs w:val="24"/>
            <w:u w:val="single"/>
          </w:rPr>
          <w:t>https://doi.org/10.1007/s43546-024-00760-0</w:t>
        </w:r>
      </w:hyperlink>
      <w:r>
        <w:rPr>
          <w:rFonts w:ascii="Times New Roman" w:eastAsia="Times New Roman" w:hAnsi="Times New Roman" w:cs="Times New Roman"/>
          <w:sz w:val="24"/>
          <w:szCs w:val="24"/>
        </w:rPr>
        <w:t xml:space="preserve"> </w:t>
      </w:r>
    </w:p>
    <w:p w14:paraId="4DE01075"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Ayorinde, A., Mensah, D.O., Walsh, J., Ghosh, I., Ibrahim, S.A., Hogg, J., Peek, N. and Griffiths, F. (2024) ‘Health Care Professionals’ Experience of Using AI: Systematic Review With Narrative Synthesis’, </w:t>
      </w:r>
      <w:r>
        <w:rPr>
          <w:rFonts w:ascii="Times New Roman" w:eastAsia="Times New Roman" w:hAnsi="Times New Roman" w:cs="Times New Roman"/>
          <w:i/>
          <w:iCs/>
          <w:sz w:val="24"/>
          <w:szCs w:val="24"/>
        </w:rPr>
        <w:t>Journal of Medical Internet Research</w:t>
      </w:r>
      <w:r>
        <w:rPr>
          <w:rFonts w:ascii="Times New Roman" w:eastAsia="Times New Roman" w:hAnsi="Times New Roman" w:cs="Times New Roman"/>
          <w:sz w:val="24"/>
          <w:szCs w:val="24"/>
        </w:rPr>
        <w:t>, 26, e55766.</w:t>
      </w:r>
    </w:p>
    <w:p w14:paraId="27E43C63" w14:textId="77777777" w:rsidR="00591277" w:rsidRDefault="00591277">
      <w:pPr>
        <w:spacing w:line="360" w:lineRule="auto"/>
        <w:rPr>
          <w:rFonts w:ascii="Times New Roman" w:eastAsia="Times New Roman" w:hAnsi="Times New Roman" w:cs="Times New Roman"/>
          <w:sz w:val="24"/>
          <w:szCs w:val="24"/>
        </w:rPr>
      </w:pPr>
      <w:hyperlink r:id="rId13">
        <w:r>
          <w:rPr>
            <w:rFonts w:ascii="Times New Roman" w:eastAsia="Times New Roman" w:hAnsi="Times New Roman" w:cs="Times New Roman"/>
            <w:color w:val="1155CC"/>
            <w:sz w:val="24"/>
            <w:szCs w:val="24"/>
            <w:u w:val="single"/>
          </w:rPr>
          <w:t>https://doi.org/10.2196/55766</w:t>
        </w:r>
      </w:hyperlink>
      <w:r>
        <w:rPr>
          <w:rFonts w:ascii="Times New Roman" w:eastAsia="Times New Roman" w:hAnsi="Times New Roman" w:cs="Times New Roman"/>
          <w:sz w:val="24"/>
          <w:szCs w:val="24"/>
        </w:rPr>
        <w:t xml:space="preserve"> </w:t>
      </w:r>
    </w:p>
    <w:p w14:paraId="79ED5A4F"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Blau, P.M. (1964) </w:t>
      </w:r>
      <w:r>
        <w:rPr>
          <w:rFonts w:ascii="Times New Roman" w:eastAsia="Times New Roman" w:hAnsi="Times New Roman" w:cs="Times New Roman"/>
          <w:i/>
          <w:iCs/>
          <w:sz w:val="24"/>
          <w:szCs w:val="24"/>
        </w:rPr>
        <w:t>Exchange and Power in Social Life</w:t>
      </w:r>
      <w:r>
        <w:rPr>
          <w:rFonts w:ascii="Times New Roman" w:eastAsia="Times New Roman" w:hAnsi="Times New Roman" w:cs="Times New Roman"/>
          <w:sz w:val="24"/>
          <w:szCs w:val="24"/>
        </w:rPr>
        <w:t>. New York: Wiley.</w:t>
      </w:r>
    </w:p>
    <w:p w14:paraId="21AE7952"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Braganza, A., Chen, W., </w:t>
      </w:r>
      <w:proofErr w:type="spellStart"/>
      <w:r>
        <w:rPr>
          <w:rFonts w:ascii="Times New Roman" w:eastAsia="Times New Roman" w:hAnsi="Times New Roman" w:cs="Times New Roman"/>
          <w:sz w:val="24"/>
          <w:szCs w:val="24"/>
        </w:rPr>
        <w:t>Canhoto</w:t>
      </w:r>
      <w:proofErr w:type="spellEnd"/>
      <w:r>
        <w:rPr>
          <w:rFonts w:ascii="Times New Roman" w:eastAsia="Times New Roman" w:hAnsi="Times New Roman" w:cs="Times New Roman"/>
          <w:sz w:val="24"/>
          <w:szCs w:val="24"/>
        </w:rPr>
        <w:t xml:space="preserve">, A. and Sap, S. (2021) ‘Productive employment and decent work: The impact of AI adoption on psychological contracts, job engagement and employee trust’, </w:t>
      </w:r>
      <w:r>
        <w:rPr>
          <w:rFonts w:ascii="Times New Roman" w:eastAsia="Times New Roman" w:hAnsi="Times New Roman" w:cs="Times New Roman"/>
          <w:i/>
          <w:iCs/>
          <w:sz w:val="24"/>
          <w:szCs w:val="24"/>
        </w:rPr>
        <w:t>Journal of Business Research</w:t>
      </w:r>
      <w:r>
        <w:rPr>
          <w:rFonts w:ascii="Times New Roman" w:eastAsia="Times New Roman" w:hAnsi="Times New Roman" w:cs="Times New Roman"/>
          <w:sz w:val="24"/>
          <w:szCs w:val="24"/>
        </w:rPr>
        <w:t>, 131, pp. 485–494.</w:t>
      </w:r>
    </w:p>
    <w:p w14:paraId="3D70F291" w14:textId="77777777" w:rsidR="00591277" w:rsidRDefault="00591277">
      <w:pPr>
        <w:spacing w:line="360" w:lineRule="auto"/>
        <w:rPr>
          <w:rFonts w:ascii="Times New Roman" w:eastAsia="Times New Roman" w:hAnsi="Times New Roman" w:cs="Times New Roman"/>
          <w:sz w:val="24"/>
          <w:szCs w:val="24"/>
        </w:rPr>
      </w:pPr>
      <w:hyperlink r:id="rId14">
        <w:r>
          <w:rPr>
            <w:rFonts w:ascii="Times New Roman" w:eastAsia="Times New Roman" w:hAnsi="Times New Roman" w:cs="Times New Roman"/>
            <w:color w:val="1155CC"/>
            <w:sz w:val="24"/>
            <w:szCs w:val="24"/>
            <w:u w:val="single"/>
          </w:rPr>
          <w:t>https://doi.org/10.1016/j.jbusres.2020.08.018</w:t>
        </w:r>
      </w:hyperlink>
      <w:r>
        <w:rPr>
          <w:rFonts w:ascii="Times New Roman" w:eastAsia="Times New Roman" w:hAnsi="Times New Roman" w:cs="Times New Roman"/>
          <w:sz w:val="24"/>
          <w:szCs w:val="24"/>
        </w:rPr>
        <w:t xml:space="preserve"> </w:t>
      </w:r>
    </w:p>
    <w:p w14:paraId="31166BDC"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Bryman, A. and Bell, E. (2015) </w:t>
      </w:r>
      <w:r>
        <w:rPr>
          <w:rFonts w:ascii="Times New Roman" w:eastAsia="Times New Roman" w:hAnsi="Times New Roman" w:cs="Times New Roman"/>
          <w:i/>
          <w:iCs/>
          <w:sz w:val="24"/>
          <w:szCs w:val="24"/>
        </w:rPr>
        <w:t>Business Research Methods</w:t>
      </w:r>
      <w:r>
        <w:rPr>
          <w:rFonts w:ascii="Times New Roman" w:eastAsia="Times New Roman" w:hAnsi="Times New Roman" w:cs="Times New Roman"/>
          <w:sz w:val="24"/>
          <w:szCs w:val="24"/>
        </w:rPr>
        <w:t xml:space="preserve">. 4th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Oxford: Oxford University Press.</w:t>
      </w:r>
    </w:p>
    <w:p w14:paraId="44349FD4"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D., Lin, Q., Yang, T., Shi, L.(2022) ‘Distributive justice and turnover intention among medical staff in Shenzhen, China: the mediating effects of organizational commitment and work engagement’, </w:t>
      </w:r>
      <w:r>
        <w:rPr>
          <w:rFonts w:ascii="Times New Roman" w:eastAsia="Times New Roman" w:hAnsi="Times New Roman" w:cs="Times New Roman"/>
          <w:i/>
          <w:iCs/>
          <w:sz w:val="24"/>
          <w:szCs w:val="24"/>
        </w:rPr>
        <w:t>Risk Management and Healthcare Policy</w:t>
      </w:r>
      <w:r>
        <w:rPr>
          <w:rFonts w:ascii="Times New Roman" w:eastAsia="Times New Roman" w:hAnsi="Times New Roman" w:cs="Times New Roman"/>
          <w:sz w:val="24"/>
          <w:szCs w:val="24"/>
        </w:rPr>
        <w:t xml:space="preserve">, 15, pp. 665–676. </w:t>
      </w:r>
    </w:p>
    <w:p w14:paraId="31E457BE" w14:textId="77777777" w:rsidR="00591277" w:rsidRDefault="00591277">
      <w:pPr>
        <w:spacing w:line="360" w:lineRule="auto"/>
        <w:rPr>
          <w:rFonts w:ascii="Times New Roman" w:eastAsia="Times New Roman" w:hAnsi="Times New Roman" w:cs="Times New Roman"/>
          <w:sz w:val="24"/>
          <w:szCs w:val="24"/>
        </w:rPr>
      </w:pPr>
      <w:hyperlink r:id="rId15">
        <w:r>
          <w:rPr>
            <w:rFonts w:ascii="Times New Roman" w:eastAsia="Times New Roman" w:hAnsi="Times New Roman" w:cs="Times New Roman"/>
            <w:color w:val="1155CC"/>
            <w:sz w:val="24"/>
            <w:szCs w:val="24"/>
            <w:u w:val="single"/>
          </w:rPr>
          <w:t>https://doi.org/10.2147/RMHP.S357654</w:t>
        </w:r>
      </w:hyperlink>
      <w:r>
        <w:rPr>
          <w:rFonts w:ascii="Times New Roman" w:eastAsia="Times New Roman" w:hAnsi="Times New Roman" w:cs="Times New Roman"/>
          <w:sz w:val="24"/>
          <w:szCs w:val="24"/>
        </w:rPr>
        <w:t xml:space="preserve"> </w:t>
      </w:r>
    </w:p>
    <w:p w14:paraId="2006D1B1"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Colquitt, J.A. (2001) ‘On the dimensionality of organizational justice: a construct validation of a measure’, </w:t>
      </w:r>
      <w:r>
        <w:rPr>
          <w:rFonts w:ascii="Times New Roman" w:eastAsia="Times New Roman" w:hAnsi="Times New Roman" w:cs="Times New Roman"/>
          <w:i/>
          <w:iCs/>
          <w:sz w:val="24"/>
          <w:szCs w:val="24"/>
        </w:rPr>
        <w:t>Journal of Applied Psychology</w:t>
      </w:r>
      <w:r>
        <w:rPr>
          <w:rFonts w:ascii="Times New Roman" w:eastAsia="Times New Roman" w:hAnsi="Times New Roman" w:cs="Times New Roman"/>
          <w:sz w:val="24"/>
          <w:szCs w:val="24"/>
        </w:rPr>
        <w:t>, 86(3), pp. 386–400.</w:t>
      </w:r>
    </w:p>
    <w:p w14:paraId="40A73995" w14:textId="77777777" w:rsidR="00591277" w:rsidRDefault="00591277">
      <w:pPr>
        <w:spacing w:line="360" w:lineRule="auto"/>
        <w:rPr>
          <w:rFonts w:ascii="Times New Roman" w:eastAsia="Times New Roman" w:hAnsi="Times New Roman" w:cs="Times New Roman"/>
          <w:color w:val="1155CC"/>
          <w:sz w:val="24"/>
          <w:szCs w:val="24"/>
          <w:u w:val="single"/>
        </w:rPr>
      </w:pPr>
      <w:hyperlink r:id="rId16">
        <w:r>
          <w:rPr>
            <w:rFonts w:ascii="Times New Roman" w:eastAsia="Times New Roman" w:hAnsi="Times New Roman" w:cs="Times New Roman"/>
            <w:color w:val="1155CC"/>
            <w:sz w:val="24"/>
            <w:szCs w:val="24"/>
            <w:u w:val="single"/>
          </w:rPr>
          <w:t>https://doi.org/10.1037/0021-9010.86.3.386</w:t>
        </w:r>
      </w:hyperlink>
    </w:p>
    <w:p w14:paraId="6A58F180"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Covidence (2021) ‘How to search databases for systematic reviews’. Available at: https://www.covidence.org/blog/how-to-search-databases-for-systematic-reviews/</w:t>
      </w:r>
    </w:p>
    <w:p w14:paraId="7135BCAC"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Crotty, M. (1998) </w:t>
      </w:r>
      <w:r>
        <w:rPr>
          <w:rFonts w:ascii="Times New Roman" w:eastAsia="Times New Roman" w:hAnsi="Times New Roman" w:cs="Times New Roman"/>
          <w:i/>
          <w:iCs/>
          <w:sz w:val="24"/>
          <w:szCs w:val="24"/>
        </w:rPr>
        <w:t>The Foundations of Social Research: Meaning and Perspective in the Research Process</w:t>
      </w:r>
      <w:r>
        <w:rPr>
          <w:rFonts w:ascii="Times New Roman" w:eastAsia="Times New Roman" w:hAnsi="Times New Roman" w:cs="Times New Roman"/>
          <w:sz w:val="24"/>
          <w:szCs w:val="24"/>
        </w:rPr>
        <w:t>. London: Sage.</w:t>
      </w:r>
    </w:p>
    <w:p w14:paraId="35941862"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Daly, S.J., Wiewiora, A. and Hearn, G. (2025) ‘Shifting attitudes and trust in AI: Influences on organizational AI adoption’, </w:t>
      </w:r>
      <w:r>
        <w:rPr>
          <w:rFonts w:ascii="Times New Roman" w:eastAsia="Times New Roman" w:hAnsi="Times New Roman" w:cs="Times New Roman"/>
          <w:i/>
          <w:iCs/>
          <w:sz w:val="24"/>
          <w:szCs w:val="24"/>
        </w:rPr>
        <w:t>Technological Forecasting and Social Change</w:t>
      </w:r>
      <w:r>
        <w:rPr>
          <w:rFonts w:ascii="Times New Roman" w:eastAsia="Times New Roman" w:hAnsi="Times New Roman" w:cs="Times New Roman"/>
          <w:sz w:val="24"/>
          <w:szCs w:val="24"/>
        </w:rPr>
        <w:t>, 215, 124108.</w:t>
      </w:r>
    </w:p>
    <w:p w14:paraId="0D7831DC" w14:textId="77777777" w:rsidR="00591277" w:rsidRDefault="00591277">
      <w:pPr>
        <w:spacing w:line="360" w:lineRule="auto"/>
        <w:rPr>
          <w:rFonts w:ascii="Times New Roman" w:eastAsia="Times New Roman" w:hAnsi="Times New Roman" w:cs="Times New Roman"/>
          <w:sz w:val="24"/>
          <w:szCs w:val="24"/>
        </w:rPr>
      </w:pPr>
      <w:hyperlink r:id="rId17">
        <w:r>
          <w:rPr>
            <w:rFonts w:ascii="Times New Roman" w:eastAsia="Times New Roman" w:hAnsi="Times New Roman" w:cs="Times New Roman"/>
            <w:color w:val="1155CC"/>
            <w:sz w:val="24"/>
            <w:szCs w:val="24"/>
            <w:u w:val="single"/>
          </w:rPr>
          <w:t>https://doi.org/10.1016/j.techfore.2025.124108</w:t>
        </w:r>
      </w:hyperlink>
      <w:r>
        <w:rPr>
          <w:rFonts w:ascii="Times New Roman" w:eastAsia="Times New Roman" w:hAnsi="Times New Roman" w:cs="Times New Roman"/>
          <w:sz w:val="24"/>
          <w:szCs w:val="24"/>
        </w:rPr>
        <w:t xml:space="preserve"> </w:t>
      </w:r>
    </w:p>
    <w:p w14:paraId="571D789F" w14:textId="7D83C2CE"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Easterby-Smith, M., Thorpe, R. and Jackson, P.R. (2018)</w:t>
      </w:r>
      <w:r w:rsidR="004E21D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Management and Business Research</w:t>
      </w:r>
      <w:r>
        <w:rPr>
          <w:rFonts w:ascii="Times New Roman" w:eastAsia="Times New Roman" w:hAnsi="Times New Roman" w:cs="Times New Roman"/>
          <w:sz w:val="24"/>
          <w:szCs w:val="24"/>
        </w:rPr>
        <w:t xml:space="preserve">. 6th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London: Sage.</w:t>
      </w:r>
    </w:p>
    <w:p w14:paraId="20A95257"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Fiss, P.C. (2011) ‘Building better causal theories: a fuzzy set approach to typologies in organization research’, </w:t>
      </w:r>
      <w:r>
        <w:rPr>
          <w:rFonts w:ascii="Times New Roman" w:eastAsia="Times New Roman" w:hAnsi="Times New Roman" w:cs="Times New Roman"/>
          <w:i/>
          <w:iCs/>
          <w:sz w:val="24"/>
          <w:szCs w:val="24"/>
        </w:rPr>
        <w:t>Academy of Management Journal</w:t>
      </w:r>
      <w:r>
        <w:rPr>
          <w:rFonts w:ascii="Times New Roman" w:eastAsia="Times New Roman" w:hAnsi="Times New Roman" w:cs="Times New Roman"/>
          <w:sz w:val="24"/>
          <w:szCs w:val="24"/>
        </w:rPr>
        <w:t>, 54(2), pp. 393–420.</w:t>
      </w:r>
    </w:p>
    <w:p w14:paraId="1AC8A0A2" w14:textId="77777777" w:rsidR="00591277" w:rsidRDefault="00591277">
      <w:pPr>
        <w:spacing w:line="360" w:lineRule="auto"/>
        <w:rPr>
          <w:rFonts w:ascii="Times New Roman" w:eastAsia="Times New Roman" w:hAnsi="Times New Roman" w:cs="Times New Roman"/>
          <w:color w:val="1155CC"/>
          <w:sz w:val="24"/>
          <w:szCs w:val="24"/>
          <w:u w:val="single"/>
        </w:rPr>
      </w:pPr>
      <w:hyperlink r:id="rId18">
        <w:r>
          <w:rPr>
            <w:rFonts w:ascii="Times New Roman" w:eastAsia="Times New Roman" w:hAnsi="Times New Roman" w:cs="Times New Roman"/>
            <w:color w:val="1155CC"/>
            <w:sz w:val="24"/>
            <w:szCs w:val="24"/>
            <w:u w:val="single"/>
          </w:rPr>
          <w:t>https://doi.org/10.5465/amj.2011.60263120</w:t>
        </w:r>
      </w:hyperlink>
    </w:p>
    <w:p w14:paraId="1DC73634"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Gkinko, L. and Elbanna, A. (2023) ‘Designing trust: the formation of employees’ trust in conversational AI in the digital workplace’, </w:t>
      </w:r>
      <w:r>
        <w:rPr>
          <w:rFonts w:ascii="Times New Roman" w:eastAsia="Times New Roman" w:hAnsi="Times New Roman" w:cs="Times New Roman"/>
          <w:i/>
          <w:iCs/>
          <w:sz w:val="24"/>
          <w:szCs w:val="24"/>
        </w:rPr>
        <w:t>Journal of Business Research</w:t>
      </w:r>
      <w:r>
        <w:rPr>
          <w:rFonts w:ascii="Times New Roman" w:eastAsia="Times New Roman" w:hAnsi="Times New Roman" w:cs="Times New Roman"/>
          <w:sz w:val="24"/>
          <w:szCs w:val="24"/>
        </w:rPr>
        <w:t>, 158, 113707.</w:t>
      </w:r>
    </w:p>
    <w:p w14:paraId="7E772A13" w14:textId="77777777" w:rsidR="00591277" w:rsidRDefault="00591277">
      <w:pPr>
        <w:spacing w:line="360" w:lineRule="auto"/>
        <w:rPr>
          <w:rFonts w:ascii="Times New Roman" w:eastAsia="Times New Roman" w:hAnsi="Times New Roman" w:cs="Times New Roman"/>
          <w:color w:val="1155CC"/>
          <w:sz w:val="24"/>
          <w:szCs w:val="24"/>
          <w:u w:val="single"/>
        </w:rPr>
      </w:pPr>
      <w:hyperlink r:id="rId19">
        <w:r>
          <w:rPr>
            <w:rFonts w:ascii="Times New Roman" w:eastAsia="Times New Roman" w:hAnsi="Times New Roman" w:cs="Times New Roman"/>
            <w:color w:val="1155CC"/>
            <w:sz w:val="24"/>
            <w:szCs w:val="24"/>
            <w:u w:val="single"/>
          </w:rPr>
          <w:t>https://doi.org/10.1016/j.jbusres.2023.113707</w:t>
        </w:r>
      </w:hyperlink>
    </w:p>
    <w:p w14:paraId="3C961C27"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Glikson, E. and Woolley, A.W. (2020) ‘Human trust in artificial intelligence: review of empirical research’, </w:t>
      </w:r>
      <w:r>
        <w:rPr>
          <w:rFonts w:ascii="Times New Roman" w:eastAsia="Times New Roman" w:hAnsi="Times New Roman" w:cs="Times New Roman"/>
          <w:i/>
          <w:iCs/>
          <w:sz w:val="24"/>
          <w:szCs w:val="24"/>
        </w:rPr>
        <w:t>Academy of Management Annals</w:t>
      </w:r>
      <w:r>
        <w:rPr>
          <w:rFonts w:ascii="Times New Roman" w:eastAsia="Times New Roman" w:hAnsi="Times New Roman" w:cs="Times New Roman"/>
          <w:sz w:val="24"/>
          <w:szCs w:val="24"/>
        </w:rPr>
        <w:t>, 14(2), pp. 627–660.</w:t>
      </w:r>
    </w:p>
    <w:p w14:paraId="65C2EABE" w14:textId="77777777" w:rsidR="00591277" w:rsidRDefault="00591277">
      <w:pPr>
        <w:spacing w:line="360" w:lineRule="auto"/>
        <w:rPr>
          <w:rFonts w:ascii="Times New Roman" w:eastAsia="Times New Roman" w:hAnsi="Times New Roman" w:cs="Times New Roman"/>
          <w:color w:val="1155CC"/>
          <w:sz w:val="24"/>
          <w:szCs w:val="24"/>
          <w:u w:val="single"/>
        </w:rPr>
      </w:pPr>
      <w:hyperlink r:id="rId20">
        <w:r>
          <w:rPr>
            <w:rFonts w:ascii="Times New Roman" w:eastAsia="Times New Roman" w:hAnsi="Times New Roman" w:cs="Times New Roman"/>
            <w:color w:val="1155CC"/>
            <w:sz w:val="24"/>
            <w:szCs w:val="24"/>
            <w:u w:val="single"/>
          </w:rPr>
          <w:t>https://doi.org/10.5465/annals.2018.0057</w:t>
        </w:r>
      </w:hyperlink>
    </w:p>
    <w:p w14:paraId="01B46E6B"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Grant, M.J. and Booth, A. (2009) ‘A typology of reviews: an analysis of 14 review types and associated methodologies’, </w:t>
      </w:r>
      <w:r>
        <w:rPr>
          <w:rFonts w:ascii="Times New Roman" w:eastAsia="Times New Roman" w:hAnsi="Times New Roman" w:cs="Times New Roman"/>
          <w:i/>
          <w:iCs/>
          <w:sz w:val="24"/>
          <w:szCs w:val="24"/>
        </w:rPr>
        <w:t>Health Information and Libraries Journal</w:t>
      </w:r>
      <w:r>
        <w:rPr>
          <w:rFonts w:ascii="Times New Roman" w:eastAsia="Times New Roman" w:hAnsi="Times New Roman" w:cs="Times New Roman"/>
          <w:sz w:val="24"/>
          <w:szCs w:val="24"/>
        </w:rPr>
        <w:t>, 26(2), pp. 91–108.</w:t>
      </w:r>
    </w:p>
    <w:p w14:paraId="01FCA7DC" w14:textId="77777777" w:rsidR="00591277" w:rsidRDefault="00591277">
      <w:pPr>
        <w:spacing w:line="360" w:lineRule="auto"/>
        <w:rPr>
          <w:rFonts w:ascii="Times New Roman" w:eastAsia="Times New Roman" w:hAnsi="Times New Roman" w:cs="Times New Roman"/>
          <w:color w:val="1155CC"/>
          <w:sz w:val="24"/>
          <w:szCs w:val="24"/>
          <w:u w:val="single"/>
        </w:rPr>
      </w:pPr>
      <w:hyperlink r:id="rId21">
        <w:r>
          <w:rPr>
            <w:rFonts w:ascii="Times New Roman" w:eastAsia="Times New Roman" w:hAnsi="Times New Roman" w:cs="Times New Roman"/>
            <w:color w:val="1155CC"/>
            <w:sz w:val="24"/>
            <w:szCs w:val="24"/>
            <w:u w:val="single"/>
          </w:rPr>
          <w:t>https://doi.org/10.1111/j.1471-1842.2009.00848.x</w:t>
        </w:r>
      </w:hyperlink>
    </w:p>
    <w:p w14:paraId="54C0641C"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Hameed, Z., Alsaleh, H., Malik, P. and </w:t>
      </w:r>
      <w:proofErr w:type="spellStart"/>
      <w:r>
        <w:rPr>
          <w:rFonts w:ascii="Times New Roman" w:eastAsia="Times New Roman" w:hAnsi="Times New Roman" w:cs="Times New Roman"/>
          <w:sz w:val="24"/>
          <w:szCs w:val="24"/>
        </w:rPr>
        <w:t>Vishnoi</w:t>
      </w:r>
      <w:proofErr w:type="spellEnd"/>
      <w:r>
        <w:rPr>
          <w:rFonts w:ascii="Times New Roman" w:eastAsia="Times New Roman" w:hAnsi="Times New Roman" w:cs="Times New Roman"/>
          <w:sz w:val="24"/>
          <w:szCs w:val="24"/>
        </w:rPr>
        <w:t xml:space="preserve">, S.K. (2026) ‘How does responsible AI influence healthcare employee AI collaboration and engagement? The role of AI trust and responsible leadership’, </w:t>
      </w:r>
      <w:r>
        <w:rPr>
          <w:rFonts w:ascii="Times New Roman" w:eastAsia="Times New Roman" w:hAnsi="Times New Roman" w:cs="Times New Roman"/>
          <w:i/>
          <w:iCs/>
          <w:sz w:val="24"/>
          <w:szCs w:val="24"/>
        </w:rPr>
        <w:t>Technological Forecasting and Social Change</w:t>
      </w:r>
      <w:r>
        <w:rPr>
          <w:rFonts w:ascii="Times New Roman" w:eastAsia="Times New Roman" w:hAnsi="Times New Roman" w:cs="Times New Roman"/>
          <w:sz w:val="24"/>
          <w:szCs w:val="24"/>
        </w:rPr>
        <w:t>, 227, 124651.</w:t>
      </w:r>
    </w:p>
    <w:p w14:paraId="73CD780E" w14:textId="77777777" w:rsidR="00591277" w:rsidRDefault="00591277">
      <w:pPr>
        <w:spacing w:line="360" w:lineRule="auto"/>
        <w:rPr>
          <w:rFonts w:ascii="Times New Roman" w:eastAsia="Times New Roman" w:hAnsi="Times New Roman" w:cs="Times New Roman"/>
          <w:sz w:val="24"/>
          <w:szCs w:val="24"/>
        </w:rPr>
      </w:pPr>
      <w:hyperlink r:id="rId22">
        <w:r>
          <w:rPr>
            <w:rFonts w:ascii="Times New Roman" w:eastAsia="Times New Roman" w:hAnsi="Times New Roman" w:cs="Times New Roman"/>
            <w:color w:val="1155CC"/>
            <w:sz w:val="24"/>
            <w:szCs w:val="24"/>
            <w:u w:val="single"/>
          </w:rPr>
          <w:t>https://doi.org/10.1016/j.techfore.2026.124651</w:t>
        </w:r>
      </w:hyperlink>
      <w:r>
        <w:rPr>
          <w:rFonts w:ascii="Times New Roman" w:eastAsia="Times New Roman" w:hAnsi="Times New Roman" w:cs="Times New Roman"/>
          <w:sz w:val="24"/>
          <w:szCs w:val="24"/>
        </w:rPr>
        <w:t xml:space="preserve">  </w:t>
      </w:r>
    </w:p>
    <w:p w14:paraId="2C83AD3E"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Irgang, L., </w:t>
      </w:r>
      <w:proofErr w:type="spellStart"/>
      <w:r>
        <w:rPr>
          <w:rFonts w:ascii="Times New Roman" w:eastAsia="Times New Roman" w:hAnsi="Times New Roman" w:cs="Times New Roman"/>
          <w:sz w:val="24"/>
          <w:szCs w:val="24"/>
        </w:rPr>
        <w:t>Sestino</w:t>
      </w:r>
      <w:proofErr w:type="spellEnd"/>
      <w:r>
        <w:rPr>
          <w:rFonts w:ascii="Times New Roman" w:eastAsia="Times New Roman" w:hAnsi="Times New Roman" w:cs="Times New Roman"/>
          <w:sz w:val="24"/>
          <w:szCs w:val="24"/>
        </w:rPr>
        <w:t xml:space="preserve">, A., Barth, H. and </w:t>
      </w:r>
      <w:proofErr w:type="spellStart"/>
      <w:r>
        <w:rPr>
          <w:rFonts w:ascii="Times New Roman" w:eastAsia="Times New Roman" w:hAnsi="Times New Roman" w:cs="Times New Roman"/>
          <w:sz w:val="24"/>
          <w:szCs w:val="24"/>
        </w:rPr>
        <w:t>Holmén</w:t>
      </w:r>
      <w:proofErr w:type="spellEnd"/>
      <w:r>
        <w:rPr>
          <w:rFonts w:ascii="Times New Roman" w:eastAsia="Times New Roman" w:hAnsi="Times New Roman" w:cs="Times New Roman"/>
          <w:sz w:val="24"/>
          <w:szCs w:val="24"/>
        </w:rPr>
        <w:t xml:space="preserve">, M. (2025) ‘Healthcare workers’ adoption of and satisfaction with artificial intelligence: the counterintuitive role of paradoxical tensions and paradoxical mindset’, </w:t>
      </w:r>
      <w:r>
        <w:rPr>
          <w:rFonts w:ascii="Times New Roman" w:eastAsia="Times New Roman" w:hAnsi="Times New Roman" w:cs="Times New Roman"/>
          <w:i/>
          <w:iCs/>
          <w:sz w:val="24"/>
          <w:szCs w:val="24"/>
        </w:rPr>
        <w:t>Technological Forecasting and Social Change</w:t>
      </w:r>
      <w:r>
        <w:rPr>
          <w:rFonts w:ascii="Times New Roman" w:eastAsia="Times New Roman" w:hAnsi="Times New Roman" w:cs="Times New Roman"/>
          <w:sz w:val="24"/>
          <w:szCs w:val="24"/>
        </w:rPr>
        <w:t>, 212, 123967.</w:t>
      </w:r>
    </w:p>
    <w:p w14:paraId="5299FC9D" w14:textId="77777777" w:rsidR="00591277" w:rsidRDefault="00591277">
      <w:pPr>
        <w:spacing w:line="360" w:lineRule="auto"/>
        <w:rPr>
          <w:rFonts w:ascii="Times New Roman" w:eastAsia="Times New Roman" w:hAnsi="Times New Roman" w:cs="Times New Roman"/>
          <w:color w:val="1155CC"/>
          <w:sz w:val="24"/>
          <w:szCs w:val="24"/>
          <w:u w:val="single"/>
        </w:rPr>
      </w:pPr>
      <w:hyperlink r:id="rId23">
        <w:r>
          <w:rPr>
            <w:rFonts w:ascii="Times New Roman" w:eastAsia="Times New Roman" w:hAnsi="Times New Roman" w:cs="Times New Roman"/>
            <w:color w:val="1155CC"/>
            <w:sz w:val="24"/>
            <w:szCs w:val="24"/>
            <w:u w:val="single"/>
          </w:rPr>
          <w:t>https://doi.org/10.1016/j.techfore.2024.123967</w:t>
        </w:r>
      </w:hyperlink>
    </w:p>
    <w:p w14:paraId="787CEBBF"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Khanam, Z., Khan, Z., </w:t>
      </w:r>
      <w:proofErr w:type="spellStart"/>
      <w:r>
        <w:rPr>
          <w:rFonts w:ascii="Times New Roman" w:eastAsia="Times New Roman" w:hAnsi="Times New Roman" w:cs="Times New Roman"/>
          <w:sz w:val="24"/>
          <w:szCs w:val="24"/>
        </w:rPr>
        <w:t>Arwab</w:t>
      </w:r>
      <w:proofErr w:type="spellEnd"/>
      <w:r>
        <w:rPr>
          <w:rFonts w:ascii="Times New Roman" w:eastAsia="Times New Roman" w:hAnsi="Times New Roman" w:cs="Times New Roman"/>
          <w:sz w:val="24"/>
          <w:szCs w:val="24"/>
        </w:rPr>
        <w:t xml:space="preserve">, M. and Khan, A. (2024) ‘Assessing the mediating role of organizational justice between the responsible leadership and employee turnover intention in health-care sector’, </w:t>
      </w:r>
      <w:r>
        <w:rPr>
          <w:rFonts w:ascii="Times New Roman" w:eastAsia="Times New Roman" w:hAnsi="Times New Roman" w:cs="Times New Roman"/>
          <w:i/>
          <w:iCs/>
          <w:sz w:val="24"/>
          <w:szCs w:val="24"/>
        </w:rPr>
        <w:t>Leadership in Health Services</w:t>
      </w:r>
      <w:r>
        <w:rPr>
          <w:rFonts w:ascii="Times New Roman" w:eastAsia="Times New Roman" w:hAnsi="Times New Roman" w:cs="Times New Roman"/>
          <w:sz w:val="24"/>
          <w:szCs w:val="24"/>
        </w:rPr>
        <w:t>, 37(3), pp. 342–358.</w:t>
      </w:r>
    </w:p>
    <w:p w14:paraId="6B6D00FC" w14:textId="77777777" w:rsidR="00591277" w:rsidRDefault="00591277">
      <w:pPr>
        <w:spacing w:line="360" w:lineRule="auto"/>
        <w:rPr>
          <w:rFonts w:ascii="Times New Roman" w:eastAsia="Times New Roman" w:hAnsi="Times New Roman" w:cs="Times New Roman"/>
          <w:sz w:val="24"/>
          <w:szCs w:val="24"/>
        </w:rPr>
      </w:pPr>
      <w:hyperlink r:id="rId24">
        <w:r>
          <w:rPr>
            <w:rFonts w:ascii="Times New Roman" w:eastAsia="Times New Roman" w:hAnsi="Times New Roman" w:cs="Times New Roman"/>
            <w:color w:val="1155CC"/>
            <w:sz w:val="24"/>
            <w:szCs w:val="24"/>
            <w:u w:val="single"/>
          </w:rPr>
          <w:t>https://doi.org/10.1108/LHS-06-2023-0046</w:t>
        </w:r>
      </w:hyperlink>
      <w:r>
        <w:rPr>
          <w:rFonts w:ascii="Times New Roman" w:eastAsia="Times New Roman" w:hAnsi="Times New Roman" w:cs="Times New Roman"/>
          <w:sz w:val="24"/>
          <w:szCs w:val="24"/>
        </w:rPr>
        <w:t xml:space="preserve"> </w:t>
      </w:r>
    </w:p>
    <w:p w14:paraId="4FCBB477"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Klein, U., Depping, J., Wohlfahrt, L., Fassbender, P.  (2024) ‘Application of artificial intelligence: risk perception and trust in the work context with different impact levels and task types’, </w:t>
      </w:r>
      <w:r>
        <w:rPr>
          <w:rFonts w:ascii="Times New Roman" w:eastAsia="Times New Roman" w:hAnsi="Times New Roman" w:cs="Times New Roman"/>
          <w:i/>
          <w:iCs/>
          <w:sz w:val="24"/>
          <w:szCs w:val="24"/>
        </w:rPr>
        <w:t>AI &amp; Society</w:t>
      </w:r>
      <w:r>
        <w:rPr>
          <w:rFonts w:ascii="Times New Roman" w:eastAsia="Times New Roman" w:hAnsi="Times New Roman" w:cs="Times New Roman"/>
          <w:sz w:val="24"/>
          <w:szCs w:val="24"/>
        </w:rPr>
        <w:t xml:space="preserve">, 39, pp. 2445–2456. </w:t>
      </w:r>
    </w:p>
    <w:p w14:paraId="54D708E1" w14:textId="77777777" w:rsidR="00591277" w:rsidRDefault="00591277">
      <w:pPr>
        <w:spacing w:line="360" w:lineRule="auto"/>
        <w:rPr>
          <w:rFonts w:ascii="Times New Roman" w:eastAsia="Times New Roman" w:hAnsi="Times New Roman" w:cs="Times New Roman"/>
          <w:sz w:val="24"/>
          <w:szCs w:val="24"/>
        </w:rPr>
      </w:pPr>
      <w:hyperlink r:id="rId25">
        <w:r>
          <w:rPr>
            <w:rFonts w:ascii="Times New Roman" w:eastAsia="Times New Roman" w:hAnsi="Times New Roman" w:cs="Times New Roman"/>
            <w:color w:val="1155CC"/>
            <w:sz w:val="24"/>
            <w:szCs w:val="24"/>
            <w:u w:val="single"/>
          </w:rPr>
          <w:t>https://doi.org/10.1007/s00146-023-01699-w</w:t>
        </w:r>
      </w:hyperlink>
      <w:r>
        <w:rPr>
          <w:rFonts w:ascii="Times New Roman" w:eastAsia="Times New Roman" w:hAnsi="Times New Roman" w:cs="Times New Roman"/>
          <w:sz w:val="24"/>
          <w:szCs w:val="24"/>
        </w:rPr>
        <w:t xml:space="preserve"> </w:t>
      </w:r>
    </w:p>
    <w:p w14:paraId="587C7CCC"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Koski, E., Das, A., Hsueh, P-Y.S. (2025) ‘Towards responsible artificial intelligence in healthcare—getting real about real-world data and evidence’, </w:t>
      </w:r>
      <w:r>
        <w:rPr>
          <w:rFonts w:ascii="Times New Roman" w:eastAsia="Times New Roman" w:hAnsi="Times New Roman" w:cs="Times New Roman"/>
          <w:i/>
          <w:iCs/>
          <w:sz w:val="24"/>
          <w:szCs w:val="24"/>
        </w:rPr>
        <w:t>Journal of the American Medical Informatics Association</w:t>
      </w:r>
      <w:r>
        <w:rPr>
          <w:rFonts w:ascii="Times New Roman" w:eastAsia="Times New Roman" w:hAnsi="Times New Roman" w:cs="Times New Roman"/>
          <w:sz w:val="24"/>
          <w:szCs w:val="24"/>
        </w:rPr>
        <w:t>, 32(11), pp. 1746–1755.</w:t>
      </w:r>
    </w:p>
    <w:p w14:paraId="3ACC8EE1" w14:textId="77777777" w:rsidR="00591277" w:rsidRDefault="00591277">
      <w:pPr>
        <w:spacing w:line="360" w:lineRule="auto"/>
        <w:rPr>
          <w:rFonts w:ascii="Times New Roman" w:eastAsia="Times New Roman" w:hAnsi="Times New Roman" w:cs="Times New Roman"/>
          <w:color w:val="1155CC"/>
          <w:sz w:val="24"/>
          <w:szCs w:val="24"/>
          <w:u w:val="single"/>
        </w:rPr>
      </w:pPr>
      <w:hyperlink r:id="rId26">
        <w:r>
          <w:rPr>
            <w:rFonts w:ascii="Times New Roman" w:eastAsia="Times New Roman" w:hAnsi="Times New Roman" w:cs="Times New Roman"/>
            <w:color w:val="1155CC"/>
            <w:sz w:val="24"/>
            <w:szCs w:val="24"/>
            <w:u w:val="single"/>
          </w:rPr>
          <w:t>https://doi.org/10.1093/jamia/ocaf133</w:t>
        </w:r>
      </w:hyperlink>
    </w:p>
    <w:p w14:paraId="54920F60"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Morley, J., </w:t>
      </w:r>
      <w:proofErr w:type="spellStart"/>
      <w:r>
        <w:rPr>
          <w:rFonts w:ascii="Times New Roman" w:eastAsia="Times New Roman" w:hAnsi="Times New Roman" w:cs="Times New Roman"/>
          <w:sz w:val="24"/>
          <w:szCs w:val="24"/>
        </w:rPr>
        <w:t>Floridi</w:t>
      </w:r>
      <w:proofErr w:type="spellEnd"/>
      <w:r>
        <w:rPr>
          <w:rFonts w:ascii="Times New Roman" w:eastAsia="Times New Roman" w:hAnsi="Times New Roman" w:cs="Times New Roman"/>
          <w:sz w:val="24"/>
          <w:szCs w:val="24"/>
        </w:rPr>
        <w:t xml:space="preserve">, L., Kinsey, L. and </w:t>
      </w:r>
      <w:proofErr w:type="spellStart"/>
      <w:r>
        <w:rPr>
          <w:rFonts w:ascii="Times New Roman" w:eastAsia="Times New Roman" w:hAnsi="Times New Roman" w:cs="Times New Roman"/>
          <w:sz w:val="24"/>
          <w:szCs w:val="24"/>
        </w:rPr>
        <w:t>Elhalal</w:t>
      </w:r>
      <w:proofErr w:type="spellEnd"/>
      <w:r>
        <w:rPr>
          <w:rFonts w:ascii="Times New Roman" w:eastAsia="Times New Roman" w:hAnsi="Times New Roman" w:cs="Times New Roman"/>
          <w:sz w:val="24"/>
          <w:szCs w:val="24"/>
        </w:rPr>
        <w:t xml:space="preserve">, A. (2020) ‘From what to how: an initial review of publicly available AI ethics tools, methods and research to translate principles into practices’, </w:t>
      </w:r>
      <w:r>
        <w:rPr>
          <w:rFonts w:ascii="Times New Roman" w:eastAsia="Times New Roman" w:hAnsi="Times New Roman" w:cs="Times New Roman"/>
          <w:i/>
          <w:iCs/>
          <w:sz w:val="24"/>
          <w:szCs w:val="24"/>
        </w:rPr>
        <w:t>Science and Engineering Ethics</w:t>
      </w:r>
      <w:r>
        <w:rPr>
          <w:rFonts w:ascii="Times New Roman" w:eastAsia="Times New Roman" w:hAnsi="Times New Roman" w:cs="Times New Roman"/>
          <w:sz w:val="24"/>
          <w:szCs w:val="24"/>
        </w:rPr>
        <w:t>, 26, pp. 2141–2168.</w:t>
      </w:r>
    </w:p>
    <w:p w14:paraId="0264B437" w14:textId="77777777" w:rsidR="00591277" w:rsidRDefault="00591277">
      <w:pPr>
        <w:spacing w:line="360" w:lineRule="auto"/>
        <w:rPr>
          <w:rFonts w:ascii="Times New Roman" w:eastAsia="Times New Roman" w:hAnsi="Times New Roman" w:cs="Times New Roman"/>
          <w:color w:val="1155CC"/>
          <w:sz w:val="24"/>
          <w:szCs w:val="24"/>
          <w:u w:val="single"/>
        </w:rPr>
      </w:pPr>
      <w:hyperlink r:id="rId27">
        <w:r>
          <w:rPr>
            <w:rFonts w:ascii="Times New Roman" w:eastAsia="Times New Roman" w:hAnsi="Times New Roman" w:cs="Times New Roman"/>
            <w:color w:val="1155CC"/>
            <w:sz w:val="24"/>
            <w:szCs w:val="24"/>
            <w:u w:val="single"/>
          </w:rPr>
          <w:t>https://doi.org/10.1007/s11948-019-00165-5</w:t>
        </w:r>
      </w:hyperlink>
    </w:p>
    <w:p w14:paraId="6C624964"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Page, M.J., McKenzie, J.E., Bossuyt, P.M. et al. (2021) ‘The PRISMA 2020 statement: an updated guideline for reporting systematic reviews’, </w:t>
      </w:r>
      <w:r>
        <w:rPr>
          <w:rFonts w:ascii="Times New Roman" w:eastAsia="Times New Roman" w:hAnsi="Times New Roman" w:cs="Times New Roman"/>
          <w:i/>
          <w:iCs/>
          <w:sz w:val="24"/>
          <w:szCs w:val="24"/>
        </w:rPr>
        <w:t>BMJ</w:t>
      </w:r>
      <w:r>
        <w:rPr>
          <w:rFonts w:ascii="Times New Roman" w:eastAsia="Times New Roman" w:hAnsi="Times New Roman" w:cs="Times New Roman"/>
          <w:sz w:val="24"/>
          <w:szCs w:val="24"/>
        </w:rPr>
        <w:t>, 372, n71.</w:t>
      </w:r>
    </w:p>
    <w:p w14:paraId="11A67001" w14:textId="77777777" w:rsidR="00591277" w:rsidRDefault="00591277">
      <w:pPr>
        <w:spacing w:line="360" w:lineRule="auto"/>
        <w:rPr>
          <w:rFonts w:ascii="Times New Roman" w:eastAsia="Times New Roman" w:hAnsi="Times New Roman" w:cs="Times New Roman"/>
          <w:color w:val="1155CC"/>
          <w:sz w:val="24"/>
          <w:szCs w:val="24"/>
          <w:u w:val="single"/>
        </w:rPr>
      </w:pPr>
      <w:hyperlink r:id="rId28">
        <w:r>
          <w:rPr>
            <w:rFonts w:ascii="Times New Roman" w:eastAsia="Times New Roman" w:hAnsi="Times New Roman" w:cs="Times New Roman"/>
            <w:color w:val="1155CC"/>
            <w:sz w:val="24"/>
            <w:szCs w:val="24"/>
            <w:u w:val="single"/>
          </w:rPr>
          <w:t>https://doi.org/10.1136/bmj.n71</w:t>
        </w:r>
      </w:hyperlink>
    </w:p>
    <w:p w14:paraId="39238558"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Pappas, I.O. and Woodside, A.G. (2021) ‘Fuzzy-set Qualitative Comparative Analysis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xml:space="preserve">): guidelines for research practice in Information Systems and marketing’, </w:t>
      </w:r>
      <w:r>
        <w:rPr>
          <w:rFonts w:ascii="Times New Roman" w:eastAsia="Times New Roman" w:hAnsi="Times New Roman" w:cs="Times New Roman"/>
          <w:i/>
          <w:iCs/>
          <w:sz w:val="24"/>
          <w:szCs w:val="24"/>
        </w:rPr>
        <w:t>International Journal of Information Management</w:t>
      </w:r>
      <w:r>
        <w:rPr>
          <w:rFonts w:ascii="Times New Roman" w:eastAsia="Times New Roman" w:hAnsi="Times New Roman" w:cs="Times New Roman"/>
          <w:sz w:val="24"/>
          <w:szCs w:val="24"/>
        </w:rPr>
        <w:t>, 58, 102310.</w:t>
      </w:r>
    </w:p>
    <w:p w14:paraId="22BF568A" w14:textId="77777777" w:rsidR="00591277" w:rsidRDefault="00591277">
      <w:pPr>
        <w:spacing w:line="360" w:lineRule="auto"/>
        <w:rPr>
          <w:rFonts w:ascii="Times New Roman" w:eastAsia="Times New Roman" w:hAnsi="Times New Roman" w:cs="Times New Roman"/>
          <w:color w:val="1155CC"/>
          <w:sz w:val="24"/>
          <w:szCs w:val="24"/>
          <w:u w:val="single"/>
        </w:rPr>
      </w:pPr>
      <w:hyperlink r:id="rId29">
        <w:r>
          <w:rPr>
            <w:rFonts w:ascii="Times New Roman" w:eastAsia="Times New Roman" w:hAnsi="Times New Roman" w:cs="Times New Roman"/>
            <w:color w:val="1155CC"/>
            <w:sz w:val="24"/>
            <w:szCs w:val="24"/>
            <w:u w:val="single"/>
          </w:rPr>
          <w:t>https://doi.org/10.1016/j.ijinfomgt.2021.102310</w:t>
        </w:r>
      </w:hyperlink>
    </w:p>
    <w:p w14:paraId="2167B03F"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Ragin, C.C. (2008) </w:t>
      </w:r>
      <w:r>
        <w:rPr>
          <w:rFonts w:ascii="Times New Roman" w:eastAsia="Times New Roman" w:hAnsi="Times New Roman" w:cs="Times New Roman"/>
          <w:i/>
          <w:iCs/>
          <w:sz w:val="24"/>
          <w:szCs w:val="24"/>
        </w:rPr>
        <w:t>Redesigning Social Inquiry: Fuzzy Sets and Beyond</w:t>
      </w:r>
      <w:r>
        <w:rPr>
          <w:rFonts w:ascii="Times New Roman" w:eastAsia="Times New Roman" w:hAnsi="Times New Roman" w:cs="Times New Roman"/>
          <w:sz w:val="24"/>
          <w:szCs w:val="24"/>
        </w:rPr>
        <w:t>. Chicago: University of Chicago Press.</w:t>
      </w:r>
    </w:p>
    <w:p w14:paraId="21E118A3"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Rihoux, B. and Ragin, C.C. (2009) </w:t>
      </w:r>
      <w:r>
        <w:rPr>
          <w:rFonts w:ascii="Times New Roman" w:eastAsia="Times New Roman" w:hAnsi="Times New Roman" w:cs="Times New Roman"/>
          <w:i/>
          <w:iCs/>
          <w:sz w:val="24"/>
          <w:szCs w:val="24"/>
        </w:rPr>
        <w:t>Configurational Comparative Methods: Qualitative Comparative Analysis (QCA) and Related Techniques</w:t>
      </w:r>
      <w:r>
        <w:rPr>
          <w:rFonts w:ascii="Times New Roman" w:eastAsia="Times New Roman" w:hAnsi="Times New Roman" w:cs="Times New Roman"/>
          <w:sz w:val="24"/>
          <w:szCs w:val="24"/>
        </w:rPr>
        <w:t>. London: Sage.</w:t>
      </w:r>
    </w:p>
    <w:p w14:paraId="537ADE16" w14:textId="77777777" w:rsidR="00591277" w:rsidRDefault="00000000">
      <w:pPr>
        <w:spacing w:line="360" w:lineRule="auto"/>
      </w:pPr>
      <w:proofErr w:type="spellStart"/>
      <w:r>
        <w:rPr>
          <w:rFonts w:ascii="Times New Roman" w:eastAsia="Times New Roman" w:hAnsi="Times New Roman" w:cs="Times New Roman"/>
          <w:sz w:val="24"/>
          <w:szCs w:val="24"/>
        </w:rPr>
        <w:t>Rozenblit</w:t>
      </w:r>
      <w:proofErr w:type="spellEnd"/>
      <w:r>
        <w:rPr>
          <w:rFonts w:ascii="Times New Roman" w:eastAsia="Times New Roman" w:hAnsi="Times New Roman" w:cs="Times New Roman"/>
          <w:sz w:val="24"/>
          <w:szCs w:val="24"/>
        </w:rPr>
        <w:t xml:space="preserve">, L., Price, A., </w:t>
      </w:r>
      <w:proofErr w:type="spellStart"/>
      <w:r>
        <w:rPr>
          <w:rFonts w:ascii="Times New Roman" w:eastAsia="Times New Roman" w:hAnsi="Times New Roman" w:cs="Times New Roman"/>
          <w:sz w:val="24"/>
          <w:szCs w:val="24"/>
        </w:rPr>
        <w:t>Solomonides</w:t>
      </w:r>
      <w:proofErr w:type="spellEnd"/>
      <w:r>
        <w:rPr>
          <w:rFonts w:ascii="Times New Roman" w:eastAsia="Times New Roman" w:hAnsi="Times New Roman" w:cs="Times New Roman"/>
          <w:sz w:val="24"/>
          <w:szCs w:val="24"/>
        </w:rPr>
        <w:t xml:space="preserve">, A. et al. (2025) ‘Toward responsible AI governance: Balancing multi-stakeholder perspectives on AI in healthcare’, </w:t>
      </w:r>
      <w:r>
        <w:rPr>
          <w:rFonts w:ascii="Times New Roman" w:eastAsia="Times New Roman" w:hAnsi="Times New Roman" w:cs="Times New Roman"/>
          <w:i/>
          <w:iCs/>
          <w:sz w:val="24"/>
          <w:szCs w:val="24"/>
        </w:rPr>
        <w:t>International Journal of Medical Informatics</w:t>
      </w:r>
      <w:r>
        <w:rPr>
          <w:rFonts w:ascii="Times New Roman" w:eastAsia="Times New Roman" w:hAnsi="Times New Roman" w:cs="Times New Roman"/>
          <w:sz w:val="24"/>
          <w:szCs w:val="24"/>
        </w:rPr>
        <w:t>, 203, 106015.</w:t>
      </w:r>
      <w:hyperlink r:id="rId30">
        <w:r w:rsidR="00591277">
          <w:rPr>
            <w:rFonts w:ascii="Times New Roman" w:eastAsia="Times New Roman" w:hAnsi="Times New Roman" w:cs="Times New Roman"/>
            <w:sz w:val="24"/>
            <w:szCs w:val="24"/>
          </w:rPr>
          <w:t xml:space="preserve"> </w:t>
        </w:r>
      </w:hyperlink>
    </w:p>
    <w:p w14:paraId="2BA6C6AA" w14:textId="77777777" w:rsidR="00591277" w:rsidRDefault="00591277">
      <w:pPr>
        <w:spacing w:line="360" w:lineRule="auto"/>
        <w:rPr>
          <w:rFonts w:ascii="Times New Roman" w:eastAsia="Times New Roman" w:hAnsi="Times New Roman" w:cs="Times New Roman"/>
          <w:color w:val="1155CC"/>
          <w:sz w:val="24"/>
          <w:szCs w:val="24"/>
          <w:u w:val="single"/>
        </w:rPr>
      </w:pPr>
      <w:hyperlink r:id="rId31">
        <w:r>
          <w:rPr>
            <w:rFonts w:ascii="Times New Roman" w:eastAsia="Times New Roman" w:hAnsi="Times New Roman" w:cs="Times New Roman"/>
            <w:color w:val="1155CC"/>
            <w:sz w:val="24"/>
            <w:szCs w:val="24"/>
            <w:u w:val="single"/>
          </w:rPr>
          <w:t>https://doi.org/10.1016/j.ijmedinf.2025.106015</w:t>
        </w:r>
      </w:hyperlink>
    </w:p>
    <w:p w14:paraId="382024FA"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Ronquillo, C.E., Booth, R.G., </w:t>
      </w:r>
      <w:proofErr w:type="spellStart"/>
      <w:r>
        <w:rPr>
          <w:rFonts w:ascii="Times New Roman" w:eastAsia="Times New Roman" w:hAnsi="Times New Roman" w:cs="Times New Roman"/>
          <w:sz w:val="24"/>
          <w:szCs w:val="24"/>
        </w:rPr>
        <w:t>Vittor</w:t>
      </w:r>
      <w:proofErr w:type="spellEnd"/>
      <w:r>
        <w:rPr>
          <w:rFonts w:ascii="Times New Roman" w:eastAsia="Times New Roman" w:hAnsi="Times New Roman" w:cs="Times New Roman"/>
          <w:sz w:val="24"/>
          <w:szCs w:val="24"/>
        </w:rPr>
        <w:t xml:space="preserve">, W.A. et al. (2024) ‘Mapping trust in nurses with dimensions of trustworthy artificial intelligence: a scoping review’, </w:t>
      </w:r>
      <w:r>
        <w:rPr>
          <w:rFonts w:ascii="Times New Roman" w:eastAsia="Times New Roman" w:hAnsi="Times New Roman" w:cs="Times New Roman"/>
          <w:i/>
          <w:iCs/>
          <w:sz w:val="24"/>
          <w:szCs w:val="24"/>
        </w:rPr>
        <w:t>Studies in Health Technology and Informatics</w:t>
      </w:r>
      <w:r>
        <w:rPr>
          <w:rFonts w:ascii="Times New Roman" w:eastAsia="Times New Roman" w:hAnsi="Times New Roman" w:cs="Times New Roman"/>
          <w:sz w:val="24"/>
          <w:szCs w:val="24"/>
        </w:rPr>
        <w:t xml:space="preserve">, 315, pp. 717–718. </w:t>
      </w:r>
    </w:p>
    <w:p w14:paraId="44374DA8" w14:textId="77777777" w:rsidR="00591277" w:rsidRDefault="00591277">
      <w:pPr>
        <w:spacing w:line="360" w:lineRule="auto"/>
        <w:rPr>
          <w:rFonts w:ascii="Times New Roman" w:eastAsia="Times New Roman" w:hAnsi="Times New Roman" w:cs="Times New Roman"/>
          <w:sz w:val="24"/>
          <w:szCs w:val="24"/>
        </w:rPr>
      </w:pPr>
      <w:hyperlink r:id="rId32">
        <w:r>
          <w:rPr>
            <w:rFonts w:ascii="Times New Roman" w:eastAsia="Times New Roman" w:hAnsi="Times New Roman" w:cs="Times New Roman"/>
            <w:color w:val="1155CC"/>
            <w:sz w:val="24"/>
            <w:szCs w:val="24"/>
            <w:u w:val="single"/>
          </w:rPr>
          <w:t>https://doi.org/10.3233/SHTI240295</w:t>
        </w:r>
      </w:hyperlink>
      <w:r>
        <w:rPr>
          <w:rFonts w:ascii="Times New Roman" w:eastAsia="Times New Roman" w:hAnsi="Times New Roman" w:cs="Times New Roman"/>
          <w:sz w:val="24"/>
          <w:szCs w:val="24"/>
        </w:rPr>
        <w:t xml:space="preserve"> </w:t>
      </w:r>
    </w:p>
    <w:p w14:paraId="18AB00C6" w14:textId="65FADFE5"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Rousseau, D.M. (1995) </w:t>
      </w:r>
      <w:r>
        <w:rPr>
          <w:rFonts w:ascii="Times New Roman" w:eastAsia="Times New Roman" w:hAnsi="Times New Roman" w:cs="Times New Roman"/>
          <w:i/>
          <w:iCs/>
          <w:sz w:val="24"/>
          <w:szCs w:val="24"/>
        </w:rPr>
        <w:t xml:space="preserve">Psychological Contracts in </w:t>
      </w:r>
      <w:r w:rsidR="00B631C8">
        <w:rPr>
          <w:rFonts w:ascii="Times New Roman" w:eastAsia="Times New Roman" w:hAnsi="Times New Roman" w:cs="Times New Roman"/>
          <w:i/>
          <w:iCs/>
          <w:sz w:val="24"/>
          <w:szCs w:val="24"/>
        </w:rPr>
        <w:t>Organisations</w:t>
      </w:r>
      <w:r>
        <w:rPr>
          <w:rFonts w:ascii="Times New Roman" w:eastAsia="Times New Roman" w:hAnsi="Times New Roman" w:cs="Times New Roman"/>
          <w:i/>
          <w:iCs/>
          <w:sz w:val="24"/>
          <w:szCs w:val="24"/>
        </w:rPr>
        <w:t>: Understanding Written and Unwritten Agreements</w:t>
      </w:r>
      <w:r>
        <w:rPr>
          <w:rFonts w:ascii="Times New Roman" w:eastAsia="Times New Roman" w:hAnsi="Times New Roman" w:cs="Times New Roman"/>
          <w:sz w:val="24"/>
          <w:szCs w:val="24"/>
        </w:rPr>
        <w:t>. Thousand Oaks, CA: Sage.</w:t>
      </w:r>
    </w:p>
    <w:p w14:paraId="73495E21"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Saunders, M.N.K., Lewis, P. and Thornhill, A. (2023) </w:t>
      </w:r>
      <w:r>
        <w:rPr>
          <w:rFonts w:ascii="Times New Roman" w:eastAsia="Times New Roman" w:hAnsi="Times New Roman" w:cs="Times New Roman"/>
          <w:i/>
          <w:iCs/>
          <w:sz w:val="24"/>
          <w:szCs w:val="24"/>
        </w:rPr>
        <w:t>Research Methods for Business Students</w:t>
      </w:r>
      <w:r>
        <w:rPr>
          <w:rFonts w:ascii="Times New Roman" w:eastAsia="Times New Roman" w:hAnsi="Times New Roman" w:cs="Times New Roman"/>
          <w:sz w:val="24"/>
          <w:szCs w:val="24"/>
        </w:rPr>
        <w:t xml:space="preserve">. 9th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Harlow: Pearson.</w:t>
      </w:r>
    </w:p>
    <w:p w14:paraId="60AD0CA6"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Stevens, A.F. and Stetson, P. (2023) ‘Theory of trust and acceptance of artificial intelligence technology (</w:t>
      </w:r>
      <w:proofErr w:type="spellStart"/>
      <w:r>
        <w:rPr>
          <w:rFonts w:ascii="Times New Roman" w:eastAsia="Times New Roman" w:hAnsi="Times New Roman" w:cs="Times New Roman"/>
          <w:sz w:val="24"/>
          <w:szCs w:val="24"/>
        </w:rPr>
        <w:t>TrAAIT</w:t>
      </w:r>
      <w:proofErr w:type="spellEnd"/>
      <w:r>
        <w:rPr>
          <w:rFonts w:ascii="Times New Roman" w:eastAsia="Times New Roman" w:hAnsi="Times New Roman" w:cs="Times New Roman"/>
          <w:sz w:val="24"/>
          <w:szCs w:val="24"/>
        </w:rPr>
        <w:t xml:space="preserve">): an instrument to assess clinician trust and acceptance of artificial intelligence’, </w:t>
      </w:r>
      <w:r>
        <w:rPr>
          <w:rFonts w:ascii="Times New Roman" w:eastAsia="Times New Roman" w:hAnsi="Times New Roman" w:cs="Times New Roman"/>
          <w:i/>
          <w:iCs/>
          <w:sz w:val="24"/>
          <w:szCs w:val="24"/>
        </w:rPr>
        <w:t>Journal of Biomedical Informatics</w:t>
      </w:r>
      <w:r>
        <w:rPr>
          <w:rFonts w:ascii="Times New Roman" w:eastAsia="Times New Roman" w:hAnsi="Times New Roman" w:cs="Times New Roman"/>
          <w:sz w:val="24"/>
          <w:szCs w:val="24"/>
        </w:rPr>
        <w:t>, 148, 104550.</w:t>
      </w:r>
    </w:p>
    <w:p w14:paraId="69CB3576" w14:textId="77777777" w:rsidR="00591277" w:rsidRDefault="00591277">
      <w:pPr>
        <w:spacing w:line="360" w:lineRule="auto"/>
        <w:rPr>
          <w:rFonts w:ascii="Times New Roman" w:eastAsia="Times New Roman" w:hAnsi="Times New Roman" w:cs="Times New Roman"/>
          <w:color w:val="1155CC"/>
          <w:sz w:val="24"/>
          <w:szCs w:val="24"/>
          <w:u w:val="single"/>
        </w:rPr>
      </w:pPr>
      <w:hyperlink r:id="rId33">
        <w:r>
          <w:rPr>
            <w:rFonts w:ascii="Times New Roman" w:eastAsia="Times New Roman" w:hAnsi="Times New Roman" w:cs="Times New Roman"/>
            <w:color w:val="1155CC"/>
            <w:sz w:val="24"/>
            <w:szCs w:val="24"/>
            <w:u w:val="single"/>
          </w:rPr>
          <w:t>https://doi.org/10.1016/j.jbi.2023.104550</w:t>
        </w:r>
      </w:hyperlink>
    </w:p>
    <w:p w14:paraId="33CEE50E"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Strauss, A. (1995) ‘Notes on the nature and development of general theories’, </w:t>
      </w:r>
      <w:r>
        <w:rPr>
          <w:rFonts w:ascii="Times New Roman" w:eastAsia="Times New Roman" w:hAnsi="Times New Roman" w:cs="Times New Roman"/>
          <w:i/>
          <w:iCs/>
          <w:sz w:val="24"/>
          <w:szCs w:val="24"/>
        </w:rPr>
        <w:t>Qualitative Inquiry</w:t>
      </w:r>
      <w:r>
        <w:rPr>
          <w:rFonts w:ascii="Times New Roman" w:eastAsia="Times New Roman" w:hAnsi="Times New Roman" w:cs="Times New Roman"/>
          <w:sz w:val="24"/>
          <w:szCs w:val="24"/>
        </w:rPr>
        <w:t>, 1(1), pp. 7–18. https://doi.org/10.1177/107780049500100102</w:t>
      </w:r>
    </w:p>
    <w:p w14:paraId="23362739"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Su, Y., Jiang, Z., Meng, R., Lu, G. and Chen, C. (2023) ‘The effect of organizational justice on young nurses’ turnover intention: the mediating roles of organizational climate and emotional labour’, </w:t>
      </w:r>
      <w:r>
        <w:rPr>
          <w:rFonts w:ascii="Times New Roman" w:eastAsia="Times New Roman" w:hAnsi="Times New Roman" w:cs="Times New Roman"/>
          <w:i/>
          <w:iCs/>
          <w:sz w:val="24"/>
          <w:szCs w:val="24"/>
        </w:rPr>
        <w:t>Nurse Education in Practice</w:t>
      </w:r>
      <w:r>
        <w:rPr>
          <w:rFonts w:ascii="Times New Roman" w:eastAsia="Times New Roman" w:hAnsi="Times New Roman" w:cs="Times New Roman"/>
          <w:sz w:val="24"/>
          <w:szCs w:val="24"/>
        </w:rPr>
        <w:t>, 72, 103723.</w:t>
      </w:r>
    </w:p>
    <w:p w14:paraId="6F8B8714" w14:textId="77777777" w:rsidR="00591277" w:rsidRDefault="00591277">
      <w:pPr>
        <w:spacing w:line="360" w:lineRule="auto"/>
        <w:rPr>
          <w:rFonts w:ascii="Times New Roman" w:eastAsia="Times New Roman" w:hAnsi="Times New Roman" w:cs="Times New Roman"/>
          <w:color w:val="1155CC"/>
          <w:sz w:val="24"/>
          <w:szCs w:val="24"/>
          <w:u w:val="single"/>
        </w:rPr>
      </w:pPr>
      <w:hyperlink r:id="rId34">
        <w:r>
          <w:rPr>
            <w:rFonts w:ascii="Times New Roman" w:eastAsia="Times New Roman" w:hAnsi="Times New Roman" w:cs="Times New Roman"/>
            <w:color w:val="1155CC"/>
            <w:sz w:val="24"/>
            <w:szCs w:val="24"/>
            <w:u w:val="single"/>
          </w:rPr>
          <w:t>https://doi.org/10.1016/j.nepr.2023.103723</w:t>
        </w:r>
      </w:hyperlink>
    </w:p>
    <w:p w14:paraId="56C9EE25"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Teece, D.J. (2007) ‘Explicating dynamic capabilities: the nature and </w:t>
      </w:r>
      <w:proofErr w:type="spellStart"/>
      <w:r>
        <w:rPr>
          <w:rFonts w:ascii="Times New Roman" w:eastAsia="Times New Roman" w:hAnsi="Times New Roman" w:cs="Times New Roman"/>
          <w:sz w:val="24"/>
          <w:szCs w:val="24"/>
        </w:rPr>
        <w:t>microfoundations</w:t>
      </w:r>
      <w:proofErr w:type="spellEnd"/>
      <w:r>
        <w:rPr>
          <w:rFonts w:ascii="Times New Roman" w:eastAsia="Times New Roman" w:hAnsi="Times New Roman" w:cs="Times New Roman"/>
          <w:sz w:val="24"/>
          <w:szCs w:val="24"/>
        </w:rPr>
        <w:t xml:space="preserve"> of (sustainable) enterprise performance’, </w:t>
      </w:r>
      <w:r>
        <w:rPr>
          <w:rFonts w:ascii="Times New Roman" w:eastAsia="Times New Roman" w:hAnsi="Times New Roman" w:cs="Times New Roman"/>
          <w:i/>
          <w:iCs/>
          <w:sz w:val="24"/>
          <w:szCs w:val="24"/>
        </w:rPr>
        <w:t>Strategic Management Journal</w:t>
      </w:r>
      <w:r>
        <w:rPr>
          <w:rFonts w:ascii="Times New Roman" w:eastAsia="Times New Roman" w:hAnsi="Times New Roman" w:cs="Times New Roman"/>
          <w:sz w:val="24"/>
          <w:szCs w:val="24"/>
        </w:rPr>
        <w:t>, 28(13), pp.</w:t>
      </w:r>
    </w:p>
    <w:p w14:paraId="1BC1E03A" w14:textId="77777777" w:rsidR="00591277" w:rsidRDefault="00000000">
      <w:pPr>
        <w:spacing w:line="360" w:lineRule="auto"/>
      </w:pPr>
      <w:r>
        <w:rPr>
          <w:rFonts w:ascii="Times New Roman" w:eastAsia="Times New Roman" w:hAnsi="Times New Roman" w:cs="Times New Roman"/>
          <w:sz w:val="24"/>
          <w:szCs w:val="24"/>
        </w:rPr>
        <w:t>1319–1350.</w:t>
      </w:r>
      <w:hyperlink r:id="rId35">
        <w:r w:rsidR="00591277">
          <w:rPr>
            <w:rFonts w:ascii="Times New Roman" w:eastAsia="Times New Roman" w:hAnsi="Times New Roman" w:cs="Times New Roman"/>
            <w:sz w:val="24"/>
            <w:szCs w:val="24"/>
          </w:rPr>
          <w:t xml:space="preserve"> </w:t>
        </w:r>
      </w:hyperlink>
    </w:p>
    <w:p w14:paraId="77C3E24A" w14:textId="77777777" w:rsidR="00591277" w:rsidRDefault="00591277">
      <w:pPr>
        <w:spacing w:line="360" w:lineRule="auto"/>
        <w:rPr>
          <w:rFonts w:ascii="Times New Roman" w:eastAsia="Times New Roman" w:hAnsi="Times New Roman" w:cs="Times New Roman"/>
          <w:color w:val="1155CC"/>
          <w:sz w:val="24"/>
          <w:szCs w:val="24"/>
          <w:u w:val="single"/>
        </w:rPr>
      </w:pPr>
      <w:hyperlink r:id="rId36">
        <w:r>
          <w:rPr>
            <w:rFonts w:ascii="Times New Roman" w:eastAsia="Times New Roman" w:hAnsi="Times New Roman" w:cs="Times New Roman"/>
            <w:color w:val="1155CC"/>
            <w:sz w:val="24"/>
            <w:szCs w:val="24"/>
            <w:u w:val="single"/>
          </w:rPr>
          <w:t>https://doi.org/10.1002/smj.640</w:t>
        </w:r>
      </w:hyperlink>
    </w:p>
    <w:p w14:paraId="30CD2D31" w14:textId="77777777" w:rsidR="00591277" w:rsidRDefault="00000000">
      <w:pPr>
        <w:spacing w:line="360" w:lineRule="auto"/>
      </w:pPr>
      <w:r>
        <w:rPr>
          <w:rFonts w:ascii="Times New Roman" w:eastAsia="Times New Roman" w:hAnsi="Times New Roman" w:cs="Times New Roman"/>
          <w:sz w:val="24"/>
          <w:szCs w:val="24"/>
        </w:rPr>
        <w:t xml:space="preserve">Teece, D.J., </w:t>
      </w:r>
      <w:proofErr w:type="spellStart"/>
      <w:r>
        <w:rPr>
          <w:rFonts w:ascii="Times New Roman" w:eastAsia="Times New Roman" w:hAnsi="Times New Roman" w:cs="Times New Roman"/>
          <w:sz w:val="24"/>
          <w:szCs w:val="24"/>
        </w:rPr>
        <w:t>Peteraf</w:t>
      </w:r>
      <w:proofErr w:type="spellEnd"/>
      <w:r>
        <w:rPr>
          <w:rFonts w:ascii="Times New Roman" w:eastAsia="Times New Roman" w:hAnsi="Times New Roman" w:cs="Times New Roman"/>
          <w:sz w:val="24"/>
          <w:szCs w:val="24"/>
        </w:rPr>
        <w:t xml:space="preserve">, M. and Leih, S. (2016) ‘Dynamic capabilities and organizational agility: risk, uncertainty, and strategy in the innovation economy’, </w:t>
      </w:r>
      <w:r>
        <w:rPr>
          <w:rFonts w:ascii="Times New Roman" w:eastAsia="Times New Roman" w:hAnsi="Times New Roman" w:cs="Times New Roman"/>
          <w:i/>
          <w:iCs/>
          <w:sz w:val="24"/>
          <w:szCs w:val="24"/>
        </w:rPr>
        <w:t>California Management Review</w:t>
      </w:r>
      <w:r>
        <w:rPr>
          <w:rFonts w:ascii="Times New Roman" w:eastAsia="Times New Roman" w:hAnsi="Times New Roman" w:cs="Times New Roman"/>
          <w:sz w:val="24"/>
          <w:szCs w:val="24"/>
        </w:rPr>
        <w:t>, 58(4), pp. 13–35.</w:t>
      </w:r>
      <w:hyperlink r:id="rId37">
        <w:r w:rsidR="00591277">
          <w:rPr>
            <w:rFonts w:ascii="Times New Roman" w:eastAsia="Times New Roman" w:hAnsi="Times New Roman" w:cs="Times New Roman"/>
            <w:sz w:val="24"/>
            <w:szCs w:val="24"/>
          </w:rPr>
          <w:t xml:space="preserve"> </w:t>
        </w:r>
      </w:hyperlink>
    </w:p>
    <w:p w14:paraId="4A4B7177" w14:textId="77777777" w:rsidR="00591277" w:rsidRDefault="00591277">
      <w:pPr>
        <w:spacing w:line="360" w:lineRule="auto"/>
        <w:rPr>
          <w:rFonts w:ascii="Times New Roman" w:eastAsia="Times New Roman" w:hAnsi="Times New Roman" w:cs="Times New Roman"/>
          <w:color w:val="1155CC"/>
          <w:sz w:val="24"/>
          <w:szCs w:val="24"/>
          <w:u w:val="single"/>
        </w:rPr>
      </w:pPr>
      <w:hyperlink r:id="rId38">
        <w:r>
          <w:rPr>
            <w:rFonts w:ascii="Times New Roman" w:eastAsia="Times New Roman" w:hAnsi="Times New Roman" w:cs="Times New Roman"/>
            <w:color w:val="1155CC"/>
            <w:sz w:val="24"/>
            <w:szCs w:val="24"/>
            <w:u w:val="single"/>
          </w:rPr>
          <w:t>https://doi.org/10.1525/cmr.2016.58.4.13</w:t>
        </w:r>
      </w:hyperlink>
    </w:p>
    <w:p w14:paraId="4B4CB2B4"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Thomas, J. and Harden, A. (2008) ‘Methods for the thematic synthesis of qualitative research in systematic reviews’, </w:t>
      </w:r>
      <w:r>
        <w:rPr>
          <w:rFonts w:ascii="Times New Roman" w:eastAsia="Times New Roman" w:hAnsi="Times New Roman" w:cs="Times New Roman"/>
          <w:i/>
          <w:iCs/>
          <w:sz w:val="24"/>
          <w:szCs w:val="24"/>
        </w:rPr>
        <w:t>BMC Medical Research Methodology</w:t>
      </w:r>
      <w:r>
        <w:rPr>
          <w:rFonts w:ascii="Times New Roman" w:eastAsia="Times New Roman" w:hAnsi="Times New Roman" w:cs="Times New Roman"/>
          <w:sz w:val="24"/>
          <w:szCs w:val="24"/>
        </w:rPr>
        <w:t>, 8, 45.</w:t>
      </w:r>
    </w:p>
    <w:p w14:paraId="58708060" w14:textId="77777777" w:rsidR="00591277" w:rsidRDefault="00591277">
      <w:pPr>
        <w:spacing w:line="360" w:lineRule="auto"/>
        <w:rPr>
          <w:rFonts w:ascii="Times New Roman" w:eastAsia="Times New Roman" w:hAnsi="Times New Roman" w:cs="Times New Roman"/>
          <w:color w:val="1155CC"/>
          <w:sz w:val="24"/>
          <w:szCs w:val="24"/>
          <w:u w:val="single"/>
        </w:rPr>
      </w:pPr>
      <w:hyperlink r:id="rId39">
        <w:r>
          <w:rPr>
            <w:rFonts w:ascii="Times New Roman" w:eastAsia="Times New Roman" w:hAnsi="Times New Roman" w:cs="Times New Roman"/>
            <w:color w:val="1155CC"/>
            <w:sz w:val="24"/>
            <w:szCs w:val="24"/>
            <w:u w:val="single"/>
          </w:rPr>
          <w:t>https://doi.org/10.1186/1471-2288-8-45</w:t>
        </w:r>
      </w:hyperlink>
    </w:p>
    <w:p w14:paraId="6EF9CCAC"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Tun, H.M., Rahman, H.A., Naing, L. and Malik, O.A. (2025) ‘Trust in artificial intelligence-based clinical decision support systems among health care workers: systematic review’, </w:t>
      </w:r>
      <w:r>
        <w:rPr>
          <w:rFonts w:ascii="Times New Roman" w:eastAsia="Times New Roman" w:hAnsi="Times New Roman" w:cs="Times New Roman"/>
          <w:i/>
          <w:iCs/>
          <w:sz w:val="24"/>
          <w:szCs w:val="24"/>
        </w:rPr>
        <w:t>Journal of Medical Internet Research</w:t>
      </w:r>
      <w:r>
        <w:rPr>
          <w:rFonts w:ascii="Times New Roman" w:eastAsia="Times New Roman" w:hAnsi="Times New Roman" w:cs="Times New Roman"/>
          <w:sz w:val="24"/>
          <w:szCs w:val="24"/>
        </w:rPr>
        <w:t xml:space="preserve">, 27, e69678. </w:t>
      </w:r>
    </w:p>
    <w:p w14:paraId="002DCE9C" w14:textId="77777777" w:rsidR="00591277" w:rsidRDefault="00591277">
      <w:pPr>
        <w:spacing w:line="360" w:lineRule="auto"/>
        <w:rPr>
          <w:rFonts w:ascii="Times New Roman" w:eastAsia="Times New Roman" w:hAnsi="Times New Roman" w:cs="Times New Roman"/>
          <w:sz w:val="24"/>
          <w:szCs w:val="24"/>
        </w:rPr>
      </w:pPr>
      <w:hyperlink r:id="rId40">
        <w:r>
          <w:rPr>
            <w:rFonts w:ascii="Times New Roman" w:eastAsia="Times New Roman" w:hAnsi="Times New Roman" w:cs="Times New Roman"/>
            <w:color w:val="1155CC"/>
            <w:sz w:val="24"/>
            <w:szCs w:val="24"/>
            <w:u w:val="single"/>
          </w:rPr>
          <w:t>https://doi.org/10.2196/69678</w:t>
        </w:r>
      </w:hyperlink>
      <w:r>
        <w:rPr>
          <w:rFonts w:ascii="Times New Roman" w:eastAsia="Times New Roman" w:hAnsi="Times New Roman" w:cs="Times New Roman"/>
          <w:sz w:val="24"/>
          <w:szCs w:val="24"/>
        </w:rPr>
        <w:t xml:space="preserve"> </w:t>
      </w:r>
    </w:p>
    <w:p w14:paraId="785BEE57" w14:textId="77777777" w:rsidR="00591277" w:rsidRDefault="00000000">
      <w:pPr>
        <w:spacing w:line="360" w:lineRule="auto"/>
      </w:pPr>
      <w:r>
        <w:rPr>
          <w:rFonts w:ascii="Times New Roman" w:eastAsia="Times New Roman" w:hAnsi="Times New Roman" w:cs="Times New Roman"/>
          <w:sz w:val="24"/>
          <w:szCs w:val="24"/>
        </w:rPr>
        <w:t xml:space="preserve">Wang, W., Wang, Y., Chen, L., Ma, R. and Zhang, M. (2024) ‘Justice at the forefront: cultivating felt accountability towards Artificial Intelligence among healthcare professionals’, </w:t>
      </w:r>
      <w:r>
        <w:rPr>
          <w:rFonts w:ascii="Times New Roman" w:eastAsia="Times New Roman" w:hAnsi="Times New Roman" w:cs="Times New Roman"/>
          <w:i/>
          <w:iCs/>
          <w:sz w:val="24"/>
          <w:szCs w:val="24"/>
        </w:rPr>
        <w:t>Social Science &amp; Medicine</w:t>
      </w:r>
      <w:r>
        <w:rPr>
          <w:rFonts w:ascii="Times New Roman" w:eastAsia="Times New Roman" w:hAnsi="Times New Roman" w:cs="Times New Roman"/>
          <w:sz w:val="24"/>
          <w:szCs w:val="24"/>
        </w:rPr>
        <w:t>, 347, 116717.</w:t>
      </w:r>
      <w:hyperlink r:id="rId41">
        <w:r w:rsidR="00591277">
          <w:rPr>
            <w:rFonts w:ascii="Times New Roman" w:eastAsia="Times New Roman" w:hAnsi="Times New Roman" w:cs="Times New Roman"/>
            <w:sz w:val="24"/>
            <w:szCs w:val="24"/>
          </w:rPr>
          <w:t xml:space="preserve"> </w:t>
        </w:r>
      </w:hyperlink>
    </w:p>
    <w:p w14:paraId="79D37E3C" w14:textId="77777777" w:rsidR="00591277" w:rsidRDefault="00591277">
      <w:pPr>
        <w:spacing w:line="360" w:lineRule="auto"/>
        <w:rPr>
          <w:rFonts w:ascii="Times New Roman" w:eastAsia="Times New Roman" w:hAnsi="Times New Roman" w:cs="Times New Roman"/>
          <w:color w:val="1155CC"/>
          <w:sz w:val="24"/>
          <w:szCs w:val="24"/>
          <w:u w:val="single"/>
        </w:rPr>
      </w:pPr>
      <w:hyperlink r:id="rId42">
        <w:r>
          <w:rPr>
            <w:rFonts w:ascii="Times New Roman" w:eastAsia="Times New Roman" w:hAnsi="Times New Roman" w:cs="Times New Roman"/>
            <w:color w:val="1155CC"/>
            <w:sz w:val="24"/>
            <w:szCs w:val="24"/>
            <w:u w:val="single"/>
          </w:rPr>
          <w:t>https://doi.org/10.1016/j.socscimed.2024.116717</w:t>
        </w:r>
      </w:hyperlink>
    </w:p>
    <w:p w14:paraId="419EAAF9"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Watson, C. (2006) ‘Unreliable narrators? “Inconsistency” (and some inconstancy) in interviews’, </w:t>
      </w:r>
      <w:r>
        <w:rPr>
          <w:rFonts w:ascii="Times New Roman" w:eastAsia="Times New Roman" w:hAnsi="Times New Roman" w:cs="Times New Roman"/>
          <w:i/>
          <w:iCs/>
          <w:sz w:val="24"/>
          <w:szCs w:val="24"/>
        </w:rPr>
        <w:t>Qualitative Research</w:t>
      </w:r>
      <w:r>
        <w:rPr>
          <w:rFonts w:ascii="Times New Roman" w:eastAsia="Times New Roman" w:hAnsi="Times New Roman" w:cs="Times New Roman"/>
          <w:sz w:val="24"/>
          <w:szCs w:val="24"/>
        </w:rPr>
        <w:t>, 6(3), pp. 367–384.</w:t>
      </w:r>
    </w:p>
    <w:p w14:paraId="7F11F0F0" w14:textId="77777777" w:rsidR="00591277" w:rsidRDefault="00591277">
      <w:pPr>
        <w:spacing w:line="360" w:lineRule="auto"/>
        <w:rPr>
          <w:rFonts w:ascii="Times New Roman" w:eastAsia="Times New Roman" w:hAnsi="Times New Roman" w:cs="Times New Roman"/>
          <w:color w:val="1155CC"/>
          <w:sz w:val="24"/>
          <w:szCs w:val="24"/>
          <w:u w:val="single"/>
        </w:rPr>
      </w:pPr>
      <w:hyperlink r:id="rId43">
        <w:r>
          <w:rPr>
            <w:rFonts w:ascii="Times New Roman" w:eastAsia="Times New Roman" w:hAnsi="Times New Roman" w:cs="Times New Roman"/>
            <w:color w:val="1155CC"/>
            <w:sz w:val="24"/>
            <w:szCs w:val="24"/>
            <w:u w:val="single"/>
          </w:rPr>
          <w:t>https://doi.org/10.1177/1468794106065008</w:t>
        </w:r>
      </w:hyperlink>
    </w:p>
    <w:p w14:paraId="6E552943" w14:textId="68EE194D"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 Health </w:t>
      </w:r>
      <w:r w:rsidR="00B631C8">
        <w:rPr>
          <w:rFonts w:ascii="Times New Roman" w:eastAsia="Times New Roman" w:hAnsi="Times New Roman" w:cs="Times New Roman"/>
          <w:sz w:val="24"/>
          <w:szCs w:val="24"/>
        </w:rPr>
        <w:t>Organisation</w:t>
      </w:r>
      <w:r>
        <w:rPr>
          <w:rFonts w:ascii="Times New Roman" w:eastAsia="Times New Roman" w:hAnsi="Times New Roman" w:cs="Times New Roman"/>
          <w:sz w:val="24"/>
          <w:szCs w:val="24"/>
        </w:rPr>
        <w:t xml:space="preserve"> (2021) </w:t>
      </w:r>
      <w:r>
        <w:rPr>
          <w:rFonts w:ascii="Times New Roman" w:eastAsia="Times New Roman" w:hAnsi="Times New Roman" w:cs="Times New Roman"/>
          <w:i/>
          <w:iCs/>
          <w:sz w:val="24"/>
          <w:szCs w:val="24"/>
        </w:rPr>
        <w:t>Ethics and Governance of Artificial Intelligence for Health: WHO Guidance</w:t>
      </w:r>
      <w:r>
        <w:rPr>
          <w:rFonts w:ascii="Times New Roman" w:eastAsia="Times New Roman" w:hAnsi="Times New Roman" w:cs="Times New Roman"/>
          <w:sz w:val="24"/>
          <w:szCs w:val="24"/>
        </w:rPr>
        <w:t xml:space="preserve">. Geneva: World Health </w:t>
      </w:r>
      <w:r w:rsidR="00B631C8">
        <w:rPr>
          <w:rFonts w:ascii="Times New Roman" w:eastAsia="Times New Roman" w:hAnsi="Times New Roman" w:cs="Times New Roman"/>
          <w:sz w:val="24"/>
          <w:szCs w:val="24"/>
        </w:rPr>
        <w:t>Organisation</w:t>
      </w:r>
      <w:r>
        <w:rPr>
          <w:rFonts w:ascii="Times New Roman" w:eastAsia="Times New Roman" w:hAnsi="Times New Roman" w:cs="Times New Roman"/>
          <w:sz w:val="24"/>
          <w:szCs w:val="24"/>
        </w:rPr>
        <w:t>.</w:t>
      </w:r>
    </w:p>
    <w:p w14:paraId="541CD5C4" w14:textId="77777777" w:rsidR="00591277" w:rsidRDefault="00591277">
      <w:pPr>
        <w:spacing w:line="360" w:lineRule="auto"/>
        <w:rPr>
          <w:rFonts w:ascii="Times New Roman" w:eastAsia="Times New Roman" w:hAnsi="Times New Roman" w:cs="Times New Roman"/>
          <w:color w:val="1155CC"/>
          <w:sz w:val="24"/>
          <w:szCs w:val="24"/>
          <w:u w:val="single"/>
        </w:rPr>
      </w:pPr>
      <w:hyperlink r:id="rId44">
        <w:r>
          <w:rPr>
            <w:rFonts w:ascii="Times New Roman" w:eastAsia="Times New Roman" w:hAnsi="Times New Roman" w:cs="Times New Roman"/>
            <w:color w:val="1155CC"/>
            <w:sz w:val="24"/>
            <w:szCs w:val="24"/>
            <w:u w:val="single"/>
          </w:rPr>
          <w:t>https://www.who.int/publications/i/item/9789240029200</w:t>
        </w:r>
      </w:hyperlink>
    </w:p>
    <w:p w14:paraId="7141A5BA" w14:textId="77777777" w:rsidR="00591277" w:rsidRDefault="00000000">
      <w:pPr>
        <w:spacing w:line="360" w:lineRule="auto"/>
      </w:pPr>
      <w:r>
        <w:rPr>
          <w:rFonts w:ascii="Times New Roman" w:eastAsia="Times New Roman" w:hAnsi="Times New Roman" w:cs="Times New Roman"/>
          <w:sz w:val="24"/>
          <w:szCs w:val="24"/>
        </w:rPr>
        <w:t xml:space="preserve">Wright, P.M. and McMahan, G.C. (2011) ‘Exploring human capital: putting “human” back into strategic human resource management’, </w:t>
      </w:r>
      <w:r>
        <w:rPr>
          <w:rFonts w:ascii="Times New Roman" w:eastAsia="Times New Roman" w:hAnsi="Times New Roman" w:cs="Times New Roman"/>
          <w:i/>
          <w:iCs/>
          <w:sz w:val="24"/>
          <w:szCs w:val="24"/>
        </w:rPr>
        <w:t>Human Resource Management Journal</w:t>
      </w:r>
      <w:r>
        <w:rPr>
          <w:rFonts w:ascii="Times New Roman" w:eastAsia="Times New Roman" w:hAnsi="Times New Roman" w:cs="Times New Roman"/>
          <w:sz w:val="24"/>
          <w:szCs w:val="24"/>
        </w:rPr>
        <w:t>, 21(2), pp. 93–104.</w:t>
      </w:r>
      <w:hyperlink r:id="rId45">
        <w:r w:rsidR="00591277">
          <w:rPr>
            <w:rFonts w:ascii="Times New Roman" w:eastAsia="Times New Roman" w:hAnsi="Times New Roman" w:cs="Times New Roman"/>
            <w:sz w:val="24"/>
            <w:szCs w:val="24"/>
          </w:rPr>
          <w:t xml:space="preserve"> </w:t>
        </w:r>
      </w:hyperlink>
    </w:p>
    <w:p w14:paraId="7E7FD57D" w14:textId="77777777" w:rsidR="00591277" w:rsidRDefault="00591277">
      <w:pPr>
        <w:spacing w:line="360" w:lineRule="auto"/>
        <w:rPr>
          <w:rFonts w:ascii="Times New Roman" w:eastAsia="Times New Roman" w:hAnsi="Times New Roman" w:cs="Times New Roman"/>
          <w:color w:val="1155CC"/>
          <w:sz w:val="24"/>
          <w:szCs w:val="24"/>
          <w:u w:val="single"/>
        </w:rPr>
      </w:pPr>
      <w:hyperlink r:id="rId46">
        <w:r>
          <w:rPr>
            <w:rFonts w:ascii="Times New Roman" w:eastAsia="Times New Roman" w:hAnsi="Times New Roman" w:cs="Times New Roman"/>
            <w:color w:val="1155CC"/>
            <w:sz w:val="24"/>
            <w:szCs w:val="24"/>
            <w:u w:val="single"/>
          </w:rPr>
          <w:t>https://doi.org/10.1111/j.1748-8583.2010.00165.x</w:t>
        </w:r>
      </w:hyperlink>
    </w:p>
    <w:p w14:paraId="092E259C" w14:textId="77777777" w:rsidR="00591277" w:rsidRDefault="00000000">
      <w:pPr>
        <w:spacing w:line="360" w:lineRule="auto"/>
      </w:pPr>
      <w:r>
        <w:rPr>
          <w:rFonts w:ascii="Times New Roman" w:eastAsia="Times New Roman" w:hAnsi="Times New Roman" w:cs="Times New Roman"/>
          <w:sz w:val="24"/>
          <w:szCs w:val="24"/>
        </w:rPr>
        <w:lastRenderedPageBreak/>
        <w:t xml:space="preserve">Yousif, M., Asghar, S., Akbar, J. et al. (2024) ‘Exploring the perspectives of healthcare professionals regarding artificial intelligence; acceptance and challenges’, </w:t>
      </w:r>
      <w:r>
        <w:rPr>
          <w:rFonts w:ascii="Times New Roman" w:eastAsia="Times New Roman" w:hAnsi="Times New Roman" w:cs="Times New Roman"/>
          <w:i/>
          <w:iCs/>
          <w:sz w:val="24"/>
          <w:szCs w:val="24"/>
        </w:rPr>
        <w:t>BMC Health Services Research</w:t>
      </w:r>
      <w:r>
        <w:rPr>
          <w:rFonts w:ascii="Times New Roman" w:eastAsia="Times New Roman" w:hAnsi="Times New Roman" w:cs="Times New Roman"/>
          <w:sz w:val="24"/>
          <w:szCs w:val="24"/>
        </w:rPr>
        <w:t>, 24, 1200.</w:t>
      </w:r>
      <w:hyperlink r:id="rId47">
        <w:r w:rsidR="00591277">
          <w:rPr>
            <w:rFonts w:ascii="Times New Roman" w:eastAsia="Times New Roman" w:hAnsi="Times New Roman" w:cs="Times New Roman"/>
            <w:sz w:val="24"/>
            <w:szCs w:val="24"/>
          </w:rPr>
          <w:t xml:space="preserve"> </w:t>
        </w:r>
      </w:hyperlink>
    </w:p>
    <w:p w14:paraId="4A657543" w14:textId="77777777" w:rsidR="00591277" w:rsidRDefault="00591277">
      <w:pPr>
        <w:spacing w:line="360" w:lineRule="auto"/>
        <w:rPr>
          <w:rFonts w:ascii="Times New Roman" w:eastAsia="Times New Roman" w:hAnsi="Times New Roman" w:cs="Times New Roman"/>
          <w:color w:val="1155CC"/>
          <w:sz w:val="24"/>
          <w:szCs w:val="24"/>
          <w:u w:val="single"/>
        </w:rPr>
      </w:pPr>
      <w:hyperlink r:id="rId48">
        <w:r>
          <w:rPr>
            <w:rFonts w:ascii="Times New Roman" w:eastAsia="Times New Roman" w:hAnsi="Times New Roman" w:cs="Times New Roman"/>
            <w:color w:val="1155CC"/>
            <w:sz w:val="24"/>
            <w:szCs w:val="24"/>
            <w:u w:val="single"/>
          </w:rPr>
          <w:t>https://doi.org/10.1186/s12913-024-11667-9</w:t>
        </w:r>
      </w:hyperlink>
    </w:p>
    <w:p w14:paraId="31506FE5"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Zhao, S., Ma, Z., Li, H., Wang, Z., Wang, Y. and Ma, H. (2024) ‘The impact of organizational justice on turnover intention among primary healthcare workers: the mediating role of work motivation’, </w:t>
      </w:r>
      <w:r>
        <w:rPr>
          <w:rFonts w:ascii="Times New Roman" w:eastAsia="Times New Roman" w:hAnsi="Times New Roman" w:cs="Times New Roman"/>
          <w:i/>
          <w:iCs/>
          <w:sz w:val="24"/>
          <w:szCs w:val="24"/>
        </w:rPr>
        <w:t>Risk Management and Healthcare Policy</w:t>
      </w:r>
      <w:r>
        <w:rPr>
          <w:rFonts w:ascii="Times New Roman" w:eastAsia="Times New Roman" w:hAnsi="Times New Roman" w:cs="Times New Roman"/>
          <w:sz w:val="24"/>
          <w:szCs w:val="24"/>
        </w:rPr>
        <w:t>, 17, pp. 3017–3028.</w:t>
      </w:r>
    </w:p>
    <w:p w14:paraId="75E174E3" w14:textId="77777777" w:rsidR="00591277" w:rsidRDefault="00591277">
      <w:pPr>
        <w:spacing w:line="360" w:lineRule="auto"/>
        <w:rPr>
          <w:rFonts w:ascii="Times New Roman" w:eastAsia="Times New Roman" w:hAnsi="Times New Roman" w:cs="Times New Roman"/>
          <w:color w:val="1155CC"/>
          <w:sz w:val="24"/>
          <w:szCs w:val="24"/>
          <w:u w:val="single"/>
        </w:rPr>
      </w:pPr>
      <w:hyperlink r:id="rId49">
        <w:r>
          <w:rPr>
            <w:rFonts w:ascii="Times New Roman" w:eastAsia="Times New Roman" w:hAnsi="Times New Roman" w:cs="Times New Roman"/>
            <w:color w:val="1155CC"/>
            <w:sz w:val="24"/>
            <w:szCs w:val="24"/>
            <w:u w:val="single"/>
          </w:rPr>
          <w:t>https://doi.org/10.2147/RMHP.S486535</w:t>
        </w:r>
      </w:hyperlink>
    </w:p>
    <w:p w14:paraId="654E1A5B" w14:textId="621BA51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Zhou, L., </w:t>
      </w:r>
      <w:proofErr w:type="spellStart"/>
      <w:r>
        <w:rPr>
          <w:rFonts w:ascii="Times New Roman" w:eastAsia="Times New Roman" w:hAnsi="Times New Roman" w:cs="Times New Roman"/>
          <w:sz w:val="24"/>
          <w:szCs w:val="24"/>
        </w:rPr>
        <w:t>Tetgoum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Kachie</w:t>
      </w:r>
      <w:proofErr w:type="spellEnd"/>
      <w:r>
        <w:rPr>
          <w:rFonts w:ascii="Times New Roman" w:eastAsia="Times New Roman" w:hAnsi="Times New Roman" w:cs="Times New Roman"/>
          <w:sz w:val="24"/>
          <w:szCs w:val="24"/>
        </w:rPr>
        <w:t xml:space="preserve">, A.D., Xu, X., Quansah, P.E., </w:t>
      </w:r>
      <w:proofErr w:type="spellStart"/>
      <w:r>
        <w:rPr>
          <w:rFonts w:ascii="Times New Roman" w:eastAsia="Times New Roman" w:hAnsi="Times New Roman" w:cs="Times New Roman"/>
          <w:sz w:val="24"/>
          <w:szCs w:val="24"/>
        </w:rPr>
        <w:t>Epalle</w:t>
      </w:r>
      <w:proofErr w:type="spellEnd"/>
      <w:r>
        <w:rPr>
          <w:rFonts w:ascii="Times New Roman" w:eastAsia="Times New Roman" w:hAnsi="Times New Roman" w:cs="Times New Roman"/>
          <w:sz w:val="24"/>
          <w:szCs w:val="24"/>
        </w:rPr>
        <w:t xml:space="preserve">, T.M., </w:t>
      </w:r>
      <w:proofErr w:type="spellStart"/>
      <w:r>
        <w:rPr>
          <w:rFonts w:ascii="Times New Roman" w:eastAsia="Times New Roman" w:hAnsi="Times New Roman" w:cs="Times New Roman"/>
          <w:sz w:val="24"/>
          <w:szCs w:val="24"/>
        </w:rPr>
        <w:t>Ampon-Wireko</w:t>
      </w:r>
      <w:proofErr w:type="spellEnd"/>
      <w:r>
        <w:rPr>
          <w:rFonts w:ascii="Times New Roman" w:eastAsia="Times New Roman" w:hAnsi="Times New Roman" w:cs="Times New Roman"/>
          <w:sz w:val="24"/>
          <w:szCs w:val="24"/>
        </w:rPr>
        <w:t xml:space="preserve">, S. and Nkrumah, E.N.K. (2022) ‘COVID-19: the effects of perceived </w:t>
      </w:r>
      <w:r w:rsidR="00B631C8">
        <w:rPr>
          <w:rFonts w:ascii="Times New Roman" w:eastAsia="Times New Roman" w:hAnsi="Times New Roman" w:cs="Times New Roman"/>
          <w:sz w:val="24"/>
          <w:szCs w:val="24"/>
        </w:rPr>
        <w:t>organisational</w:t>
      </w:r>
      <w:r>
        <w:rPr>
          <w:rFonts w:ascii="Times New Roman" w:eastAsia="Times New Roman" w:hAnsi="Times New Roman" w:cs="Times New Roman"/>
          <w:sz w:val="24"/>
          <w:szCs w:val="24"/>
        </w:rPr>
        <w:t xml:space="preserve"> justice, job engagement, and perceived job alternatives on turnover intention among frontline nurses’, </w:t>
      </w:r>
      <w:r>
        <w:rPr>
          <w:rFonts w:ascii="Times New Roman" w:eastAsia="Times New Roman" w:hAnsi="Times New Roman" w:cs="Times New Roman"/>
          <w:i/>
          <w:iCs/>
          <w:sz w:val="24"/>
          <w:szCs w:val="24"/>
        </w:rPr>
        <w:t>Frontiers in Psychology</w:t>
      </w:r>
      <w:r>
        <w:rPr>
          <w:rFonts w:ascii="Times New Roman" w:eastAsia="Times New Roman" w:hAnsi="Times New Roman" w:cs="Times New Roman"/>
          <w:sz w:val="24"/>
          <w:szCs w:val="24"/>
        </w:rPr>
        <w:t xml:space="preserve">, 13, 920274. </w:t>
      </w:r>
    </w:p>
    <w:p w14:paraId="0055F280" w14:textId="77777777" w:rsidR="00591277" w:rsidRDefault="00591277">
      <w:pPr>
        <w:spacing w:line="360" w:lineRule="auto"/>
        <w:rPr>
          <w:rFonts w:ascii="Times New Roman" w:eastAsia="Times New Roman" w:hAnsi="Times New Roman" w:cs="Times New Roman"/>
          <w:sz w:val="24"/>
          <w:szCs w:val="24"/>
        </w:rPr>
      </w:pPr>
      <w:hyperlink r:id="rId50">
        <w:r>
          <w:rPr>
            <w:rFonts w:ascii="Times New Roman" w:eastAsia="Times New Roman" w:hAnsi="Times New Roman" w:cs="Times New Roman"/>
            <w:color w:val="1155CC"/>
            <w:sz w:val="24"/>
            <w:szCs w:val="24"/>
            <w:u w:val="single"/>
          </w:rPr>
          <w:t>https://doi.org/10.3389/fpsyg.2022.920274</w:t>
        </w:r>
      </w:hyperlink>
      <w:r>
        <w:rPr>
          <w:rFonts w:ascii="Times New Roman" w:eastAsia="Times New Roman" w:hAnsi="Times New Roman" w:cs="Times New Roman"/>
          <w:sz w:val="24"/>
          <w:szCs w:val="24"/>
        </w:rPr>
        <w:t xml:space="preserve"> </w:t>
      </w:r>
    </w:p>
    <w:p w14:paraId="7C44B904"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Pawar, U., Oğuz, M., Bhat, P. et al. (2022) ‘Application of fairness to healthcare, organizational justice, and finance: a survey’, </w:t>
      </w:r>
      <w:r>
        <w:rPr>
          <w:rFonts w:ascii="Times New Roman" w:eastAsia="Times New Roman" w:hAnsi="Times New Roman" w:cs="Times New Roman"/>
          <w:i/>
          <w:iCs/>
          <w:sz w:val="24"/>
          <w:szCs w:val="24"/>
        </w:rPr>
        <w:t>Expert Systems with Applications</w:t>
      </w:r>
      <w:r>
        <w:rPr>
          <w:rFonts w:ascii="Times New Roman" w:eastAsia="Times New Roman" w:hAnsi="Times New Roman" w:cs="Times New Roman"/>
          <w:sz w:val="24"/>
          <w:szCs w:val="24"/>
        </w:rPr>
        <w:t>, 199, 116974.</w:t>
      </w:r>
    </w:p>
    <w:p w14:paraId="737AC836" w14:textId="77777777" w:rsidR="00591277" w:rsidRDefault="00591277">
      <w:pPr>
        <w:spacing w:line="360" w:lineRule="auto"/>
        <w:rPr>
          <w:rFonts w:ascii="Times New Roman" w:eastAsia="Times New Roman" w:hAnsi="Times New Roman" w:cs="Times New Roman"/>
          <w:sz w:val="24"/>
          <w:szCs w:val="24"/>
        </w:rPr>
      </w:pPr>
      <w:hyperlink r:id="rId51">
        <w:r>
          <w:rPr>
            <w:rFonts w:ascii="Times New Roman" w:eastAsia="Times New Roman" w:hAnsi="Times New Roman" w:cs="Times New Roman"/>
            <w:color w:val="1155CC"/>
            <w:sz w:val="24"/>
            <w:szCs w:val="24"/>
            <w:u w:val="single"/>
          </w:rPr>
          <w:t>https://doi.org/10.1016/j.eswa.2022.116974</w:t>
        </w:r>
      </w:hyperlink>
      <w:r>
        <w:rPr>
          <w:rFonts w:ascii="Times New Roman" w:eastAsia="Times New Roman" w:hAnsi="Times New Roman" w:cs="Times New Roman"/>
          <w:sz w:val="24"/>
          <w:szCs w:val="24"/>
        </w:rPr>
        <w:t xml:space="preserve"> </w:t>
      </w:r>
    </w:p>
    <w:p w14:paraId="485FAE49"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Woodside, A.G. (2013) ‘Moving beyond multiple regression analysis to algorithms: calling for adoption of a paradigm shift from symmetric to asymmetric thinking in data analysis and crafting theory’, </w:t>
      </w:r>
      <w:r>
        <w:rPr>
          <w:rFonts w:ascii="Times New Roman" w:eastAsia="Times New Roman" w:hAnsi="Times New Roman" w:cs="Times New Roman"/>
          <w:i/>
          <w:iCs/>
          <w:sz w:val="24"/>
          <w:szCs w:val="24"/>
        </w:rPr>
        <w:t>Journal of Business Research</w:t>
      </w:r>
      <w:r>
        <w:rPr>
          <w:rFonts w:ascii="Times New Roman" w:eastAsia="Times New Roman" w:hAnsi="Times New Roman" w:cs="Times New Roman"/>
          <w:sz w:val="24"/>
          <w:szCs w:val="24"/>
        </w:rPr>
        <w:t>, 66(4), pp. 463–472.</w:t>
      </w:r>
    </w:p>
    <w:p w14:paraId="19AE0B4D" w14:textId="77777777" w:rsidR="00591277" w:rsidRDefault="00591277">
      <w:pPr>
        <w:spacing w:line="360" w:lineRule="auto"/>
        <w:rPr>
          <w:rFonts w:ascii="Times New Roman" w:eastAsia="Times New Roman" w:hAnsi="Times New Roman" w:cs="Times New Roman"/>
          <w:sz w:val="24"/>
          <w:szCs w:val="24"/>
        </w:rPr>
      </w:pPr>
      <w:hyperlink r:id="rId52">
        <w:r>
          <w:rPr>
            <w:rFonts w:ascii="Times New Roman" w:eastAsia="Times New Roman" w:hAnsi="Times New Roman" w:cs="Times New Roman"/>
            <w:color w:val="1155CC"/>
            <w:sz w:val="24"/>
            <w:szCs w:val="24"/>
            <w:u w:val="single"/>
          </w:rPr>
          <w:t>https://doi.org/10.1016/j.jbusres.2012.12.021</w:t>
        </w:r>
      </w:hyperlink>
      <w:r>
        <w:rPr>
          <w:rFonts w:ascii="Times New Roman" w:eastAsia="Times New Roman" w:hAnsi="Times New Roman" w:cs="Times New Roman"/>
          <w:sz w:val="24"/>
          <w:szCs w:val="24"/>
        </w:rPr>
        <w:t xml:space="preserve"> </w:t>
      </w:r>
    </w:p>
    <w:p w14:paraId="44F44836"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Ragin, C.C. (2000) </w:t>
      </w:r>
      <w:r>
        <w:rPr>
          <w:rFonts w:ascii="Times New Roman" w:eastAsia="Times New Roman" w:hAnsi="Times New Roman" w:cs="Times New Roman"/>
          <w:i/>
          <w:iCs/>
          <w:sz w:val="24"/>
          <w:szCs w:val="24"/>
        </w:rPr>
        <w:t>Fuzzy-Set Social Science</w:t>
      </w:r>
      <w:r>
        <w:rPr>
          <w:rFonts w:ascii="Times New Roman" w:eastAsia="Times New Roman" w:hAnsi="Times New Roman" w:cs="Times New Roman"/>
          <w:sz w:val="24"/>
          <w:szCs w:val="24"/>
        </w:rPr>
        <w:t>. Chicago: University of Chicago Press.</w:t>
      </w:r>
    </w:p>
    <w:p w14:paraId="6A832525" w14:textId="77777777" w:rsidR="00591277"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Morgan, D.L. (2014) ‘Pragmatism as a paradigm for social research’, </w:t>
      </w:r>
      <w:r>
        <w:rPr>
          <w:rFonts w:ascii="Times New Roman" w:eastAsia="Times New Roman" w:hAnsi="Times New Roman" w:cs="Times New Roman"/>
          <w:i/>
          <w:iCs/>
          <w:sz w:val="24"/>
          <w:szCs w:val="24"/>
        </w:rPr>
        <w:t>Qualitative Inquiry</w:t>
      </w:r>
      <w:r>
        <w:rPr>
          <w:rFonts w:ascii="Times New Roman" w:eastAsia="Times New Roman" w:hAnsi="Times New Roman" w:cs="Times New Roman"/>
          <w:sz w:val="24"/>
          <w:szCs w:val="24"/>
        </w:rPr>
        <w:t xml:space="preserve">, 20(8), pp. 1045–1053. </w:t>
      </w:r>
    </w:p>
    <w:p w14:paraId="4434DB00" w14:textId="77777777" w:rsidR="00591277" w:rsidRDefault="00591277">
      <w:pPr>
        <w:spacing w:line="360" w:lineRule="auto"/>
        <w:rPr>
          <w:rFonts w:ascii="Times New Roman" w:eastAsia="Times New Roman" w:hAnsi="Times New Roman" w:cs="Times New Roman"/>
          <w:sz w:val="24"/>
          <w:szCs w:val="24"/>
        </w:rPr>
      </w:pPr>
      <w:hyperlink r:id="rId53">
        <w:r>
          <w:rPr>
            <w:rFonts w:ascii="Times New Roman" w:eastAsia="Times New Roman" w:hAnsi="Times New Roman" w:cs="Times New Roman"/>
            <w:color w:val="1155CC"/>
            <w:sz w:val="24"/>
            <w:szCs w:val="24"/>
            <w:u w:val="single"/>
          </w:rPr>
          <w:t>https://doi.org/10.1177/1077800413513733</w:t>
        </w:r>
      </w:hyperlink>
      <w:r>
        <w:rPr>
          <w:rFonts w:ascii="Times New Roman" w:eastAsia="Times New Roman" w:hAnsi="Times New Roman" w:cs="Times New Roman"/>
          <w:sz w:val="24"/>
          <w:szCs w:val="24"/>
        </w:rPr>
        <w:t xml:space="preserve"> </w:t>
      </w:r>
    </w:p>
    <w:p w14:paraId="3AC271AE" w14:textId="77777777" w:rsidR="00591277" w:rsidRDefault="00000000">
      <w:pPr>
        <w:spacing w:line="36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Bell, E., Bryman, A. and Harley, B. (2019) </w:t>
      </w:r>
      <w:r>
        <w:rPr>
          <w:rFonts w:ascii="Times New Roman" w:eastAsia="Times New Roman" w:hAnsi="Times New Roman" w:cs="Times New Roman"/>
          <w:i/>
          <w:iCs/>
          <w:sz w:val="24"/>
          <w:szCs w:val="24"/>
        </w:rPr>
        <w:t>Business Research Methods</w:t>
      </w:r>
      <w:r>
        <w:rPr>
          <w:rFonts w:ascii="Times New Roman" w:eastAsia="Times New Roman" w:hAnsi="Times New Roman" w:cs="Times New Roman"/>
          <w:sz w:val="24"/>
          <w:szCs w:val="24"/>
        </w:rPr>
        <w:t xml:space="preserve">. 5th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Oxford: Oxford University Press.</w:t>
      </w:r>
    </w:p>
    <w:p w14:paraId="50900284" w14:textId="77777777" w:rsidR="00591277" w:rsidRDefault="00591277">
      <w:pPr>
        <w:spacing w:line="360" w:lineRule="auto"/>
        <w:rPr>
          <w:rFonts w:ascii="Times New Roman" w:eastAsia="Times New Roman" w:hAnsi="Times New Roman" w:cs="Times New Roman"/>
        </w:rPr>
      </w:pPr>
    </w:p>
    <w:p w14:paraId="3FBD67C8" w14:textId="77777777" w:rsidR="00591277" w:rsidRDefault="00591277">
      <w:pPr>
        <w:spacing w:line="360" w:lineRule="auto"/>
        <w:jc w:val="both"/>
        <w:rPr>
          <w:rFonts w:ascii="Times New Roman" w:eastAsia="Times New Roman" w:hAnsi="Times New Roman" w:cs="Times New Roman"/>
        </w:rPr>
      </w:pPr>
    </w:p>
    <w:p w14:paraId="604337B9" w14:textId="77777777" w:rsidR="00591277" w:rsidRDefault="00591277">
      <w:pPr>
        <w:spacing w:line="360" w:lineRule="auto"/>
        <w:jc w:val="both"/>
        <w:rPr>
          <w:rFonts w:ascii="Times New Roman" w:eastAsia="Times New Roman" w:hAnsi="Times New Roman" w:cs="Times New Roman"/>
          <w:sz w:val="24"/>
          <w:szCs w:val="24"/>
        </w:rPr>
      </w:pPr>
    </w:p>
    <w:p w14:paraId="0DBDACC5" w14:textId="77777777" w:rsidR="00591277" w:rsidRDefault="00591277">
      <w:pPr>
        <w:spacing w:line="360" w:lineRule="auto"/>
        <w:jc w:val="both"/>
        <w:rPr>
          <w:rFonts w:ascii="Times New Roman" w:eastAsia="Times New Roman" w:hAnsi="Times New Roman" w:cs="Times New Roman"/>
          <w:sz w:val="24"/>
          <w:szCs w:val="24"/>
        </w:rPr>
      </w:pPr>
    </w:p>
    <w:sectPr w:rsidR="00591277" w:rsidSect="007E2552">
      <w:footerReference w:type="default" r:id="rId5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1504F" w14:textId="77777777" w:rsidR="002F4D6A" w:rsidRDefault="002F4D6A" w:rsidP="00685008">
      <w:pPr>
        <w:spacing w:line="240" w:lineRule="auto"/>
      </w:pPr>
      <w:r>
        <w:separator/>
      </w:r>
    </w:p>
  </w:endnote>
  <w:endnote w:type="continuationSeparator" w:id="0">
    <w:p w14:paraId="01F7CCCC" w14:textId="77777777" w:rsidR="002F4D6A" w:rsidRDefault="002F4D6A" w:rsidP="006850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do">
    <w:charset w:val="00"/>
    <w:family w:val="auto"/>
    <w:pitch w:val="default"/>
    <w:embedRegular r:id="rId1" w:fontKey="{99C82E43-F6D0-42EF-A867-BD992813BA7D}"/>
  </w:font>
  <w:font w:name="Calibri">
    <w:panose1 w:val="020F0502020204030204"/>
    <w:charset w:val="00"/>
    <w:family w:val="swiss"/>
    <w:pitch w:val="variable"/>
    <w:sig w:usb0="E4002EFF" w:usb1="C200247B" w:usb2="00000009" w:usb3="00000000" w:csb0="000001FF" w:csb1="00000000"/>
    <w:embedRegular r:id="rId2" w:fontKey="{5B9BD174-C7D4-4177-B396-BDC2F79BD03F}"/>
  </w:font>
  <w:font w:name="Cambria">
    <w:panose1 w:val="02040503050406030204"/>
    <w:charset w:val="00"/>
    <w:family w:val="roman"/>
    <w:pitch w:val="variable"/>
    <w:sig w:usb0="E00006FF" w:usb1="420024FF" w:usb2="02000000" w:usb3="00000000" w:csb0="0000019F" w:csb1="00000000"/>
    <w:embedRegular r:id="rId3" w:fontKey="{C36AC2DB-5182-4A61-8CD3-2C33926FA4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27805"/>
      <w:docPartObj>
        <w:docPartGallery w:val="Page Numbers (Bottom of Page)"/>
        <w:docPartUnique/>
      </w:docPartObj>
    </w:sdtPr>
    <w:sdtEndPr>
      <w:rPr>
        <w:color w:val="7F7F7F" w:themeColor="background1" w:themeShade="7F"/>
        <w:spacing w:val="60"/>
      </w:rPr>
    </w:sdtEndPr>
    <w:sdtContent>
      <w:p w14:paraId="3A88B9E8" w14:textId="06BC66BD" w:rsidR="00FF3969" w:rsidRDefault="00FF396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30A77B0" w14:textId="77777777" w:rsidR="00FF3969" w:rsidRDefault="00FF3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BD182" w14:textId="77777777" w:rsidR="002F4D6A" w:rsidRDefault="002F4D6A" w:rsidP="00685008">
      <w:pPr>
        <w:spacing w:line="240" w:lineRule="auto"/>
      </w:pPr>
      <w:r>
        <w:separator/>
      </w:r>
    </w:p>
  </w:footnote>
  <w:footnote w:type="continuationSeparator" w:id="0">
    <w:p w14:paraId="350994F2" w14:textId="77777777" w:rsidR="002F4D6A" w:rsidRDefault="002F4D6A" w:rsidP="006850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90B32"/>
    <w:multiLevelType w:val="multilevel"/>
    <w:tmpl w:val="43B62C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1592FCF"/>
    <w:multiLevelType w:val="multilevel"/>
    <w:tmpl w:val="8A347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94947803">
    <w:abstractNumId w:val="1"/>
  </w:num>
  <w:num w:numId="2" w16cid:durableId="1641687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277"/>
    <w:rsid w:val="0000645F"/>
    <w:rsid w:val="00011043"/>
    <w:rsid w:val="00034192"/>
    <w:rsid w:val="00081BF3"/>
    <w:rsid w:val="00176A29"/>
    <w:rsid w:val="00212AD6"/>
    <w:rsid w:val="00276518"/>
    <w:rsid w:val="002F4D6A"/>
    <w:rsid w:val="00304478"/>
    <w:rsid w:val="00312902"/>
    <w:rsid w:val="003B01E5"/>
    <w:rsid w:val="004E21DB"/>
    <w:rsid w:val="0052000C"/>
    <w:rsid w:val="0057089F"/>
    <w:rsid w:val="00591277"/>
    <w:rsid w:val="005F0A32"/>
    <w:rsid w:val="005F2945"/>
    <w:rsid w:val="00625612"/>
    <w:rsid w:val="00657D19"/>
    <w:rsid w:val="00674E9C"/>
    <w:rsid w:val="00685008"/>
    <w:rsid w:val="006D6A89"/>
    <w:rsid w:val="007A27B4"/>
    <w:rsid w:val="007E2552"/>
    <w:rsid w:val="007F0023"/>
    <w:rsid w:val="00802BF2"/>
    <w:rsid w:val="00833AB6"/>
    <w:rsid w:val="008B04F7"/>
    <w:rsid w:val="008D3A12"/>
    <w:rsid w:val="008F5FAF"/>
    <w:rsid w:val="00994493"/>
    <w:rsid w:val="009C3A5C"/>
    <w:rsid w:val="00AD00CF"/>
    <w:rsid w:val="00AE1C00"/>
    <w:rsid w:val="00B631C8"/>
    <w:rsid w:val="00BA322D"/>
    <w:rsid w:val="00BB7C9C"/>
    <w:rsid w:val="00C508B4"/>
    <w:rsid w:val="00C5675C"/>
    <w:rsid w:val="00CA3203"/>
    <w:rsid w:val="00D47B45"/>
    <w:rsid w:val="00D81C3F"/>
    <w:rsid w:val="00D86DF0"/>
    <w:rsid w:val="00E27781"/>
    <w:rsid w:val="00E5586B"/>
    <w:rsid w:val="00F3412D"/>
    <w:rsid w:val="00FF3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F4315"/>
  <w15:docId w15:val="{3BCB2F14-FB17-4C83-9BAA-AA5E016A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685008"/>
    <w:pPr>
      <w:tabs>
        <w:tab w:val="center" w:pos="4513"/>
        <w:tab w:val="right" w:pos="9026"/>
      </w:tabs>
      <w:spacing w:line="240" w:lineRule="auto"/>
    </w:pPr>
  </w:style>
  <w:style w:type="character" w:customStyle="1" w:styleId="HeaderChar">
    <w:name w:val="Header Char"/>
    <w:basedOn w:val="DefaultParagraphFont"/>
    <w:link w:val="Header"/>
    <w:uiPriority w:val="99"/>
    <w:rsid w:val="00685008"/>
  </w:style>
  <w:style w:type="paragraph" w:styleId="Footer">
    <w:name w:val="footer"/>
    <w:basedOn w:val="Normal"/>
    <w:link w:val="FooterChar"/>
    <w:uiPriority w:val="99"/>
    <w:unhideWhenUsed/>
    <w:rsid w:val="00685008"/>
    <w:pPr>
      <w:tabs>
        <w:tab w:val="center" w:pos="4513"/>
        <w:tab w:val="right" w:pos="9026"/>
      </w:tabs>
      <w:spacing w:line="240" w:lineRule="auto"/>
    </w:pPr>
  </w:style>
  <w:style w:type="character" w:customStyle="1" w:styleId="FooterChar">
    <w:name w:val="Footer Char"/>
    <w:basedOn w:val="DefaultParagraphFont"/>
    <w:link w:val="Footer"/>
    <w:uiPriority w:val="99"/>
    <w:rsid w:val="006850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2196/55766" TargetMode="External"/><Relationship Id="rId18" Type="http://schemas.openxmlformats.org/officeDocument/2006/relationships/hyperlink" Target="https://doi.org/10.5465/amj.2011.60263120?utm_source=chatgpt.com" TargetMode="External"/><Relationship Id="rId26" Type="http://schemas.openxmlformats.org/officeDocument/2006/relationships/hyperlink" Target="https://doi.org/10.1093/jamia/ocaf133?utm_source=chatgpt.com" TargetMode="External"/><Relationship Id="rId39" Type="http://schemas.openxmlformats.org/officeDocument/2006/relationships/hyperlink" Target="https://doi.org/10.1186/1471-2288-8-45?utm_source=chatgpt.com" TargetMode="External"/><Relationship Id="rId21" Type="http://schemas.openxmlformats.org/officeDocument/2006/relationships/hyperlink" Target="https://doi.org/10.1111/j.1471-1842.2009.00848.x?utm_source=chatgpt.com" TargetMode="External"/><Relationship Id="rId34" Type="http://schemas.openxmlformats.org/officeDocument/2006/relationships/hyperlink" Target="https://doi.org/10.1016/j.nepr.2023.103723?utm_source=chatgpt.com" TargetMode="External"/><Relationship Id="rId42" Type="http://schemas.openxmlformats.org/officeDocument/2006/relationships/hyperlink" Target="https://doi.org/10.1016/j.socscimed.2024.116717?utm_source=chatgpt.com" TargetMode="External"/><Relationship Id="rId47" Type="http://schemas.openxmlformats.org/officeDocument/2006/relationships/hyperlink" Target="https://doi.org/10.1186/s12913-024-11667-9?utm_source=chatgpt.com" TargetMode="External"/><Relationship Id="rId50" Type="http://schemas.openxmlformats.org/officeDocument/2006/relationships/hyperlink" Target="https://doi.org/10.3389/fpsyg.2022.920274"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37/0021-9010.86.3.386?utm_source=chatgpt.com" TargetMode="External"/><Relationship Id="rId29" Type="http://schemas.openxmlformats.org/officeDocument/2006/relationships/hyperlink" Target="https://doi.org/10.1016/j.ijinfomgt.2021.102310?utm_source=chatgpt.com" TargetMode="External"/><Relationship Id="rId11" Type="http://schemas.openxmlformats.org/officeDocument/2006/relationships/image" Target="media/image1.png"/><Relationship Id="rId24" Type="http://schemas.openxmlformats.org/officeDocument/2006/relationships/hyperlink" Target="https://doi.org/10.1108/LHS-06-2023-0046" TargetMode="External"/><Relationship Id="rId32" Type="http://schemas.openxmlformats.org/officeDocument/2006/relationships/hyperlink" Target="https://doi.org/10.3233/SHTI240295" TargetMode="External"/><Relationship Id="rId37" Type="http://schemas.openxmlformats.org/officeDocument/2006/relationships/hyperlink" Target="https://doi.org/10.1525/cmr.2016.58.4.13?utm_source=chatgpt.com" TargetMode="External"/><Relationship Id="rId40" Type="http://schemas.openxmlformats.org/officeDocument/2006/relationships/hyperlink" Target="https://doi.org/10.2196/69678" TargetMode="External"/><Relationship Id="rId45" Type="http://schemas.openxmlformats.org/officeDocument/2006/relationships/hyperlink" Target="https://doi.org/10.1111/j.1748-8583.2010.00165.x?utm_source=chatgpt.com" TargetMode="External"/><Relationship Id="rId53" Type="http://schemas.openxmlformats.org/officeDocument/2006/relationships/hyperlink" Target="https://doi.org/10.1177/1077800413513733"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doi.org/10.1016/j.jbusres.2023.113707?utm_source=chatgpt.com" TargetMode="External"/><Relationship Id="rId31" Type="http://schemas.openxmlformats.org/officeDocument/2006/relationships/hyperlink" Target="https://doi.org/10.1016/j.ijmedinf.2025.106015?utm_source=chatgpt.com" TargetMode="External"/><Relationship Id="rId44" Type="http://schemas.openxmlformats.org/officeDocument/2006/relationships/hyperlink" Target="https://www.who.int/publications/i/item/9789240029200?utm_source=chatgpt.com" TargetMode="External"/><Relationship Id="rId52" Type="http://schemas.openxmlformats.org/officeDocument/2006/relationships/hyperlink" Target="https://doi.org/10.1016/j.jbusres.2012.12.0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jbusres.2020.08.018" TargetMode="External"/><Relationship Id="rId22" Type="http://schemas.openxmlformats.org/officeDocument/2006/relationships/hyperlink" Target="https://doi.org/10.1016/j.techfore.2026.124651" TargetMode="External"/><Relationship Id="rId27" Type="http://schemas.openxmlformats.org/officeDocument/2006/relationships/hyperlink" Target="https://doi.org/10.1007/s11948-019-00165-5?utm_source=chatgpt.com" TargetMode="External"/><Relationship Id="rId30" Type="http://schemas.openxmlformats.org/officeDocument/2006/relationships/hyperlink" Target="https://doi.org/10.1016/j.ijmedinf.2025.106015?utm_source=chatgpt.com" TargetMode="External"/><Relationship Id="rId35" Type="http://schemas.openxmlformats.org/officeDocument/2006/relationships/hyperlink" Target="https://doi.org/10.1002/smj.640?utm_source=chatgpt.com" TargetMode="External"/><Relationship Id="rId43" Type="http://schemas.openxmlformats.org/officeDocument/2006/relationships/hyperlink" Target="https://doi.org/10.1177/1468794106065008?utm_source=chatgpt.com" TargetMode="External"/><Relationship Id="rId48" Type="http://schemas.openxmlformats.org/officeDocument/2006/relationships/hyperlink" Target="https://doi.org/10.1186/s12913-024-11667-9?utm_source=chatgpt.co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doi.org/10.1016/j.eswa.2022.116974" TargetMode="External"/><Relationship Id="rId3" Type="http://schemas.openxmlformats.org/officeDocument/2006/relationships/customXml" Target="../customXml/item3.xml"/><Relationship Id="rId12" Type="http://schemas.openxmlformats.org/officeDocument/2006/relationships/hyperlink" Target="https://doi.org/10.1007/s43546-024-00760-0" TargetMode="External"/><Relationship Id="rId17" Type="http://schemas.openxmlformats.org/officeDocument/2006/relationships/hyperlink" Target="https://doi.org/10.1016/j.techfore.2025.124108" TargetMode="External"/><Relationship Id="rId25" Type="http://schemas.openxmlformats.org/officeDocument/2006/relationships/hyperlink" Target="https://doi.org/10.1007/s00146-023-01699-w" TargetMode="External"/><Relationship Id="rId33" Type="http://schemas.openxmlformats.org/officeDocument/2006/relationships/hyperlink" Target="https://doi.org/10.1016/j.jbi.2023.104550?utm_source=chatgpt.com" TargetMode="External"/><Relationship Id="rId38" Type="http://schemas.openxmlformats.org/officeDocument/2006/relationships/hyperlink" Target="https://doi.org/10.1525/cmr.2016.58.4.13?utm_source=chatgpt.com" TargetMode="External"/><Relationship Id="rId46" Type="http://schemas.openxmlformats.org/officeDocument/2006/relationships/hyperlink" Target="https://doi.org/10.1111/j.1748-8583.2010.00165.x?utm_source=chatgpt.com" TargetMode="External"/><Relationship Id="rId20" Type="http://schemas.openxmlformats.org/officeDocument/2006/relationships/hyperlink" Target="https://doi.org/10.5465/annals.2018.0057?utm_source=chatgpt.com" TargetMode="External"/><Relationship Id="rId41" Type="http://schemas.openxmlformats.org/officeDocument/2006/relationships/hyperlink" Target="https://doi.org/10.1016/j.socscimed.2024.116717?utm_source=chatgpt.co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2147/RMHP.S357654" TargetMode="External"/><Relationship Id="rId23" Type="http://schemas.openxmlformats.org/officeDocument/2006/relationships/hyperlink" Target="https://doi.org/10.1016/j.techfore.2024.123967?utm_source=chatgpt.com" TargetMode="External"/><Relationship Id="rId28" Type="http://schemas.openxmlformats.org/officeDocument/2006/relationships/hyperlink" Target="https://doi.org/10.1136/bmj.n71?utm_source=chatgpt.com" TargetMode="External"/><Relationship Id="rId36" Type="http://schemas.openxmlformats.org/officeDocument/2006/relationships/hyperlink" Target="https://doi.org/10.1002/smj.640?utm_source=chatgpt.com" TargetMode="External"/><Relationship Id="rId49" Type="http://schemas.openxmlformats.org/officeDocument/2006/relationships/hyperlink" Target="https://doi.org/10.2147/RMHP.S486535?utm_source=chatgpt.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A0F09A9424D04F9D02A0C2605D2F30" ma:contentTypeVersion="5" ma:contentTypeDescription="Create a new document." ma:contentTypeScope="" ma:versionID="7b7fe3b1959acfbf8cdf3a7e16d723ac">
  <xsd:schema xmlns:xsd="http://www.w3.org/2001/XMLSchema" xmlns:xs="http://www.w3.org/2001/XMLSchema" xmlns:p="http://schemas.microsoft.com/office/2006/metadata/properties" xmlns:ns3="b99bcc89-36b5-4c7d-b3a0-6cec72e22797" targetNamespace="http://schemas.microsoft.com/office/2006/metadata/properties" ma:root="true" ma:fieldsID="d8dc400a0a0d2108fcdbf9694a2b564b" ns3:_="">
    <xsd:import namespace="b99bcc89-36b5-4c7d-b3a0-6cec72e2279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9bcc89-36b5-4c7d-b3a0-6cec72e2279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99bcc89-36b5-4c7d-b3a0-6cec72e22797" xsi:nil="true"/>
  </documentManagement>
</p:properties>
</file>

<file path=customXml/itemProps1.xml><?xml version="1.0" encoding="utf-8"?>
<ds:datastoreItem xmlns:ds="http://schemas.openxmlformats.org/officeDocument/2006/customXml" ds:itemID="{C3A7DFCD-407A-481B-88D9-BFDE512A44D4}">
  <ds:schemaRefs>
    <ds:schemaRef ds:uri="http://schemas.microsoft.com/sharepoint/v3/contenttype/forms"/>
  </ds:schemaRefs>
</ds:datastoreItem>
</file>

<file path=customXml/itemProps2.xml><?xml version="1.0" encoding="utf-8"?>
<ds:datastoreItem xmlns:ds="http://schemas.openxmlformats.org/officeDocument/2006/customXml" ds:itemID="{6B27ED55-F0F0-4736-9CD3-7479C94E60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9bcc89-36b5-4c7d-b3a0-6cec72e227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11CBB1-13C8-4969-969C-DBB759193A94}">
  <ds:schemaRefs>
    <ds:schemaRef ds:uri="http://schemas.openxmlformats.org/officeDocument/2006/bibliography"/>
  </ds:schemaRefs>
</ds:datastoreItem>
</file>

<file path=customXml/itemProps4.xml><?xml version="1.0" encoding="utf-8"?>
<ds:datastoreItem xmlns:ds="http://schemas.openxmlformats.org/officeDocument/2006/customXml" ds:itemID="{9F30B161-5816-4489-9E2D-FF63B420A4FB}">
  <ds:schemaRefs>
    <ds:schemaRef ds:uri="http://schemas.microsoft.com/office/2006/metadata/properties"/>
    <ds:schemaRef ds:uri="http://schemas.microsoft.com/office/infopath/2007/PartnerControls"/>
    <ds:schemaRef ds:uri="b99bcc89-36b5-4c7d-b3a0-6cec72e22797"/>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37</Pages>
  <Words>10683</Words>
  <Characters>60894</Characters>
  <Application>Microsoft Office Word</Application>
  <DocSecurity>0</DocSecurity>
  <Lines>507</Lines>
  <Paragraphs>142</Paragraphs>
  <ScaleCrop>false</ScaleCrop>
  <Company/>
  <LinksUpToDate>false</LinksUpToDate>
  <CharactersWithSpaces>71435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Ajirony Rahman Nilema (2542690)</cp:lastModifiedBy>
  <cp:revision>41</cp:revision>
  <dcterms:created xsi:type="dcterms:W3CDTF">2026-08-24T08:26:00Z</dcterms:created>
  <dcterms:modified xsi:type="dcterms:W3CDTF">2026-08-24T09:51:00Z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2caea546-11d5-4108-9159-4589674f1a76</vt:lpwstr>
  </property>
  <property fmtid="{D5CDD505-2E9C-101B-9397-08002B2CF9AE}" pid="3" name="ContentTypeId">
    <vt:lpwstr>0x0101005CA0F09A9424D04F9D02A0C2605D2F30</vt:lpwstr>
  </property>
</Properties>
</file>