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F17ABB" w14:textId="35793862" w:rsidR="00171189" w:rsidRDefault="00A94840" w:rsidP="00171189">
      <w:pPr>
        <w:spacing w:after="160" w:line="259" w:lineRule="auto"/>
        <w:jc w:val="left"/>
        <w:rPr>
          <w:b/>
          <w:bCs/>
          <w:lang w:val="en-US"/>
        </w:rPr>
      </w:pPr>
      <w:r>
        <w:rPr>
          <w:b/>
          <w:bCs/>
          <w:lang w:val="en-US"/>
        </w:rPr>
        <w:t xml:space="preserve"> </w:t>
      </w:r>
      <w:r w:rsidR="00171189" w:rsidRPr="00761279">
        <w:rPr>
          <w:b/>
          <w:bCs/>
          <w:noProof/>
          <w:lang w:val="en-US"/>
        </w:rPr>
        <w:drawing>
          <wp:inline distT="0" distB="0" distL="0" distR="0" wp14:anchorId="45690455" wp14:editId="68D7FAAE">
            <wp:extent cx="1933845" cy="743054"/>
            <wp:effectExtent l="0" t="0" r="0" b="0"/>
            <wp:docPr id="201620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20025" name=""/>
                    <pic:cNvPicPr/>
                  </pic:nvPicPr>
                  <pic:blipFill>
                    <a:blip r:embed="rId7"/>
                    <a:stretch>
                      <a:fillRect/>
                    </a:stretch>
                  </pic:blipFill>
                  <pic:spPr>
                    <a:xfrm>
                      <a:off x="0" y="0"/>
                      <a:ext cx="1933845" cy="743054"/>
                    </a:xfrm>
                    <a:prstGeom prst="rect">
                      <a:avLst/>
                    </a:prstGeom>
                  </pic:spPr>
                </pic:pic>
              </a:graphicData>
            </a:graphic>
          </wp:inline>
        </w:drawing>
      </w:r>
    </w:p>
    <w:p w14:paraId="40FE3E10" w14:textId="77777777" w:rsidR="00171189" w:rsidRDefault="00171189" w:rsidP="00171189">
      <w:pPr>
        <w:spacing w:after="160" w:line="259" w:lineRule="auto"/>
        <w:jc w:val="left"/>
        <w:rPr>
          <w:b/>
          <w:bCs/>
          <w:lang w:val="en-US"/>
        </w:rPr>
      </w:pPr>
    </w:p>
    <w:p w14:paraId="749FB577" w14:textId="77777777" w:rsidR="00171189" w:rsidRPr="00761279" w:rsidRDefault="00171189" w:rsidP="00171189">
      <w:pPr>
        <w:spacing w:after="160" w:line="259" w:lineRule="auto"/>
        <w:jc w:val="center"/>
        <w:rPr>
          <w:b/>
          <w:bCs/>
          <w:sz w:val="48"/>
          <w:szCs w:val="48"/>
        </w:rPr>
      </w:pPr>
      <w:r w:rsidRPr="00761279">
        <w:rPr>
          <w:b/>
          <w:bCs/>
          <w:sz w:val="48"/>
          <w:szCs w:val="48"/>
        </w:rPr>
        <w:t>BA (Hons) Business Management</w:t>
      </w:r>
    </w:p>
    <w:p w14:paraId="2E018547" w14:textId="77777777" w:rsidR="00171189" w:rsidRDefault="00171189" w:rsidP="00171189">
      <w:pPr>
        <w:spacing w:after="160" w:line="259" w:lineRule="auto"/>
        <w:jc w:val="center"/>
        <w:rPr>
          <w:b/>
          <w:bCs/>
          <w:sz w:val="48"/>
          <w:szCs w:val="48"/>
        </w:rPr>
      </w:pPr>
      <w:r w:rsidRPr="00761279">
        <w:rPr>
          <w:b/>
          <w:bCs/>
          <w:sz w:val="48"/>
          <w:szCs w:val="48"/>
        </w:rPr>
        <w:t>Project Management</w:t>
      </w:r>
    </w:p>
    <w:p w14:paraId="0B62AFC4" w14:textId="77777777" w:rsidR="00171189" w:rsidRPr="00761279" w:rsidRDefault="00171189" w:rsidP="00171189">
      <w:pPr>
        <w:spacing w:after="160" w:line="259" w:lineRule="auto"/>
        <w:jc w:val="center"/>
        <w:rPr>
          <w:b/>
          <w:bCs/>
          <w:sz w:val="48"/>
          <w:szCs w:val="48"/>
        </w:rPr>
      </w:pPr>
    </w:p>
    <w:p w14:paraId="63FDA3CE" w14:textId="77777777" w:rsidR="00171189" w:rsidRDefault="00171189" w:rsidP="00171189">
      <w:pPr>
        <w:spacing w:after="160" w:line="259" w:lineRule="auto"/>
        <w:jc w:val="center"/>
        <w:rPr>
          <w:b/>
          <w:bCs/>
          <w:sz w:val="48"/>
          <w:szCs w:val="48"/>
        </w:rPr>
      </w:pPr>
      <w:r w:rsidRPr="00761279">
        <w:rPr>
          <w:b/>
          <w:bCs/>
          <w:sz w:val="48"/>
          <w:szCs w:val="48"/>
        </w:rPr>
        <w:t>LCBB6006</w:t>
      </w:r>
    </w:p>
    <w:p w14:paraId="1481F91E" w14:textId="77777777" w:rsidR="00171189" w:rsidRPr="00761279" w:rsidRDefault="00171189" w:rsidP="00171189">
      <w:pPr>
        <w:spacing w:after="160" w:line="259" w:lineRule="auto"/>
        <w:jc w:val="center"/>
        <w:rPr>
          <w:b/>
          <w:bCs/>
          <w:sz w:val="48"/>
          <w:szCs w:val="48"/>
        </w:rPr>
      </w:pPr>
    </w:p>
    <w:p w14:paraId="593EC139" w14:textId="0D910DF4" w:rsidR="00171189" w:rsidRDefault="00171189" w:rsidP="00171189">
      <w:pPr>
        <w:spacing w:after="160" w:line="259" w:lineRule="auto"/>
        <w:jc w:val="center"/>
        <w:rPr>
          <w:b/>
          <w:bCs/>
          <w:sz w:val="48"/>
          <w:szCs w:val="48"/>
        </w:rPr>
      </w:pPr>
      <w:r w:rsidRPr="00761279">
        <w:rPr>
          <w:b/>
          <w:bCs/>
          <w:sz w:val="48"/>
          <w:szCs w:val="48"/>
        </w:rPr>
        <w:t xml:space="preserve">Component </w:t>
      </w:r>
      <w:r>
        <w:rPr>
          <w:b/>
          <w:bCs/>
          <w:sz w:val="48"/>
          <w:szCs w:val="48"/>
        </w:rPr>
        <w:t>2</w:t>
      </w:r>
    </w:p>
    <w:p w14:paraId="578792EE" w14:textId="77777777" w:rsidR="00171189" w:rsidRPr="00761279" w:rsidRDefault="00171189" w:rsidP="00171189">
      <w:pPr>
        <w:spacing w:after="160" w:line="259" w:lineRule="auto"/>
        <w:jc w:val="center"/>
        <w:rPr>
          <w:b/>
          <w:bCs/>
          <w:sz w:val="48"/>
          <w:szCs w:val="48"/>
        </w:rPr>
      </w:pPr>
    </w:p>
    <w:p w14:paraId="071C8B88" w14:textId="77777777" w:rsidR="00171189" w:rsidRDefault="00171189" w:rsidP="00171189">
      <w:pPr>
        <w:spacing w:after="160" w:line="259" w:lineRule="auto"/>
        <w:jc w:val="center"/>
        <w:rPr>
          <w:b/>
          <w:bCs/>
        </w:rPr>
      </w:pPr>
      <w:r w:rsidRPr="00761279">
        <w:rPr>
          <w:b/>
          <w:bCs/>
          <w:sz w:val="48"/>
          <w:szCs w:val="48"/>
        </w:rPr>
        <w:t>Coursework: Essay</w:t>
      </w:r>
      <w:r w:rsidRPr="00761279">
        <w:rPr>
          <w:b/>
          <w:bCs/>
        </w:rPr>
        <w:t xml:space="preserve"> </w:t>
      </w:r>
    </w:p>
    <w:p w14:paraId="6D21966D" w14:textId="77777777" w:rsidR="00171189" w:rsidRDefault="00171189" w:rsidP="00171189">
      <w:pPr>
        <w:spacing w:after="160" w:line="259" w:lineRule="auto"/>
        <w:jc w:val="center"/>
        <w:rPr>
          <w:b/>
          <w:bCs/>
        </w:rPr>
      </w:pPr>
    </w:p>
    <w:p w14:paraId="3C94D260" w14:textId="77777777" w:rsidR="00171189" w:rsidRDefault="00171189" w:rsidP="00171189">
      <w:pPr>
        <w:spacing w:after="160" w:line="259" w:lineRule="auto"/>
        <w:jc w:val="center"/>
        <w:rPr>
          <w:b/>
          <w:bCs/>
        </w:rPr>
      </w:pPr>
    </w:p>
    <w:p w14:paraId="3457939A" w14:textId="77777777" w:rsidR="00171189" w:rsidRDefault="00171189" w:rsidP="00171189">
      <w:pPr>
        <w:spacing w:after="160" w:line="259" w:lineRule="auto"/>
        <w:jc w:val="center"/>
        <w:rPr>
          <w:b/>
          <w:bCs/>
        </w:rPr>
      </w:pPr>
    </w:p>
    <w:p w14:paraId="1EC655E9" w14:textId="77777777" w:rsidR="00171189" w:rsidRDefault="00171189" w:rsidP="00171189">
      <w:pPr>
        <w:spacing w:after="160" w:line="259" w:lineRule="auto"/>
        <w:jc w:val="center"/>
        <w:rPr>
          <w:b/>
          <w:bCs/>
        </w:rPr>
      </w:pPr>
    </w:p>
    <w:p w14:paraId="39DA92C1" w14:textId="755F5741" w:rsidR="00171189" w:rsidRDefault="00171189" w:rsidP="00171189">
      <w:pPr>
        <w:spacing w:after="160" w:line="259" w:lineRule="auto"/>
        <w:jc w:val="center"/>
        <w:rPr>
          <w:b/>
          <w:bCs/>
        </w:rPr>
      </w:pPr>
      <w:r>
        <w:rPr>
          <w:b/>
          <w:bCs/>
        </w:rPr>
        <w:t>Student ID:</w:t>
      </w:r>
      <w:r w:rsidR="008B709C">
        <w:rPr>
          <w:b/>
          <w:bCs/>
        </w:rPr>
        <w:t>2130698</w:t>
      </w:r>
      <w:r w:rsidR="008B709C">
        <w:rPr>
          <w:b/>
          <w:bCs/>
        </w:rPr>
        <w:tab/>
      </w:r>
    </w:p>
    <w:p w14:paraId="113CB80E" w14:textId="5502A56D" w:rsidR="00171189" w:rsidRDefault="00171189" w:rsidP="00171189">
      <w:pPr>
        <w:spacing w:after="160" w:line="259" w:lineRule="auto"/>
        <w:jc w:val="center"/>
        <w:rPr>
          <w:b/>
          <w:bCs/>
        </w:rPr>
      </w:pPr>
      <w:r>
        <w:rPr>
          <w:b/>
          <w:bCs/>
        </w:rPr>
        <w:t>Student Name:</w:t>
      </w:r>
      <w:r w:rsidR="008B709C">
        <w:rPr>
          <w:b/>
          <w:bCs/>
        </w:rPr>
        <w:t xml:space="preserve"> Andreea Tudorache</w:t>
      </w:r>
    </w:p>
    <w:p w14:paraId="5F347889" w14:textId="35975A40" w:rsidR="00691E01" w:rsidRDefault="00171189" w:rsidP="00171189">
      <w:pPr>
        <w:spacing w:after="160"/>
        <w:jc w:val="center"/>
      </w:pPr>
      <w:r>
        <w:rPr>
          <w:b/>
          <w:bCs/>
        </w:rPr>
        <w:t>Date:</w:t>
      </w:r>
      <w:r w:rsidR="008B709C">
        <w:rPr>
          <w:b/>
          <w:bCs/>
        </w:rPr>
        <w:t xml:space="preserve"> 01/11/2025</w:t>
      </w:r>
      <w:r w:rsidR="00691E01">
        <w:br w:type="page"/>
      </w:r>
    </w:p>
    <w:sdt>
      <w:sdtPr>
        <w:rPr>
          <w:rFonts w:ascii="Times New Roman" w:eastAsiaTheme="minorHAnsi" w:hAnsi="Times New Roman" w:cstheme="minorBidi"/>
          <w:color w:val="000000" w:themeColor="text1"/>
          <w:sz w:val="24"/>
          <w:szCs w:val="22"/>
          <w:lang w:val="en-GB" w:bidi="ar-SA"/>
        </w:rPr>
        <w:id w:val="1830247582"/>
        <w:docPartObj>
          <w:docPartGallery w:val="Table of Contents"/>
          <w:docPartUnique/>
        </w:docPartObj>
      </w:sdtPr>
      <w:sdtEndPr>
        <w:rPr>
          <w:b/>
          <w:bCs/>
        </w:rPr>
      </w:sdtEndPr>
      <w:sdtContent>
        <w:p w14:paraId="4CCA3443" w14:textId="1CB3BDFA" w:rsidR="00FD47AE" w:rsidRPr="00FD47AE" w:rsidRDefault="00FD47AE">
          <w:pPr>
            <w:pStyle w:val="TOCHeading"/>
            <w:rPr>
              <w:rFonts w:asciiTheme="majorBidi" w:hAnsiTheme="majorBidi"/>
              <w:b/>
              <w:bCs/>
              <w:color w:val="000000" w:themeColor="text1"/>
            </w:rPr>
          </w:pPr>
          <w:r w:rsidRPr="00FD47AE">
            <w:rPr>
              <w:rFonts w:asciiTheme="majorBidi" w:hAnsiTheme="majorBidi"/>
              <w:b/>
              <w:bCs/>
              <w:color w:val="000000" w:themeColor="text1"/>
              <w:lang w:val="en-GB"/>
            </w:rPr>
            <w:t>Table of Contents</w:t>
          </w:r>
        </w:p>
        <w:p w14:paraId="1020846E" w14:textId="6BAC02E5" w:rsidR="00FD47AE" w:rsidRDefault="00FD47AE">
          <w:pPr>
            <w:pStyle w:val="TOC1"/>
            <w:tabs>
              <w:tab w:val="right" w:leader="dot" w:pos="9016"/>
            </w:tabs>
            <w:rPr>
              <w:noProof/>
            </w:rPr>
          </w:pPr>
          <w:r>
            <w:fldChar w:fldCharType="begin"/>
          </w:r>
          <w:r>
            <w:instrText xml:space="preserve"> TOC \o "1-3" \h \z \u </w:instrText>
          </w:r>
          <w:r>
            <w:fldChar w:fldCharType="separate"/>
          </w:r>
          <w:hyperlink w:anchor="_Toc211261257" w:history="1">
            <w:r w:rsidRPr="00731987">
              <w:rPr>
                <w:rStyle w:val="Hyperlink"/>
                <w:noProof/>
              </w:rPr>
              <w:t>Introduction and Background</w:t>
            </w:r>
            <w:r>
              <w:rPr>
                <w:noProof/>
                <w:webHidden/>
              </w:rPr>
              <w:tab/>
            </w:r>
            <w:r>
              <w:rPr>
                <w:noProof/>
                <w:webHidden/>
              </w:rPr>
              <w:fldChar w:fldCharType="begin"/>
            </w:r>
            <w:r>
              <w:rPr>
                <w:noProof/>
                <w:webHidden/>
              </w:rPr>
              <w:instrText xml:space="preserve"> PAGEREF _Toc211261257 \h </w:instrText>
            </w:r>
            <w:r>
              <w:rPr>
                <w:noProof/>
                <w:webHidden/>
              </w:rPr>
            </w:r>
            <w:r>
              <w:rPr>
                <w:noProof/>
                <w:webHidden/>
              </w:rPr>
              <w:fldChar w:fldCharType="separate"/>
            </w:r>
            <w:r>
              <w:rPr>
                <w:noProof/>
                <w:webHidden/>
              </w:rPr>
              <w:t>3</w:t>
            </w:r>
            <w:r>
              <w:rPr>
                <w:noProof/>
                <w:webHidden/>
              </w:rPr>
              <w:fldChar w:fldCharType="end"/>
            </w:r>
          </w:hyperlink>
        </w:p>
        <w:p w14:paraId="4A852981" w14:textId="02030B1B" w:rsidR="00FD47AE" w:rsidRDefault="00FD47AE">
          <w:pPr>
            <w:pStyle w:val="TOC1"/>
            <w:tabs>
              <w:tab w:val="right" w:leader="dot" w:pos="9016"/>
            </w:tabs>
            <w:rPr>
              <w:noProof/>
            </w:rPr>
          </w:pPr>
          <w:hyperlink w:anchor="_Toc211261258" w:history="1">
            <w:r w:rsidRPr="00731987">
              <w:rPr>
                <w:rStyle w:val="Hyperlink"/>
                <w:noProof/>
              </w:rPr>
              <w:t>Main Body</w:t>
            </w:r>
            <w:r>
              <w:rPr>
                <w:noProof/>
                <w:webHidden/>
              </w:rPr>
              <w:tab/>
            </w:r>
            <w:r>
              <w:rPr>
                <w:noProof/>
                <w:webHidden/>
              </w:rPr>
              <w:fldChar w:fldCharType="begin"/>
            </w:r>
            <w:r>
              <w:rPr>
                <w:noProof/>
                <w:webHidden/>
              </w:rPr>
              <w:instrText xml:space="preserve"> PAGEREF _Toc211261258 \h </w:instrText>
            </w:r>
            <w:r>
              <w:rPr>
                <w:noProof/>
                <w:webHidden/>
              </w:rPr>
            </w:r>
            <w:r>
              <w:rPr>
                <w:noProof/>
                <w:webHidden/>
              </w:rPr>
              <w:fldChar w:fldCharType="separate"/>
            </w:r>
            <w:r>
              <w:rPr>
                <w:noProof/>
                <w:webHidden/>
              </w:rPr>
              <w:t>4</w:t>
            </w:r>
            <w:r>
              <w:rPr>
                <w:noProof/>
                <w:webHidden/>
              </w:rPr>
              <w:fldChar w:fldCharType="end"/>
            </w:r>
          </w:hyperlink>
        </w:p>
        <w:p w14:paraId="719626E2" w14:textId="76B0552E" w:rsidR="00FD47AE" w:rsidRDefault="00FD47AE">
          <w:pPr>
            <w:pStyle w:val="TOC1"/>
            <w:tabs>
              <w:tab w:val="right" w:leader="dot" w:pos="9016"/>
            </w:tabs>
            <w:rPr>
              <w:noProof/>
            </w:rPr>
          </w:pPr>
          <w:hyperlink w:anchor="_Toc211261259" w:history="1">
            <w:r w:rsidRPr="00731987">
              <w:rPr>
                <w:rStyle w:val="Hyperlink"/>
                <w:noProof/>
              </w:rPr>
              <w:t>Conclusion</w:t>
            </w:r>
            <w:r>
              <w:rPr>
                <w:noProof/>
                <w:webHidden/>
              </w:rPr>
              <w:tab/>
            </w:r>
            <w:r>
              <w:rPr>
                <w:noProof/>
                <w:webHidden/>
              </w:rPr>
              <w:fldChar w:fldCharType="begin"/>
            </w:r>
            <w:r>
              <w:rPr>
                <w:noProof/>
                <w:webHidden/>
              </w:rPr>
              <w:instrText xml:space="preserve"> PAGEREF _Toc211261259 \h </w:instrText>
            </w:r>
            <w:r>
              <w:rPr>
                <w:noProof/>
                <w:webHidden/>
              </w:rPr>
            </w:r>
            <w:r>
              <w:rPr>
                <w:noProof/>
                <w:webHidden/>
              </w:rPr>
              <w:fldChar w:fldCharType="separate"/>
            </w:r>
            <w:r>
              <w:rPr>
                <w:noProof/>
                <w:webHidden/>
              </w:rPr>
              <w:t>9</w:t>
            </w:r>
            <w:r>
              <w:rPr>
                <w:noProof/>
                <w:webHidden/>
              </w:rPr>
              <w:fldChar w:fldCharType="end"/>
            </w:r>
          </w:hyperlink>
        </w:p>
        <w:p w14:paraId="285E90F5" w14:textId="2E4A8135" w:rsidR="00FD47AE" w:rsidRDefault="00FD47AE">
          <w:pPr>
            <w:pStyle w:val="TOC1"/>
            <w:tabs>
              <w:tab w:val="right" w:leader="dot" w:pos="9016"/>
            </w:tabs>
            <w:rPr>
              <w:noProof/>
            </w:rPr>
          </w:pPr>
          <w:hyperlink w:anchor="_Toc211261260" w:history="1">
            <w:r w:rsidRPr="00731987">
              <w:rPr>
                <w:rStyle w:val="Hyperlink"/>
                <w:noProof/>
              </w:rPr>
              <w:t>References</w:t>
            </w:r>
            <w:r>
              <w:rPr>
                <w:noProof/>
                <w:webHidden/>
              </w:rPr>
              <w:tab/>
            </w:r>
            <w:r>
              <w:rPr>
                <w:noProof/>
                <w:webHidden/>
              </w:rPr>
              <w:fldChar w:fldCharType="begin"/>
            </w:r>
            <w:r>
              <w:rPr>
                <w:noProof/>
                <w:webHidden/>
              </w:rPr>
              <w:instrText xml:space="preserve"> PAGEREF _Toc211261260 \h </w:instrText>
            </w:r>
            <w:r>
              <w:rPr>
                <w:noProof/>
                <w:webHidden/>
              </w:rPr>
            </w:r>
            <w:r>
              <w:rPr>
                <w:noProof/>
                <w:webHidden/>
              </w:rPr>
              <w:fldChar w:fldCharType="separate"/>
            </w:r>
            <w:r>
              <w:rPr>
                <w:noProof/>
                <w:webHidden/>
              </w:rPr>
              <w:t>10</w:t>
            </w:r>
            <w:r>
              <w:rPr>
                <w:noProof/>
                <w:webHidden/>
              </w:rPr>
              <w:fldChar w:fldCharType="end"/>
            </w:r>
          </w:hyperlink>
        </w:p>
        <w:p w14:paraId="0443B9B9" w14:textId="7B4B8ED7" w:rsidR="00FD47AE" w:rsidRDefault="00FD47AE">
          <w:r>
            <w:rPr>
              <w:b/>
              <w:bCs/>
            </w:rPr>
            <w:fldChar w:fldCharType="end"/>
          </w:r>
        </w:p>
      </w:sdtContent>
    </w:sdt>
    <w:p w14:paraId="45822B20" w14:textId="77777777" w:rsidR="00171189" w:rsidRDefault="00171189">
      <w:pPr>
        <w:spacing w:after="160" w:line="259" w:lineRule="auto"/>
        <w:jc w:val="left"/>
        <w:rPr>
          <w:b/>
          <w:bCs/>
          <w:lang w:val="en-US"/>
        </w:rPr>
      </w:pPr>
      <w:r>
        <w:rPr>
          <w:b/>
          <w:bCs/>
          <w:lang w:val="en-US"/>
        </w:rPr>
        <w:br w:type="page"/>
      </w:r>
    </w:p>
    <w:p w14:paraId="59D90BDB" w14:textId="2FA36366" w:rsidR="00691E01" w:rsidRPr="00691E01" w:rsidRDefault="00691E01" w:rsidP="00171189">
      <w:pPr>
        <w:pStyle w:val="Heading1"/>
      </w:pPr>
      <w:bookmarkStart w:id="0" w:name="_Toc211261257"/>
      <w:r w:rsidRPr="00691E01">
        <w:lastRenderedPageBreak/>
        <w:t>Introduction and Background</w:t>
      </w:r>
      <w:bookmarkEnd w:id="0"/>
    </w:p>
    <w:p w14:paraId="2A1AFE5E" w14:textId="24063303" w:rsidR="00CA20F1" w:rsidRDefault="00CA20F1" w:rsidP="00CA20F1">
      <w:r>
        <w:t>Project management is based on formal models that specify the allocation of responsibilities, risks and resources within the project lifecycle. One of the most important decisions in this regard is the decision on the contracting approach. Contracting dictates the way in which work is acquired, the extent to which the roles between the client and contractors are shared, and accountability is upheld in the process of project delivery. Contract model applied in a project not only determines the cost, quality and schedule performance but also the level of control, flexibility and risk exposure of each project party (</w:t>
      </w:r>
      <w:r w:rsidR="002A6A3B" w:rsidRPr="002A6A3B">
        <w:t>Hellström, Wikström</w:t>
      </w:r>
      <w:r w:rsidR="002A6A3B">
        <w:t xml:space="preserve"> </w:t>
      </w:r>
      <w:r w:rsidR="002A6A3B" w:rsidRPr="002A6A3B">
        <w:t>and Eriksson, 2021</w:t>
      </w:r>
      <w:r>
        <w:t>).</w:t>
      </w:r>
    </w:p>
    <w:p w14:paraId="689D2CC5" w14:textId="1DD986F5" w:rsidR="00CA20F1" w:rsidRDefault="00CA20F1" w:rsidP="00CA20F1">
      <w:r>
        <w:t xml:space="preserve">Contracting techniques in project management offer systematic ways of project implementation organisation. They establish the contact between the client and the external suppliers or contractors, and the way tasks are divided, coordinated and controlled. Whereas pricing models are guided by the </w:t>
      </w:r>
      <w:proofErr w:type="gramStart"/>
      <w:r>
        <w:t>manner in which</w:t>
      </w:r>
      <w:proofErr w:type="gramEnd"/>
      <w:r>
        <w:t xml:space="preserve"> the financial elements are managed in the fixed-price and cost-reimbursable approach, the methods of contracting are directed towards the organisation and unification of responsibilities. The four popular known methods of contracting are Turnkey contracting, Multicontracting, Do-It-Yourself (DIY) contracting, and Hybrid </w:t>
      </w:r>
      <w:proofErr w:type="spellStart"/>
      <w:r>
        <w:t>Multicontract</w:t>
      </w:r>
      <w:proofErr w:type="spellEnd"/>
      <w:r>
        <w:t xml:space="preserve"> + DIY contracting. </w:t>
      </w:r>
      <w:proofErr w:type="gramStart"/>
      <w:r>
        <w:t>Both of these</w:t>
      </w:r>
      <w:proofErr w:type="gramEnd"/>
      <w:r>
        <w:t xml:space="preserve"> approaches have their own pros and cons and are better used </w:t>
      </w:r>
      <w:proofErr w:type="gramStart"/>
      <w:r>
        <w:t>in particular projects</w:t>
      </w:r>
      <w:proofErr w:type="gramEnd"/>
      <w:r>
        <w:t>.</w:t>
      </w:r>
    </w:p>
    <w:p w14:paraId="1C49D966" w14:textId="56BB4D8C" w:rsidR="00691E01" w:rsidRPr="00691E01" w:rsidRDefault="00CA20F1" w:rsidP="00CA20F1">
      <w:pPr>
        <w:spacing w:after="160"/>
        <w:rPr>
          <w:lang w:val="en-US"/>
        </w:rPr>
      </w:pPr>
      <w:r>
        <w:t>The correct choice of a contracting method can only be made based on the project complexity, availability of the resources, risk tolerance, time limitations and stakeholder expectations. As an example, a project concerning infrastructure can be enhanced with turnkey contracting because of the responsibility clarity, and projects with technology-intensive characteristics can promote a hybrid system that enables flexibility. This essay will discuss all four contracting strategies, their advantages and disadvantages, and set them against the real-life project situations, especially in the UK infrastructure industry</w:t>
      </w:r>
      <w:r w:rsidR="00691E01" w:rsidRPr="00691E01">
        <w:rPr>
          <w:lang w:val="en-US"/>
        </w:rPr>
        <w:t>.</w:t>
      </w:r>
    </w:p>
    <w:p w14:paraId="1491C27D" w14:textId="77777777" w:rsidR="00171189" w:rsidRDefault="00171189">
      <w:pPr>
        <w:spacing w:after="160" w:line="259" w:lineRule="auto"/>
        <w:jc w:val="left"/>
        <w:rPr>
          <w:b/>
          <w:bCs/>
          <w:lang w:val="en-US"/>
        </w:rPr>
      </w:pPr>
      <w:r>
        <w:rPr>
          <w:b/>
          <w:bCs/>
          <w:lang w:val="en-US"/>
        </w:rPr>
        <w:br w:type="page"/>
      </w:r>
    </w:p>
    <w:p w14:paraId="224E0A7B" w14:textId="476538F4" w:rsidR="00171189" w:rsidRDefault="00171189" w:rsidP="00171189">
      <w:pPr>
        <w:pStyle w:val="Heading1"/>
      </w:pPr>
      <w:bookmarkStart w:id="1" w:name="_Toc211261258"/>
      <w:r>
        <w:lastRenderedPageBreak/>
        <w:t>Main Body</w:t>
      </w:r>
      <w:bookmarkEnd w:id="1"/>
    </w:p>
    <w:p w14:paraId="0B18F852" w14:textId="1DF9BC98" w:rsidR="00171189" w:rsidRDefault="00691E01" w:rsidP="00691E01">
      <w:pPr>
        <w:spacing w:after="160"/>
        <w:rPr>
          <w:b/>
          <w:bCs/>
          <w:lang w:val="en-US"/>
        </w:rPr>
      </w:pPr>
      <w:r w:rsidRPr="00691E01">
        <w:rPr>
          <w:b/>
          <w:bCs/>
          <w:lang w:val="en-US"/>
        </w:rPr>
        <w:t xml:space="preserve">Turnkey Contracting </w:t>
      </w:r>
    </w:p>
    <w:p w14:paraId="79BCA0A0" w14:textId="3E0B9735" w:rsidR="00CA20F1" w:rsidRDefault="00CA20F1" w:rsidP="00CA20F1">
      <w:r>
        <w:t xml:space="preserve">The turnkey contracting can be defined as a kind of contract where only one contractor provides the design, procurement, construction, commissioning, and handover of a complete, fully operational facility or system to the client. Under this model, the client is more of a definition of the performance requirements, approving the concept and overseeing the project; the contractor is fully responsible for delivering the project into usage (Kerzner, </w:t>
      </w:r>
      <w:r w:rsidR="008F0EE9">
        <w:t>2025</w:t>
      </w:r>
      <w:r>
        <w:t>). The model is common in large-scale projects in infrastructure and energy since it makes the participation of the client less complex and leaves the cost, quality and schedule accountability in the hands of a single party.</w:t>
      </w:r>
    </w:p>
    <w:p w14:paraId="546B00DA" w14:textId="56DCE5DE" w:rsidR="00CA20F1" w:rsidRDefault="00CA20F1" w:rsidP="00CA20F1">
      <w:r>
        <w:t>It is a very important benefit of turnkey contracting that the responsibility is clearly allocated. The contractor is involved in most of the work on the project</w:t>
      </w:r>
      <w:r w:rsidR="008F0EE9">
        <w:t>;</w:t>
      </w:r>
      <w:r>
        <w:t xml:space="preserve"> thus</w:t>
      </w:r>
      <w:r w:rsidR="008F0EE9">
        <w:t>,</w:t>
      </w:r>
      <w:r>
        <w:t xml:space="preserve"> there is a reduction in the coordination problems between different contractors. This usually results in improved cost and time management. As an illustration, in the UK, </w:t>
      </w:r>
      <w:proofErr w:type="gramStart"/>
      <w:r>
        <w:t>a number of</w:t>
      </w:r>
      <w:proofErr w:type="gramEnd"/>
      <w:r>
        <w:t xml:space="preserve"> renewable energy infrastructure projects have been implemented under turnkey contracts, which have enabled the public sector organisations to control the strategic results without participating in technical projects. The other benefit is the minimised administrative pressure on the customer, who </w:t>
      </w:r>
      <w:proofErr w:type="gramStart"/>
      <w:r>
        <w:t>has to</w:t>
      </w:r>
      <w:proofErr w:type="gramEnd"/>
      <w:r>
        <w:t xml:space="preserve"> deal with one contact point.</w:t>
      </w:r>
    </w:p>
    <w:p w14:paraId="280C863C" w14:textId="13A51135" w:rsidR="00CA20F1" w:rsidRDefault="00CA20F1" w:rsidP="00CA20F1">
      <w:r>
        <w:t>There are, however, significant drawbacks. Once an award is granted to the client, the client has very little flexibility on matters related to design and execution since the contractor has a lot of control over them. High variation costs can be caused by any changes in its implementation. Also, the client can be less exposed to technical information and design choices that might become an issue when the priorities of the contractor oppose long-term operational requirements (</w:t>
      </w:r>
      <w:r w:rsidR="00FC29AD" w:rsidRPr="00FC29AD">
        <w:t>Lauren</w:t>
      </w:r>
      <w:r w:rsidR="00FC29AD">
        <w:t xml:space="preserve"> </w:t>
      </w:r>
      <w:r w:rsidR="00FC29AD" w:rsidRPr="00FC29AD">
        <w:t>and Schreiber, 2018</w:t>
      </w:r>
      <w:r>
        <w:t>). It is also a technique that is likely to apply substantial transfer of risk to the contractor, which in turn results in higher contract prices as contractors price the risk.</w:t>
      </w:r>
    </w:p>
    <w:p w14:paraId="5DE035B1" w14:textId="5364AF59" w:rsidR="00691E01" w:rsidRPr="00691E01" w:rsidRDefault="00CA20F1" w:rsidP="00CA20F1">
      <w:pPr>
        <w:spacing w:after="160"/>
        <w:rPr>
          <w:lang w:val="en-US"/>
        </w:rPr>
      </w:pPr>
      <w:r>
        <w:t xml:space="preserve">Turnkey contracting is mostly appropriate in the kind of projects where the specifications are clear, the modifications needed in the design process are minimal, and the project is about outputs as opposed to processes. This profile is common with infrastructure projects, including energy plant projects, transport infrastructure, and EV charging infrastructure. This model fits </w:t>
      </w:r>
      <w:r>
        <w:lastRenderedPageBreak/>
        <w:t>well with the objective of the UK's pilot to speed the process of infrastructure rollout and reduce the complexity of administration to public agencies</w:t>
      </w:r>
      <w:r w:rsidR="00691E01" w:rsidRPr="00691E01">
        <w:rPr>
          <w:lang w:val="en-US"/>
        </w:rPr>
        <w:t>.</w:t>
      </w:r>
    </w:p>
    <w:p w14:paraId="1C7F1D91" w14:textId="49C67C0D" w:rsidR="00691E01" w:rsidRPr="00691E01" w:rsidRDefault="00171189" w:rsidP="00691E01">
      <w:pPr>
        <w:spacing w:after="160"/>
        <w:rPr>
          <w:b/>
          <w:bCs/>
          <w:lang w:val="en-US"/>
        </w:rPr>
      </w:pPr>
      <w:r w:rsidRPr="00691E01">
        <w:rPr>
          <w:b/>
          <w:bCs/>
          <w:lang w:val="en-US"/>
        </w:rPr>
        <w:t>Mult</w:t>
      </w:r>
      <w:r>
        <w:rPr>
          <w:b/>
          <w:bCs/>
          <w:lang w:val="en-US"/>
        </w:rPr>
        <w:t>-</w:t>
      </w:r>
      <w:r w:rsidRPr="00691E01">
        <w:rPr>
          <w:b/>
          <w:bCs/>
          <w:lang w:val="en-US"/>
        </w:rPr>
        <w:t>contracting</w:t>
      </w:r>
      <w:r w:rsidR="00691E01" w:rsidRPr="00691E01">
        <w:rPr>
          <w:b/>
          <w:bCs/>
          <w:lang w:val="en-US"/>
        </w:rPr>
        <w:t xml:space="preserve"> </w:t>
      </w:r>
    </w:p>
    <w:p w14:paraId="65CEA2EF" w14:textId="4E7E86D4" w:rsidR="00CA20F1" w:rsidRDefault="00CA20F1" w:rsidP="00CA20F1">
      <w:r>
        <w:t xml:space="preserve">Mult-contracting is a form of contracting where the client involves several contractors to work on the work package or components of the work in the same project independently. An example is a construction project which may have one contract in the civil works, electrical installations, IT systems and landscape. The clients or a project management consultant usually </w:t>
      </w:r>
      <w:r w:rsidR="002A6A3B">
        <w:t>organises</w:t>
      </w:r>
      <w:r>
        <w:t xml:space="preserve"> the contractors in this model and </w:t>
      </w:r>
      <w:r w:rsidR="00FC29AD">
        <w:t>makes</w:t>
      </w:r>
      <w:r>
        <w:t xml:space="preserve"> sure that the activities are sequenced </w:t>
      </w:r>
      <w:r w:rsidR="00FC29AD">
        <w:t>properly</w:t>
      </w:r>
      <w:r>
        <w:t xml:space="preserve"> and interfaces between work packages are addressed (</w:t>
      </w:r>
      <w:r w:rsidR="00FC29AD" w:rsidRPr="00FC29AD">
        <w:t>Fewings</w:t>
      </w:r>
      <w:r w:rsidR="00FC29AD">
        <w:t xml:space="preserve"> </w:t>
      </w:r>
      <w:r w:rsidR="00FC29AD" w:rsidRPr="00FC29AD">
        <w:t xml:space="preserve">and </w:t>
      </w:r>
      <w:proofErr w:type="spellStart"/>
      <w:r w:rsidR="00FC29AD" w:rsidRPr="00FC29AD">
        <w:t>Henjewele</w:t>
      </w:r>
      <w:proofErr w:type="spellEnd"/>
      <w:r w:rsidR="00FC29AD" w:rsidRPr="00FC29AD">
        <w:t>, 2019</w:t>
      </w:r>
      <w:r>
        <w:t>).</w:t>
      </w:r>
    </w:p>
    <w:p w14:paraId="434D8902" w14:textId="0674E50A" w:rsidR="00CA20F1" w:rsidRDefault="00CA20F1" w:rsidP="00CA20F1">
      <w:r>
        <w:t xml:space="preserve">The major benefit of multicontracting is the high level of control and flexibility it provides to the client. Hiring individual experts on each aspect allows the client to outsource the most appropriate contractor with respect to the </w:t>
      </w:r>
      <w:proofErr w:type="gramStart"/>
      <w:r>
        <w:t>particular task</w:t>
      </w:r>
      <w:proofErr w:type="gramEnd"/>
      <w:r>
        <w:t xml:space="preserve">. This </w:t>
      </w:r>
      <w:proofErr w:type="gramStart"/>
      <w:r>
        <w:t>is capable of enhancing</w:t>
      </w:r>
      <w:proofErr w:type="gramEnd"/>
      <w:r>
        <w:t xml:space="preserve"> quality and promoting competitive pricing, because every contract bidder is evaluated on a case-by-case basis. Moreover, the client gets to have direct control over every aspect of the project, and he can make amendments and alterations to the design along the project lifecycle without being limited by the setup of a single turnkey contractor.</w:t>
      </w:r>
      <w:r w:rsidR="00A94840">
        <w:t xml:space="preserve"> </w:t>
      </w:r>
    </w:p>
    <w:p w14:paraId="108DF7EF" w14:textId="44E6BCEB" w:rsidR="00CA20F1" w:rsidRDefault="00CA20F1" w:rsidP="00CA20F1">
      <w:r>
        <w:t xml:space="preserve">The other important advantage is the fact that risk distribution can be optimised. When there are performance problems with one contractor, the effect will be limited to that </w:t>
      </w:r>
      <w:proofErr w:type="gramStart"/>
      <w:r>
        <w:t>particular work</w:t>
      </w:r>
      <w:proofErr w:type="gramEnd"/>
      <w:r>
        <w:t xml:space="preserve"> package, and they can be replaced without a total stoppage of the project. Multi contracting is commonly used in complicated works, like in the UK, where the hospital infrastructure development or the expansion of the university campuses </w:t>
      </w:r>
      <w:r w:rsidR="002A6A3B">
        <w:t>needs</w:t>
      </w:r>
      <w:r>
        <w:t xml:space="preserve"> several specialist services.</w:t>
      </w:r>
    </w:p>
    <w:p w14:paraId="316D3603" w14:textId="28E34CD7" w:rsidR="00CA20F1" w:rsidRDefault="00CA20F1" w:rsidP="00CA20F1">
      <w:r>
        <w:t xml:space="preserve">Nonetheless, there are challenges of multicontracting as well. This places a lot of burden on the client </w:t>
      </w:r>
      <w:proofErr w:type="gramStart"/>
      <w:r>
        <w:t>with regard to</w:t>
      </w:r>
      <w:proofErr w:type="gramEnd"/>
      <w:r>
        <w:t xml:space="preserve"> coordination, and this necessitates a strong project management ability. Contractor-contractor interface risks may cause delays and cost overruns, and disagreements when responsibilities are not defined and properly managed (</w:t>
      </w:r>
      <w:proofErr w:type="spellStart"/>
      <w:r w:rsidR="008F0EE9" w:rsidRPr="008F0EE9">
        <w:t>Sovacool</w:t>
      </w:r>
      <w:proofErr w:type="spellEnd"/>
      <w:r w:rsidR="008F0EE9" w:rsidRPr="008F0EE9">
        <w:t xml:space="preserve">, </w:t>
      </w:r>
      <w:proofErr w:type="spellStart"/>
      <w:r w:rsidR="008F0EE9" w:rsidRPr="008F0EE9">
        <w:t>Iskandarova</w:t>
      </w:r>
      <w:proofErr w:type="spellEnd"/>
      <w:r w:rsidR="002A6A3B">
        <w:t xml:space="preserve"> </w:t>
      </w:r>
      <w:r w:rsidR="008F0EE9" w:rsidRPr="008F0EE9">
        <w:t>and Geels, 2023</w:t>
      </w:r>
      <w:r>
        <w:t>). A scope gap or overlaps may also occur between contracts in case the tendering and contract administration processes are poorly planned.</w:t>
      </w:r>
    </w:p>
    <w:p w14:paraId="1154DB88" w14:textId="4EECACC7" w:rsidR="00171189" w:rsidRPr="006B6AAF" w:rsidRDefault="00CA20F1" w:rsidP="006B6AAF">
      <w:pPr>
        <w:spacing w:after="160"/>
        <w:rPr>
          <w:lang w:val="en-US"/>
        </w:rPr>
      </w:pPr>
      <w:r>
        <w:t xml:space="preserve">Multicontracting in the UK infrastructure sector is usual on large, technically challenging projects where the client has an in-house project management team or has outsourced the use of a professional project management consultancy. This can be in the form of university </w:t>
      </w:r>
      <w:r>
        <w:lastRenderedPageBreak/>
        <w:t xml:space="preserve">building projects, upgrades of infrastructure projects, such as transport and regeneration of urban areas where various technical fields </w:t>
      </w:r>
      <w:proofErr w:type="gramStart"/>
      <w:r>
        <w:t>have to</w:t>
      </w:r>
      <w:proofErr w:type="gramEnd"/>
      <w:r>
        <w:t xml:space="preserve"> operate concurrently</w:t>
      </w:r>
      <w:r w:rsidR="00691E01" w:rsidRPr="00691E01">
        <w:rPr>
          <w:lang w:val="en-US"/>
        </w:rPr>
        <w:t>.</w:t>
      </w:r>
      <w:r w:rsidR="00385FFA">
        <w:rPr>
          <w:lang w:val="en-US"/>
        </w:rPr>
        <w:t xml:space="preserve"> </w:t>
      </w:r>
    </w:p>
    <w:p w14:paraId="4D16139A" w14:textId="39D5A4EA" w:rsidR="00691E01" w:rsidRPr="00691E01" w:rsidRDefault="00691E01" w:rsidP="00691E01">
      <w:pPr>
        <w:spacing w:after="160"/>
        <w:rPr>
          <w:b/>
          <w:bCs/>
          <w:lang w:val="en-US"/>
        </w:rPr>
      </w:pPr>
      <w:r w:rsidRPr="00691E01">
        <w:rPr>
          <w:b/>
          <w:bCs/>
          <w:lang w:val="en-US"/>
        </w:rPr>
        <w:t xml:space="preserve">Do-It-Yourself (DIY) Contracting </w:t>
      </w:r>
    </w:p>
    <w:p w14:paraId="62FAE2F2" w14:textId="2C389EEE" w:rsidR="00691E01" w:rsidRPr="00691E01" w:rsidRDefault="00CA20F1" w:rsidP="00691E01">
      <w:pPr>
        <w:spacing w:after="160"/>
        <w:rPr>
          <w:lang w:val="en-US"/>
        </w:rPr>
      </w:pPr>
      <w:r>
        <w:t>The Do-It-Yourself (DIY) contracting model is when the client has control and administration of most of the project, including the use of their own labour force, equipment and technical skills. The organisation does not outsource large work packages to outside contractors but provides the project with the help of in-house capacities. The model is more prevalent in organisations whose project delivery functions have become mature, like government agencies, utilities, and large private organisations (</w:t>
      </w:r>
      <w:r w:rsidR="001C0F8A" w:rsidRPr="00FC29AD">
        <w:t>Lauren</w:t>
      </w:r>
      <w:r w:rsidR="001C0F8A">
        <w:t xml:space="preserve"> </w:t>
      </w:r>
      <w:r w:rsidR="001C0F8A" w:rsidRPr="00FC29AD">
        <w:t>and Schreiber,</w:t>
      </w:r>
      <w:r w:rsidR="001C0F8A">
        <w:t xml:space="preserve"> </w:t>
      </w:r>
      <w:r w:rsidR="001C0F8A" w:rsidRPr="00FC29AD">
        <w:t>2018</w:t>
      </w:r>
      <w:r>
        <w:t>)</w:t>
      </w:r>
      <w:r w:rsidR="00691E01" w:rsidRPr="00691E01">
        <w:rPr>
          <w:lang w:val="en-US"/>
        </w:rPr>
        <w:t>.</w:t>
      </w:r>
    </w:p>
    <w:p w14:paraId="4C3E39A0" w14:textId="3B84696F" w:rsidR="00CA20F1" w:rsidRDefault="00CA20F1" w:rsidP="00CA20F1">
      <w:r>
        <w:t xml:space="preserve">The greatest benefit of DIY contracting is that there is full control of the whole project life cycle. The client </w:t>
      </w:r>
      <w:r w:rsidR="00C84D14">
        <w:t>can</w:t>
      </w:r>
      <w:r>
        <w:t xml:space="preserve"> make design and implementation decisions in real-time, respond in time to change and align them with strategic objectives. Another advantage of this model is that it gives the chance of developing or developing internal expertise that can be tapped, instead of depending on the external contractor in the long run. Cost reduction can be realised through not paying contractor profit margins and optimal utilisation of existing resources.</w:t>
      </w:r>
    </w:p>
    <w:p w14:paraId="0A359196" w14:textId="572663E4" w:rsidR="00CA20F1" w:rsidRDefault="00CA20F1" w:rsidP="00CA20F1">
      <w:r>
        <w:t xml:space="preserve">The DIY contracting </w:t>
      </w:r>
      <w:r w:rsidR="00BA16EB">
        <w:t>may also</w:t>
      </w:r>
      <w:r>
        <w:t xml:space="preserve"> result in improved integration of project implementation and operation, as the implementation of the project will be the same organisation that will run the facility or system once the project is completed. This can be especially useful in projects which have very long operational life spans, like an IT infrastructure or energy network upgrade which is run by public authorities</w:t>
      </w:r>
      <w:r w:rsidR="004E201E">
        <w:t xml:space="preserve"> (</w:t>
      </w:r>
      <w:r w:rsidR="004E201E" w:rsidRPr="004E201E">
        <w:t>Ritz, Wolf</w:t>
      </w:r>
      <w:r w:rsidR="004E201E">
        <w:t xml:space="preserve"> </w:t>
      </w:r>
      <w:r w:rsidR="004E201E" w:rsidRPr="004E201E">
        <w:t>and McQuitty, 2019</w:t>
      </w:r>
      <w:r w:rsidR="004E201E">
        <w:t>)</w:t>
      </w:r>
      <w:r>
        <w:t>.</w:t>
      </w:r>
    </w:p>
    <w:p w14:paraId="441ECE88" w14:textId="303D6C64" w:rsidR="00CA20F1" w:rsidRDefault="00CA20F1" w:rsidP="00CA20F1">
      <w:r>
        <w:t>Such a method is</w:t>
      </w:r>
      <w:r w:rsidR="00BA16EB">
        <w:t>,</w:t>
      </w:r>
      <w:r>
        <w:t xml:space="preserve"> however</w:t>
      </w:r>
      <w:r w:rsidR="00BA16EB">
        <w:t>,</w:t>
      </w:r>
      <w:r>
        <w:t xml:space="preserve"> associated with great challenges. The organisation should have large internal project management and technical </w:t>
      </w:r>
      <w:r w:rsidR="00BA16EB">
        <w:t>capabilities</w:t>
      </w:r>
      <w:r>
        <w:t xml:space="preserve"> to handle complex </w:t>
      </w:r>
      <w:r w:rsidR="00BA16EB">
        <w:t>work</w:t>
      </w:r>
      <w:r>
        <w:t>. Delay, cost overrun, and quality problems can occur due to any gaps in capacity. Also, the risk in the costs and operation is left under the full control of the client. In contrast to turnkey or multicontracting models, the risk is not shared with external contractors.</w:t>
      </w:r>
    </w:p>
    <w:p w14:paraId="1517E68A" w14:textId="74132745" w:rsidR="00691E01" w:rsidRDefault="00CA20F1" w:rsidP="00CA20F1">
      <w:pPr>
        <w:spacing w:after="160"/>
        <w:rPr>
          <w:lang w:val="en-US"/>
        </w:rPr>
      </w:pPr>
      <w:r>
        <w:t>DIY contracting is frequently used in smaller or medium-sized projects in the UK public sector, especially in local authority energy transition projects or in upgrades of information and communication infrastructure. As an example, there are local councils that have opted to provide their own solar and EV infrastructure projects with their own technical teams to keep quality and integration with other city systems under control. DIY contracting may be a relatively cheap solution, but the client should be resourceful and knowledgeable</w:t>
      </w:r>
      <w:r w:rsidR="00691E01" w:rsidRPr="00691E01">
        <w:rPr>
          <w:lang w:val="en-US"/>
        </w:rPr>
        <w:t>.</w:t>
      </w:r>
    </w:p>
    <w:p w14:paraId="5F41D405" w14:textId="77777777" w:rsidR="00CA20F1" w:rsidRDefault="00CA20F1" w:rsidP="00CA20F1">
      <w:pPr>
        <w:spacing w:after="160"/>
        <w:rPr>
          <w:lang w:val="en-US"/>
        </w:rPr>
      </w:pPr>
    </w:p>
    <w:p w14:paraId="249006BA" w14:textId="77777777" w:rsidR="00CA20F1" w:rsidRDefault="00CA20F1" w:rsidP="00691E01">
      <w:pPr>
        <w:spacing w:after="160"/>
        <w:rPr>
          <w:b/>
          <w:bCs/>
          <w:lang w:val="en-US"/>
        </w:rPr>
      </w:pPr>
    </w:p>
    <w:p w14:paraId="641B8884" w14:textId="4FD474C2" w:rsidR="002F1F94" w:rsidRDefault="00691E01" w:rsidP="00691E01">
      <w:pPr>
        <w:spacing w:after="160"/>
        <w:rPr>
          <w:b/>
          <w:bCs/>
          <w:lang w:val="en-US"/>
        </w:rPr>
      </w:pPr>
      <w:r w:rsidRPr="00691E01">
        <w:rPr>
          <w:b/>
          <w:bCs/>
          <w:lang w:val="en-US"/>
        </w:rPr>
        <w:t>Hybrid Contracting (</w:t>
      </w:r>
      <w:proofErr w:type="spellStart"/>
      <w:r w:rsidRPr="00691E01">
        <w:rPr>
          <w:b/>
          <w:bCs/>
          <w:lang w:val="en-US"/>
        </w:rPr>
        <w:t>Multicontract</w:t>
      </w:r>
      <w:proofErr w:type="spellEnd"/>
      <w:r w:rsidRPr="00691E01">
        <w:rPr>
          <w:b/>
          <w:bCs/>
          <w:lang w:val="en-US"/>
        </w:rPr>
        <w:t xml:space="preserve"> + DIY) </w:t>
      </w:r>
    </w:p>
    <w:p w14:paraId="0D1A3AC0" w14:textId="762D1317" w:rsidR="00CA20F1" w:rsidRDefault="00CA20F1" w:rsidP="00CA20F1">
      <w:r>
        <w:t xml:space="preserve">Hybrid contracting, sometimes known as a blend of </w:t>
      </w:r>
      <w:proofErr w:type="spellStart"/>
      <w:r>
        <w:t>multicontract</w:t>
      </w:r>
      <w:proofErr w:type="spellEnd"/>
      <w:r>
        <w:t xml:space="preserve"> and DIY models, is a methodology that deals with having the client take care of specific portions of the project whilst outsourcing other work packages of specialisation to other external contractors. This model enables clients to maintain a grip on strategic factors </w:t>
      </w:r>
      <w:proofErr w:type="gramStart"/>
      <w:r>
        <w:t>and also</w:t>
      </w:r>
      <w:proofErr w:type="gramEnd"/>
      <w:r>
        <w:t xml:space="preserve"> take advantage of external skills to perform specialised or </w:t>
      </w:r>
      <w:r w:rsidR="00BA16EB">
        <w:t>resource-intensive</w:t>
      </w:r>
      <w:r>
        <w:t xml:space="preserve"> functions (</w:t>
      </w:r>
      <w:r w:rsidR="002A6A3B" w:rsidRPr="002A6A3B">
        <w:t>Hellström, Wikström</w:t>
      </w:r>
      <w:r w:rsidR="002A6A3B">
        <w:t xml:space="preserve"> </w:t>
      </w:r>
      <w:r w:rsidR="002A6A3B" w:rsidRPr="002A6A3B">
        <w:t>and Eriksson, 2021</w:t>
      </w:r>
      <w:r>
        <w:t>).</w:t>
      </w:r>
    </w:p>
    <w:p w14:paraId="424C9E7C" w14:textId="3AE9CBBE" w:rsidR="00CA20F1" w:rsidRDefault="00CA20F1" w:rsidP="00CA20F1">
      <w:r>
        <w:t xml:space="preserve">As an example, a local authority may take charge of site acquisition, </w:t>
      </w:r>
      <w:r w:rsidR="00BA16EB">
        <w:t>authorisation</w:t>
      </w:r>
      <w:r>
        <w:t>, and stakeholder consultation internally in an EV charging infrastructure project, but may outsource civil works, electrical fitting, and digital integration to professional contractors. This is a flexible and efficient approach, where the strategic activities are done by the internal capacity and technical execution by the market expertise</w:t>
      </w:r>
      <w:r w:rsidR="00D038FF">
        <w:t xml:space="preserve"> (</w:t>
      </w:r>
      <w:r w:rsidR="00D038FF" w:rsidRPr="00D038FF">
        <w:t>Nicholas and Lutsey, 2020</w:t>
      </w:r>
      <w:r w:rsidR="00D038FF">
        <w:t>)</w:t>
      </w:r>
      <w:r>
        <w:t>.</w:t>
      </w:r>
    </w:p>
    <w:p w14:paraId="1068C082" w14:textId="3A649D9E" w:rsidR="00CA20F1" w:rsidRDefault="00CA20F1" w:rsidP="00CA20F1">
      <w:r>
        <w:t xml:space="preserve">The benefits of hybrid contracting are significant. It enables the client to have great control over the outcome of the project and to align the implementation </w:t>
      </w:r>
      <w:r w:rsidR="00BA16EB">
        <w:t>with</w:t>
      </w:r>
      <w:r>
        <w:t xml:space="preserve"> the strategic priorities. It </w:t>
      </w:r>
      <w:r w:rsidR="00C84D14">
        <w:t>can</w:t>
      </w:r>
      <w:r>
        <w:t xml:space="preserve"> save money as opposed to the turnkey model because the client does not reimburse the overhead of a single contractor </w:t>
      </w:r>
      <w:r w:rsidR="00BA16EB">
        <w:t>for</w:t>
      </w:r>
      <w:r>
        <w:t xml:space="preserve"> all operations. It also enables quality and adaptation improvement in the project lifecycle.</w:t>
      </w:r>
    </w:p>
    <w:p w14:paraId="1DADFD51" w14:textId="41B7F4BB" w:rsidR="00CA20F1" w:rsidRDefault="00CA20F1" w:rsidP="00CA20F1">
      <w:r>
        <w:t xml:space="preserve">Nonetheless, the hybrid solution brings about coordination complexity. The client should be able to successfully coordinate not only the internal teams but also the external contractors </w:t>
      </w:r>
      <w:proofErr w:type="gramStart"/>
      <w:r>
        <w:t>and also</w:t>
      </w:r>
      <w:proofErr w:type="gramEnd"/>
      <w:r>
        <w:t>, making the roles and responsibilities very clear. Integration can be poorly planned</w:t>
      </w:r>
      <w:r w:rsidR="00BA16EB">
        <w:t>,</w:t>
      </w:r>
      <w:r>
        <w:t xml:space="preserve"> which may lead to schedule conflict or mismatched expectations. Also, the hybrid models may exert a lot of pressure on the project management ability of the client</w:t>
      </w:r>
      <w:r w:rsidR="003625E6">
        <w:t xml:space="preserve"> (</w:t>
      </w:r>
      <w:r w:rsidR="003625E6" w:rsidRPr="003625E6">
        <w:t>Su</w:t>
      </w:r>
      <w:r w:rsidR="003625E6">
        <w:t xml:space="preserve"> et al</w:t>
      </w:r>
      <w:r w:rsidR="003625E6" w:rsidRPr="003625E6">
        <w:t>., 2025</w:t>
      </w:r>
      <w:r w:rsidR="003625E6">
        <w:t>)</w:t>
      </w:r>
      <w:r>
        <w:t>.</w:t>
      </w:r>
    </w:p>
    <w:p w14:paraId="5790385D" w14:textId="7C143510" w:rsidR="00691E01" w:rsidRPr="00691E01" w:rsidRDefault="00CA20F1" w:rsidP="00CA20F1">
      <w:pPr>
        <w:spacing w:after="160"/>
        <w:rPr>
          <w:lang w:val="en-US"/>
        </w:rPr>
      </w:pPr>
      <w:r>
        <w:t>This is especially appropriate to the public sector projects in the UK</w:t>
      </w:r>
      <w:r w:rsidR="00BA16EB">
        <w:t>,</w:t>
      </w:r>
      <w:r>
        <w:t xml:space="preserve"> where the local authorities usually </w:t>
      </w:r>
      <w:r w:rsidR="00BA16EB">
        <w:t>prefer</w:t>
      </w:r>
      <w:r>
        <w:t xml:space="preserve"> to retain control over strategic or regulatory activities but lack the ability to carry out all the technical works internally. It has been used in </w:t>
      </w:r>
      <w:proofErr w:type="gramStart"/>
      <w:r>
        <w:t>a number of</w:t>
      </w:r>
      <w:proofErr w:type="gramEnd"/>
      <w:r>
        <w:t xml:space="preserve"> local decarbonisation and smart infrastructure programmes, including the scaling up of EV charging systems and energy efficiency retrofit of public buildings. A balance between flexibility, control, and cost </w:t>
      </w:r>
      <w:r>
        <w:lastRenderedPageBreak/>
        <w:t>efficiency of hybrid contracting is possible with the implementation that is based on robust governance structures</w:t>
      </w:r>
      <w:r w:rsidR="00D038FF">
        <w:t xml:space="preserve"> (</w:t>
      </w:r>
      <w:r w:rsidR="00D038FF" w:rsidRPr="00D038FF">
        <w:t>Fabianek</w:t>
      </w:r>
      <w:r w:rsidR="00D038FF">
        <w:t xml:space="preserve"> </w:t>
      </w:r>
      <w:r w:rsidR="00D038FF" w:rsidRPr="00D038FF">
        <w:t>and Madlener, 2024</w:t>
      </w:r>
      <w:r w:rsidR="00D038FF">
        <w:t>)</w:t>
      </w:r>
      <w:r w:rsidR="00691E01" w:rsidRPr="00691E01">
        <w:rPr>
          <w:lang w:val="en-US"/>
        </w:rPr>
        <w:t>.</w:t>
      </w:r>
    </w:p>
    <w:p w14:paraId="72158898" w14:textId="26E72219" w:rsidR="00691E01" w:rsidRPr="00691E01" w:rsidRDefault="00691E01" w:rsidP="00691E01">
      <w:pPr>
        <w:spacing w:after="160"/>
        <w:rPr>
          <w:b/>
          <w:bCs/>
          <w:lang w:val="en-US"/>
        </w:rPr>
      </w:pPr>
      <w:r w:rsidRPr="00691E01">
        <w:rPr>
          <w:b/>
          <w:bCs/>
          <w:lang w:val="en-US"/>
        </w:rPr>
        <w:t xml:space="preserve">Comparative Analysis of Contracting Methods </w:t>
      </w:r>
    </w:p>
    <w:p w14:paraId="3F261246" w14:textId="1AD80E7D" w:rsidR="00691E01" w:rsidRPr="00691E01" w:rsidRDefault="00CA20F1" w:rsidP="00691E01">
      <w:pPr>
        <w:spacing w:after="160"/>
        <w:rPr>
          <w:lang w:val="en-US"/>
        </w:rPr>
      </w:pPr>
      <w:r>
        <w:t xml:space="preserve">Contracting method is determined by factors like </w:t>
      </w:r>
      <w:r w:rsidR="00BA16EB">
        <w:t xml:space="preserve">the </w:t>
      </w:r>
      <w:r>
        <w:t>size of the project, the complexity, the allocation of risks, and the internal capacity of the client</w:t>
      </w:r>
      <w:r w:rsidR="00D038FF">
        <w:t xml:space="preserve"> (</w:t>
      </w:r>
      <w:proofErr w:type="spellStart"/>
      <w:r w:rsidR="00D038FF" w:rsidRPr="00D038FF">
        <w:t>Kermanshachi</w:t>
      </w:r>
      <w:proofErr w:type="spellEnd"/>
      <w:r w:rsidR="00D038FF" w:rsidRPr="00D038FF">
        <w:t>, Nipa</w:t>
      </w:r>
      <w:r w:rsidR="00D038FF">
        <w:t xml:space="preserve"> </w:t>
      </w:r>
      <w:r w:rsidR="00D038FF" w:rsidRPr="00D038FF">
        <w:t>and Dao, 2023</w:t>
      </w:r>
      <w:r w:rsidR="00D038FF">
        <w:t>)</w:t>
      </w:r>
      <w:r>
        <w:t xml:space="preserve">. Turnkey contracting is simple and has </w:t>
      </w:r>
      <w:r w:rsidR="00BA16EB">
        <w:t>fewer</w:t>
      </w:r>
      <w:r>
        <w:t xml:space="preserve"> coordination requirements</w:t>
      </w:r>
      <w:r w:rsidR="00BA16EB">
        <w:t>,</w:t>
      </w:r>
      <w:r>
        <w:t xml:space="preserve"> but less flexibility. Multicontracting offers competitive procurement and control</w:t>
      </w:r>
      <w:r w:rsidR="00BA16EB">
        <w:t>,</w:t>
      </w:r>
      <w:r>
        <w:t xml:space="preserve"> though it consumes high project management capability. DIY contracting gives maximum control and integration but requires significant internal resources. Hybrid contracting brings together these aspects with the advantage of balance but has complexities </w:t>
      </w:r>
      <w:proofErr w:type="gramStart"/>
      <w:r>
        <w:t>with regard to</w:t>
      </w:r>
      <w:proofErr w:type="gramEnd"/>
      <w:r>
        <w:t xml:space="preserve"> coordination. Hybrid and multicontracting models are taking the place of traditional project designs in the UK infrastructure sector, especially in sustainable transport and energy projects, which have given the benefit of market experience and </w:t>
      </w:r>
      <w:proofErr w:type="gramStart"/>
      <w:r>
        <w:t>efficiency</w:t>
      </w:r>
      <w:r w:rsidR="00BA16EB">
        <w:t>,</w:t>
      </w:r>
      <w:r>
        <w:t xml:space="preserve"> but</w:t>
      </w:r>
      <w:proofErr w:type="gramEnd"/>
      <w:r>
        <w:t xml:space="preserve"> still </w:t>
      </w:r>
      <w:r w:rsidR="00BA16EB">
        <w:t>leave</w:t>
      </w:r>
      <w:r>
        <w:t xml:space="preserve"> strategic control in the hands of the public agencies</w:t>
      </w:r>
      <w:r w:rsidR="00691E01" w:rsidRPr="00691E01">
        <w:rPr>
          <w:lang w:val="en-US"/>
        </w:rPr>
        <w:t>.</w:t>
      </w:r>
    </w:p>
    <w:p w14:paraId="1B8ECD47" w14:textId="77777777" w:rsidR="00311180" w:rsidRDefault="00311180">
      <w:pPr>
        <w:spacing w:after="160" w:line="259" w:lineRule="auto"/>
        <w:jc w:val="left"/>
        <w:rPr>
          <w:rFonts w:eastAsiaTheme="majorEastAsia" w:cstheme="majorBidi"/>
          <w:b/>
          <w:sz w:val="36"/>
          <w:szCs w:val="32"/>
          <w:lang w:val="en-IN"/>
        </w:rPr>
      </w:pPr>
      <w:bookmarkStart w:id="2" w:name="_Toc211261259"/>
      <w:r>
        <w:br w:type="page"/>
      </w:r>
    </w:p>
    <w:p w14:paraId="086D5CF3" w14:textId="15C0ABE2" w:rsidR="00691E01" w:rsidRPr="00691E01" w:rsidRDefault="00691E01" w:rsidP="00691E01">
      <w:pPr>
        <w:pStyle w:val="Heading1"/>
      </w:pPr>
      <w:r w:rsidRPr="00691E01">
        <w:lastRenderedPageBreak/>
        <w:t>Conclusion</w:t>
      </w:r>
      <w:bookmarkEnd w:id="2"/>
      <w:r w:rsidRPr="00691E01">
        <w:t xml:space="preserve"> </w:t>
      </w:r>
    </w:p>
    <w:p w14:paraId="66937D9D" w14:textId="78051D4A" w:rsidR="00691E01" w:rsidRPr="00691E01" w:rsidRDefault="00CA20F1" w:rsidP="00691E01">
      <w:pPr>
        <w:spacing w:after="160"/>
        <w:rPr>
          <w:lang w:val="en-US"/>
        </w:rPr>
      </w:pPr>
      <w:r>
        <w:t>Contracting strategy is an absolute determinant of the success of projects. The knowledge of the benefits and constraints of turnkey, multicontracting, DIY and hybrid models will allow the clients to align the decisions on contracting with the strategic priorities, risk tolerance and resource capacity. An appropriate contracting approach maximises the efficiency of the project, control of costs and quality</w:t>
      </w:r>
      <w:r w:rsidR="00BA16EB">
        <w:t>,</w:t>
      </w:r>
      <w:r>
        <w:t xml:space="preserve"> </w:t>
      </w:r>
      <w:proofErr w:type="gramStart"/>
      <w:r>
        <w:t>in particular in</w:t>
      </w:r>
      <w:proofErr w:type="gramEnd"/>
      <w:r>
        <w:t xml:space="preserve"> complicated infrastructural projects</w:t>
      </w:r>
      <w:r w:rsidR="00691E01" w:rsidRPr="00691E01">
        <w:rPr>
          <w:lang w:val="en-US"/>
        </w:rPr>
        <w:t>.</w:t>
      </w:r>
    </w:p>
    <w:p w14:paraId="1AFA1FAF" w14:textId="77777777" w:rsidR="00691E01" w:rsidRDefault="00691E01" w:rsidP="00691E01">
      <w:pPr>
        <w:spacing w:after="160"/>
        <w:rPr>
          <w:b/>
          <w:bCs/>
          <w:lang w:val="en-US"/>
        </w:rPr>
      </w:pPr>
      <w:r>
        <w:rPr>
          <w:b/>
          <w:bCs/>
          <w:lang w:val="en-US"/>
        </w:rPr>
        <w:br w:type="page"/>
      </w:r>
    </w:p>
    <w:p w14:paraId="0FCF3020" w14:textId="1A9DA6EA" w:rsidR="00691E01" w:rsidRPr="00691E01" w:rsidRDefault="00691E01" w:rsidP="00691E01">
      <w:pPr>
        <w:pStyle w:val="Heading1"/>
      </w:pPr>
      <w:bookmarkStart w:id="3" w:name="_Toc211261260"/>
      <w:r w:rsidRPr="00691E01">
        <w:lastRenderedPageBreak/>
        <w:t>References</w:t>
      </w:r>
      <w:bookmarkEnd w:id="3"/>
      <w:r w:rsidRPr="00691E01">
        <w:t xml:space="preserve"> </w:t>
      </w:r>
    </w:p>
    <w:p w14:paraId="46DEF050" w14:textId="77777777" w:rsidR="00167C22" w:rsidRPr="00691E01" w:rsidRDefault="00167C22" w:rsidP="00691E01">
      <w:pPr>
        <w:spacing w:after="160"/>
        <w:rPr>
          <w:lang w:val="en-US"/>
        </w:rPr>
      </w:pPr>
      <w:r w:rsidRPr="00D038FF">
        <w:t xml:space="preserve">Fabianek, P. and Madlener, R. </w:t>
      </w:r>
      <w:r>
        <w:t>(</w:t>
      </w:r>
      <w:r w:rsidRPr="00D038FF">
        <w:t>2024</w:t>
      </w:r>
      <w:r>
        <w:t>)</w:t>
      </w:r>
      <w:r w:rsidRPr="00D038FF">
        <w:t>. May I? Enabling the Sharing of Private e-Vehicle Charging Infrastructure. </w:t>
      </w:r>
      <w:r w:rsidRPr="00D038FF">
        <w:rPr>
          <w:i/>
          <w:iCs/>
        </w:rPr>
        <w:t>Available at SSRN 5167936</w:t>
      </w:r>
      <w:r w:rsidRPr="00D038FF">
        <w:t>.</w:t>
      </w:r>
    </w:p>
    <w:p w14:paraId="71B617AF" w14:textId="77777777" w:rsidR="00167C22" w:rsidRDefault="00167C22" w:rsidP="00691E01">
      <w:pPr>
        <w:spacing w:after="160"/>
      </w:pPr>
      <w:r w:rsidRPr="00FC29AD">
        <w:t xml:space="preserve">Fewings, P. and </w:t>
      </w:r>
      <w:proofErr w:type="spellStart"/>
      <w:r w:rsidRPr="00FC29AD">
        <w:t>Henjewele</w:t>
      </w:r>
      <w:proofErr w:type="spellEnd"/>
      <w:r w:rsidRPr="00FC29AD">
        <w:t xml:space="preserve">, C. </w:t>
      </w:r>
      <w:r>
        <w:t>(</w:t>
      </w:r>
      <w:r w:rsidRPr="00FC29AD">
        <w:t>2019</w:t>
      </w:r>
      <w:r>
        <w:t>)</w:t>
      </w:r>
      <w:r w:rsidRPr="00FC29AD">
        <w:t>. </w:t>
      </w:r>
      <w:r w:rsidRPr="00FC29AD">
        <w:rPr>
          <w:i/>
          <w:iCs/>
        </w:rPr>
        <w:t>Construction project management: an integrated approach</w:t>
      </w:r>
      <w:r w:rsidRPr="00FC29AD">
        <w:t>. Routledge.</w:t>
      </w:r>
    </w:p>
    <w:p w14:paraId="71B7809E" w14:textId="77777777" w:rsidR="00167C22" w:rsidRPr="00691E01" w:rsidRDefault="00167C22" w:rsidP="00691E01">
      <w:pPr>
        <w:spacing w:after="160"/>
        <w:rPr>
          <w:lang w:val="en-US"/>
        </w:rPr>
      </w:pPr>
      <w:r w:rsidRPr="002A6A3B">
        <w:t xml:space="preserve">Hellström, M., Wikström, K. and Eriksson, K., </w:t>
      </w:r>
      <w:r>
        <w:t>(</w:t>
      </w:r>
      <w:r w:rsidRPr="002A6A3B">
        <w:t>2021</w:t>
      </w:r>
      <w:r>
        <w:t>)</w:t>
      </w:r>
      <w:r w:rsidRPr="002A6A3B">
        <w:t>. Sustainable infrastructure projects: Systemic versus traditional delivery models. </w:t>
      </w:r>
      <w:r w:rsidRPr="002A6A3B">
        <w:rPr>
          <w:i/>
          <w:iCs/>
        </w:rPr>
        <w:t>Sustainability</w:t>
      </w:r>
      <w:r w:rsidRPr="002A6A3B">
        <w:t>, </w:t>
      </w:r>
      <w:r w:rsidRPr="002A6A3B">
        <w:rPr>
          <w:i/>
          <w:iCs/>
        </w:rPr>
        <w:t>13</w:t>
      </w:r>
      <w:r w:rsidRPr="002A6A3B">
        <w:t>(11), p.</w:t>
      </w:r>
      <w:proofErr w:type="gramStart"/>
      <w:r w:rsidRPr="002A6A3B">
        <w:t>6273.</w:t>
      </w:r>
      <w:r w:rsidRPr="00691E01">
        <w:rPr>
          <w:lang w:val="en-US"/>
        </w:rPr>
        <w:t>.</w:t>
      </w:r>
      <w:proofErr w:type="gramEnd"/>
    </w:p>
    <w:p w14:paraId="27CE2AE8" w14:textId="77777777" w:rsidR="00167C22" w:rsidRDefault="00167C22" w:rsidP="00CA20F1">
      <w:pPr>
        <w:spacing w:after="160"/>
      </w:pPr>
      <w:proofErr w:type="spellStart"/>
      <w:r w:rsidRPr="00D038FF">
        <w:t>Kermanshachi</w:t>
      </w:r>
      <w:proofErr w:type="spellEnd"/>
      <w:r w:rsidRPr="00D038FF">
        <w:t xml:space="preserve">, S., Nipa, T.J. and Dao, B. </w:t>
      </w:r>
      <w:r>
        <w:t>(</w:t>
      </w:r>
      <w:r w:rsidRPr="00D038FF">
        <w:t>2023</w:t>
      </w:r>
      <w:r>
        <w:t>)</w:t>
      </w:r>
      <w:r w:rsidRPr="00D038FF">
        <w:t>. Development of complexity management strategies for construction projects. </w:t>
      </w:r>
      <w:r w:rsidRPr="00D038FF">
        <w:rPr>
          <w:i/>
          <w:iCs/>
        </w:rPr>
        <w:t>Journal of Engineering, Design and Technology</w:t>
      </w:r>
      <w:r w:rsidRPr="00D038FF">
        <w:t>, </w:t>
      </w:r>
      <w:r w:rsidRPr="00D038FF">
        <w:rPr>
          <w:i/>
          <w:iCs/>
        </w:rPr>
        <w:t>21</w:t>
      </w:r>
      <w:r w:rsidRPr="00D038FF">
        <w:t>(6), pp.1633-1657.</w:t>
      </w:r>
    </w:p>
    <w:p w14:paraId="2B50C359" w14:textId="77777777" w:rsidR="00167C22" w:rsidRPr="00691E01" w:rsidRDefault="00167C22" w:rsidP="00691E01">
      <w:pPr>
        <w:spacing w:after="160"/>
        <w:rPr>
          <w:lang w:val="en-US"/>
        </w:rPr>
      </w:pPr>
      <w:r w:rsidRPr="008F0EE9">
        <w:t xml:space="preserve">Kerzner, H. </w:t>
      </w:r>
      <w:r>
        <w:t>(</w:t>
      </w:r>
      <w:r w:rsidRPr="008F0EE9">
        <w:t>2025</w:t>
      </w:r>
      <w:r>
        <w:t>)</w:t>
      </w:r>
      <w:r w:rsidRPr="008F0EE9">
        <w:t>. </w:t>
      </w:r>
      <w:r w:rsidRPr="008F0EE9">
        <w:rPr>
          <w:i/>
          <w:iCs/>
        </w:rPr>
        <w:t>Project management: a systems approach to planning, scheduling, and controlling</w:t>
      </w:r>
      <w:r w:rsidRPr="008F0EE9">
        <w:t xml:space="preserve">. John Wiley &amp; </w:t>
      </w:r>
      <w:proofErr w:type="gramStart"/>
      <w:r w:rsidRPr="008F0EE9">
        <w:t>Sons.</w:t>
      </w:r>
      <w:r w:rsidRPr="00691E01">
        <w:rPr>
          <w:lang w:val="en-US"/>
        </w:rPr>
        <w:t>.</w:t>
      </w:r>
      <w:proofErr w:type="gramEnd"/>
    </w:p>
    <w:p w14:paraId="54630898" w14:textId="77777777" w:rsidR="00167C22" w:rsidRPr="00691E01" w:rsidRDefault="00167C22" w:rsidP="00691E01">
      <w:pPr>
        <w:spacing w:after="160"/>
        <w:rPr>
          <w:lang w:val="en-US"/>
        </w:rPr>
      </w:pPr>
      <w:r w:rsidRPr="00FC29AD">
        <w:t xml:space="preserve">Lauren, B. and Schreiber, J. </w:t>
      </w:r>
      <w:r>
        <w:t>(</w:t>
      </w:r>
      <w:r w:rsidRPr="00FC29AD">
        <w:t>2018</w:t>
      </w:r>
      <w:r>
        <w:t>)</w:t>
      </w:r>
      <w:r w:rsidRPr="00FC29AD">
        <w:t>. An integrative literature review of project management in technical and professional communication. </w:t>
      </w:r>
      <w:r w:rsidRPr="00FC29AD">
        <w:rPr>
          <w:i/>
          <w:iCs/>
        </w:rPr>
        <w:t>Technical Communication</w:t>
      </w:r>
      <w:r w:rsidRPr="00FC29AD">
        <w:t>, </w:t>
      </w:r>
      <w:r w:rsidRPr="00FC29AD">
        <w:rPr>
          <w:i/>
          <w:iCs/>
        </w:rPr>
        <w:t>65</w:t>
      </w:r>
      <w:r w:rsidRPr="00FC29AD">
        <w:t>(1), pp.85-</w:t>
      </w:r>
      <w:proofErr w:type="gramStart"/>
      <w:r w:rsidRPr="00FC29AD">
        <w:t>106.</w:t>
      </w:r>
      <w:r w:rsidRPr="00691E01">
        <w:rPr>
          <w:lang w:val="en-US"/>
        </w:rPr>
        <w:t>.</w:t>
      </w:r>
      <w:proofErr w:type="gramEnd"/>
    </w:p>
    <w:p w14:paraId="764D9232" w14:textId="77777777" w:rsidR="00167C22" w:rsidRPr="00691E01" w:rsidRDefault="00167C22" w:rsidP="00CA20F1">
      <w:pPr>
        <w:spacing w:after="160"/>
      </w:pPr>
      <w:bookmarkStart w:id="4" w:name="_Hlk211263354"/>
      <w:r w:rsidRPr="00D038FF">
        <w:t xml:space="preserve">Nicholas, M. and </w:t>
      </w:r>
      <w:proofErr w:type="spellStart"/>
      <w:r w:rsidRPr="00D038FF">
        <w:t>Lutsey</w:t>
      </w:r>
      <w:proofErr w:type="spellEnd"/>
      <w:r w:rsidRPr="00D038FF">
        <w:t xml:space="preserve">, N. </w:t>
      </w:r>
      <w:r>
        <w:t>(</w:t>
      </w:r>
      <w:r w:rsidRPr="00D038FF">
        <w:t>2020</w:t>
      </w:r>
      <w:r>
        <w:t>)</w:t>
      </w:r>
      <w:r w:rsidRPr="00D038FF">
        <w:t>. Quantifying the electric vehicle charging infrastructure gap in the United Kingdom. </w:t>
      </w:r>
      <w:r w:rsidRPr="00D038FF">
        <w:rPr>
          <w:i/>
          <w:iCs/>
        </w:rPr>
        <w:t>ICCT: London, UK</w:t>
      </w:r>
      <w:r w:rsidRPr="00D038FF">
        <w:t>.</w:t>
      </w:r>
    </w:p>
    <w:bookmarkEnd w:id="4"/>
    <w:p w14:paraId="18EE8659" w14:textId="77777777" w:rsidR="00167C22" w:rsidRDefault="00167C22" w:rsidP="00691E01">
      <w:pPr>
        <w:spacing w:after="160"/>
      </w:pPr>
      <w:r w:rsidRPr="004E201E">
        <w:t xml:space="preserve">Ritz, W., Wolf, M. and McQuitty, S. </w:t>
      </w:r>
      <w:r>
        <w:t>(</w:t>
      </w:r>
      <w:r w:rsidRPr="004E201E">
        <w:t>2019</w:t>
      </w:r>
      <w:r>
        <w:t>)</w:t>
      </w:r>
      <w:r w:rsidRPr="004E201E">
        <w:t>. Digital marketing adoption and success for small businesses: The application of the do-it-yourself and technology acceptance models. </w:t>
      </w:r>
      <w:r w:rsidRPr="004E201E">
        <w:rPr>
          <w:i/>
          <w:iCs/>
        </w:rPr>
        <w:t xml:space="preserve">Journal of Research in </w:t>
      </w:r>
      <w:r>
        <w:rPr>
          <w:i/>
          <w:iCs/>
        </w:rPr>
        <w:t>Interactive</w:t>
      </w:r>
      <w:r w:rsidRPr="004E201E">
        <w:rPr>
          <w:i/>
          <w:iCs/>
        </w:rPr>
        <w:t xml:space="preserve"> Marketing</w:t>
      </w:r>
      <w:r w:rsidRPr="004E201E">
        <w:t>, </w:t>
      </w:r>
      <w:r w:rsidRPr="004E201E">
        <w:rPr>
          <w:i/>
          <w:iCs/>
        </w:rPr>
        <w:t>13</w:t>
      </w:r>
      <w:r w:rsidRPr="004E201E">
        <w:t>(2), pp.179-203.</w:t>
      </w:r>
    </w:p>
    <w:p w14:paraId="11A4B351" w14:textId="77777777" w:rsidR="00167C22" w:rsidRPr="00691E01" w:rsidRDefault="00167C22" w:rsidP="00691E01">
      <w:pPr>
        <w:spacing w:after="160"/>
        <w:rPr>
          <w:lang w:val="en-US"/>
        </w:rPr>
      </w:pPr>
      <w:proofErr w:type="spellStart"/>
      <w:r w:rsidRPr="008F0EE9">
        <w:t>Sovacool</w:t>
      </w:r>
      <w:proofErr w:type="spellEnd"/>
      <w:r w:rsidRPr="008F0EE9">
        <w:t xml:space="preserve">, B.K., </w:t>
      </w:r>
      <w:proofErr w:type="spellStart"/>
      <w:r w:rsidRPr="008F0EE9">
        <w:t>Iskandarova</w:t>
      </w:r>
      <w:proofErr w:type="spellEnd"/>
      <w:r w:rsidRPr="008F0EE9">
        <w:t xml:space="preserve">, M. and Geels, F.W. </w:t>
      </w:r>
      <w:r>
        <w:t>(</w:t>
      </w:r>
      <w:r w:rsidRPr="008F0EE9">
        <w:t>2023</w:t>
      </w:r>
      <w:r>
        <w:t>)</w:t>
      </w:r>
      <w:r w:rsidRPr="008F0EE9">
        <w:t>. “Bigger than government”: exploring the social construction and contestation of net-zero industrial megaprojects in England. </w:t>
      </w:r>
      <w:r w:rsidRPr="008F0EE9">
        <w:rPr>
          <w:i/>
          <w:iCs/>
        </w:rPr>
        <w:t>Technological Forecasting and Social Change</w:t>
      </w:r>
      <w:r w:rsidRPr="008F0EE9">
        <w:t>, </w:t>
      </w:r>
      <w:r w:rsidRPr="008F0EE9">
        <w:rPr>
          <w:i/>
          <w:iCs/>
        </w:rPr>
        <w:t>188</w:t>
      </w:r>
      <w:r w:rsidRPr="008F0EE9">
        <w:t>, p.</w:t>
      </w:r>
      <w:proofErr w:type="gramStart"/>
      <w:r w:rsidRPr="008F0EE9">
        <w:t>122332.</w:t>
      </w:r>
      <w:r w:rsidRPr="00691E01">
        <w:rPr>
          <w:lang w:val="en-US"/>
        </w:rPr>
        <w:t>.</w:t>
      </w:r>
      <w:proofErr w:type="gramEnd"/>
    </w:p>
    <w:p w14:paraId="767FD9A1" w14:textId="77777777" w:rsidR="00167C22" w:rsidRDefault="00167C22" w:rsidP="00691E01">
      <w:pPr>
        <w:spacing w:after="160"/>
      </w:pPr>
      <w:r w:rsidRPr="003625E6">
        <w:t xml:space="preserve">Su, L., Feng, W., Kan, C., Wei, M., Su, R., Yu, P. and Zhang, N., </w:t>
      </w:r>
      <w:r>
        <w:t>(</w:t>
      </w:r>
      <w:r w:rsidRPr="003625E6">
        <w:t>2025</w:t>
      </w:r>
      <w:r>
        <w:t>)</w:t>
      </w:r>
      <w:r w:rsidRPr="003625E6">
        <w:t>. A Two-Stage Sustainable Optimal Scheduling Strategy for Multi-Contract Collaborative Distributed Resource Aggregators. </w:t>
      </w:r>
      <w:r w:rsidRPr="003625E6">
        <w:rPr>
          <w:i/>
          <w:iCs/>
        </w:rPr>
        <w:t>Sustainability</w:t>
      </w:r>
      <w:r w:rsidRPr="003625E6">
        <w:t>, </w:t>
      </w:r>
      <w:r w:rsidRPr="003625E6">
        <w:rPr>
          <w:i/>
          <w:iCs/>
        </w:rPr>
        <w:t>17</w:t>
      </w:r>
      <w:r w:rsidRPr="003625E6">
        <w:t>(15), p.6767.</w:t>
      </w:r>
    </w:p>
    <w:sectPr w:rsidR="00167C22" w:rsidSect="004F600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986378" w14:textId="77777777" w:rsidR="00A278E1" w:rsidRDefault="00A278E1" w:rsidP="002028B5">
      <w:pPr>
        <w:spacing w:after="0" w:line="240" w:lineRule="auto"/>
      </w:pPr>
      <w:r>
        <w:separator/>
      </w:r>
    </w:p>
  </w:endnote>
  <w:endnote w:type="continuationSeparator" w:id="0">
    <w:p w14:paraId="0F7A86B0" w14:textId="77777777" w:rsidR="00A278E1" w:rsidRDefault="00A278E1" w:rsidP="002028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761CE" w14:textId="77777777" w:rsidR="00235A4D" w:rsidRDefault="00235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7128934"/>
      <w:docPartObj>
        <w:docPartGallery w:val="Page Numbers (Bottom of Page)"/>
        <w:docPartUnique/>
      </w:docPartObj>
    </w:sdtPr>
    <w:sdtEndPr>
      <w:rPr>
        <w:noProof/>
      </w:rPr>
    </w:sdtEndPr>
    <w:sdtContent>
      <w:p w14:paraId="6762F78E" w14:textId="11B98242" w:rsidR="00235A4D" w:rsidRDefault="00235A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E79921" w14:textId="77777777" w:rsidR="00235A4D" w:rsidRDefault="00235A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DBB2B0" w14:textId="77777777" w:rsidR="00235A4D" w:rsidRDefault="00235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987CD" w14:textId="77777777" w:rsidR="00A278E1" w:rsidRDefault="00A278E1" w:rsidP="002028B5">
      <w:pPr>
        <w:spacing w:after="0" w:line="240" w:lineRule="auto"/>
      </w:pPr>
      <w:r>
        <w:separator/>
      </w:r>
    </w:p>
  </w:footnote>
  <w:footnote w:type="continuationSeparator" w:id="0">
    <w:p w14:paraId="406B81A3" w14:textId="77777777" w:rsidR="00A278E1" w:rsidRDefault="00A278E1" w:rsidP="002028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C9D9B" w14:textId="77777777" w:rsidR="00235A4D" w:rsidRDefault="00235A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549A3" w14:textId="77777777" w:rsidR="00235A4D" w:rsidRDefault="00235A4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D27D5" w14:textId="77777777" w:rsidR="00235A4D" w:rsidRDefault="00235A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E01"/>
    <w:rsid w:val="00030CD6"/>
    <w:rsid w:val="00035372"/>
    <w:rsid w:val="00056292"/>
    <w:rsid w:val="000817C5"/>
    <w:rsid w:val="00091804"/>
    <w:rsid w:val="000D3AD7"/>
    <w:rsid w:val="000D3DE5"/>
    <w:rsid w:val="00166918"/>
    <w:rsid w:val="00167C22"/>
    <w:rsid w:val="00171189"/>
    <w:rsid w:val="001C0F8A"/>
    <w:rsid w:val="001C476E"/>
    <w:rsid w:val="001E290F"/>
    <w:rsid w:val="001F1167"/>
    <w:rsid w:val="001F1B13"/>
    <w:rsid w:val="001F1D2C"/>
    <w:rsid w:val="002028B5"/>
    <w:rsid w:val="00225792"/>
    <w:rsid w:val="00235A4D"/>
    <w:rsid w:val="00243ED5"/>
    <w:rsid w:val="002563FE"/>
    <w:rsid w:val="00262E23"/>
    <w:rsid w:val="002A6A3B"/>
    <w:rsid w:val="002D411F"/>
    <w:rsid w:val="002D7055"/>
    <w:rsid w:val="002E1FF9"/>
    <w:rsid w:val="002E5865"/>
    <w:rsid w:val="002F1F94"/>
    <w:rsid w:val="002F7C7F"/>
    <w:rsid w:val="00311180"/>
    <w:rsid w:val="00312564"/>
    <w:rsid w:val="00337F9E"/>
    <w:rsid w:val="003625E6"/>
    <w:rsid w:val="00385FFA"/>
    <w:rsid w:val="00393932"/>
    <w:rsid w:val="004105B3"/>
    <w:rsid w:val="00425DF3"/>
    <w:rsid w:val="0042620C"/>
    <w:rsid w:val="0043220E"/>
    <w:rsid w:val="004346A2"/>
    <w:rsid w:val="00435508"/>
    <w:rsid w:val="0046124B"/>
    <w:rsid w:val="00466C33"/>
    <w:rsid w:val="00476775"/>
    <w:rsid w:val="0049221B"/>
    <w:rsid w:val="004D2024"/>
    <w:rsid w:val="004D3A34"/>
    <w:rsid w:val="004E201E"/>
    <w:rsid w:val="004F600B"/>
    <w:rsid w:val="005D47FE"/>
    <w:rsid w:val="005D548A"/>
    <w:rsid w:val="005E5DF6"/>
    <w:rsid w:val="005E77EA"/>
    <w:rsid w:val="005F4AE2"/>
    <w:rsid w:val="006038ED"/>
    <w:rsid w:val="00661E9F"/>
    <w:rsid w:val="00671713"/>
    <w:rsid w:val="00682108"/>
    <w:rsid w:val="00691E01"/>
    <w:rsid w:val="0069665D"/>
    <w:rsid w:val="006B6AAF"/>
    <w:rsid w:val="006C5708"/>
    <w:rsid w:val="006D2B9F"/>
    <w:rsid w:val="006E7C63"/>
    <w:rsid w:val="007529E4"/>
    <w:rsid w:val="00756791"/>
    <w:rsid w:val="00782FDA"/>
    <w:rsid w:val="007A476E"/>
    <w:rsid w:val="007E0D79"/>
    <w:rsid w:val="007E51D8"/>
    <w:rsid w:val="007F6C7D"/>
    <w:rsid w:val="00854339"/>
    <w:rsid w:val="008867A1"/>
    <w:rsid w:val="008B709C"/>
    <w:rsid w:val="008D1441"/>
    <w:rsid w:val="008D468F"/>
    <w:rsid w:val="008E2525"/>
    <w:rsid w:val="008F0EE9"/>
    <w:rsid w:val="00922B62"/>
    <w:rsid w:val="009267E2"/>
    <w:rsid w:val="00943D6A"/>
    <w:rsid w:val="00946C87"/>
    <w:rsid w:val="009716B3"/>
    <w:rsid w:val="00971CF7"/>
    <w:rsid w:val="00975DF2"/>
    <w:rsid w:val="009776DD"/>
    <w:rsid w:val="0099479D"/>
    <w:rsid w:val="009B67AF"/>
    <w:rsid w:val="00A03AB3"/>
    <w:rsid w:val="00A278E1"/>
    <w:rsid w:val="00A56D71"/>
    <w:rsid w:val="00A94840"/>
    <w:rsid w:val="00A9560E"/>
    <w:rsid w:val="00AB7E4F"/>
    <w:rsid w:val="00AC687E"/>
    <w:rsid w:val="00AD48A4"/>
    <w:rsid w:val="00AD70A6"/>
    <w:rsid w:val="00AE6BC9"/>
    <w:rsid w:val="00B4269A"/>
    <w:rsid w:val="00B502A8"/>
    <w:rsid w:val="00B62F0B"/>
    <w:rsid w:val="00B72ABA"/>
    <w:rsid w:val="00B76A8D"/>
    <w:rsid w:val="00B92E00"/>
    <w:rsid w:val="00BA16EB"/>
    <w:rsid w:val="00BA1FDF"/>
    <w:rsid w:val="00BB3841"/>
    <w:rsid w:val="00BD1C36"/>
    <w:rsid w:val="00BE2FCB"/>
    <w:rsid w:val="00BF4858"/>
    <w:rsid w:val="00C302BF"/>
    <w:rsid w:val="00C63DD2"/>
    <w:rsid w:val="00C72DB1"/>
    <w:rsid w:val="00C84D14"/>
    <w:rsid w:val="00C93E69"/>
    <w:rsid w:val="00CA20F1"/>
    <w:rsid w:val="00CB5B2F"/>
    <w:rsid w:val="00CD1E59"/>
    <w:rsid w:val="00CE2DE5"/>
    <w:rsid w:val="00D0052D"/>
    <w:rsid w:val="00D038FF"/>
    <w:rsid w:val="00D06968"/>
    <w:rsid w:val="00D11DA5"/>
    <w:rsid w:val="00D13073"/>
    <w:rsid w:val="00D26575"/>
    <w:rsid w:val="00D415C6"/>
    <w:rsid w:val="00D512F0"/>
    <w:rsid w:val="00D62EC4"/>
    <w:rsid w:val="00DD7313"/>
    <w:rsid w:val="00DE3FFB"/>
    <w:rsid w:val="00E170D4"/>
    <w:rsid w:val="00E24B28"/>
    <w:rsid w:val="00EC13F8"/>
    <w:rsid w:val="00EC76AA"/>
    <w:rsid w:val="00ED1F62"/>
    <w:rsid w:val="00EF3B38"/>
    <w:rsid w:val="00F01FBA"/>
    <w:rsid w:val="00F04874"/>
    <w:rsid w:val="00F1325E"/>
    <w:rsid w:val="00F34E4F"/>
    <w:rsid w:val="00F51659"/>
    <w:rsid w:val="00F65FB4"/>
    <w:rsid w:val="00F74783"/>
    <w:rsid w:val="00FC059A"/>
    <w:rsid w:val="00FC29AD"/>
    <w:rsid w:val="00FD47A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ED43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7C63"/>
    <w:pPr>
      <w:spacing w:after="200" w:line="360" w:lineRule="auto"/>
      <w:jc w:val="both"/>
    </w:pPr>
    <w:rPr>
      <w:rFonts w:ascii="Times New Roman" w:hAnsi="Times New Roman"/>
      <w:color w:val="000000" w:themeColor="text1"/>
      <w:sz w:val="24"/>
      <w:lang w:val="en-GB"/>
      <w14:ligatures w14:val="none"/>
    </w:rPr>
  </w:style>
  <w:style w:type="paragraph" w:styleId="Heading1">
    <w:name w:val="heading 1"/>
    <w:basedOn w:val="Normal"/>
    <w:next w:val="Normal"/>
    <w:link w:val="Heading1Char"/>
    <w:autoRedefine/>
    <w:uiPriority w:val="9"/>
    <w:qFormat/>
    <w:rsid w:val="00F34E4F"/>
    <w:pPr>
      <w:keepNext/>
      <w:keepLines/>
      <w:spacing w:before="240" w:after="0"/>
      <w:outlineLvl w:val="0"/>
    </w:pPr>
    <w:rPr>
      <w:rFonts w:eastAsiaTheme="majorEastAsia" w:cstheme="majorBidi"/>
      <w:b/>
      <w:sz w:val="36"/>
      <w:szCs w:val="32"/>
      <w:lang w:val="en-IN"/>
    </w:rPr>
  </w:style>
  <w:style w:type="paragraph" w:styleId="Heading2">
    <w:name w:val="heading 2"/>
    <w:basedOn w:val="Normal"/>
    <w:next w:val="Normal"/>
    <w:link w:val="Heading2Char"/>
    <w:autoRedefine/>
    <w:uiPriority w:val="9"/>
    <w:unhideWhenUsed/>
    <w:qFormat/>
    <w:rsid w:val="00F34E4F"/>
    <w:pPr>
      <w:keepNext/>
      <w:keepLines/>
      <w:spacing w:before="40" w:after="0"/>
      <w:outlineLvl w:val="1"/>
    </w:pPr>
    <w:rPr>
      <w:rFonts w:eastAsiaTheme="majorEastAsia" w:cstheme="majorBidi"/>
      <w:b/>
      <w:kern w:val="2"/>
      <w:sz w:val="32"/>
      <w:szCs w:val="26"/>
      <w:lang w:val="en-IN"/>
      <w14:ligatures w14:val="standardContextual"/>
    </w:rPr>
  </w:style>
  <w:style w:type="paragraph" w:styleId="Heading3">
    <w:name w:val="heading 3"/>
    <w:basedOn w:val="Normal"/>
    <w:next w:val="Normal"/>
    <w:link w:val="Heading3Char"/>
    <w:uiPriority w:val="9"/>
    <w:unhideWhenUsed/>
    <w:qFormat/>
    <w:rsid w:val="00B72ABA"/>
    <w:pPr>
      <w:keepNext/>
      <w:keepLines/>
      <w:suppressAutoHyphens/>
      <w:autoSpaceDN w:val="0"/>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691E0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91E0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91E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91E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91E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91E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E4F"/>
    <w:rPr>
      <w:rFonts w:ascii="Times New Roman" w:eastAsiaTheme="majorEastAsia" w:hAnsi="Times New Roman" w:cstheme="majorBidi"/>
      <w:b/>
      <w:color w:val="000000" w:themeColor="text1"/>
      <w:sz w:val="36"/>
      <w:szCs w:val="32"/>
      <w:lang w:val="en-IN"/>
      <w14:ligatures w14:val="none"/>
    </w:rPr>
  </w:style>
  <w:style w:type="character" w:customStyle="1" w:styleId="Heading2Char">
    <w:name w:val="Heading 2 Char"/>
    <w:basedOn w:val="DefaultParagraphFont"/>
    <w:link w:val="Heading2"/>
    <w:uiPriority w:val="9"/>
    <w:rsid w:val="00F34E4F"/>
    <w:rPr>
      <w:rFonts w:ascii="Times New Roman" w:eastAsiaTheme="majorEastAsia" w:hAnsi="Times New Roman" w:cstheme="majorBidi"/>
      <w:b/>
      <w:color w:val="000000" w:themeColor="text1"/>
      <w:kern w:val="2"/>
      <w:sz w:val="32"/>
      <w:szCs w:val="26"/>
      <w:lang w:val="en-IN"/>
    </w:rPr>
  </w:style>
  <w:style w:type="character" w:customStyle="1" w:styleId="Heading3Char">
    <w:name w:val="Heading 3 Char"/>
    <w:basedOn w:val="DefaultParagraphFont"/>
    <w:link w:val="Heading3"/>
    <w:uiPriority w:val="9"/>
    <w:rsid w:val="00B72ABA"/>
    <w:rPr>
      <w:rFonts w:ascii="Times New Roman" w:eastAsiaTheme="majorEastAsia" w:hAnsi="Times New Roman" w:cstheme="majorBidi"/>
      <w:b/>
      <w:color w:val="000000" w:themeColor="text1"/>
      <w:kern w:val="0"/>
      <w:sz w:val="24"/>
      <w:szCs w:val="24"/>
      <w:lang w:val="en-GB"/>
    </w:rPr>
  </w:style>
  <w:style w:type="character" w:customStyle="1" w:styleId="Heading4Char">
    <w:name w:val="Heading 4 Char"/>
    <w:basedOn w:val="DefaultParagraphFont"/>
    <w:link w:val="Heading4"/>
    <w:uiPriority w:val="9"/>
    <w:semiHidden/>
    <w:rsid w:val="00691E01"/>
    <w:rPr>
      <w:rFonts w:eastAsiaTheme="majorEastAsia" w:cstheme="majorBidi"/>
      <w:i/>
      <w:iCs/>
      <w:color w:val="2F5496" w:themeColor="accent1" w:themeShade="BF"/>
      <w:sz w:val="24"/>
      <w:lang w:val="en-GB"/>
      <w14:ligatures w14:val="none"/>
    </w:rPr>
  </w:style>
  <w:style w:type="character" w:customStyle="1" w:styleId="Heading5Char">
    <w:name w:val="Heading 5 Char"/>
    <w:basedOn w:val="DefaultParagraphFont"/>
    <w:link w:val="Heading5"/>
    <w:uiPriority w:val="9"/>
    <w:semiHidden/>
    <w:rsid w:val="00691E01"/>
    <w:rPr>
      <w:rFonts w:eastAsiaTheme="majorEastAsia" w:cstheme="majorBidi"/>
      <w:color w:val="2F5496" w:themeColor="accent1" w:themeShade="BF"/>
      <w:sz w:val="24"/>
      <w:lang w:val="en-GB"/>
      <w14:ligatures w14:val="none"/>
    </w:rPr>
  </w:style>
  <w:style w:type="character" w:customStyle="1" w:styleId="Heading6Char">
    <w:name w:val="Heading 6 Char"/>
    <w:basedOn w:val="DefaultParagraphFont"/>
    <w:link w:val="Heading6"/>
    <w:uiPriority w:val="9"/>
    <w:semiHidden/>
    <w:rsid w:val="00691E01"/>
    <w:rPr>
      <w:rFonts w:eastAsiaTheme="majorEastAsia" w:cstheme="majorBidi"/>
      <w:i/>
      <w:iCs/>
      <w:color w:val="595959" w:themeColor="text1" w:themeTint="A6"/>
      <w:sz w:val="24"/>
      <w:lang w:val="en-GB"/>
      <w14:ligatures w14:val="none"/>
    </w:rPr>
  </w:style>
  <w:style w:type="character" w:customStyle="1" w:styleId="Heading7Char">
    <w:name w:val="Heading 7 Char"/>
    <w:basedOn w:val="DefaultParagraphFont"/>
    <w:link w:val="Heading7"/>
    <w:uiPriority w:val="9"/>
    <w:semiHidden/>
    <w:rsid w:val="00691E01"/>
    <w:rPr>
      <w:rFonts w:eastAsiaTheme="majorEastAsia" w:cstheme="majorBidi"/>
      <w:color w:val="595959" w:themeColor="text1" w:themeTint="A6"/>
      <w:sz w:val="24"/>
      <w:lang w:val="en-GB"/>
      <w14:ligatures w14:val="none"/>
    </w:rPr>
  </w:style>
  <w:style w:type="character" w:customStyle="1" w:styleId="Heading8Char">
    <w:name w:val="Heading 8 Char"/>
    <w:basedOn w:val="DefaultParagraphFont"/>
    <w:link w:val="Heading8"/>
    <w:uiPriority w:val="9"/>
    <w:semiHidden/>
    <w:rsid w:val="00691E01"/>
    <w:rPr>
      <w:rFonts w:eastAsiaTheme="majorEastAsia" w:cstheme="majorBidi"/>
      <w:i/>
      <w:iCs/>
      <w:color w:val="272727" w:themeColor="text1" w:themeTint="D8"/>
      <w:sz w:val="24"/>
      <w:lang w:val="en-GB"/>
      <w14:ligatures w14:val="none"/>
    </w:rPr>
  </w:style>
  <w:style w:type="character" w:customStyle="1" w:styleId="Heading9Char">
    <w:name w:val="Heading 9 Char"/>
    <w:basedOn w:val="DefaultParagraphFont"/>
    <w:link w:val="Heading9"/>
    <w:uiPriority w:val="9"/>
    <w:semiHidden/>
    <w:rsid w:val="00691E01"/>
    <w:rPr>
      <w:rFonts w:eastAsiaTheme="majorEastAsia" w:cstheme="majorBidi"/>
      <w:color w:val="272727" w:themeColor="text1" w:themeTint="D8"/>
      <w:sz w:val="24"/>
      <w:lang w:val="en-GB"/>
      <w14:ligatures w14:val="none"/>
    </w:rPr>
  </w:style>
  <w:style w:type="paragraph" w:styleId="Title">
    <w:name w:val="Title"/>
    <w:basedOn w:val="Normal"/>
    <w:next w:val="Normal"/>
    <w:link w:val="TitleChar"/>
    <w:uiPriority w:val="10"/>
    <w:qFormat/>
    <w:rsid w:val="00691E01"/>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691E01"/>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691E0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E01"/>
    <w:rPr>
      <w:rFonts w:eastAsiaTheme="majorEastAsia" w:cstheme="majorBidi"/>
      <w:color w:val="595959" w:themeColor="text1" w:themeTint="A6"/>
      <w:spacing w:val="15"/>
      <w:sz w:val="28"/>
      <w:szCs w:val="28"/>
      <w:lang w:val="en-GB"/>
      <w14:ligatures w14:val="none"/>
    </w:rPr>
  </w:style>
  <w:style w:type="paragraph" w:styleId="Quote">
    <w:name w:val="Quote"/>
    <w:basedOn w:val="Normal"/>
    <w:next w:val="Normal"/>
    <w:link w:val="QuoteChar"/>
    <w:uiPriority w:val="29"/>
    <w:qFormat/>
    <w:rsid w:val="00691E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1E01"/>
    <w:rPr>
      <w:rFonts w:ascii="Times New Roman" w:hAnsi="Times New Roman"/>
      <w:i/>
      <w:iCs/>
      <w:color w:val="404040" w:themeColor="text1" w:themeTint="BF"/>
      <w:sz w:val="24"/>
      <w:lang w:val="en-GB"/>
      <w14:ligatures w14:val="none"/>
    </w:rPr>
  </w:style>
  <w:style w:type="paragraph" w:styleId="ListParagraph">
    <w:name w:val="List Paragraph"/>
    <w:basedOn w:val="Normal"/>
    <w:uiPriority w:val="34"/>
    <w:qFormat/>
    <w:rsid w:val="00691E01"/>
    <w:pPr>
      <w:ind w:left="720"/>
      <w:contextualSpacing/>
    </w:pPr>
  </w:style>
  <w:style w:type="character" w:styleId="IntenseEmphasis">
    <w:name w:val="Intense Emphasis"/>
    <w:basedOn w:val="DefaultParagraphFont"/>
    <w:uiPriority w:val="21"/>
    <w:qFormat/>
    <w:rsid w:val="00691E01"/>
    <w:rPr>
      <w:i/>
      <w:iCs/>
      <w:color w:val="2F5496" w:themeColor="accent1" w:themeShade="BF"/>
    </w:rPr>
  </w:style>
  <w:style w:type="paragraph" w:styleId="IntenseQuote">
    <w:name w:val="Intense Quote"/>
    <w:basedOn w:val="Normal"/>
    <w:next w:val="Normal"/>
    <w:link w:val="IntenseQuoteChar"/>
    <w:uiPriority w:val="30"/>
    <w:qFormat/>
    <w:rsid w:val="00691E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91E01"/>
    <w:rPr>
      <w:rFonts w:ascii="Times New Roman" w:hAnsi="Times New Roman"/>
      <w:i/>
      <w:iCs/>
      <w:color w:val="2F5496" w:themeColor="accent1" w:themeShade="BF"/>
      <w:sz w:val="24"/>
      <w:lang w:val="en-GB"/>
      <w14:ligatures w14:val="none"/>
    </w:rPr>
  </w:style>
  <w:style w:type="character" w:styleId="IntenseReference">
    <w:name w:val="Intense Reference"/>
    <w:basedOn w:val="DefaultParagraphFont"/>
    <w:uiPriority w:val="32"/>
    <w:qFormat/>
    <w:rsid w:val="00691E01"/>
    <w:rPr>
      <w:b/>
      <w:bCs/>
      <w:smallCaps/>
      <w:color w:val="2F5496" w:themeColor="accent1" w:themeShade="BF"/>
      <w:spacing w:val="5"/>
    </w:rPr>
  </w:style>
  <w:style w:type="paragraph" w:styleId="TOCHeading">
    <w:name w:val="TOC Heading"/>
    <w:basedOn w:val="Heading1"/>
    <w:next w:val="Normal"/>
    <w:uiPriority w:val="39"/>
    <w:unhideWhenUsed/>
    <w:qFormat/>
    <w:rsid w:val="00FD47AE"/>
    <w:pPr>
      <w:spacing w:line="259" w:lineRule="auto"/>
      <w:jc w:val="left"/>
      <w:outlineLvl w:val="9"/>
    </w:pPr>
    <w:rPr>
      <w:rFonts w:asciiTheme="majorHAnsi" w:hAnsiTheme="majorHAnsi"/>
      <w:b w:val="0"/>
      <w:color w:val="2F5496" w:themeColor="accent1" w:themeShade="BF"/>
      <w:sz w:val="32"/>
      <w:lang w:val="en-US" w:bidi="hi-IN"/>
    </w:rPr>
  </w:style>
  <w:style w:type="paragraph" w:styleId="TOC1">
    <w:name w:val="toc 1"/>
    <w:basedOn w:val="Normal"/>
    <w:next w:val="Normal"/>
    <w:autoRedefine/>
    <w:uiPriority w:val="39"/>
    <w:unhideWhenUsed/>
    <w:rsid w:val="00FD47AE"/>
    <w:pPr>
      <w:spacing w:after="100"/>
    </w:pPr>
  </w:style>
  <w:style w:type="character" w:styleId="Hyperlink">
    <w:name w:val="Hyperlink"/>
    <w:basedOn w:val="DefaultParagraphFont"/>
    <w:uiPriority w:val="99"/>
    <w:unhideWhenUsed/>
    <w:rsid w:val="00FD47AE"/>
    <w:rPr>
      <w:color w:val="0563C1" w:themeColor="hyperlink"/>
      <w:u w:val="single"/>
    </w:rPr>
  </w:style>
  <w:style w:type="paragraph" w:styleId="Header">
    <w:name w:val="header"/>
    <w:basedOn w:val="Normal"/>
    <w:link w:val="HeaderChar"/>
    <w:uiPriority w:val="99"/>
    <w:unhideWhenUsed/>
    <w:rsid w:val="002028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28B5"/>
    <w:rPr>
      <w:rFonts w:ascii="Times New Roman" w:hAnsi="Times New Roman"/>
      <w:color w:val="000000" w:themeColor="text1"/>
      <w:sz w:val="24"/>
      <w:lang w:val="en-GB"/>
      <w14:ligatures w14:val="none"/>
    </w:rPr>
  </w:style>
  <w:style w:type="paragraph" w:styleId="Footer">
    <w:name w:val="footer"/>
    <w:basedOn w:val="Normal"/>
    <w:link w:val="FooterChar"/>
    <w:uiPriority w:val="99"/>
    <w:unhideWhenUsed/>
    <w:rsid w:val="002028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28B5"/>
    <w:rPr>
      <w:rFonts w:ascii="Times New Roman" w:hAnsi="Times New Roman"/>
      <w:color w:val="000000" w:themeColor="text1"/>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3BE5D-6D22-45B8-9C73-DE0334E3B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2025-10-13T10:27:00Z</dcterms:created>
  <dcterms:modified xsi:type="dcterms:W3CDTF">2025-11-22T09:16:00Z</dcterms:modified>
</cp:coreProperties>
</file>