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D1DB26" w14:textId="00C18B96" w:rsidR="00C60545" w:rsidRDefault="00C60545">
      <w:pPr>
        <w:pStyle w:val="NoSpacing"/>
        <w:spacing w:before="1540" w:after="240"/>
        <w:jc w:val="center"/>
        <w:rPr>
          <w:rFonts w:eastAsiaTheme="minorHAnsi"/>
          <w:color w:val="5B9BD5" w:themeColor="accent1"/>
          <w:lang w:val="en-GB"/>
        </w:rPr>
      </w:pPr>
    </w:p>
    <w:sdt>
      <w:sdtPr>
        <w:rPr>
          <w:rFonts w:eastAsiaTheme="minorHAnsi" w:cstheme="minorHAnsi"/>
          <w:color w:val="5B9BD5" w:themeColor="accent1"/>
          <w:lang w:val="en-GB"/>
        </w:rPr>
        <w:id w:val="-1522475554"/>
        <w:docPartObj>
          <w:docPartGallery w:val="Cover Pages"/>
          <w:docPartUnique/>
        </w:docPartObj>
      </w:sdtPr>
      <w:sdtEndPr>
        <w:rPr>
          <w:rFonts w:eastAsia="Times New Roman"/>
          <w:color w:val="auto"/>
          <w:sz w:val="24"/>
          <w:szCs w:val="24"/>
          <w:lang w:eastAsia="en-GB"/>
        </w:rPr>
      </w:sdtEndPr>
      <w:sdtContent>
        <w:p w14:paraId="5384490A" w14:textId="5644648A" w:rsidR="007D1947" w:rsidRPr="00347E38" w:rsidRDefault="007D1947">
          <w:pPr>
            <w:pStyle w:val="NoSpacing"/>
            <w:spacing w:before="1540" w:after="240"/>
            <w:jc w:val="center"/>
            <w:rPr>
              <w:rFonts w:cstheme="minorHAnsi"/>
              <w:color w:val="5B9BD5" w:themeColor="accent1"/>
            </w:rPr>
          </w:pPr>
          <w:r w:rsidRPr="00347E38">
            <w:rPr>
              <w:rFonts w:cstheme="minorHAnsi"/>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44F081B1" w:rsidR="007D1947" w:rsidRPr="00347E38" w:rsidRDefault="00DA1C7A">
              <w:pPr>
                <w:pStyle w:val="NoSpacing"/>
                <w:pBdr>
                  <w:top w:val="single" w:sz="6" w:space="6" w:color="5B9BD5" w:themeColor="accent1"/>
                  <w:bottom w:val="single" w:sz="6" w:space="6" w:color="5B9BD5" w:themeColor="accent1"/>
                </w:pBdr>
                <w:spacing w:after="240"/>
                <w:jc w:val="center"/>
                <w:rPr>
                  <w:rFonts w:eastAsiaTheme="majorEastAsia" w:cstheme="minorHAnsi"/>
                  <w:caps/>
                  <w:color w:val="5B9BD5" w:themeColor="accent1"/>
                  <w:sz w:val="80"/>
                  <w:szCs w:val="80"/>
                </w:rPr>
              </w:pPr>
              <w:r w:rsidRPr="00347E38">
                <w:rPr>
                  <w:rFonts w:eastAsiaTheme="majorEastAsia" w:cstheme="minorHAnsi"/>
                  <w:caps/>
                  <w:color w:val="5B9BD5" w:themeColor="accent1"/>
                  <w:sz w:val="72"/>
                  <w:szCs w:val="72"/>
                </w:rPr>
                <w:t>westward plc</w:t>
              </w:r>
              <w:r w:rsidR="00C0426D" w:rsidRPr="00347E38">
                <w:rPr>
                  <w:rFonts w:eastAsiaTheme="majorEastAsia" w:cstheme="minorHAnsi"/>
                  <w:caps/>
                  <w:color w:val="5B9BD5" w:themeColor="accent1"/>
                  <w:sz w:val="72"/>
                  <w:szCs w:val="72"/>
                </w:rPr>
                <w:t xml:space="preserve"> </w:t>
              </w:r>
              <w:r w:rsidR="00C358B8">
                <w:rPr>
                  <w:rFonts w:eastAsiaTheme="majorEastAsia" w:cstheme="minorHAnsi"/>
                  <w:caps/>
                  <w:color w:val="5B9BD5" w:themeColor="accent1"/>
                  <w:sz w:val="72"/>
                  <w:szCs w:val="72"/>
                </w:rPr>
                <w:t>&amp;</w:t>
              </w:r>
              <w:r w:rsidR="00082258" w:rsidRPr="00347E38">
                <w:rPr>
                  <w:rFonts w:eastAsiaTheme="majorEastAsia" w:cstheme="minorHAnsi"/>
                  <w:caps/>
                  <w:color w:val="5B9BD5" w:themeColor="accent1"/>
                  <w:sz w:val="72"/>
                  <w:szCs w:val="72"/>
                </w:rPr>
                <w:t xml:space="preserve"> tesco</w:t>
              </w:r>
              <w:r w:rsidR="00C358B8">
                <w:rPr>
                  <w:rFonts w:eastAsiaTheme="majorEastAsia" w:cstheme="minorHAnsi"/>
                  <w:caps/>
                  <w:color w:val="5B9BD5" w:themeColor="accent1"/>
                  <w:sz w:val="72"/>
                  <w:szCs w:val="72"/>
                </w:rPr>
                <w:t xml:space="preserve"> plc</w:t>
              </w:r>
            </w:p>
          </w:sdtContent>
        </w:sdt>
        <w:p w14:paraId="475B7674" w14:textId="4452A9A4" w:rsidR="007D1947" w:rsidRPr="00347E38" w:rsidRDefault="002D2816" w:rsidP="00E63D4D">
          <w:pPr>
            <w:pStyle w:val="NoSpacing"/>
            <w:jc w:val="center"/>
            <w:rPr>
              <w:rFonts w:cstheme="minorHAnsi"/>
              <w:color w:val="5B9BD5" w:themeColor="accent1"/>
              <w:sz w:val="28"/>
              <w:szCs w:val="28"/>
            </w:rPr>
          </w:pPr>
          <w:r w:rsidRPr="00347E38">
            <w:rPr>
              <w:rFonts w:cstheme="minorHAnsi"/>
              <w:color w:val="5B9BD5" w:themeColor="accent1"/>
              <w:sz w:val="28"/>
              <w:szCs w:val="28"/>
            </w:rPr>
            <w:t>Finance For Business Managers</w:t>
          </w:r>
        </w:p>
        <w:p w14:paraId="1ADC1124" w14:textId="77777777" w:rsidR="007D1947" w:rsidRPr="00347E38" w:rsidRDefault="007D1947">
          <w:pPr>
            <w:pStyle w:val="NoSpacing"/>
            <w:spacing w:before="480"/>
            <w:jc w:val="center"/>
            <w:rPr>
              <w:rFonts w:cstheme="minorHAnsi"/>
              <w:color w:val="5B9BD5" w:themeColor="accent1"/>
            </w:rPr>
          </w:pPr>
          <w:r w:rsidRPr="00347E38">
            <w:rPr>
              <w:rFonts w:cstheme="minorHAnsi"/>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48CE61B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3EDDA952" w:rsidR="007D1947" w:rsidRDefault="002D2816">
                                    <w:pPr>
                                      <w:pStyle w:val="NoSpacing"/>
                                      <w:spacing w:after="40"/>
                                      <w:jc w:val="center"/>
                                      <w:rPr>
                                        <w:caps/>
                                        <w:color w:val="5B9BD5" w:themeColor="accent1"/>
                                        <w:sz w:val="28"/>
                                        <w:szCs w:val="28"/>
                                      </w:rPr>
                                    </w:pPr>
                                    <w:r>
                                      <w:rPr>
                                        <w:caps/>
                                        <w:color w:val="5B9BD5" w:themeColor="accent1"/>
                                        <w:sz w:val="28"/>
                                        <w:szCs w:val="28"/>
                                      </w:rPr>
                                      <w:t>Rebekah jones</w:t>
                                    </w:r>
                                    <w:r w:rsidR="00C358B8">
                                      <w:rPr>
                                        <w:caps/>
                                        <w:color w:val="5B9BD5" w:themeColor="accent1"/>
                                        <w:sz w:val="28"/>
                                        <w:szCs w:val="28"/>
                                      </w:rPr>
                                      <w:t xml:space="preserve"> -</w:t>
                                    </w:r>
                                    <w:r>
                                      <w:rPr>
                                        <w:caps/>
                                        <w:color w:val="5B9BD5" w:themeColor="accent1"/>
                                        <w:sz w:val="28"/>
                                        <w:szCs w:val="28"/>
                                      </w:rPr>
                                      <w:t xml:space="preserve"> 2205076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3EDDA952" w:rsidR="007D1947" w:rsidRDefault="002D2816">
                              <w:pPr>
                                <w:pStyle w:val="NoSpacing"/>
                                <w:spacing w:after="40"/>
                                <w:jc w:val="center"/>
                                <w:rPr>
                                  <w:caps/>
                                  <w:color w:val="5B9BD5" w:themeColor="accent1"/>
                                  <w:sz w:val="28"/>
                                  <w:szCs w:val="28"/>
                                </w:rPr>
                              </w:pPr>
                              <w:r>
                                <w:rPr>
                                  <w:caps/>
                                  <w:color w:val="5B9BD5" w:themeColor="accent1"/>
                                  <w:sz w:val="28"/>
                                  <w:szCs w:val="28"/>
                                </w:rPr>
                                <w:t>Rebekah jones</w:t>
                              </w:r>
                              <w:r w:rsidR="00C358B8">
                                <w:rPr>
                                  <w:caps/>
                                  <w:color w:val="5B9BD5" w:themeColor="accent1"/>
                                  <w:sz w:val="28"/>
                                  <w:szCs w:val="28"/>
                                </w:rPr>
                                <w:t xml:space="preserve"> -</w:t>
                              </w:r>
                              <w:r>
                                <w:rPr>
                                  <w:caps/>
                                  <w:color w:val="5B9BD5" w:themeColor="accent1"/>
                                  <w:sz w:val="28"/>
                                  <w:szCs w:val="28"/>
                                </w:rPr>
                                <w:t xml:space="preserve"> 2205076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347E38">
            <w:rPr>
              <w:rFonts w:cstheme="minorHAnsi"/>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347E38" w:rsidRDefault="007D1947" w:rsidP="007D1947">
          <w:pPr>
            <w:pStyle w:val="Heading1"/>
            <w:rPr>
              <w:rFonts w:asciiTheme="minorHAnsi" w:hAnsiTheme="minorHAnsi" w:cstheme="minorHAnsi"/>
            </w:rPr>
          </w:pPr>
          <w:r w:rsidRPr="00347E38">
            <w:rPr>
              <w:rFonts w:asciiTheme="minorHAnsi" w:hAnsiTheme="minorHAnsi" w:cstheme="minorHAnsi"/>
            </w:rPr>
            <w:br w:type="page"/>
          </w:r>
          <w:bookmarkStart w:id="0" w:name="_Toc216779312"/>
          <w:r w:rsidRPr="00347E38">
            <w:rPr>
              <w:rFonts w:asciiTheme="minorHAnsi" w:hAnsiTheme="minorHAnsi" w:cstheme="minorHAnsi"/>
            </w:rPr>
            <w:lastRenderedPageBreak/>
            <w:t>Executive Summary</w:t>
          </w:r>
          <w:bookmarkEnd w:id="0"/>
        </w:p>
        <w:p w14:paraId="62AB7F7D" w14:textId="77777777" w:rsidR="007D1947" w:rsidRPr="00347E38" w:rsidRDefault="007D1947">
          <w:pPr>
            <w:rPr>
              <w:rFonts w:asciiTheme="minorHAnsi" w:hAnsiTheme="minorHAnsi" w:cstheme="minorHAnsi"/>
            </w:rPr>
          </w:pPr>
        </w:p>
        <w:p w14:paraId="6ED37F5B" w14:textId="02384E19" w:rsidR="00542730" w:rsidRPr="00347E38" w:rsidRDefault="001811B7">
          <w:pPr>
            <w:rPr>
              <w:rFonts w:asciiTheme="minorHAnsi" w:hAnsiTheme="minorHAnsi" w:cstheme="minorHAnsi"/>
            </w:rPr>
          </w:pPr>
          <w:r>
            <w:rPr>
              <w:rFonts w:asciiTheme="minorHAnsi" w:hAnsiTheme="minorHAnsi" w:cstheme="minorHAnsi"/>
            </w:rPr>
            <w:t xml:space="preserve">This </w:t>
          </w:r>
          <w:r w:rsidR="00A1717C">
            <w:rPr>
              <w:rFonts w:asciiTheme="minorHAnsi" w:hAnsiTheme="minorHAnsi" w:cstheme="minorHAnsi"/>
            </w:rPr>
            <w:t xml:space="preserve">academic </w:t>
          </w:r>
          <w:r w:rsidR="00962013">
            <w:rPr>
              <w:rFonts w:asciiTheme="minorHAnsi" w:hAnsiTheme="minorHAnsi" w:cstheme="minorHAnsi"/>
            </w:rPr>
            <w:t xml:space="preserve">business </w:t>
          </w:r>
          <w:r>
            <w:rPr>
              <w:rFonts w:asciiTheme="minorHAnsi" w:hAnsiTheme="minorHAnsi" w:cstheme="minorHAnsi"/>
            </w:rPr>
            <w:t>report</w:t>
          </w:r>
          <w:r w:rsidR="006C63BC">
            <w:rPr>
              <w:rFonts w:asciiTheme="minorHAnsi" w:hAnsiTheme="minorHAnsi" w:cstheme="minorHAnsi"/>
            </w:rPr>
            <w:t xml:space="preserve"> is split into </w:t>
          </w:r>
          <w:r w:rsidR="00A1717C">
            <w:rPr>
              <w:rFonts w:asciiTheme="minorHAnsi" w:hAnsiTheme="minorHAnsi" w:cstheme="minorHAnsi"/>
            </w:rPr>
            <w:t>t</w:t>
          </w:r>
          <w:r w:rsidR="006C63BC">
            <w:rPr>
              <w:rFonts w:asciiTheme="minorHAnsi" w:hAnsiTheme="minorHAnsi" w:cstheme="minorHAnsi"/>
            </w:rPr>
            <w:t>wo parts</w:t>
          </w:r>
          <w:r w:rsidR="007854D1">
            <w:rPr>
              <w:rFonts w:asciiTheme="minorHAnsi" w:hAnsiTheme="minorHAnsi" w:cstheme="minorHAnsi"/>
            </w:rPr>
            <w:t>, Part One</w:t>
          </w:r>
          <w:r>
            <w:rPr>
              <w:rFonts w:asciiTheme="minorHAnsi" w:hAnsiTheme="minorHAnsi" w:cstheme="minorHAnsi"/>
            </w:rPr>
            <w:t xml:space="preserve"> reviews Tesco PLC’s </w:t>
          </w:r>
          <w:r w:rsidR="007477EC">
            <w:rPr>
              <w:rFonts w:asciiTheme="minorHAnsi" w:hAnsiTheme="minorHAnsi" w:cstheme="minorHAnsi"/>
            </w:rPr>
            <w:t xml:space="preserve">2024 financial performance and </w:t>
          </w:r>
          <w:r w:rsidR="007854D1">
            <w:rPr>
              <w:rFonts w:asciiTheme="minorHAnsi" w:hAnsiTheme="minorHAnsi" w:cstheme="minorHAnsi"/>
            </w:rPr>
            <w:t xml:space="preserve">Part Two </w:t>
          </w:r>
          <w:r w:rsidR="005259B8">
            <w:rPr>
              <w:rFonts w:asciiTheme="minorHAnsi" w:hAnsiTheme="minorHAnsi" w:cstheme="minorHAnsi"/>
            </w:rPr>
            <w:t>appraises</w:t>
          </w:r>
          <w:r w:rsidR="007477EC">
            <w:rPr>
              <w:rFonts w:asciiTheme="minorHAnsi" w:hAnsiTheme="minorHAnsi" w:cstheme="minorHAnsi"/>
            </w:rPr>
            <w:t xml:space="preserve"> investment options for Westward Plc. </w:t>
          </w:r>
          <w:r w:rsidR="007854D1">
            <w:rPr>
              <w:rFonts w:asciiTheme="minorHAnsi" w:hAnsiTheme="minorHAnsi" w:cstheme="minorHAnsi"/>
            </w:rPr>
            <w:t xml:space="preserve">In Part One, </w:t>
          </w:r>
          <w:r w:rsidR="00A953E6">
            <w:rPr>
              <w:rFonts w:asciiTheme="minorHAnsi" w:hAnsiTheme="minorHAnsi" w:cstheme="minorHAnsi"/>
            </w:rPr>
            <w:t xml:space="preserve">Tesco’s financial performance provides critical </w:t>
          </w:r>
          <w:r w:rsidR="005D26A6">
            <w:rPr>
              <w:rFonts w:asciiTheme="minorHAnsi" w:hAnsiTheme="minorHAnsi" w:cstheme="minorHAnsi"/>
            </w:rPr>
            <w:t xml:space="preserve">insights for investors and stakeholders, informing decisions on capital allocation, dividend policy, and overall confidence in the company’s strategic direction. </w:t>
          </w:r>
          <w:r w:rsidR="007477EC">
            <w:rPr>
              <w:rFonts w:asciiTheme="minorHAnsi" w:hAnsiTheme="minorHAnsi" w:cstheme="minorHAnsi"/>
            </w:rPr>
            <w:t xml:space="preserve">Tesco </w:t>
          </w:r>
          <w:r w:rsidR="00CB3628">
            <w:rPr>
              <w:rFonts w:asciiTheme="minorHAnsi" w:hAnsiTheme="minorHAnsi" w:cstheme="minorHAnsi"/>
            </w:rPr>
            <w:t>demonstrates</w:t>
          </w:r>
          <w:r w:rsidR="007477EC">
            <w:rPr>
              <w:rFonts w:asciiTheme="minorHAnsi" w:hAnsiTheme="minorHAnsi" w:cstheme="minorHAnsi"/>
            </w:rPr>
            <w:t xml:space="preserve"> improv</w:t>
          </w:r>
          <w:r w:rsidR="00CB3628">
            <w:rPr>
              <w:rFonts w:asciiTheme="minorHAnsi" w:hAnsiTheme="minorHAnsi" w:cstheme="minorHAnsi"/>
            </w:rPr>
            <w:t>ements in</w:t>
          </w:r>
          <w:r w:rsidR="008914AB">
            <w:rPr>
              <w:rFonts w:asciiTheme="minorHAnsi" w:hAnsiTheme="minorHAnsi" w:cstheme="minorHAnsi"/>
            </w:rPr>
            <w:t xml:space="preserve"> profitability, liquidity and </w:t>
          </w:r>
          <w:r w:rsidR="00DF08BD">
            <w:rPr>
              <w:rFonts w:asciiTheme="minorHAnsi" w:hAnsiTheme="minorHAnsi" w:cstheme="minorHAnsi"/>
            </w:rPr>
            <w:t xml:space="preserve">operational </w:t>
          </w:r>
          <w:r w:rsidR="008914AB">
            <w:rPr>
              <w:rFonts w:asciiTheme="minorHAnsi" w:hAnsiTheme="minorHAnsi" w:cstheme="minorHAnsi"/>
            </w:rPr>
            <w:t>efficiency</w:t>
          </w:r>
          <w:r w:rsidR="00CB3628">
            <w:rPr>
              <w:rFonts w:asciiTheme="minorHAnsi" w:hAnsiTheme="minorHAnsi" w:cstheme="minorHAnsi"/>
            </w:rPr>
            <w:t xml:space="preserve"> over the period</w:t>
          </w:r>
          <w:r w:rsidR="008C472D">
            <w:rPr>
              <w:rFonts w:asciiTheme="minorHAnsi" w:hAnsiTheme="minorHAnsi" w:cstheme="minorHAnsi"/>
            </w:rPr>
            <w:t>.</w:t>
          </w:r>
          <w:r w:rsidR="008914AB">
            <w:rPr>
              <w:rFonts w:asciiTheme="minorHAnsi" w:hAnsiTheme="minorHAnsi" w:cstheme="minorHAnsi"/>
            </w:rPr>
            <w:t xml:space="preserve"> </w:t>
          </w:r>
          <w:r w:rsidR="008C472D">
            <w:rPr>
              <w:rFonts w:asciiTheme="minorHAnsi" w:hAnsiTheme="minorHAnsi" w:cstheme="minorHAnsi"/>
            </w:rPr>
            <w:t>H</w:t>
          </w:r>
          <w:r w:rsidR="00DF08BD">
            <w:rPr>
              <w:rFonts w:asciiTheme="minorHAnsi" w:hAnsiTheme="minorHAnsi" w:cstheme="minorHAnsi"/>
            </w:rPr>
            <w:t xml:space="preserve">owever, </w:t>
          </w:r>
          <w:r w:rsidR="00CB3628">
            <w:rPr>
              <w:rFonts w:asciiTheme="minorHAnsi" w:hAnsiTheme="minorHAnsi" w:cstheme="minorHAnsi"/>
            </w:rPr>
            <w:t>increasing</w:t>
          </w:r>
          <w:r w:rsidR="008914AB">
            <w:rPr>
              <w:rFonts w:asciiTheme="minorHAnsi" w:hAnsiTheme="minorHAnsi" w:cstheme="minorHAnsi"/>
            </w:rPr>
            <w:t xml:space="preserve"> leverage </w:t>
          </w:r>
          <w:r w:rsidR="008655CF">
            <w:rPr>
              <w:rFonts w:asciiTheme="minorHAnsi" w:hAnsiTheme="minorHAnsi" w:cstheme="minorHAnsi"/>
            </w:rPr>
            <w:t xml:space="preserve">and a weakening interest cover indicate </w:t>
          </w:r>
          <w:r w:rsidR="00033140">
            <w:rPr>
              <w:rFonts w:asciiTheme="minorHAnsi" w:hAnsiTheme="minorHAnsi" w:cstheme="minorHAnsi"/>
            </w:rPr>
            <w:t>increased debt-related exposure</w:t>
          </w:r>
          <w:r w:rsidR="00E011CA">
            <w:rPr>
              <w:rFonts w:asciiTheme="minorHAnsi" w:hAnsiTheme="minorHAnsi" w:cstheme="minorHAnsi"/>
            </w:rPr>
            <w:t>, which could constrain Tesco’s ability to invest in strategic initiatives</w:t>
          </w:r>
          <w:r w:rsidR="008914AB">
            <w:rPr>
              <w:rFonts w:asciiTheme="minorHAnsi" w:hAnsiTheme="minorHAnsi" w:cstheme="minorHAnsi"/>
            </w:rPr>
            <w:t xml:space="preserve">. </w:t>
          </w:r>
          <w:r w:rsidR="008163C8">
            <w:rPr>
              <w:rFonts w:asciiTheme="minorHAnsi" w:hAnsiTheme="minorHAnsi" w:cstheme="minorHAnsi"/>
            </w:rPr>
            <w:t>Consequently, s</w:t>
          </w:r>
          <w:r w:rsidR="008914AB">
            <w:rPr>
              <w:rFonts w:asciiTheme="minorHAnsi" w:hAnsiTheme="minorHAnsi" w:cstheme="minorHAnsi"/>
            </w:rPr>
            <w:t xml:space="preserve">trategic recommendations </w:t>
          </w:r>
          <w:r w:rsidR="00C43AD3">
            <w:rPr>
              <w:rFonts w:asciiTheme="minorHAnsi" w:hAnsiTheme="minorHAnsi" w:cstheme="minorHAnsi"/>
            </w:rPr>
            <w:t>focus on protecting operating margins</w:t>
          </w:r>
          <w:r w:rsidR="0023696C">
            <w:rPr>
              <w:rFonts w:asciiTheme="minorHAnsi" w:hAnsiTheme="minorHAnsi" w:cstheme="minorHAnsi"/>
            </w:rPr>
            <w:t>, strengthening cash flow generation, and exercising restraint over further debt-financed growth</w:t>
          </w:r>
          <w:r w:rsidR="00E8682F">
            <w:rPr>
              <w:rFonts w:asciiTheme="minorHAnsi" w:hAnsiTheme="minorHAnsi" w:cstheme="minorHAnsi"/>
            </w:rPr>
            <w:t>, alongside continued</w:t>
          </w:r>
          <w:r w:rsidR="008914AB">
            <w:rPr>
              <w:rFonts w:asciiTheme="minorHAnsi" w:hAnsiTheme="minorHAnsi" w:cstheme="minorHAnsi"/>
            </w:rPr>
            <w:t xml:space="preserve"> investment</w:t>
          </w:r>
          <w:r w:rsidR="00DF08BD">
            <w:rPr>
              <w:rFonts w:asciiTheme="minorHAnsi" w:hAnsiTheme="minorHAnsi" w:cstheme="minorHAnsi"/>
            </w:rPr>
            <w:t xml:space="preserve"> in digital </w:t>
          </w:r>
          <w:r w:rsidR="003F475C">
            <w:rPr>
              <w:rFonts w:asciiTheme="minorHAnsi" w:hAnsiTheme="minorHAnsi" w:cstheme="minorHAnsi"/>
            </w:rPr>
            <w:t>capabilities</w:t>
          </w:r>
          <w:r w:rsidR="00E8682F">
            <w:rPr>
              <w:rFonts w:asciiTheme="minorHAnsi" w:hAnsiTheme="minorHAnsi" w:cstheme="minorHAnsi"/>
            </w:rPr>
            <w:t xml:space="preserve"> and</w:t>
          </w:r>
          <w:r w:rsidR="008914AB">
            <w:rPr>
              <w:rFonts w:asciiTheme="minorHAnsi" w:hAnsiTheme="minorHAnsi" w:cstheme="minorHAnsi"/>
            </w:rPr>
            <w:t xml:space="preserve"> workforce </w:t>
          </w:r>
          <w:r w:rsidR="006711A4">
            <w:rPr>
              <w:rFonts w:asciiTheme="minorHAnsi" w:hAnsiTheme="minorHAnsi" w:cstheme="minorHAnsi"/>
            </w:rPr>
            <w:t>productivity to main</w:t>
          </w:r>
          <w:r w:rsidR="008914AB">
            <w:rPr>
              <w:rFonts w:asciiTheme="minorHAnsi" w:hAnsiTheme="minorHAnsi" w:cstheme="minorHAnsi"/>
            </w:rPr>
            <w:t>tain competitive advantage.</w:t>
          </w:r>
          <w:r w:rsidR="004F28A5">
            <w:rPr>
              <w:rFonts w:asciiTheme="minorHAnsi" w:hAnsiTheme="minorHAnsi" w:cstheme="minorHAnsi"/>
            </w:rPr>
            <w:t xml:space="preserve"> </w:t>
          </w:r>
          <w:r w:rsidR="006C63BC">
            <w:rPr>
              <w:rFonts w:asciiTheme="minorHAnsi" w:hAnsiTheme="minorHAnsi" w:cstheme="minorHAnsi"/>
            </w:rPr>
            <w:t>Part Two</w:t>
          </w:r>
          <w:r w:rsidR="00500777">
            <w:rPr>
              <w:rFonts w:asciiTheme="minorHAnsi" w:hAnsiTheme="minorHAnsi" w:cstheme="minorHAnsi"/>
            </w:rPr>
            <w:t xml:space="preserve"> focuses</w:t>
          </w:r>
          <w:r w:rsidR="006C63BC">
            <w:rPr>
              <w:rFonts w:asciiTheme="minorHAnsi" w:hAnsiTheme="minorHAnsi" w:cstheme="minorHAnsi"/>
            </w:rPr>
            <w:t xml:space="preserve"> </w:t>
          </w:r>
          <w:r w:rsidR="001E6204">
            <w:rPr>
              <w:rFonts w:asciiTheme="minorHAnsi" w:hAnsiTheme="minorHAnsi" w:cstheme="minorHAnsi"/>
            </w:rPr>
            <w:t xml:space="preserve">on </w:t>
          </w:r>
          <w:r w:rsidR="005D26A6">
            <w:rPr>
              <w:rFonts w:asciiTheme="minorHAnsi" w:hAnsiTheme="minorHAnsi" w:cstheme="minorHAnsi"/>
            </w:rPr>
            <w:t>Westward Plc</w:t>
          </w:r>
          <w:r w:rsidR="001E6204">
            <w:rPr>
              <w:rFonts w:asciiTheme="minorHAnsi" w:hAnsiTheme="minorHAnsi" w:cstheme="minorHAnsi"/>
            </w:rPr>
            <w:t xml:space="preserve">, where </w:t>
          </w:r>
          <w:r w:rsidR="001E6204">
            <w:rPr>
              <w:rFonts w:asciiTheme="minorHAnsi" w:hAnsiTheme="minorHAnsi" w:cstheme="minorHAnsi"/>
            </w:rPr>
            <w:t>a careful evaluation of</w:t>
          </w:r>
          <w:r w:rsidR="005D26A6">
            <w:rPr>
              <w:rFonts w:asciiTheme="minorHAnsi" w:hAnsiTheme="minorHAnsi" w:cstheme="minorHAnsi"/>
            </w:rPr>
            <w:t xml:space="preserve"> investment options is essential to ensure that limited capital is allocated to projects that maximise growth </w:t>
          </w:r>
          <w:r w:rsidR="006C63BC">
            <w:rPr>
              <w:rFonts w:asciiTheme="minorHAnsi" w:hAnsiTheme="minorHAnsi" w:cstheme="minorHAnsi"/>
            </w:rPr>
            <w:t>potential, strengthen market positioning, and deliver the highest returns under financial constraints.</w:t>
          </w:r>
          <w:r w:rsidR="005D26A6">
            <w:rPr>
              <w:rFonts w:asciiTheme="minorHAnsi" w:hAnsiTheme="minorHAnsi" w:cstheme="minorHAnsi"/>
            </w:rPr>
            <w:t xml:space="preserve"> </w:t>
          </w:r>
          <w:r w:rsidR="007D66AD">
            <w:rPr>
              <w:rFonts w:asciiTheme="minorHAnsi" w:hAnsiTheme="minorHAnsi" w:cstheme="minorHAnsi"/>
            </w:rPr>
            <w:t xml:space="preserve">For Westward Plc, three </w:t>
          </w:r>
          <w:r w:rsidR="005259B8">
            <w:rPr>
              <w:rFonts w:asciiTheme="minorHAnsi" w:hAnsiTheme="minorHAnsi" w:cstheme="minorHAnsi"/>
            </w:rPr>
            <w:t xml:space="preserve">mutually exclusive </w:t>
          </w:r>
          <w:r w:rsidR="007D66AD">
            <w:rPr>
              <w:rFonts w:asciiTheme="minorHAnsi" w:hAnsiTheme="minorHAnsi" w:cstheme="minorHAnsi"/>
            </w:rPr>
            <w:t xml:space="preserve">investment options were </w:t>
          </w:r>
          <w:r w:rsidR="005259B8">
            <w:rPr>
              <w:rFonts w:asciiTheme="minorHAnsi" w:hAnsiTheme="minorHAnsi" w:cstheme="minorHAnsi"/>
            </w:rPr>
            <w:t>evaluated</w:t>
          </w:r>
          <w:r w:rsidR="007D66AD">
            <w:rPr>
              <w:rFonts w:asciiTheme="minorHAnsi" w:hAnsiTheme="minorHAnsi" w:cstheme="minorHAnsi"/>
            </w:rPr>
            <w:t xml:space="preserve"> using</w:t>
          </w:r>
          <w:r w:rsidR="005259B8">
            <w:rPr>
              <w:rFonts w:asciiTheme="minorHAnsi" w:hAnsiTheme="minorHAnsi" w:cstheme="minorHAnsi"/>
            </w:rPr>
            <w:t xml:space="preserve"> Net Present Value</w:t>
          </w:r>
          <w:r w:rsidR="007D66AD">
            <w:rPr>
              <w:rFonts w:asciiTheme="minorHAnsi" w:hAnsiTheme="minorHAnsi" w:cstheme="minorHAnsi"/>
            </w:rPr>
            <w:t xml:space="preserve"> </w:t>
          </w:r>
          <w:r w:rsidR="005259B8">
            <w:rPr>
              <w:rFonts w:asciiTheme="minorHAnsi" w:hAnsiTheme="minorHAnsi" w:cstheme="minorHAnsi"/>
            </w:rPr>
            <w:t>(</w:t>
          </w:r>
          <w:r w:rsidR="007D66AD">
            <w:rPr>
              <w:rFonts w:asciiTheme="minorHAnsi" w:hAnsiTheme="minorHAnsi" w:cstheme="minorHAnsi"/>
            </w:rPr>
            <w:t>NPV</w:t>
          </w:r>
          <w:r w:rsidR="005259B8">
            <w:rPr>
              <w:rFonts w:asciiTheme="minorHAnsi" w:hAnsiTheme="minorHAnsi" w:cstheme="minorHAnsi"/>
            </w:rPr>
            <w:t>)</w:t>
          </w:r>
          <w:r w:rsidR="007D66AD">
            <w:rPr>
              <w:rFonts w:asciiTheme="minorHAnsi" w:hAnsiTheme="minorHAnsi" w:cstheme="minorHAnsi"/>
            </w:rPr>
            <w:t xml:space="preserve"> and</w:t>
          </w:r>
          <w:r w:rsidR="005259B8">
            <w:rPr>
              <w:rFonts w:asciiTheme="minorHAnsi" w:hAnsiTheme="minorHAnsi" w:cstheme="minorHAnsi"/>
            </w:rPr>
            <w:t xml:space="preserve"> Internal Rate of Return</w:t>
          </w:r>
          <w:r w:rsidR="007D66AD">
            <w:rPr>
              <w:rFonts w:asciiTheme="minorHAnsi" w:hAnsiTheme="minorHAnsi" w:cstheme="minorHAnsi"/>
            </w:rPr>
            <w:t xml:space="preserve"> </w:t>
          </w:r>
          <w:r w:rsidR="005259B8">
            <w:rPr>
              <w:rFonts w:asciiTheme="minorHAnsi" w:hAnsiTheme="minorHAnsi" w:cstheme="minorHAnsi"/>
            </w:rPr>
            <w:t>(</w:t>
          </w:r>
          <w:r w:rsidR="007D66AD">
            <w:rPr>
              <w:rFonts w:asciiTheme="minorHAnsi" w:hAnsiTheme="minorHAnsi" w:cstheme="minorHAnsi"/>
            </w:rPr>
            <w:t>IRR</w:t>
          </w:r>
          <w:r w:rsidR="005259B8">
            <w:rPr>
              <w:rFonts w:asciiTheme="minorHAnsi" w:hAnsiTheme="minorHAnsi" w:cstheme="minorHAnsi"/>
            </w:rPr>
            <w:t>)</w:t>
          </w:r>
          <w:r w:rsidR="003F475C">
            <w:rPr>
              <w:rFonts w:asciiTheme="minorHAnsi" w:hAnsiTheme="minorHAnsi" w:cstheme="minorHAnsi"/>
            </w:rPr>
            <w:t xml:space="preserve"> techniques</w:t>
          </w:r>
          <w:r w:rsidR="008077B8">
            <w:rPr>
              <w:rFonts w:asciiTheme="minorHAnsi" w:hAnsiTheme="minorHAnsi" w:cstheme="minorHAnsi"/>
            </w:rPr>
            <w:t xml:space="preserve">. </w:t>
          </w:r>
          <w:r w:rsidR="0028741A">
            <w:rPr>
              <w:rFonts w:asciiTheme="minorHAnsi" w:hAnsiTheme="minorHAnsi" w:cstheme="minorHAnsi"/>
            </w:rPr>
            <w:t>Option B has the highest standalone</w:t>
          </w:r>
          <w:r w:rsidR="00D63557">
            <w:rPr>
              <w:rFonts w:asciiTheme="minorHAnsi" w:hAnsiTheme="minorHAnsi" w:cstheme="minorHAnsi"/>
            </w:rPr>
            <w:t xml:space="preserve"> NPV, but u</w:t>
          </w:r>
          <w:r w:rsidR="000C6E51">
            <w:rPr>
              <w:rFonts w:asciiTheme="minorHAnsi" w:hAnsiTheme="minorHAnsi" w:cstheme="minorHAnsi"/>
            </w:rPr>
            <w:t xml:space="preserve">nder capital rationing, the optimal investment portfolio involves undertaking Options A and B in full and a proportion of Option C, reflecting both financial viability and strategic growth considerations. </w:t>
          </w:r>
          <w:r w:rsidR="00ED7978">
            <w:rPr>
              <w:rFonts w:asciiTheme="minorHAnsi" w:hAnsiTheme="minorHAnsi" w:cstheme="minorHAnsi"/>
            </w:rPr>
            <w:t>A</w:t>
          </w:r>
          <w:r w:rsidR="00000327">
            <w:rPr>
              <w:rFonts w:asciiTheme="minorHAnsi" w:hAnsiTheme="minorHAnsi" w:cstheme="minorHAnsi"/>
            </w:rPr>
            <w:t>ccordingly, a</w:t>
          </w:r>
          <w:r w:rsidR="00ED7978">
            <w:rPr>
              <w:rFonts w:asciiTheme="minorHAnsi" w:hAnsiTheme="minorHAnsi" w:cstheme="minorHAnsi"/>
            </w:rPr>
            <w:t xml:space="preserve"> blended financing strategy</w:t>
          </w:r>
          <w:r w:rsidR="00000327">
            <w:rPr>
              <w:rFonts w:asciiTheme="minorHAnsi" w:hAnsiTheme="minorHAnsi" w:cstheme="minorHAnsi"/>
            </w:rPr>
            <w:t xml:space="preserve"> that</w:t>
          </w:r>
          <w:r w:rsidR="00ED7978">
            <w:rPr>
              <w:rFonts w:asciiTheme="minorHAnsi" w:hAnsiTheme="minorHAnsi" w:cstheme="minorHAnsi"/>
            </w:rPr>
            <w:t xml:space="preserve"> combin</w:t>
          </w:r>
          <w:r w:rsidR="00000327">
            <w:rPr>
              <w:rFonts w:asciiTheme="minorHAnsi" w:hAnsiTheme="minorHAnsi" w:cstheme="minorHAnsi"/>
            </w:rPr>
            <w:t>es</w:t>
          </w:r>
          <w:r w:rsidR="00ED7978">
            <w:rPr>
              <w:rFonts w:asciiTheme="minorHAnsi" w:hAnsiTheme="minorHAnsi" w:cstheme="minorHAnsi"/>
            </w:rPr>
            <w:t xml:space="preserve"> retained earnings</w:t>
          </w:r>
          <w:r w:rsidR="00000327">
            <w:rPr>
              <w:rFonts w:asciiTheme="minorHAnsi" w:hAnsiTheme="minorHAnsi" w:cstheme="minorHAnsi"/>
            </w:rPr>
            <w:t xml:space="preserve"> with </w:t>
          </w:r>
          <w:r w:rsidR="00ED7978">
            <w:rPr>
              <w:rFonts w:asciiTheme="minorHAnsi" w:hAnsiTheme="minorHAnsi" w:cstheme="minorHAnsi"/>
            </w:rPr>
            <w:t>debt and equity</w:t>
          </w:r>
          <w:r w:rsidR="00000327">
            <w:rPr>
              <w:rFonts w:asciiTheme="minorHAnsi" w:hAnsiTheme="minorHAnsi" w:cstheme="minorHAnsi"/>
            </w:rPr>
            <w:t xml:space="preserve"> financing</w:t>
          </w:r>
          <w:r w:rsidR="00ED7978">
            <w:rPr>
              <w:rFonts w:asciiTheme="minorHAnsi" w:hAnsiTheme="minorHAnsi" w:cstheme="minorHAnsi"/>
            </w:rPr>
            <w:t xml:space="preserve"> is recommended to </w:t>
          </w:r>
          <w:r w:rsidR="00000327">
            <w:rPr>
              <w:rFonts w:asciiTheme="minorHAnsi" w:hAnsiTheme="minorHAnsi" w:cstheme="minorHAnsi"/>
            </w:rPr>
            <w:t>optimise</w:t>
          </w:r>
          <w:r w:rsidR="00ED7978">
            <w:rPr>
              <w:rFonts w:asciiTheme="minorHAnsi" w:hAnsiTheme="minorHAnsi" w:cstheme="minorHAnsi"/>
            </w:rPr>
            <w:t xml:space="preserve"> funding costs</w:t>
          </w:r>
          <w:r w:rsidR="00F06238">
            <w:rPr>
              <w:rFonts w:asciiTheme="minorHAnsi" w:hAnsiTheme="minorHAnsi" w:cstheme="minorHAnsi"/>
            </w:rPr>
            <w:t xml:space="preserve"> while managing financial risk</w:t>
          </w:r>
          <w:r w:rsidR="00ED7978">
            <w:rPr>
              <w:rFonts w:asciiTheme="minorHAnsi" w:hAnsiTheme="minorHAnsi" w:cstheme="minorHAnsi"/>
            </w:rPr>
            <w:t xml:space="preserve"> and </w:t>
          </w:r>
          <w:r w:rsidR="00F06238">
            <w:rPr>
              <w:rFonts w:asciiTheme="minorHAnsi" w:hAnsiTheme="minorHAnsi" w:cstheme="minorHAnsi"/>
            </w:rPr>
            <w:t xml:space="preserve">minimising </w:t>
          </w:r>
          <w:r w:rsidR="00ED7978">
            <w:rPr>
              <w:rFonts w:asciiTheme="minorHAnsi" w:hAnsiTheme="minorHAnsi" w:cstheme="minorHAnsi"/>
            </w:rPr>
            <w:t>shareholder dilution</w:t>
          </w:r>
          <w:r w:rsidR="00485516">
            <w:rPr>
              <w:rFonts w:asciiTheme="minorHAnsi" w:hAnsiTheme="minorHAnsi" w:cstheme="minorHAnsi"/>
            </w:rPr>
            <w:t xml:space="preserve">. </w:t>
          </w:r>
          <w:r w:rsidR="00DD052A">
            <w:rPr>
              <w:rFonts w:asciiTheme="minorHAnsi" w:hAnsiTheme="minorHAnsi" w:cstheme="minorHAnsi"/>
            </w:rPr>
            <w:t>Ultimately</w:t>
          </w:r>
          <w:r w:rsidR="002C041C">
            <w:rPr>
              <w:rFonts w:asciiTheme="minorHAnsi" w:hAnsiTheme="minorHAnsi" w:cstheme="minorHAnsi"/>
            </w:rPr>
            <w:t xml:space="preserve">, the findings </w:t>
          </w:r>
          <w:r w:rsidR="00ED7978">
            <w:rPr>
              <w:rFonts w:asciiTheme="minorHAnsi" w:hAnsiTheme="minorHAnsi" w:cstheme="minorHAnsi"/>
            </w:rPr>
            <w:t>highlight</w:t>
          </w:r>
          <w:r w:rsidR="002C041C">
            <w:rPr>
              <w:rFonts w:asciiTheme="minorHAnsi" w:hAnsiTheme="minorHAnsi" w:cstheme="minorHAnsi"/>
            </w:rPr>
            <w:t xml:space="preserve"> that </w:t>
          </w:r>
          <w:r w:rsidR="00E1047B">
            <w:rPr>
              <w:rFonts w:asciiTheme="minorHAnsi" w:hAnsiTheme="minorHAnsi" w:cstheme="minorHAnsi"/>
            </w:rPr>
            <w:t>disciplined</w:t>
          </w:r>
          <w:r w:rsidR="002C041C">
            <w:rPr>
              <w:rFonts w:asciiTheme="minorHAnsi" w:hAnsiTheme="minorHAnsi" w:cstheme="minorHAnsi"/>
            </w:rPr>
            <w:t xml:space="preserve"> financial management, </w:t>
          </w:r>
          <w:r w:rsidR="00884D0D">
            <w:rPr>
              <w:rFonts w:asciiTheme="minorHAnsi" w:hAnsiTheme="minorHAnsi" w:cstheme="minorHAnsi"/>
            </w:rPr>
            <w:t>prudent</w:t>
          </w:r>
          <w:r w:rsidR="00E1047B">
            <w:rPr>
              <w:rFonts w:asciiTheme="minorHAnsi" w:hAnsiTheme="minorHAnsi" w:cstheme="minorHAnsi"/>
            </w:rPr>
            <w:t xml:space="preserve"> capital structur</w:t>
          </w:r>
          <w:r w:rsidR="00884D0D">
            <w:rPr>
              <w:rFonts w:asciiTheme="minorHAnsi" w:hAnsiTheme="minorHAnsi" w:cstheme="minorHAnsi"/>
            </w:rPr>
            <w:t>ing</w:t>
          </w:r>
          <w:r w:rsidR="00E1047B">
            <w:rPr>
              <w:rFonts w:asciiTheme="minorHAnsi" w:hAnsiTheme="minorHAnsi" w:cstheme="minorHAnsi"/>
            </w:rPr>
            <w:t xml:space="preserve"> </w:t>
          </w:r>
          <w:r w:rsidR="0077632D">
            <w:rPr>
              <w:rFonts w:asciiTheme="minorHAnsi" w:hAnsiTheme="minorHAnsi" w:cstheme="minorHAnsi"/>
            </w:rPr>
            <w:t xml:space="preserve">and rigorous investment appraisal are essential to </w:t>
          </w:r>
          <w:r w:rsidR="00404181">
            <w:rPr>
              <w:rFonts w:asciiTheme="minorHAnsi" w:hAnsiTheme="minorHAnsi" w:cstheme="minorHAnsi"/>
            </w:rPr>
            <w:t>achieving</w:t>
          </w:r>
          <w:r w:rsidR="0077632D">
            <w:rPr>
              <w:rFonts w:asciiTheme="minorHAnsi" w:hAnsiTheme="minorHAnsi" w:cstheme="minorHAnsi"/>
            </w:rPr>
            <w:t xml:space="preserve"> long-term</w:t>
          </w:r>
          <w:r w:rsidR="00404181">
            <w:rPr>
              <w:rFonts w:asciiTheme="minorHAnsi" w:hAnsiTheme="minorHAnsi" w:cstheme="minorHAnsi"/>
            </w:rPr>
            <w:t xml:space="preserve"> sustainable</w:t>
          </w:r>
          <w:r w:rsidR="0077632D">
            <w:rPr>
              <w:rFonts w:asciiTheme="minorHAnsi" w:hAnsiTheme="minorHAnsi" w:cstheme="minorHAnsi"/>
            </w:rPr>
            <w:t xml:space="preserve"> growth</w:t>
          </w:r>
          <w:r w:rsidR="00E938ED">
            <w:rPr>
              <w:rFonts w:asciiTheme="minorHAnsi" w:hAnsiTheme="minorHAnsi" w:cstheme="minorHAnsi"/>
            </w:rPr>
            <w:t>, maintaining shareholder confidence</w:t>
          </w:r>
          <w:r w:rsidR="004E2C13">
            <w:rPr>
              <w:rFonts w:asciiTheme="minorHAnsi" w:hAnsiTheme="minorHAnsi" w:cstheme="minorHAnsi"/>
            </w:rPr>
            <w:t xml:space="preserve">, </w:t>
          </w:r>
          <w:r w:rsidR="0077632D">
            <w:rPr>
              <w:rFonts w:asciiTheme="minorHAnsi" w:hAnsiTheme="minorHAnsi" w:cstheme="minorHAnsi"/>
            </w:rPr>
            <w:t xml:space="preserve">and </w:t>
          </w:r>
          <w:r w:rsidR="004E2C13">
            <w:rPr>
              <w:rFonts w:asciiTheme="minorHAnsi" w:hAnsiTheme="minorHAnsi" w:cstheme="minorHAnsi"/>
            </w:rPr>
            <w:t>ensuring strategic resilience in a competitive</w:t>
          </w:r>
          <w:r w:rsidR="005861D7">
            <w:rPr>
              <w:rFonts w:asciiTheme="minorHAnsi" w:hAnsiTheme="minorHAnsi" w:cstheme="minorHAnsi"/>
            </w:rPr>
            <w:t xml:space="preserve"> market environment</w:t>
          </w:r>
          <w:r w:rsidR="002C041C">
            <w:rPr>
              <w:rFonts w:asciiTheme="minorHAnsi" w:hAnsiTheme="minorHAnsi" w:cstheme="minorHAnsi"/>
            </w:rPr>
            <w:t>.</w:t>
          </w:r>
        </w:p>
        <w:p w14:paraId="7B89D97A" w14:textId="77777777" w:rsidR="00542730" w:rsidRPr="00347E38" w:rsidRDefault="00542730">
          <w:pPr>
            <w:rPr>
              <w:rFonts w:asciiTheme="minorHAnsi" w:hAnsiTheme="minorHAnsi" w:cstheme="minorHAnsi"/>
            </w:rPr>
          </w:pPr>
        </w:p>
        <w:sdt>
          <w:sdtPr>
            <w:rPr>
              <w:rFonts w:asciiTheme="minorHAnsi" w:eastAsiaTheme="minorHAnsi" w:hAnsiTheme="minorHAnsi" w:cstheme="minorHAnsi"/>
              <w:color w:val="auto"/>
              <w:sz w:val="22"/>
              <w:szCs w:val="22"/>
              <w:lang w:val="en-GB"/>
            </w:rPr>
            <w:id w:val="-1297214018"/>
            <w:docPartObj>
              <w:docPartGallery w:val="Table of Contents"/>
              <w:docPartUnique/>
            </w:docPartObj>
          </w:sdtPr>
          <w:sdtEndPr>
            <w:rPr>
              <w:rFonts w:eastAsia="Times New Roman"/>
              <w:b/>
              <w:bCs/>
              <w:noProof/>
              <w:sz w:val="24"/>
              <w:szCs w:val="24"/>
            </w:rPr>
          </w:sdtEndPr>
          <w:sdtContent>
            <w:p w14:paraId="1DFECD67" w14:textId="77777777" w:rsidR="007D1947" w:rsidRPr="00347E38" w:rsidRDefault="007D1947">
              <w:pPr>
                <w:pStyle w:val="TOCHeading"/>
                <w:rPr>
                  <w:rFonts w:asciiTheme="minorHAnsi" w:hAnsiTheme="minorHAnsi" w:cstheme="minorHAnsi"/>
                </w:rPr>
              </w:pPr>
              <w:r w:rsidRPr="00347E38">
                <w:rPr>
                  <w:rFonts w:asciiTheme="minorHAnsi" w:hAnsiTheme="minorHAnsi" w:cstheme="minorHAnsi"/>
                </w:rPr>
                <w:t>Table of Contents</w:t>
              </w:r>
            </w:p>
            <w:p w14:paraId="4D06CB68" w14:textId="6E717DEC" w:rsidR="001D633E" w:rsidRPr="00347E38" w:rsidRDefault="007D1947">
              <w:pPr>
                <w:pStyle w:val="TOC1"/>
                <w:tabs>
                  <w:tab w:val="right" w:leader="dot" w:pos="9016"/>
                </w:tabs>
                <w:rPr>
                  <w:rFonts w:asciiTheme="minorHAnsi" w:eastAsiaTheme="minorEastAsia" w:hAnsiTheme="minorHAnsi" w:cstheme="minorHAnsi"/>
                  <w:noProof/>
                  <w:kern w:val="2"/>
                  <w14:ligatures w14:val="standardContextual"/>
                </w:rPr>
              </w:pPr>
              <w:r w:rsidRPr="00347E38">
                <w:rPr>
                  <w:rFonts w:asciiTheme="minorHAnsi" w:hAnsiTheme="minorHAnsi" w:cstheme="minorHAnsi"/>
                </w:rPr>
                <w:fldChar w:fldCharType="begin"/>
              </w:r>
              <w:r w:rsidRPr="00347E38">
                <w:rPr>
                  <w:rFonts w:asciiTheme="minorHAnsi" w:hAnsiTheme="minorHAnsi" w:cstheme="minorHAnsi"/>
                </w:rPr>
                <w:instrText xml:space="preserve"> TOC \o "1-3" \h \z \u </w:instrText>
              </w:r>
              <w:r w:rsidRPr="00347E38">
                <w:rPr>
                  <w:rFonts w:asciiTheme="minorHAnsi" w:hAnsiTheme="minorHAnsi" w:cstheme="minorHAnsi"/>
                </w:rPr>
                <w:fldChar w:fldCharType="separate"/>
              </w:r>
              <w:hyperlink w:anchor="_Toc216779312" w:history="1">
                <w:r w:rsidR="001D633E" w:rsidRPr="00347E38">
                  <w:rPr>
                    <w:rStyle w:val="Hyperlink"/>
                    <w:rFonts w:asciiTheme="minorHAnsi" w:hAnsiTheme="minorHAnsi" w:cstheme="minorHAnsi"/>
                    <w:noProof/>
                  </w:rPr>
                  <w:t>Executive Summary</w:t>
                </w:r>
                <w:r w:rsidR="001D633E" w:rsidRPr="00347E38">
                  <w:rPr>
                    <w:rFonts w:asciiTheme="minorHAnsi" w:hAnsiTheme="minorHAnsi" w:cstheme="minorHAnsi"/>
                    <w:noProof/>
                    <w:webHidden/>
                  </w:rPr>
                  <w:tab/>
                </w:r>
                <w:r w:rsidR="001D633E" w:rsidRPr="00347E38">
                  <w:rPr>
                    <w:rFonts w:asciiTheme="minorHAnsi" w:hAnsiTheme="minorHAnsi" w:cstheme="minorHAnsi"/>
                    <w:noProof/>
                    <w:webHidden/>
                  </w:rPr>
                  <w:fldChar w:fldCharType="begin"/>
                </w:r>
                <w:r w:rsidR="001D633E" w:rsidRPr="00347E38">
                  <w:rPr>
                    <w:rFonts w:asciiTheme="minorHAnsi" w:hAnsiTheme="minorHAnsi" w:cstheme="minorHAnsi"/>
                    <w:noProof/>
                    <w:webHidden/>
                  </w:rPr>
                  <w:instrText xml:space="preserve"> PAGEREF _Toc216779312 \h </w:instrText>
                </w:r>
                <w:r w:rsidR="001D633E" w:rsidRPr="00347E38">
                  <w:rPr>
                    <w:rFonts w:asciiTheme="minorHAnsi" w:hAnsiTheme="minorHAnsi" w:cstheme="minorHAnsi"/>
                    <w:noProof/>
                    <w:webHidden/>
                  </w:rPr>
                </w:r>
                <w:r w:rsidR="001D633E" w:rsidRPr="00347E38">
                  <w:rPr>
                    <w:rFonts w:asciiTheme="minorHAnsi" w:hAnsiTheme="minorHAnsi" w:cstheme="minorHAnsi"/>
                    <w:noProof/>
                    <w:webHidden/>
                  </w:rPr>
                  <w:fldChar w:fldCharType="separate"/>
                </w:r>
                <w:r w:rsidR="001D29A9">
                  <w:rPr>
                    <w:rFonts w:asciiTheme="minorHAnsi" w:hAnsiTheme="minorHAnsi" w:cstheme="minorHAnsi"/>
                    <w:noProof/>
                    <w:webHidden/>
                  </w:rPr>
                  <w:t>1</w:t>
                </w:r>
                <w:r w:rsidR="001D633E" w:rsidRPr="00347E38">
                  <w:rPr>
                    <w:rFonts w:asciiTheme="minorHAnsi" w:hAnsiTheme="minorHAnsi" w:cstheme="minorHAnsi"/>
                    <w:noProof/>
                    <w:webHidden/>
                  </w:rPr>
                  <w:fldChar w:fldCharType="end"/>
                </w:r>
              </w:hyperlink>
            </w:p>
            <w:p w14:paraId="18B638F7" w14:textId="6B11CCA9" w:rsidR="001D633E" w:rsidRPr="00347E38" w:rsidRDefault="001D633E">
              <w:pPr>
                <w:pStyle w:val="TOC1"/>
                <w:tabs>
                  <w:tab w:val="right" w:leader="dot" w:pos="9016"/>
                </w:tabs>
                <w:rPr>
                  <w:rFonts w:asciiTheme="minorHAnsi" w:eastAsiaTheme="minorEastAsia" w:hAnsiTheme="minorHAnsi" w:cstheme="minorHAnsi"/>
                  <w:noProof/>
                  <w:kern w:val="2"/>
                  <w14:ligatures w14:val="standardContextual"/>
                </w:rPr>
              </w:pPr>
              <w:hyperlink w:anchor="_Toc216779313" w:history="1">
                <w:r w:rsidRPr="00347E38">
                  <w:rPr>
                    <w:rStyle w:val="Hyperlink"/>
                    <w:rFonts w:asciiTheme="minorHAnsi" w:hAnsiTheme="minorHAnsi" w:cstheme="minorHAnsi"/>
                    <w:noProof/>
                  </w:rPr>
                  <w:t>Introduction</w:t>
                </w:r>
                <w:r w:rsidRPr="00347E38">
                  <w:rPr>
                    <w:rFonts w:asciiTheme="minorHAnsi" w:hAnsiTheme="minorHAnsi" w:cstheme="minorHAnsi"/>
                    <w:noProof/>
                    <w:webHidden/>
                  </w:rPr>
                  <w:tab/>
                </w:r>
                <w:r w:rsidRPr="00347E38">
                  <w:rPr>
                    <w:rFonts w:asciiTheme="minorHAnsi" w:hAnsiTheme="minorHAnsi" w:cstheme="minorHAnsi"/>
                    <w:noProof/>
                    <w:webHidden/>
                  </w:rPr>
                  <w:fldChar w:fldCharType="begin"/>
                </w:r>
                <w:r w:rsidRPr="00347E38">
                  <w:rPr>
                    <w:rFonts w:asciiTheme="minorHAnsi" w:hAnsiTheme="minorHAnsi" w:cstheme="minorHAnsi"/>
                    <w:noProof/>
                    <w:webHidden/>
                  </w:rPr>
                  <w:instrText xml:space="preserve"> PAGEREF _Toc216779313 \h </w:instrText>
                </w:r>
                <w:r w:rsidRPr="00347E38">
                  <w:rPr>
                    <w:rFonts w:asciiTheme="minorHAnsi" w:hAnsiTheme="minorHAnsi" w:cstheme="minorHAnsi"/>
                    <w:noProof/>
                    <w:webHidden/>
                  </w:rPr>
                </w:r>
                <w:r w:rsidRPr="00347E38">
                  <w:rPr>
                    <w:rFonts w:asciiTheme="minorHAnsi" w:hAnsiTheme="minorHAnsi" w:cstheme="minorHAnsi"/>
                    <w:noProof/>
                    <w:webHidden/>
                  </w:rPr>
                  <w:fldChar w:fldCharType="separate"/>
                </w:r>
                <w:r w:rsidR="001D29A9">
                  <w:rPr>
                    <w:rFonts w:asciiTheme="minorHAnsi" w:hAnsiTheme="minorHAnsi" w:cstheme="minorHAnsi"/>
                    <w:noProof/>
                    <w:webHidden/>
                  </w:rPr>
                  <w:t>2</w:t>
                </w:r>
                <w:r w:rsidRPr="00347E38">
                  <w:rPr>
                    <w:rFonts w:asciiTheme="minorHAnsi" w:hAnsiTheme="minorHAnsi" w:cstheme="minorHAnsi"/>
                    <w:noProof/>
                    <w:webHidden/>
                  </w:rPr>
                  <w:fldChar w:fldCharType="end"/>
                </w:r>
              </w:hyperlink>
            </w:p>
            <w:p w14:paraId="21B40997" w14:textId="0C76661E" w:rsidR="001D633E" w:rsidRPr="00347E38" w:rsidRDefault="001D633E">
              <w:pPr>
                <w:pStyle w:val="TOC1"/>
                <w:tabs>
                  <w:tab w:val="right" w:leader="dot" w:pos="9016"/>
                </w:tabs>
                <w:rPr>
                  <w:rFonts w:asciiTheme="minorHAnsi" w:eastAsiaTheme="minorEastAsia" w:hAnsiTheme="minorHAnsi" w:cstheme="minorHAnsi"/>
                  <w:noProof/>
                  <w:kern w:val="2"/>
                  <w14:ligatures w14:val="standardContextual"/>
                </w:rPr>
              </w:pPr>
              <w:hyperlink w:anchor="_Toc216779314" w:history="1">
                <w:r w:rsidRPr="00347E38">
                  <w:rPr>
                    <w:rStyle w:val="Hyperlink"/>
                    <w:rFonts w:asciiTheme="minorHAnsi" w:hAnsiTheme="minorHAnsi" w:cstheme="minorHAnsi"/>
                    <w:noProof/>
                  </w:rPr>
                  <w:t>Main Findings</w:t>
                </w:r>
                <w:r w:rsidRPr="00347E38">
                  <w:rPr>
                    <w:rFonts w:asciiTheme="minorHAnsi" w:hAnsiTheme="minorHAnsi" w:cstheme="minorHAnsi"/>
                    <w:noProof/>
                    <w:webHidden/>
                  </w:rPr>
                  <w:tab/>
                </w:r>
                <w:r w:rsidRPr="00347E38">
                  <w:rPr>
                    <w:rFonts w:asciiTheme="minorHAnsi" w:hAnsiTheme="minorHAnsi" w:cstheme="minorHAnsi"/>
                    <w:noProof/>
                    <w:webHidden/>
                  </w:rPr>
                  <w:fldChar w:fldCharType="begin"/>
                </w:r>
                <w:r w:rsidRPr="00347E38">
                  <w:rPr>
                    <w:rFonts w:asciiTheme="minorHAnsi" w:hAnsiTheme="minorHAnsi" w:cstheme="minorHAnsi"/>
                    <w:noProof/>
                    <w:webHidden/>
                  </w:rPr>
                  <w:instrText xml:space="preserve"> PAGEREF _Toc216779314 \h </w:instrText>
                </w:r>
                <w:r w:rsidRPr="00347E38">
                  <w:rPr>
                    <w:rFonts w:asciiTheme="minorHAnsi" w:hAnsiTheme="minorHAnsi" w:cstheme="minorHAnsi"/>
                    <w:noProof/>
                    <w:webHidden/>
                  </w:rPr>
                </w:r>
                <w:r w:rsidRPr="00347E38">
                  <w:rPr>
                    <w:rFonts w:asciiTheme="minorHAnsi" w:hAnsiTheme="minorHAnsi" w:cstheme="minorHAnsi"/>
                    <w:noProof/>
                    <w:webHidden/>
                  </w:rPr>
                  <w:fldChar w:fldCharType="separate"/>
                </w:r>
                <w:r w:rsidR="001D29A9">
                  <w:rPr>
                    <w:rFonts w:asciiTheme="minorHAnsi" w:hAnsiTheme="minorHAnsi" w:cstheme="minorHAnsi"/>
                    <w:noProof/>
                    <w:webHidden/>
                  </w:rPr>
                  <w:t>2</w:t>
                </w:r>
                <w:r w:rsidRPr="00347E38">
                  <w:rPr>
                    <w:rFonts w:asciiTheme="minorHAnsi" w:hAnsiTheme="minorHAnsi" w:cstheme="minorHAnsi"/>
                    <w:noProof/>
                    <w:webHidden/>
                  </w:rPr>
                  <w:fldChar w:fldCharType="end"/>
                </w:r>
              </w:hyperlink>
            </w:p>
            <w:p w14:paraId="12E09FA1" w14:textId="4A695047" w:rsidR="001D633E" w:rsidRPr="00347E38" w:rsidRDefault="001D633E">
              <w:pPr>
                <w:pStyle w:val="TOC2"/>
                <w:tabs>
                  <w:tab w:val="right" w:leader="dot" w:pos="9016"/>
                </w:tabs>
                <w:rPr>
                  <w:rFonts w:asciiTheme="minorHAnsi" w:eastAsiaTheme="minorEastAsia" w:hAnsiTheme="minorHAnsi" w:cstheme="minorHAnsi"/>
                  <w:noProof/>
                  <w:kern w:val="2"/>
                  <w14:ligatures w14:val="standardContextual"/>
                </w:rPr>
              </w:pPr>
              <w:hyperlink w:anchor="_Toc216779315" w:history="1">
                <w:r w:rsidRPr="00347E38">
                  <w:rPr>
                    <w:rStyle w:val="Hyperlink"/>
                    <w:rFonts w:asciiTheme="minorHAnsi" w:hAnsiTheme="minorHAnsi" w:cstheme="minorHAnsi"/>
                    <w:noProof/>
                  </w:rPr>
                  <w:t>Task 1</w:t>
                </w:r>
                <w:r w:rsidRPr="00347E38">
                  <w:rPr>
                    <w:rFonts w:asciiTheme="minorHAnsi" w:hAnsiTheme="minorHAnsi" w:cstheme="minorHAnsi"/>
                    <w:noProof/>
                    <w:webHidden/>
                  </w:rPr>
                  <w:tab/>
                </w:r>
                <w:r w:rsidRPr="00347E38">
                  <w:rPr>
                    <w:rFonts w:asciiTheme="minorHAnsi" w:hAnsiTheme="minorHAnsi" w:cstheme="minorHAnsi"/>
                    <w:noProof/>
                    <w:webHidden/>
                  </w:rPr>
                  <w:fldChar w:fldCharType="begin"/>
                </w:r>
                <w:r w:rsidRPr="00347E38">
                  <w:rPr>
                    <w:rFonts w:asciiTheme="minorHAnsi" w:hAnsiTheme="minorHAnsi" w:cstheme="minorHAnsi"/>
                    <w:noProof/>
                    <w:webHidden/>
                  </w:rPr>
                  <w:instrText xml:space="preserve"> PAGEREF _Toc216779315 \h </w:instrText>
                </w:r>
                <w:r w:rsidRPr="00347E38">
                  <w:rPr>
                    <w:rFonts w:asciiTheme="minorHAnsi" w:hAnsiTheme="minorHAnsi" w:cstheme="minorHAnsi"/>
                    <w:noProof/>
                    <w:webHidden/>
                  </w:rPr>
                </w:r>
                <w:r w:rsidRPr="00347E38">
                  <w:rPr>
                    <w:rFonts w:asciiTheme="minorHAnsi" w:hAnsiTheme="minorHAnsi" w:cstheme="minorHAnsi"/>
                    <w:noProof/>
                    <w:webHidden/>
                  </w:rPr>
                  <w:fldChar w:fldCharType="separate"/>
                </w:r>
                <w:r w:rsidR="001D29A9">
                  <w:rPr>
                    <w:rFonts w:asciiTheme="minorHAnsi" w:hAnsiTheme="minorHAnsi" w:cstheme="minorHAnsi"/>
                    <w:noProof/>
                    <w:webHidden/>
                  </w:rPr>
                  <w:t>2</w:t>
                </w:r>
                <w:r w:rsidRPr="00347E38">
                  <w:rPr>
                    <w:rFonts w:asciiTheme="minorHAnsi" w:hAnsiTheme="minorHAnsi" w:cstheme="minorHAnsi"/>
                    <w:noProof/>
                    <w:webHidden/>
                  </w:rPr>
                  <w:fldChar w:fldCharType="end"/>
                </w:r>
              </w:hyperlink>
            </w:p>
            <w:p w14:paraId="4E5898B0" w14:textId="4E87D42A" w:rsidR="001D633E" w:rsidRPr="00347E38" w:rsidRDefault="001D633E">
              <w:pPr>
                <w:pStyle w:val="TOC1"/>
                <w:tabs>
                  <w:tab w:val="right" w:leader="dot" w:pos="9016"/>
                </w:tabs>
                <w:rPr>
                  <w:rFonts w:asciiTheme="minorHAnsi" w:eastAsiaTheme="minorEastAsia" w:hAnsiTheme="minorHAnsi" w:cstheme="minorHAnsi"/>
                  <w:noProof/>
                  <w:kern w:val="2"/>
                  <w14:ligatures w14:val="standardContextual"/>
                </w:rPr>
              </w:pPr>
              <w:hyperlink w:anchor="_Toc216779316" w:history="1">
                <w:r w:rsidRPr="00347E38">
                  <w:rPr>
                    <w:rStyle w:val="Hyperlink"/>
                    <w:rFonts w:asciiTheme="minorHAnsi" w:hAnsiTheme="minorHAnsi" w:cstheme="minorHAnsi"/>
                    <w:noProof/>
                  </w:rPr>
                  <w:t>Financial Analysis</w:t>
                </w:r>
                <w:r w:rsidRPr="00347E38">
                  <w:rPr>
                    <w:rFonts w:asciiTheme="minorHAnsi" w:hAnsiTheme="minorHAnsi" w:cstheme="minorHAnsi"/>
                    <w:noProof/>
                    <w:webHidden/>
                  </w:rPr>
                  <w:tab/>
                </w:r>
                <w:r w:rsidRPr="00347E38">
                  <w:rPr>
                    <w:rFonts w:asciiTheme="minorHAnsi" w:hAnsiTheme="minorHAnsi" w:cstheme="minorHAnsi"/>
                    <w:noProof/>
                    <w:webHidden/>
                  </w:rPr>
                  <w:fldChar w:fldCharType="begin"/>
                </w:r>
                <w:r w:rsidRPr="00347E38">
                  <w:rPr>
                    <w:rFonts w:asciiTheme="minorHAnsi" w:hAnsiTheme="minorHAnsi" w:cstheme="minorHAnsi"/>
                    <w:noProof/>
                    <w:webHidden/>
                  </w:rPr>
                  <w:instrText xml:space="preserve"> PAGEREF _Toc216779316 \h </w:instrText>
                </w:r>
                <w:r w:rsidRPr="00347E38">
                  <w:rPr>
                    <w:rFonts w:asciiTheme="minorHAnsi" w:hAnsiTheme="minorHAnsi" w:cstheme="minorHAnsi"/>
                    <w:noProof/>
                    <w:webHidden/>
                  </w:rPr>
                </w:r>
                <w:r w:rsidRPr="00347E38">
                  <w:rPr>
                    <w:rFonts w:asciiTheme="minorHAnsi" w:hAnsiTheme="minorHAnsi" w:cstheme="minorHAnsi"/>
                    <w:noProof/>
                    <w:webHidden/>
                  </w:rPr>
                  <w:fldChar w:fldCharType="separate"/>
                </w:r>
                <w:r w:rsidR="001D29A9">
                  <w:rPr>
                    <w:rFonts w:asciiTheme="minorHAnsi" w:hAnsiTheme="minorHAnsi" w:cstheme="minorHAnsi"/>
                    <w:noProof/>
                    <w:webHidden/>
                  </w:rPr>
                  <w:t>4</w:t>
                </w:r>
                <w:r w:rsidRPr="00347E38">
                  <w:rPr>
                    <w:rFonts w:asciiTheme="minorHAnsi" w:hAnsiTheme="minorHAnsi" w:cstheme="minorHAnsi"/>
                    <w:noProof/>
                    <w:webHidden/>
                  </w:rPr>
                  <w:fldChar w:fldCharType="end"/>
                </w:r>
              </w:hyperlink>
            </w:p>
            <w:p w14:paraId="37E6706E" w14:textId="6824ADCA" w:rsidR="001D633E" w:rsidRPr="00347E38" w:rsidRDefault="001D633E">
              <w:pPr>
                <w:pStyle w:val="TOC1"/>
                <w:tabs>
                  <w:tab w:val="right" w:leader="dot" w:pos="9016"/>
                </w:tabs>
                <w:rPr>
                  <w:rFonts w:asciiTheme="minorHAnsi" w:eastAsiaTheme="minorEastAsia" w:hAnsiTheme="minorHAnsi" w:cstheme="minorHAnsi"/>
                  <w:noProof/>
                  <w:kern w:val="2"/>
                  <w14:ligatures w14:val="standardContextual"/>
                </w:rPr>
              </w:pPr>
              <w:hyperlink w:anchor="_Toc216779317" w:history="1">
                <w:r w:rsidRPr="00347E38">
                  <w:rPr>
                    <w:rStyle w:val="Hyperlink"/>
                    <w:rFonts w:asciiTheme="minorHAnsi" w:hAnsiTheme="minorHAnsi" w:cstheme="minorHAnsi"/>
                    <w:noProof/>
                  </w:rPr>
                  <w:t>Task 2</w:t>
                </w:r>
                <w:r w:rsidRPr="00347E38">
                  <w:rPr>
                    <w:rFonts w:asciiTheme="minorHAnsi" w:hAnsiTheme="minorHAnsi" w:cstheme="minorHAnsi"/>
                    <w:noProof/>
                    <w:webHidden/>
                  </w:rPr>
                  <w:tab/>
                </w:r>
                <w:r w:rsidRPr="00347E38">
                  <w:rPr>
                    <w:rFonts w:asciiTheme="minorHAnsi" w:hAnsiTheme="minorHAnsi" w:cstheme="minorHAnsi"/>
                    <w:noProof/>
                    <w:webHidden/>
                  </w:rPr>
                  <w:fldChar w:fldCharType="begin"/>
                </w:r>
                <w:r w:rsidRPr="00347E38">
                  <w:rPr>
                    <w:rFonts w:asciiTheme="minorHAnsi" w:hAnsiTheme="minorHAnsi" w:cstheme="minorHAnsi"/>
                    <w:noProof/>
                    <w:webHidden/>
                  </w:rPr>
                  <w:instrText xml:space="preserve"> PAGEREF _Toc216779317 \h </w:instrText>
                </w:r>
                <w:r w:rsidRPr="00347E38">
                  <w:rPr>
                    <w:rFonts w:asciiTheme="minorHAnsi" w:hAnsiTheme="minorHAnsi" w:cstheme="minorHAnsi"/>
                    <w:noProof/>
                    <w:webHidden/>
                  </w:rPr>
                </w:r>
                <w:r w:rsidRPr="00347E38">
                  <w:rPr>
                    <w:rFonts w:asciiTheme="minorHAnsi" w:hAnsiTheme="minorHAnsi" w:cstheme="minorHAnsi"/>
                    <w:noProof/>
                    <w:webHidden/>
                  </w:rPr>
                  <w:fldChar w:fldCharType="separate"/>
                </w:r>
                <w:r w:rsidR="001D29A9">
                  <w:rPr>
                    <w:rFonts w:asciiTheme="minorHAnsi" w:hAnsiTheme="minorHAnsi" w:cstheme="minorHAnsi"/>
                    <w:noProof/>
                    <w:webHidden/>
                  </w:rPr>
                  <w:t>6</w:t>
                </w:r>
                <w:r w:rsidRPr="00347E38">
                  <w:rPr>
                    <w:rFonts w:asciiTheme="minorHAnsi" w:hAnsiTheme="minorHAnsi" w:cstheme="minorHAnsi"/>
                    <w:noProof/>
                    <w:webHidden/>
                  </w:rPr>
                  <w:fldChar w:fldCharType="end"/>
                </w:r>
              </w:hyperlink>
            </w:p>
            <w:p w14:paraId="1E73F34C" w14:textId="50705FBE" w:rsidR="001D633E" w:rsidRPr="00347E38" w:rsidRDefault="001D633E">
              <w:pPr>
                <w:pStyle w:val="TOC1"/>
                <w:tabs>
                  <w:tab w:val="right" w:leader="dot" w:pos="9016"/>
                </w:tabs>
                <w:rPr>
                  <w:rFonts w:asciiTheme="minorHAnsi" w:eastAsiaTheme="minorEastAsia" w:hAnsiTheme="minorHAnsi" w:cstheme="minorHAnsi"/>
                  <w:noProof/>
                  <w:kern w:val="2"/>
                  <w14:ligatures w14:val="standardContextual"/>
                </w:rPr>
              </w:pPr>
              <w:hyperlink w:anchor="_Toc216779318" w:history="1">
                <w:r w:rsidRPr="00347E38">
                  <w:rPr>
                    <w:rStyle w:val="Hyperlink"/>
                    <w:rFonts w:asciiTheme="minorHAnsi" w:hAnsiTheme="minorHAnsi" w:cstheme="minorHAnsi"/>
                    <w:noProof/>
                  </w:rPr>
                  <w:t>Conclusion</w:t>
                </w:r>
                <w:r w:rsidRPr="00347E38">
                  <w:rPr>
                    <w:rFonts w:asciiTheme="minorHAnsi" w:hAnsiTheme="minorHAnsi" w:cstheme="minorHAnsi"/>
                    <w:noProof/>
                    <w:webHidden/>
                  </w:rPr>
                  <w:tab/>
                </w:r>
                <w:r w:rsidRPr="00347E38">
                  <w:rPr>
                    <w:rFonts w:asciiTheme="minorHAnsi" w:hAnsiTheme="minorHAnsi" w:cstheme="minorHAnsi"/>
                    <w:noProof/>
                    <w:webHidden/>
                  </w:rPr>
                  <w:fldChar w:fldCharType="begin"/>
                </w:r>
                <w:r w:rsidRPr="00347E38">
                  <w:rPr>
                    <w:rFonts w:asciiTheme="minorHAnsi" w:hAnsiTheme="minorHAnsi" w:cstheme="minorHAnsi"/>
                    <w:noProof/>
                    <w:webHidden/>
                  </w:rPr>
                  <w:instrText xml:space="preserve"> PAGEREF _Toc216779318 \h </w:instrText>
                </w:r>
                <w:r w:rsidRPr="00347E38">
                  <w:rPr>
                    <w:rFonts w:asciiTheme="minorHAnsi" w:hAnsiTheme="minorHAnsi" w:cstheme="minorHAnsi"/>
                    <w:noProof/>
                    <w:webHidden/>
                  </w:rPr>
                </w:r>
                <w:r w:rsidRPr="00347E38">
                  <w:rPr>
                    <w:rFonts w:asciiTheme="minorHAnsi" w:hAnsiTheme="minorHAnsi" w:cstheme="minorHAnsi"/>
                    <w:noProof/>
                    <w:webHidden/>
                  </w:rPr>
                  <w:fldChar w:fldCharType="separate"/>
                </w:r>
                <w:r w:rsidR="001D29A9">
                  <w:rPr>
                    <w:rFonts w:asciiTheme="minorHAnsi" w:hAnsiTheme="minorHAnsi" w:cstheme="minorHAnsi"/>
                    <w:noProof/>
                    <w:webHidden/>
                  </w:rPr>
                  <w:t>8</w:t>
                </w:r>
                <w:r w:rsidRPr="00347E38">
                  <w:rPr>
                    <w:rFonts w:asciiTheme="minorHAnsi" w:hAnsiTheme="minorHAnsi" w:cstheme="minorHAnsi"/>
                    <w:noProof/>
                    <w:webHidden/>
                  </w:rPr>
                  <w:fldChar w:fldCharType="end"/>
                </w:r>
              </w:hyperlink>
            </w:p>
            <w:p w14:paraId="61495B16" w14:textId="1C441F3E" w:rsidR="001D633E" w:rsidRPr="00347E38" w:rsidRDefault="001D633E">
              <w:pPr>
                <w:pStyle w:val="TOC1"/>
                <w:tabs>
                  <w:tab w:val="right" w:leader="dot" w:pos="9016"/>
                </w:tabs>
                <w:rPr>
                  <w:rFonts w:asciiTheme="minorHAnsi" w:eastAsiaTheme="minorEastAsia" w:hAnsiTheme="minorHAnsi" w:cstheme="minorHAnsi"/>
                  <w:noProof/>
                  <w:kern w:val="2"/>
                  <w14:ligatures w14:val="standardContextual"/>
                </w:rPr>
              </w:pPr>
              <w:hyperlink w:anchor="_Toc216779319" w:history="1">
                <w:r w:rsidRPr="00347E38">
                  <w:rPr>
                    <w:rStyle w:val="Hyperlink"/>
                    <w:rFonts w:asciiTheme="minorHAnsi" w:hAnsiTheme="minorHAnsi" w:cstheme="minorHAnsi"/>
                    <w:noProof/>
                  </w:rPr>
                  <w:t>Appendix:</w:t>
                </w:r>
                <w:r w:rsidRPr="00347E38">
                  <w:rPr>
                    <w:rFonts w:asciiTheme="minorHAnsi" w:hAnsiTheme="minorHAnsi" w:cstheme="minorHAnsi"/>
                    <w:noProof/>
                    <w:webHidden/>
                  </w:rPr>
                  <w:tab/>
                </w:r>
                <w:r w:rsidRPr="00347E38">
                  <w:rPr>
                    <w:rFonts w:asciiTheme="minorHAnsi" w:hAnsiTheme="minorHAnsi" w:cstheme="minorHAnsi"/>
                    <w:noProof/>
                    <w:webHidden/>
                  </w:rPr>
                  <w:fldChar w:fldCharType="begin"/>
                </w:r>
                <w:r w:rsidRPr="00347E38">
                  <w:rPr>
                    <w:rFonts w:asciiTheme="minorHAnsi" w:hAnsiTheme="minorHAnsi" w:cstheme="minorHAnsi"/>
                    <w:noProof/>
                    <w:webHidden/>
                  </w:rPr>
                  <w:instrText xml:space="preserve"> PAGEREF _Toc216779319 \h </w:instrText>
                </w:r>
                <w:r w:rsidRPr="00347E38">
                  <w:rPr>
                    <w:rFonts w:asciiTheme="minorHAnsi" w:hAnsiTheme="minorHAnsi" w:cstheme="minorHAnsi"/>
                    <w:noProof/>
                    <w:webHidden/>
                  </w:rPr>
                </w:r>
                <w:r w:rsidRPr="00347E38">
                  <w:rPr>
                    <w:rFonts w:asciiTheme="minorHAnsi" w:hAnsiTheme="minorHAnsi" w:cstheme="minorHAnsi"/>
                    <w:noProof/>
                    <w:webHidden/>
                  </w:rPr>
                  <w:fldChar w:fldCharType="separate"/>
                </w:r>
                <w:r w:rsidR="001D29A9">
                  <w:rPr>
                    <w:rFonts w:asciiTheme="minorHAnsi" w:hAnsiTheme="minorHAnsi" w:cstheme="minorHAnsi"/>
                    <w:noProof/>
                    <w:webHidden/>
                  </w:rPr>
                  <w:t>10</w:t>
                </w:r>
                <w:r w:rsidRPr="00347E38">
                  <w:rPr>
                    <w:rFonts w:asciiTheme="minorHAnsi" w:hAnsiTheme="minorHAnsi" w:cstheme="minorHAnsi"/>
                    <w:noProof/>
                    <w:webHidden/>
                  </w:rPr>
                  <w:fldChar w:fldCharType="end"/>
                </w:r>
              </w:hyperlink>
            </w:p>
            <w:p w14:paraId="563848D6" w14:textId="54AD13B3" w:rsidR="001D633E" w:rsidRPr="00347E38" w:rsidRDefault="001D633E">
              <w:pPr>
                <w:pStyle w:val="TOC1"/>
                <w:tabs>
                  <w:tab w:val="right" w:leader="dot" w:pos="9016"/>
                </w:tabs>
                <w:rPr>
                  <w:rFonts w:asciiTheme="minorHAnsi" w:eastAsiaTheme="minorEastAsia" w:hAnsiTheme="minorHAnsi" w:cstheme="minorHAnsi"/>
                  <w:noProof/>
                  <w:kern w:val="2"/>
                  <w14:ligatures w14:val="standardContextual"/>
                </w:rPr>
              </w:pPr>
              <w:hyperlink w:anchor="_Toc216779320" w:history="1">
                <w:r w:rsidRPr="00347E38">
                  <w:rPr>
                    <w:rStyle w:val="Hyperlink"/>
                    <w:rFonts w:asciiTheme="minorHAnsi" w:hAnsiTheme="minorHAnsi" w:cstheme="minorHAnsi"/>
                    <w:noProof/>
                  </w:rPr>
                  <w:t>Part 1 - Tesco Ratio Analysis: Interpretation of 2023–2024 Financial Performance</w:t>
                </w:r>
                <w:r w:rsidRPr="00347E38">
                  <w:rPr>
                    <w:rFonts w:asciiTheme="minorHAnsi" w:hAnsiTheme="minorHAnsi" w:cstheme="minorHAnsi"/>
                    <w:noProof/>
                    <w:webHidden/>
                  </w:rPr>
                  <w:tab/>
                </w:r>
                <w:r w:rsidRPr="00347E38">
                  <w:rPr>
                    <w:rFonts w:asciiTheme="minorHAnsi" w:hAnsiTheme="minorHAnsi" w:cstheme="minorHAnsi"/>
                    <w:noProof/>
                    <w:webHidden/>
                  </w:rPr>
                  <w:fldChar w:fldCharType="begin"/>
                </w:r>
                <w:r w:rsidRPr="00347E38">
                  <w:rPr>
                    <w:rFonts w:asciiTheme="minorHAnsi" w:hAnsiTheme="minorHAnsi" w:cstheme="minorHAnsi"/>
                    <w:noProof/>
                    <w:webHidden/>
                  </w:rPr>
                  <w:instrText xml:space="preserve"> PAGEREF _Toc216779320 \h </w:instrText>
                </w:r>
                <w:r w:rsidRPr="00347E38">
                  <w:rPr>
                    <w:rFonts w:asciiTheme="minorHAnsi" w:hAnsiTheme="minorHAnsi" w:cstheme="minorHAnsi"/>
                    <w:noProof/>
                    <w:webHidden/>
                  </w:rPr>
                </w:r>
                <w:r w:rsidRPr="00347E38">
                  <w:rPr>
                    <w:rFonts w:asciiTheme="minorHAnsi" w:hAnsiTheme="minorHAnsi" w:cstheme="minorHAnsi"/>
                    <w:noProof/>
                    <w:webHidden/>
                  </w:rPr>
                  <w:fldChar w:fldCharType="separate"/>
                </w:r>
                <w:r w:rsidR="001D29A9">
                  <w:rPr>
                    <w:rFonts w:asciiTheme="minorHAnsi" w:hAnsiTheme="minorHAnsi" w:cstheme="minorHAnsi"/>
                    <w:noProof/>
                    <w:webHidden/>
                  </w:rPr>
                  <w:t>10</w:t>
                </w:r>
                <w:r w:rsidRPr="00347E38">
                  <w:rPr>
                    <w:rFonts w:asciiTheme="minorHAnsi" w:hAnsiTheme="minorHAnsi" w:cstheme="minorHAnsi"/>
                    <w:noProof/>
                    <w:webHidden/>
                  </w:rPr>
                  <w:fldChar w:fldCharType="end"/>
                </w:r>
              </w:hyperlink>
            </w:p>
            <w:p w14:paraId="484F1E85" w14:textId="4B020938" w:rsidR="001D633E" w:rsidRPr="00347E38" w:rsidRDefault="001D633E">
              <w:pPr>
                <w:pStyle w:val="TOC1"/>
                <w:tabs>
                  <w:tab w:val="right" w:leader="dot" w:pos="9016"/>
                </w:tabs>
                <w:rPr>
                  <w:rFonts w:asciiTheme="minorHAnsi" w:eastAsiaTheme="minorEastAsia" w:hAnsiTheme="minorHAnsi" w:cstheme="minorHAnsi"/>
                  <w:noProof/>
                  <w:kern w:val="2"/>
                  <w14:ligatures w14:val="standardContextual"/>
                </w:rPr>
              </w:pPr>
              <w:hyperlink w:anchor="_Toc216779321" w:history="1">
                <w:r w:rsidRPr="00347E38">
                  <w:rPr>
                    <w:rStyle w:val="Hyperlink"/>
                    <w:rFonts w:asciiTheme="minorHAnsi" w:hAnsiTheme="minorHAnsi" w:cstheme="minorHAnsi"/>
                    <w:noProof/>
                  </w:rPr>
                  <w:t>Part 2 - Investment Appraisal Calculations for Westward Plc</w:t>
                </w:r>
                <w:r w:rsidRPr="00347E38">
                  <w:rPr>
                    <w:rFonts w:asciiTheme="minorHAnsi" w:hAnsiTheme="minorHAnsi" w:cstheme="minorHAnsi"/>
                    <w:noProof/>
                    <w:webHidden/>
                  </w:rPr>
                  <w:tab/>
                </w:r>
                <w:r w:rsidRPr="00347E38">
                  <w:rPr>
                    <w:rFonts w:asciiTheme="minorHAnsi" w:hAnsiTheme="minorHAnsi" w:cstheme="minorHAnsi"/>
                    <w:noProof/>
                    <w:webHidden/>
                  </w:rPr>
                  <w:fldChar w:fldCharType="begin"/>
                </w:r>
                <w:r w:rsidRPr="00347E38">
                  <w:rPr>
                    <w:rFonts w:asciiTheme="minorHAnsi" w:hAnsiTheme="minorHAnsi" w:cstheme="minorHAnsi"/>
                    <w:noProof/>
                    <w:webHidden/>
                  </w:rPr>
                  <w:instrText xml:space="preserve"> PAGEREF _Toc216779321 \h </w:instrText>
                </w:r>
                <w:r w:rsidRPr="00347E38">
                  <w:rPr>
                    <w:rFonts w:asciiTheme="minorHAnsi" w:hAnsiTheme="minorHAnsi" w:cstheme="minorHAnsi"/>
                    <w:noProof/>
                    <w:webHidden/>
                  </w:rPr>
                </w:r>
                <w:r w:rsidRPr="00347E38">
                  <w:rPr>
                    <w:rFonts w:asciiTheme="minorHAnsi" w:hAnsiTheme="minorHAnsi" w:cstheme="minorHAnsi"/>
                    <w:noProof/>
                    <w:webHidden/>
                  </w:rPr>
                  <w:fldChar w:fldCharType="separate"/>
                </w:r>
                <w:r w:rsidR="001D29A9">
                  <w:rPr>
                    <w:rFonts w:asciiTheme="minorHAnsi" w:hAnsiTheme="minorHAnsi" w:cstheme="minorHAnsi"/>
                    <w:noProof/>
                    <w:webHidden/>
                  </w:rPr>
                  <w:t>14</w:t>
                </w:r>
                <w:r w:rsidRPr="00347E38">
                  <w:rPr>
                    <w:rFonts w:asciiTheme="minorHAnsi" w:hAnsiTheme="minorHAnsi" w:cstheme="minorHAnsi"/>
                    <w:noProof/>
                    <w:webHidden/>
                  </w:rPr>
                  <w:fldChar w:fldCharType="end"/>
                </w:r>
              </w:hyperlink>
            </w:p>
            <w:p w14:paraId="1E52B9EC" w14:textId="347FBC48" w:rsidR="001D633E" w:rsidRPr="00347E38" w:rsidRDefault="001D633E">
              <w:pPr>
                <w:pStyle w:val="TOC1"/>
                <w:tabs>
                  <w:tab w:val="right" w:leader="dot" w:pos="9016"/>
                </w:tabs>
                <w:rPr>
                  <w:rFonts w:asciiTheme="minorHAnsi" w:eastAsiaTheme="minorEastAsia" w:hAnsiTheme="minorHAnsi" w:cstheme="minorHAnsi"/>
                  <w:noProof/>
                  <w:kern w:val="2"/>
                  <w14:ligatures w14:val="standardContextual"/>
                </w:rPr>
              </w:pPr>
              <w:hyperlink w:anchor="_Toc216779322" w:history="1">
                <w:r w:rsidRPr="00347E38">
                  <w:rPr>
                    <w:rStyle w:val="Hyperlink"/>
                    <w:rFonts w:asciiTheme="minorHAnsi" w:hAnsiTheme="minorHAnsi" w:cstheme="minorHAnsi"/>
                    <w:noProof/>
                  </w:rPr>
                  <w:t>Academic References:</w:t>
                </w:r>
                <w:r w:rsidRPr="00347E38">
                  <w:rPr>
                    <w:rFonts w:asciiTheme="minorHAnsi" w:hAnsiTheme="minorHAnsi" w:cstheme="minorHAnsi"/>
                    <w:noProof/>
                    <w:webHidden/>
                  </w:rPr>
                  <w:tab/>
                </w:r>
                <w:r w:rsidRPr="00347E38">
                  <w:rPr>
                    <w:rFonts w:asciiTheme="minorHAnsi" w:hAnsiTheme="minorHAnsi" w:cstheme="minorHAnsi"/>
                    <w:noProof/>
                    <w:webHidden/>
                  </w:rPr>
                  <w:fldChar w:fldCharType="begin"/>
                </w:r>
                <w:r w:rsidRPr="00347E38">
                  <w:rPr>
                    <w:rFonts w:asciiTheme="minorHAnsi" w:hAnsiTheme="minorHAnsi" w:cstheme="minorHAnsi"/>
                    <w:noProof/>
                    <w:webHidden/>
                  </w:rPr>
                  <w:instrText xml:space="preserve"> PAGEREF _Toc216779322 \h </w:instrText>
                </w:r>
                <w:r w:rsidRPr="00347E38">
                  <w:rPr>
                    <w:rFonts w:asciiTheme="minorHAnsi" w:hAnsiTheme="minorHAnsi" w:cstheme="minorHAnsi"/>
                    <w:noProof/>
                    <w:webHidden/>
                  </w:rPr>
                </w:r>
                <w:r w:rsidRPr="00347E38">
                  <w:rPr>
                    <w:rFonts w:asciiTheme="minorHAnsi" w:hAnsiTheme="minorHAnsi" w:cstheme="minorHAnsi"/>
                    <w:noProof/>
                    <w:webHidden/>
                  </w:rPr>
                  <w:fldChar w:fldCharType="separate"/>
                </w:r>
                <w:r w:rsidR="001D29A9">
                  <w:rPr>
                    <w:rFonts w:asciiTheme="minorHAnsi" w:hAnsiTheme="minorHAnsi" w:cstheme="minorHAnsi"/>
                    <w:noProof/>
                    <w:webHidden/>
                  </w:rPr>
                  <w:t>19</w:t>
                </w:r>
                <w:r w:rsidRPr="00347E38">
                  <w:rPr>
                    <w:rFonts w:asciiTheme="minorHAnsi" w:hAnsiTheme="minorHAnsi" w:cstheme="minorHAnsi"/>
                    <w:noProof/>
                    <w:webHidden/>
                  </w:rPr>
                  <w:fldChar w:fldCharType="end"/>
                </w:r>
              </w:hyperlink>
            </w:p>
            <w:p w14:paraId="05194699" w14:textId="21B49FC5" w:rsidR="007D1947" w:rsidRPr="00347E38" w:rsidRDefault="007D1947">
              <w:pPr>
                <w:rPr>
                  <w:rFonts w:asciiTheme="minorHAnsi" w:hAnsiTheme="minorHAnsi" w:cstheme="minorHAnsi"/>
                </w:rPr>
              </w:pPr>
              <w:r w:rsidRPr="00347E38">
                <w:rPr>
                  <w:rFonts w:asciiTheme="minorHAnsi" w:hAnsiTheme="minorHAnsi" w:cstheme="minorHAnsi"/>
                  <w:b/>
                  <w:bCs/>
                  <w:noProof/>
                </w:rPr>
                <w:fldChar w:fldCharType="end"/>
              </w:r>
              <w:r w:rsidR="00EF3337" w:rsidRPr="00347E38">
                <w:rPr>
                  <w:rFonts w:asciiTheme="minorHAnsi" w:hAnsiTheme="minorHAnsi" w:cstheme="minorHAnsi"/>
                  <w:b/>
                  <w:bCs/>
                  <w:noProof/>
                </w:rPr>
                <w:t xml:space="preserve"> </w:t>
              </w:r>
            </w:p>
          </w:sdtContent>
        </w:sdt>
        <w:p w14:paraId="3C9FE902" w14:textId="21B49FC5" w:rsidR="004A11F6" w:rsidRPr="00347E38" w:rsidRDefault="007D1947" w:rsidP="00EF3337">
          <w:pPr>
            <w:pStyle w:val="Heading1"/>
            <w:rPr>
              <w:rFonts w:asciiTheme="minorHAnsi" w:hAnsiTheme="minorHAnsi" w:cstheme="minorHAnsi"/>
            </w:rPr>
          </w:pPr>
          <w:bookmarkStart w:id="1" w:name="_Toc216779313"/>
          <w:r w:rsidRPr="00347E38">
            <w:rPr>
              <w:rFonts w:asciiTheme="minorHAnsi" w:hAnsiTheme="minorHAnsi" w:cstheme="minorHAnsi"/>
            </w:rPr>
            <w:lastRenderedPageBreak/>
            <w:t>Introduction</w:t>
          </w:r>
          <w:bookmarkEnd w:id="1"/>
          <w:r w:rsidR="00480872" w:rsidRPr="00347E38">
            <w:rPr>
              <w:rFonts w:asciiTheme="minorHAnsi" w:hAnsiTheme="minorHAnsi" w:cstheme="minorHAnsi"/>
            </w:rPr>
            <w:t xml:space="preserve"> </w:t>
          </w:r>
        </w:p>
        <w:p w14:paraId="470A1461" w14:textId="76F7FB5F" w:rsidR="002D1147" w:rsidRDefault="00C37F34" w:rsidP="007D1947">
          <w:pPr>
            <w:rPr>
              <w:rFonts w:asciiTheme="minorHAnsi" w:hAnsiTheme="minorHAnsi" w:cstheme="minorHAnsi"/>
              <w:sz w:val="22"/>
              <w:szCs w:val="22"/>
            </w:rPr>
          </w:pPr>
          <w:r w:rsidRPr="00347E38">
            <w:rPr>
              <w:rFonts w:asciiTheme="minorHAnsi" w:hAnsiTheme="minorHAnsi" w:cstheme="minorHAnsi"/>
              <w:sz w:val="22"/>
              <w:szCs w:val="22"/>
            </w:rPr>
            <w:t xml:space="preserve">This report has been prepared </w:t>
          </w:r>
          <w:r w:rsidR="007C0BFE">
            <w:rPr>
              <w:rFonts w:asciiTheme="minorHAnsi" w:hAnsiTheme="minorHAnsi" w:cstheme="minorHAnsi"/>
              <w:sz w:val="22"/>
              <w:szCs w:val="22"/>
            </w:rPr>
            <w:t>to address two distinct but complementary aspects of financial</w:t>
          </w:r>
          <w:r w:rsidR="00AE28AF">
            <w:rPr>
              <w:rFonts w:asciiTheme="minorHAnsi" w:hAnsiTheme="minorHAnsi" w:cstheme="minorHAnsi"/>
              <w:sz w:val="22"/>
              <w:szCs w:val="22"/>
            </w:rPr>
            <w:t xml:space="preserve"> management and decision-making. Part One provides a comprehensi</w:t>
          </w:r>
          <w:r w:rsidR="009D35C6">
            <w:rPr>
              <w:rFonts w:asciiTheme="minorHAnsi" w:hAnsiTheme="minorHAnsi" w:cstheme="minorHAnsi"/>
              <w:sz w:val="22"/>
              <w:szCs w:val="22"/>
            </w:rPr>
            <w:t xml:space="preserve">ve analysis of the </w:t>
          </w:r>
          <w:r w:rsidR="004D1C6C">
            <w:rPr>
              <w:rFonts w:asciiTheme="minorHAnsi" w:hAnsiTheme="minorHAnsi" w:cstheme="minorHAnsi"/>
              <w:sz w:val="22"/>
              <w:szCs w:val="22"/>
            </w:rPr>
            <w:t>financial</w:t>
          </w:r>
          <w:r w:rsidR="009D35C6">
            <w:rPr>
              <w:rFonts w:asciiTheme="minorHAnsi" w:hAnsiTheme="minorHAnsi" w:cstheme="minorHAnsi"/>
              <w:sz w:val="22"/>
              <w:szCs w:val="22"/>
            </w:rPr>
            <w:t xml:space="preserve"> </w:t>
          </w:r>
          <w:r w:rsidR="004D1C6C">
            <w:rPr>
              <w:rFonts w:asciiTheme="minorHAnsi" w:hAnsiTheme="minorHAnsi" w:cstheme="minorHAnsi"/>
              <w:sz w:val="22"/>
              <w:szCs w:val="22"/>
            </w:rPr>
            <w:t>health</w:t>
          </w:r>
          <w:r w:rsidR="009D35C6">
            <w:rPr>
              <w:rFonts w:asciiTheme="minorHAnsi" w:hAnsiTheme="minorHAnsi" w:cstheme="minorHAnsi"/>
              <w:sz w:val="22"/>
              <w:szCs w:val="22"/>
            </w:rPr>
            <w:t xml:space="preserve"> and performance of Tesco Plc, while Part Two </w:t>
          </w:r>
          <w:r w:rsidR="004D1C6C">
            <w:rPr>
              <w:rFonts w:asciiTheme="minorHAnsi" w:hAnsiTheme="minorHAnsi" w:cstheme="minorHAnsi"/>
              <w:sz w:val="22"/>
              <w:szCs w:val="22"/>
            </w:rPr>
            <w:t>evaluates a proposed investment programme for</w:t>
          </w:r>
          <w:r w:rsidR="00AD6960">
            <w:rPr>
              <w:rFonts w:asciiTheme="minorHAnsi" w:hAnsiTheme="minorHAnsi" w:cstheme="minorHAnsi"/>
              <w:sz w:val="22"/>
              <w:szCs w:val="22"/>
            </w:rPr>
            <w:t xml:space="preserve"> the board of</w:t>
          </w:r>
          <w:r w:rsidR="004D1C6C">
            <w:rPr>
              <w:rFonts w:asciiTheme="minorHAnsi" w:hAnsiTheme="minorHAnsi" w:cstheme="minorHAnsi"/>
              <w:sz w:val="22"/>
              <w:szCs w:val="22"/>
            </w:rPr>
            <w:t xml:space="preserve"> Westward Plc using established investment appraisal techniques. </w:t>
          </w:r>
        </w:p>
        <w:p w14:paraId="6D50DA96" w14:textId="3E13F42F" w:rsidR="00316BFD" w:rsidRDefault="00C37F34" w:rsidP="007D1947">
          <w:pPr>
            <w:rPr>
              <w:rFonts w:asciiTheme="minorHAnsi" w:hAnsiTheme="minorHAnsi" w:cstheme="minorHAnsi"/>
              <w:sz w:val="22"/>
              <w:szCs w:val="22"/>
            </w:rPr>
          </w:pPr>
          <w:r w:rsidRPr="00347E38">
            <w:rPr>
              <w:rFonts w:asciiTheme="minorHAnsi" w:hAnsiTheme="minorHAnsi" w:cstheme="minorHAnsi"/>
              <w:sz w:val="22"/>
              <w:szCs w:val="22"/>
            </w:rPr>
            <w:t>Tesco plc</w:t>
          </w:r>
          <w:r w:rsidR="00116C9F" w:rsidRPr="00347E38">
            <w:rPr>
              <w:rFonts w:asciiTheme="minorHAnsi" w:hAnsiTheme="minorHAnsi" w:cstheme="minorHAnsi"/>
              <w:sz w:val="22"/>
              <w:szCs w:val="22"/>
            </w:rPr>
            <w:t xml:space="preserve"> is one of the United Kingdom’s leading retail </w:t>
          </w:r>
          <w:r w:rsidR="001A01F0" w:rsidRPr="00347E38">
            <w:rPr>
              <w:rFonts w:asciiTheme="minorHAnsi" w:hAnsiTheme="minorHAnsi" w:cstheme="minorHAnsi"/>
              <w:sz w:val="22"/>
              <w:szCs w:val="22"/>
            </w:rPr>
            <w:t>organisations</w:t>
          </w:r>
          <w:r w:rsidR="00116C9F" w:rsidRPr="00347E38">
            <w:rPr>
              <w:rFonts w:asciiTheme="minorHAnsi" w:hAnsiTheme="minorHAnsi" w:cstheme="minorHAnsi"/>
              <w:sz w:val="22"/>
              <w:szCs w:val="22"/>
            </w:rPr>
            <w:t xml:space="preserve"> and a cons</w:t>
          </w:r>
          <w:r w:rsidR="001A01F0" w:rsidRPr="00347E38">
            <w:rPr>
              <w:rFonts w:asciiTheme="minorHAnsi" w:hAnsiTheme="minorHAnsi" w:cstheme="minorHAnsi"/>
              <w:sz w:val="22"/>
              <w:szCs w:val="22"/>
            </w:rPr>
            <w:t>tituent of the FTSE 100 Index.</w:t>
          </w:r>
          <w:r w:rsidR="00081F97" w:rsidRPr="00347E38">
            <w:rPr>
              <w:rFonts w:asciiTheme="minorHAnsi" w:hAnsiTheme="minorHAnsi" w:cstheme="minorHAnsi"/>
              <w:sz w:val="22"/>
              <w:szCs w:val="22"/>
            </w:rPr>
            <w:t xml:space="preserve"> Founded in 1919, it has grown into a </w:t>
          </w:r>
          <w:r w:rsidR="006B5EA1" w:rsidRPr="00347E38">
            <w:rPr>
              <w:rFonts w:asciiTheme="minorHAnsi" w:hAnsiTheme="minorHAnsi" w:cstheme="minorHAnsi"/>
              <w:sz w:val="22"/>
              <w:szCs w:val="22"/>
            </w:rPr>
            <w:t>multinational</w:t>
          </w:r>
          <w:r w:rsidR="00081F97" w:rsidRPr="00347E38">
            <w:rPr>
              <w:rFonts w:asciiTheme="minorHAnsi" w:hAnsiTheme="minorHAnsi" w:cstheme="minorHAnsi"/>
              <w:sz w:val="22"/>
              <w:szCs w:val="22"/>
            </w:rPr>
            <w:t xml:space="preserve"> </w:t>
          </w:r>
          <w:r w:rsidR="006B5EA1" w:rsidRPr="00347E38">
            <w:rPr>
              <w:rFonts w:asciiTheme="minorHAnsi" w:hAnsiTheme="minorHAnsi" w:cstheme="minorHAnsi"/>
              <w:sz w:val="22"/>
              <w:szCs w:val="22"/>
            </w:rPr>
            <w:t xml:space="preserve">grocery and general merchandise retailer with operations across Europe and Asia. </w:t>
          </w:r>
          <w:r w:rsidR="00DE396B" w:rsidRPr="00347E38">
            <w:rPr>
              <w:rFonts w:asciiTheme="minorHAnsi" w:hAnsiTheme="minorHAnsi" w:cstheme="minorHAnsi"/>
              <w:sz w:val="22"/>
              <w:szCs w:val="22"/>
            </w:rPr>
            <w:t>As Tesco notes, “We understand the pressures that our customers have faced this year… we work relentlessly to keep the weekly shop as affordable as possible” (Tesco plc, 2023). This statement underscores the retailer’s commitment to customer value and price-competitiveness in challenging economic times.</w:t>
          </w:r>
          <w:r w:rsidR="00DE396B" w:rsidRPr="00347E38">
            <w:rPr>
              <w:rFonts w:asciiTheme="minorHAnsi" w:hAnsiTheme="minorHAnsi" w:cstheme="minorHAnsi"/>
              <w:sz w:val="22"/>
              <w:szCs w:val="22"/>
            </w:rPr>
            <w:t xml:space="preserve"> </w:t>
          </w:r>
          <w:r w:rsidR="00412C91" w:rsidRPr="00347E38">
            <w:rPr>
              <w:rFonts w:asciiTheme="minorHAnsi" w:hAnsiTheme="minorHAnsi" w:cstheme="minorHAnsi"/>
              <w:sz w:val="22"/>
              <w:szCs w:val="22"/>
            </w:rPr>
            <w:t>As previously mentioned, t</w:t>
          </w:r>
          <w:r w:rsidR="006B5EA1" w:rsidRPr="00347E38">
            <w:rPr>
              <w:rFonts w:asciiTheme="minorHAnsi" w:hAnsiTheme="minorHAnsi" w:cstheme="minorHAnsi"/>
              <w:sz w:val="22"/>
              <w:szCs w:val="22"/>
            </w:rPr>
            <w:t xml:space="preserve">he purpose of this report is to </w:t>
          </w:r>
          <w:r w:rsidR="00605EF5" w:rsidRPr="00347E38">
            <w:rPr>
              <w:rFonts w:asciiTheme="minorHAnsi" w:hAnsiTheme="minorHAnsi" w:cstheme="minorHAnsi"/>
              <w:sz w:val="22"/>
              <w:szCs w:val="22"/>
            </w:rPr>
            <w:t>conduct a comprehensive financial and strategic analysis of Tesco plc to assess its financial performance</w:t>
          </w:r>
          <w:r w:rsidR="00940DEB" w:rsidRPr="00347E38">
            <w:rPr>
              <w:rFonts w:asciiTheme="minorHAnsi" w:hAnsiTheme="minorHAnsi" w:cstheme="minorHAnsi"/>
              <w:sz w:val="22"/>
              <w:szCs w:val="22"/>
            </w:rPr>
            <w:t xml:space="preserve">, management decision-making and the ability to deliver shareholder value. </w:t>
          </w:r>
          <w:r w:rsidR="002539D3" w:rsidRPr="00347E38">
            <w:rPr>
              <w:rFonts w:asciiTheme="minorHAnsi" w:hAnsiTheme="minorHAnsi" w:cstheme="minorHAnsi"/>
              <w:sz w:val="22"/>
              <w:szCs w:val="22"/>
            </w:rPr>
            <w:t xml:space="preserve">The analysis will draw on </w:t>
          </w:r>
          <w:r w:rsidR="007C6A7A" w:rsidRPr="00347E38">
            <w:rPr>
              <w:rFonts w:asciiTheme="minorHAnsi" w:hAnsiTheme="minorHAnsi" w:cstheme="minorHAnsi"/>
              <w:sz w:val="22"/>
              <w:szCs w:val="22"/>
            </w:rPr>
            <w:t>Tesco’s</w:t>
          </w:r>
          <w:r w:rsidR="002539D3" w:rsidRPr="00347E38">
            <w:rPr>
              <w:rFonts w:asciiTheme="minorHAnsi" w:hAnsiTheme="minorHAnsi" w:cstheme="minorHAnsi"/>
              <w:sz w:val="22"/>
              <w:szCs w:val="22"/>
            </w:rPr>
            <w:t xml:space="preserve"> published annual </w:t>
          </w:r>
          <w:r w:rsidR="00B76C3A" w:rsidRPr="00347E38">
            <w:rPr>
              <w:rFonts w:asciiTheme="minorHAnsi" w:hAnsiTheme="minorHAnsi" w:cstheme="minorHAnsi"/>
              <w:sz w:val="22"/>
              <w:szCs w:val="22"/>
            </w:rPr>
            <w:t>reports (</w:t>
          </w:r>
          <w:r w:rsidR="00D96BCC" w:rsidRPr="00347E38">
            <w:rPr>
              <w:rFonts w:asciiTheme="minorHAnsi" w:hAnsiTheme="minorHAnsi" w:cstheme="minorHAnsi"/>
              <w:sz w:val="22"/>
              <w:szCs w:val="22"/>
            </w:rPr>
            <w:t>Tesco</w:t>
          </w:r>
          <w:r w:rsidR="009D5788" w:rsidRPr="00347E38">
            <w:rPr>
              <w:rFonts w:asciiTheme="minorHAnsi" w:hAnsiTheme="minorHAnsi" w:cstheme="minorHAnsi"/>
              <w:sz w:val="22"/>
              <w:szCs w:val="22"/>
            </w:rPr>
            <w:t xml:space="preserve"> plc, 2022; 2023; </w:t>
          </w:r>
          <w:r w:rsidR="00B76C3A" w:rsidRPr="00347E38">
            <w:rPr>
              <w:rFonts w:asciiTheme="minorHAnsi" w:hAnsiTheme="minorHAnsi" w:cstheme="minorHAnsi"/>
              <w:sz w:val="22"/>
              <w:szCs w:val="22"/>
            </w:rPr>
            <w:t xml:space="preserve">2024), key financial ratios and strategic </w:t>
          </w:r>
          <w:r w:rsidR="007C6A7A" w:rsidRPr="00347E38">
            <w:rPr>
              <w:rFonts w:asciiTheme="minorHAnsi" w:hAnsiTheme="minorHAnsi" w:cstheme="minorHAnsi"/>
              <w:sz w:val="22"/>
              <w:szCs w:val="22"/>
            </w:rPr>
            <w:t>management concepts.</w:t>
          </w:r>
          <w:r w:rsidR="007B21C8">
            <w:rPr>
              <w:rFonts w:asciiTheme="minorHAnsi" w:hAnsiTheme="minorHAnsi" w:cstheme="minorHAnsi"/>
              <w:sz w:val="22"/>
              <w:szCs w:val="22"/>
            </w:rPr>
            <w:t xml:space="preserve"> Where relevant, Tesco’s performance is considered in relation to broader UK grocery retail benchmarks</w:t>
          </w:r>
          <w:r w:rsidR="0003151A" w:rsidRPr="00347E38">
            <w:rPr>
              <w:rFonts w:asciiTheme="minorHAnsi" w:hAnsiTheme="minorHAnsi" w:cstheme="minorHAnsi"/>
              <w:sz w:val="22"/>
              <w:szCs w:val="22"/>
            </w:rPr>
            <w:t xml:space="preserve">. The report aims to identify </w:t>
          </w:r>
          <w:r w:rsidR="009F2AB0" w:rsidRPr="00347E38">
            <w:rPr>
              <w:rFonts w:asciiTheme="minorHAnsi" w:hAnsiTheme="minorHAnsi" w:cstheme="minorHAnsi"/>
              <w:sz w:val="22"/>
              <w:szCs w:val="22"/>
            </w:rPr>
            <w:t>financial strengths, weaknesses, and the implications of Tesco’s financial management for future sustainability.</w:t>
          </w:r>
          <w:r w:rsidR="00263FB8" w:rsidRPr="00347E38">
            <w:rPr>
              <w:rFonts w:asciiTheme="minorHAnsi" w:hAnsiTheme="minorHAnsi" w:cstheme="minorHAnsi"/>
              <w:sz w:val="22"/>
              <w:szCs w:val="22"/>
            </w:rPr>
            <w:t xml:space="preserve"> Methodologically, the report applies ratio analysis, trend evaluation</w:t>
          </w:r>
          <w:r w:rsidR="00574855" w:rsidRPr="00347E38">
            <w:rPr>
              <w:rFonts w:asciiTheme="minorHAnsi" w:hAnsiTheme="minorHAnsi" w:cstheme="minorHAnsi"/>
              <w:sz w:val="22"/>
              <w:szCs w:val="22"/>
            </w:rPr>
            <w:t>, and strategic interpretation.</w:t>
          </w:r>
          <w:r w:rsidR="009241D2" w:rsidRPr="00347E38">
            <w:rPr>
              <w:rFonts w:asciiTheme="minorHAnsi" w:hAnsiTheme="minorHAnsi" w:cstheme="minorHAnsi"/>
              <w:sz w:val="22"/>
              <w:szCs w:val="22"/>
            </w:rPr>
            <w:t xml:space="preserve"> </w:t>
          </w:r>
          <w:r w:rsidR="00BB22B6" w:rsidRPr="00347E38">
            <w:rPr>
              <w:rFonts w:asciiTheme="minorHAnsi" w:hAnsiTheme="minorHAnsi" w:cstheme="minorHAnsi"/>
              <w:sz w:val="22"/>
              <w:szCs w:val="22"/>
            </w:rPr>
            <w:t xml:space="preserve">Effective financial management is crucial for sustainable growth and strategic </w:t>
          </w:r>
          <w:r w:rsidR="00AD02E3" w:rsidRPr="00347E38">
            <w:rPr>
              <w:rFonts w:asciiTheme="minorHAnsi" w:hAnsiTheme="minorHAnsi" w:cstheme="minorHAnsi"/>
              <w:sz w:val="22"/>
              <w:szCs w:val="22"/>
            </w:rPr>
            <w:t>decision-making, and this analysis aims to offer clear, data-driven</w:t>
          </w:r>
          <w:r w:rsidR="0046690B" w:rsidRPr="00347E38">
            <w:rPr>
              <w:rFonts w:asciiTheme="minorHAnsi" w:hAnsiTheme="minorHAnsi" w:cstheme="minorHAnsi"/>
              <w:sz w:val="22"/>
              <w:szCs w:val="22"/>
            </w:rPr>
            <w:t xml:space="preserve"> insights into key areas of the business</w:t>
          </w:r>
          <w:r w:rsidR="00417EFE" w:rsidRPr="00347E38">
            <w:rPr>
              <w:rFonts w:asciiTheme="minorHAnsi" w:hAnsiTheme="minorHAnsi" w:cstheme="minorHAnsi"/>
              <w:sz w:val="22"/>
              <w:szCs w:val="22"/>
            </w:rPr>
            <w:t xml:space="preserve">, </w:t>
          </w:r>
          <w:r w:rsidR="00F04157" w:rsidRPr="00347E38">
            <w:rPr>
              <w:rFonts w:asciiTheme="minorHAnsi" w:hAnsiTheme="minorHAnsi" w:cstheme="minorHAnsi"/>
              <w:sz w:val="22"/>
              <w:szCs w:val="22"/>
            </w:rPr>
            <w:t>(</w:t>
          </w:r>
          <w:r w:rsidR="00417EFE" w:rsidRPr="00347E38">
            <w:rPr>
              <w:rFonts w:asciiTheme="minorHAnsi" w:hAnsiTheme="minorHAnsi" w:cstheme="minorHAnsi"/>
              <w:sz w:val="22"/>
              <w:szCs w:val="22"/>
            </w:rPr>
            <w:t>Atrill and McLaney</w:t>
          </w:r>
          <w:r w:rsidR="00E62B49">
            <w:rPr>
              <w:rFonts w:asciiTheme="minorHAnsi" w:hAnsiTheme="minorHAnsi" w:cstheme="minorHAnsi"/>
              <w:sz w:val="22"/>
              <w:szCs w:val="22"/>
            </w:rPr>
            <w:t>,</w:t>
          </w:r>
          <w:r w:rsidR="00417EFE" w:rsidRPr="00347E38">
            <w:rPr>
              <w:rFonts w:asciiTheme="minorHAnsi" w:hAnsiTheme="minorHAnsi" w:cstheme="minorHAnsi"/>
              <w:sz w:val="22"/>
              <w:szCs w:val="22"/>
            </w:rPr>
            <w:t xml:space="preserve"> 2022)</w:t>
          </w:r>
          <w:r w:rsidR="0046690B" w:rsidRPr="00347E38">
            <w:rPr>
              <w:rFonts w:asciiTheme="minorHAnsi" w:hAnsiTheme="minorHAnsi" w:cstheme="minorHAnsi"/>
              <w:sz w:val="22"/>
              <w:szCs w:val="22"/>
            </w:rPr>
            <w:t xml:space="preserve">. </w:t>
          </w:r>
        </w:p>
        <w:p w14:paraId="63BE38B9" w14:textId="061BA22F" w:rsidR="004A11F6" w:rsidRDefault="00115BE0" w:rsidP="007D1947">
          <w:pPr>
            <w:rPr>
              <w:rFonts w:asciiTheme="minorHAnsi" w:hAnsiTheme="minorHAnsi" w:cstheme="minorHAnsi"/>
              <w:sz w:val="22"/>
              <w:szCs w:val="22"/>
            </w:rPr>
          </w:pPr>
          <w:r w:rsidRPr="00347E38">
            <w:rPr>
              <w:rFonts w:asciiTheme="minorHAnsi" w:hAnsiTheme="minorHAnsi" w:cstheme="minorHAnsi"/>
              <w:sz w:val="22"/>
              <w:szCs w:val="22"/>
            </w:rPr>
            <w:t>Nevertheless, t</w:t>
          </w:r>
          <w:r w:rsidR="0046690B" w:rsidRPr="00347E38">
            <w:rPr>
              <w:rFonts w:asciiTheme="minorHAnsi" w:hAnsiTheme="minorHAnsi" w:cstheme="minorHAnsi"/>
              <w:sz w:val="22"/>
              <w:szCs w:val="22"/>
            </w:rPr>
            <w:t xml:space="preserve">he primary objective of </w:t>
          </w:r>
          <w:r w:rsidR="006F763A">
            <w:rPr>
              <w:rFonts w:asciiTheme="minorHAnsi" w:hAnsiTheme="minorHAnsi" w:cstheme="minorHAnsi"/>
              <w:sz w:val="22"/>
              <w:szCs w:val="22"/>
            </w:rPr>
            <w:t>Par</w:t>
          </w:r>
          <w:r w:rsidR="0046690B" w:rsidRPr="00347E38">
            <w:rPr>
              <w:rFonts w:asciiTheme="minorHAnsi" w:hAnsiTheme="minorHAnsi" w:cstheme="minorHAnsi"/>
              <w:sz w:val="22"/>
              <w:szCs w:val="22"/>
            </w:rPr>
            <w:t>t</w:t>
          </w:r>
          <w:r w:rsidR="006F763A">
            <w:rPr>
              <w:rFonts w:asciiTheme="minorHAnsi" w:hAnsiTheme="minorHAnsi" w:cstheme="minorHAnsi"/>
              <w:sz w:val="22"/>
              <w:szCs w:val="22"/>
            </w:rPr>
            <w:t xml:space="preserve"> One</w:t>
          </w:r>
          <w:r w:rsidR="0046690B" w:rsidRPr="00347E38">
            <w:rPr>
              <w:rFonts w:asciiTheme="minorHAnsi" w:hAnsiTheme="minorHAnsi" w:cstheme="minorHAnsi"/>
              <w:sz w:val="22"/>
              <w:szCs w:val="22"/>
            </w:rPr>
            <w:t xml:space="preserve"> is to leverage financial statement analysis, specifically through the calculation </w:t>
          </w:r>
          <w:r w:rsidR="00024136" w:rsidRPr="00347E38">
            <w:rPr>
              <w:rFonts w:asciiTheme="minorHAnsi" w:hAnsiTheme="minorHAnsi" w:cstheme="minorHAnsi"/>
              <w:sz w:val="22"/>
              <w:szCs w:val="22"/>
            </w:rPr>
            <w:t xml:space="preserve">and critical evaluation of key performance ratios, to assess the company’s operational efficiency, </w:t>
          </w:r>
          <w:r w:rsidR="00DA08F4">
            <w:rPr>
              <w:rFonts w:asciiTheme="minorHAnsi" w:hAnsiTheme="minorHAnsi" w:cstheme="minorHAnsi"/>
              <w:sz w:val="22"/>
              <w:szCs w:val="22"/>
            </w:rPr>
            <w:t xml:space="preserve">liquidity, </w:t>
          </w:r>
          <w:r w:rsidR="00024136" w:rsidRPr="00347E38">
            <w:rPr>
              <w:rFonts w:asciiTheme="minorHAnsi" w:hAnsiTheme="minorHAnsi" w:cstheme="minorHAnsi"/>
              <w:sz w:val="22"/>
              <w:szCs w:val="22"/>
            </w:rPr>
            <w:t>s</w:t>
          </w:r>
          <w:r w:rsidR="00E310B8">
            <w:rPr>
              <w:rFonts w:asciiTheme="minorHAnsi" w:hAnsiTheme="minorHAnsi" w:cstheme="minorHAnsi"/>
              <w:sz w:val="22"/>
              <w:szCs w:val="22"/>
            </w:rPr>
            <w:t>olvenc</w:t>
          </w:r>
          <w:r w:rsidR="00024136" w:rsidRPr="00347E38">
            <w:rPr>
              <w:rFonts w:asciiTheme="minorHAnsi" w:hAnsiTheme="minorHAnsi" w:cstheme="minorHAnsi"/>
              <w:sz w:val="22"/>
              <w:szCs w:val="22"/>
            </w:rPr>
            <w:t xml:space="preserve">y and </w:t>
          </w:r>
          <w:r w:rsidR="00E310B8">
            <w:rPr>
              <w:rFonts w:asciiTheme="minorHAnsi" w:hAnsiTheme="minorHAnsi" w:cstheme="minorHAnsi"/>
              <w:sz w:val="22"/>
              <w:szCs w:val="22"/>
            </w:rPr>
            <w:t>ability to deliver sustainable shareholder value</w:t>
          </w:r>
          <w:r w:rsidR="001731C4" w:rsidRPr="00347E38">
            <w:rPr>
              <w:rFonts w:asciiTheme="minorHAnsi" w:hAnsiTheme="minorHAnsi" w:cstheme="minorHAnsi"/>
              <w:sz w:val="22"/>
              <w:szCs w:val="22"/>
            </w:rPr>
            <w:t xml:space="preserve">, </w:t>
          </w:r>
          <w:r w:rsidR="00F04157" w:rsidRPr="00347E38">
            <w:rPr>
              <w:rFonts w:asciiTheme="minorHAnsi" w:hAnsiTheme="minorHAnsi" w:cstheme="minorHAnsi"/>
              <w:sz w:val="22"/>
              <w:szCs w:val="22"/>
            </w:rPr>
            <w:t>(</w:t>
          </w:r>
          <w:r w:rsidR="001731C4" w:rsidRPr="00347E38">
            <w:rPr>
              <w:rFonts w:asciiTheme="minorHAnsi" w:hAnsiTheme="minorHAnsi" w:cstheme="minorHAnsi"/>
              <w:sz w:val="22"/>
              <w:szCs w:val="22"/>
            </w:rPr>
            <w:t>Brigham and Ehrhardt, 2019)</w:t>
          </w:r>
          <w:r w:rsidR="00024136" w:rsidRPr="00347E38">
            <w:rPr>
              <w:rFonts w:asciiTheme="minorHAnsi" w:hAnsiTheme="minorHAnsi" w:cstheme="minorHAnsi"/>
              <w:sz w:val="22"/>
              <w:szCs w:val="22"/>
            </w:rPr>
            <w:t xml:space="preserve">. </w:t>
          </w:r>
          <w:r w:rsidR="0086203D">
            <w:rPr>
              <w:rFonts w:asciiTheme="minorHAnsi" w:hAnsiTheme="minorHAnsi" w:cstheme="minorHAnsi"/>
              <w:sz w:val="22"/>
              <w:szCs w:val="22"/>
            </w:rPr>
            <w:t>F</w:t>
          </w:r>
          <w:r w:rsidR="007C71DE" w:rsidRPr="00347E38">
            <w:rPr>
              <w:rFonts w:asciiTheme="minorHAnsi" w:hAnsiTheme="minorHAnsi" w:cstheme="minorHAnsi"/>
              <w:sz w:val="22"/>
              <w:szCs w:val="22"/>
            </w:rPr>
            <w:t>ive critical categories of financial ratios</w:t>
          </w:r>
          <w:r w:rsidR="0012738E">
            <w:rPr>
              <w:rFonts w:asciiTheme="minorHAnsi" w:hAnsiTheme="minorHAnsi" w:cstheme="minorHAnsi"/>
              <w:sz w:val="22"/>
              <w:szCs w:val="22"/>
            </w:rPr>
            <w:t xml:space="preserve"> are examined: profitability, liquidity, </w:t>
          </w:r>
          <w:r w:rsidR="0086203D">
            <w:rPr>
              <w:rFonts w:asciiTheme="minorHAnsi" w:hAnsiTheme="minorHAnsi" w:cstheme="minorHAnsi"/>
              <w:sz w:val="22"/>
              <w:szCs w:val="22"/>
            </w:rPr>
            <w:t>efficiency, gearing and investor ratios</w:t>
          </w:r>
          <w:r w:rsidR="00446D7E" w:rsidRPr="00347E38">
            <w:rPr>
              <w:rFonts w:asciiTheme="minorHAnsi" w:hAnsiTheme="minorHAnsi" w:cstheme="minorHAnsi"/>
              <w:sz w:val="22"/>
              <w:szCs w:val="22"/>
            </w:rPr>
            <w:t xml:space="preserve">. </w:t>
          </w:r>
          <w:r w:rsidR="002700F1">
            <w:rPr>
              <w:rFonts w:asciiTheme="minorHAnsi" w:hAnsiTheme="minorHAnsi" w:cstheme="minorHAnsi"/>
              <w:sz w:val="22"/>
              <w:szCs w:val="22"/>
            </w:rPr>
            <w:t xml:space="preserve">This analysis considers trends over time, </w:t>
          </w:r>
          <w:r w:rsidR="00AA5139">
            <w:rPr>
              <w:rFonts w:asciiTheme="minorHAnsi" w:hAnsiTheme="minorHAnsi" w:cstheme="minorHAnsi"/>
              <w:sz w:val="22"/>
              <w:szCs w:val="22"/>
            </w:rPr>
            <w:t xml:space="preserve">explores possible reasons for changes in performance, and acknowledges </w:t>
          </w:r>
          <w:r w:rsidR="00612635" w:rsidRPr="00347E38">
            <w:rPr>
              <w:rFonts w:asciiTheme="minorHAnsi" w:hAnsiTheme="minorHAnsi" w:cstheme="minorHAnsi"/>
              <w:sz w:val="22"/>
              <w:szCs w:val="22"/>
            </w:rPr>
            <w:t xml:space="preserve">the inherent limitations of ratio analysis. </w:t>
          </w:r>
          <w:r w:rsidR="00AA5139">
            <w:rPr>
              <w:rFonts w:asciiTheme="minorHAnsi" w:hAnsiTheme="minorHAnsi" w:cstheme="minorHAnsi"/>
              <w:sz w:val="22"/>
              <w:szCs w:val="22"/>
            </w:rPr>
            <w:t>B</w:t>
          </w:r>
          <w:r w:rsidR="00612635" w:rsidRPr="00347E38">
            <w:rPr>
              <w:rFonts w:asciiTheme="minorHAnsi" w:hAnsiTheme="minorHAnsi" w:cstheme="minorHAnsi"/>
              <w:sz w:val="22"/>
              <w:szCs w:val="22"/>
            </w:rPr>
            <w:t xml:space="preserve">ased on the findings, </w:t>
          </w:r>
          <w:r w:rsidR="00CF08D3">
            <w:rPr>
              <w:rFonts w:asciiTheme="minorHAnsi" w:hAnsiTheme="minorHAnsi" w:cstheme="minorHAnsi"/>
              <w:sz w:val="22"/>
              <w:szCs w:val="22"/>
            </w:rPr>
            <w:t>Part One</w:t>
          </w:r>
          <w:r w:rsidR="00612635" w:rsidRPr="00347E38">
            <w:rPr>
              <w:rFonts w:asciiTheme="minorHAnsi" w:hAnsiTheme="minorHAnsi" w:cstheme="minorHAnsi"/>
              <w:sz w:val="22"/>
              <w:szCs w:val="22"/>
            </w:rPr>
            <w:t xml:space="preserve"> conclude</w:t>
          </w:r>
          <w:r w:rsidR="00CF08D3">
            <w:rPr>
              <w:rFonts w:asciiTheme="minorHAnsi" w:hAnsiTheme="minorHAnsi" w:cstheme="minorHAnsi"/>
              <w:sz w:val="22"/>
              <w:szCs w:val="22"/>
            </w:rPr>
            <w:t>s</w:t>
          </w:r>
          <w:r w:rsidR="00612635" w:rsidRPr="00347E38">
            <w:rPr>
              <w:rFonts w:asciiTheme="minorHAnsi" w:hAnsiTheme="minorHAnsi" w:cstheme="minorHAnsi"/>
              <w:sz w:val="22"/>
              <w:szCs w:val="22"/>
            </w:rPr>
            <w:t xml:space="preserve"> with actionable recommendations</w:t>
          </w:r>
          <w:r w:rsidR="00030E96" w:rsidRPr="00347E38">
            <w:rPr>
              <w:rFonts w:asciiTheme="minorHAnsi" w:hAnsiTheme="minorHAnsi" w:cstheme="minorHAnsi"/>
              <w:sz w:val="22"/>
              <w:szCs w:val="22"/>
            </w:rPr>
            <w:t xml:space="preserve"> designed to enhance the financial management and overall performance of Tesco plc.</w:t>
          </w:r>
          <w:r w:rsidR="004E6775" w:rsidRPr="00347E38">
            <w:rPr>
              <w:rFonts w:asciiTheme="minorHAnsi" w:hAnsiTheme="minorHAnsi" w:cstheme="minorHAnsi"/>
              <w:sz w:val="22"/>
              <w:szCs w:val="22"/>
            </w:rPr>
            <w:t xml:space="preserve"> Full financial statements for Tesco Plc are retrieved from FTSE-100</w:t>
          </w:r>
          <w:r w:rsidR="003217B8" w:rsidRPr="00347E38">
            <w:rPr>
              <w:rFonts w:asciiTheme="minorHAnsi" w:hAnsiTheme="minorHAnsi" w:cstheme="minorHAnsi"/>
              <w:sz w:val="22"/>
              <w:szCs w:val="22"/>
            </w:rPr>
            <w:t>, and the detailed workings for all ratio calculations are included</w:t>
          </w:r>
          <w:r w:rsidR="00CF08D3">
            <w:rPr>
              <w:rFonts w:asciiTheme="minorHAnsi" w:hAnsiTheme="minorHAnsi" w:cstheme="minorHAnsi"/>
              <w:sz w:val="22"/>
              <w:szCs w:val="22"/>
            </w:rPr>
            <w:t xml:space="preserve"> in the appendix</w:t>
          </w:r>
          <w:r w:rsidR="003217B8" w:rsidRPr="00347E38">
            <w:rPr>
              <w:rFonts w:asciiTheme="minorHAnsi" w:hAnsiTheme="minorHAnsi" w:cstheme="minorHAnsi"/>
              <w:sz w:val="22"/>
              <w:szCs w:val="22"/>
            </w:rPr>
            <w:t xml:space="preserve">. </w:t>
          </w:r>
        </w:p>
        <w:p w14:paraId="09DED59E" w14:textId="2CCEF33B" w:rsidR="0086203D" w:rsidRPr="00347E38" w:rsidRDefault="0086203D" w:rsidP="007D1947">
          <w:pPr>
            <w:rPr>
              <w:rFonts w:asciiTheme="minorHAnsi" w:hAnsiTheme="minorHAnsi" w:cstheme="minorHAnsi"/>
              <w:sz w:val="22"/>
              <w:szCs w:val="22"/>
            </w:rPr>
          </w:pPr>
          <w:r>
            <w:rPr>
              <w:rFonts w:asciiTheme="minorHAnsi" w:hAnsiTheme="minorHAnsi" w:cstheme="minorHAnsi"/>
              <w:sz w:val="22"/>
              <w:szCs w:val="22"/>
            </w:rPr>
            <w:t>Part Two of the report shifts focus from historical financial analysis to forward-looking investment decision making and considers Westward Plc</w:t>
          </w:r>
          <w:r w:rsidR="006A261F">
            <w:rPr>
              <w:rFonts w:asciiTheme="minorHAnsi" w:hAnsiTheme="minorHAnsi" w:cstheme="minorHAnsi"/>
              <w:sz w:val="22"/>
              <w:szCs w:val="22"/>
            </w:rPr>
            <w:t xml:space="preserve">, a manufacturer of high-quality curtains, which is evaluating three strategic investment options as part of a four-year plan. </w:t>
          </w:r>
          <w:r w:rsidR="00502D5F">
            <w:rPr>
              <w:rFonts w:asciiTheme="minorHAnsi" w:hAnsiTheme="minorHAnsi" w:cstheme="minorHAnsi"/>
              <w:sz w:val="22"/>
              <w:szCs w:val="22"/>
            </w:rPr>
            <w:t xml:space="preserve">Using discounted cash flow techniques, primarily Net Present Value (NPV) and Internal Rate of Return (IRR), Part Two assesses the financial viability of each proposal under conditions of uncertainty, taxation and capital constraints. </w:t>
          </w:r>
          <w:r w:rsidR="006D1936">
            <w:rPr>
              <w:rFonts w:asciiTheme="minorHAnsi" w:hAnsiTheme="minorHAnsi" w:cstheme="minorHAnsi"/>
              <w:sz w:val="22"/>
              <w:szCs w:val="22"/>
            </w:rPr>
            <w:t xml:space="preserve">Capital rationing is also examined to determine the optimal investment strategy when funds are limited. </w:t>
          </w:r>
          <w:r w:rsidR="00DE46E5">
            <w:rPr>
              <w:rFonts w:asciiTheme="minorHAnsi" w:hAnsiTheme="minorHAnsi" w:cstheme="minorHAnsi"/>
              <w:sz w:val="22"/>
              <w:szCs w:val="22"/>
            </w:rPr>
            <w:t xml:space="preserve">Collectively, this report demonstrates how financial statement analysis and investment appraisal techniques support informed managerial decision-making. By integrating retrospective performance evaluation with </w:t>
          </w:r>
          <w:r w:rsidR="00457B3F">
            <w:rPr>
              <w:rFonts w:asciiTheme="minorHAnsi" w:hAnsiTheme="minorHAnsi" w:cstheme="minorHAnsi"/>
              <w:sz w:val="22"/>
              <w:szCs w:val="22"/>
            </w:rPr>
            <w:t xml:space="preserve">prospective investment assessment, the report highlights the critical role of financial management in enhancing organisational performance, managing risk and creating long-term shareholder value. </w:t>
          </w:r>
          <w:r w:rsidR="00860CC7">
            <w:rPr>
              <w:rFonts w:asciiTheme="minorHAnsi" w:hAnsiTheme="minorHAnsi" w:cstheme="minorHAnsi"/>
              <w:sz w:val="22"/>
              <w:szCs w:val="22"/>
            </w:rPr>
            <w:t xml:space="preserve">This cohesive use of financial statement analysis and investment appraisal supports informed managerial decision-making and long-term value </w:t>
          </w:r>
          <w:r w:rsidR="003F256E">
            <w:rPr>
              <w:rFonts w:asciiTheme="minorHAnsi" w:hAnsiTheme="minorHAnsi" w:cstheme="minorHAnsi"/>
              <w:sz w:val="22"/>
              <w:szCs w:val="22"/>
            </w:rPr>
            <w:t>creation by</w:t>
          </w:r>
          <w:r w:rsidR="00860CC7">
            <w:rPr>
              <w:rFonts w:asciiTheme="minorHAnsi" w:hAnsiTheme="minorHAnsi" w:cstheme="minorHAnsi"/>
              <w:sz w:val="22"/>
              <w:szCs w:val="22"/>
            </w:rPr>
            <w:t xml:space="preserve"> directly linking financial evaluation to strategic investment choices</w:t>
          </w:r>
          <w:r w:rsidR="00EB2203">
            <w:rPr>
              <w:rFonts w:asciiTheme="minorHAnsi" w:hAnsiTheme="minorHAnsi" w:cstheme="minorHAnsi"/>
              <w:sz w:val="22"/>
              <w:szCs w:val="22"/>
            </w:rPr>
            <w:t>, (Olayinka, 2022)</w:t>
          </w:r>
          <w:r w:rsidR="00860CC7">
            <w:rPr>
              <w:rFonts w:asciiTheme="minorHAnsi" w:hAnsiTheme="minorHAnsi" w:cstheme="minorHAnsi"/>
              <w:sz w:val="22"/>
              <w:szCs w:val="22"/>
            </w:rPr>
            <w:t>.</w:t>
          </w:r>
        </w:p>
        <w:p w14:paraId="6DF73EDF" w14:textId="07911866" w:rsidR="00480872" w:rsidRPr="00347E38" w:rsidRDefault="00480872" w:rsidP="00EF3337">
          <w:pPr>
            <w:pStyle w:val="Heading1"/>
            <w:rPr>
              <w:rFonts w:asciiTheme="minorHAnsi" w:hAnsiTheme="minorHAnsi" w:cstheme="minorHAnsi"/>
            </w:rPr>
          </w:pPr>
          <w:bookmarkStart w:id="2" w:name="_Toc216779314"/>
          <w:r w:rsidRPr="00347E38">
            <w:rPr>
              <w:rFonts w:asciiTheme="minorHAnsi" w:hAnsiTheme="minorHAnsi" w:cstheme="minorHAnsi"/>
            </w:rPr>
            <w:t>Main Findings</w:t>
          </w:r>
          <w:bookmarkEnd w:id="2"/>
        </w:p>
        <w:p w14:paraId="32497693" w14:textId="7E5C4841" w:rsidR="00CF0E48" w:rsidRPr="00347E38" w:rsidRDefault="00CF0E48" w:rsidP="00EF3337">
          <w:pPr>
            <w:pStyle w:val="Heading1"/>
            <w:rPr>
              <w:rFonts w:asciiTheme="minorHAnsi" w:hAnsiTheme="minorHAnsi" w:cstheme="minorHAnsi"/>
            </w:rPr>
          </w:pPr>
          <w:bookmarkStart w:id="3" w:name="_Toc216779315"/>
          <w:r w:rsidRPr="00347E38">
            <w:rPr>
              <w:rFonts w:asciiTheme="minorHAnsi" w:hAnsiTheme="minorHAnsi" w:cstheme="minorHAnsi"/>
            </w:rPr>
            <w:t>Task 1</w:t>
          </w:r>
          <w:bookmarkEnd w:id="3"/>
        </w:p>
        <w:p w14:paraId="399DD5EE" w14:textId="1B07B1D0" w:rsidR="00402CBC" w:rsidRPr="00347E38" w:rsidRDefault="00C1101D" w:rsidP="00680EB8">
          <w:pPr>
            <w:rPr>
              <w:rFonts w:asciiTheme="minorHAnsi" w:hAnsiTheme="minorHAnsi" w:cstheme="minorHAnsi"/>
              <w:sz w:val="22"/>
              <w:szCs w:val="22"/>
            </w:rPr>
          </w:pPr>
          <w:r w:rsidRPr="00347E38">
            <w:rPr>
              <w:rFonts w:asciiTheme="minorHAnsi" w:hAnsiTheme="minorHAnsi" w:cstheme="minorHAnsi"/>
              <w:sz w:val="22"/>
              <w:szCs w:val="22"/>
            </w:rPr>
            <w:t>Tesco plc operates within the highly competitive UK retail sector, which is influenced by changing consumer behaviour, inflationary pressure</w:t>
          </w:r>
          <w:r w:rsidR="006D246E" w:rsidRPr="00347E38">
            <w:rPr>
              <w:rFonts w:asciiTheme="minorHAnsi" w:hAnsiTheme="minorHAnsi" w:cstheme="minorHAnsi"/>
              <w:sz w:val="22"/>
              <w:szCs w:val="22"/>
            </w:rPr>
            <w:t>s, and digital transformation</w:t>
          </w:r>
          <w:r w:rsidR="0020175E" w:rsidRPr="00347E38">
            <w:rPr>
              <w:rFonts w:asciiTheme="minorHAnsi" w:hAnsiTheme="minorHAnsi" w:cstheme="minorHAnsi"/>
              <w:sz w:val="22"/>
              <w:szCs w:val="22"/>
            </w:rPr>
            <w:t xml:space="preserve">, </w:t>
          </w:r>
          <w:r w:rsidR="00FD384D" w:rsidRPr="00347E38">
            <w:rPr>
              <w:rFonts w:asciiTheme="minorHAnsi" w:hAnsiTheme="minorHAnsi" w:cstheme="minorHAnsi"/>
              <w:sz w:val="22"/>
              <w:szCs w:val="22"/>
            </w:rPr>
            <w:t>the</w:t>
          </w:r>
          <w:r w:rsidR="008A6C96" w:rsidRPr="00347E38">
            <w:rPr>
              <w:rFonts w:asciiTheme="minorHAnsi" w:hAnsiTheme="minorHAnsi" w:cstheme="minorHAnsi"/>
              <w:sz w:val="22"/>
              <w:szCs w:val="22"/>
            </w:rPr>
            <w:t xml:space="preserve"> financial management </w:t>
          </w:r>
          <w:r w:rsidR="00FD384D" w:rsidRPr="00347E38">
            <w:rPr>
              <w:rFonts w:asciiTheme="minorHAnsi" w:hAnsiTheme="minorHAnsi" w:cstheme="minorHAnsi"/>
              <w:sz w:val="22"/>
              <w:szCs w:val="22"/>
            </w:rPr>
            <w:lastRenderedPageBreak/>
            <w:t xml:space="preserve">team </w:t>
          </w:r>
          <w:r w:rsidR="008A6C96" w:rsidRPr="00347E38">
            <w:rPr>
              <w:rFonts w:asciiTheme="minorHAnsi" w:hAnsiTheme="minorHAnsi" w:cstheme="minorHAnsi"/>
              <w:sz w:val="22"/>
              <w:szCs w:val="22"/>
            </w:rPr>
            <w:t>must prioritise cost control, cash flow, and resource allocation to support these objectives</w:t>
          </w:r>
          <w:r w:rsidR="006D246E" w:rsidRPr="00347E38">
            <w:rPr>
              <w:rFonts w:asciiTheme="minorHAnsi" w:hAnsiTheme="minorHAnsi" w:cstheme="minorHAnsi"/>
              <w:sz w:val="22"/>
              <w:szCs w:val="22"/>
            </w:rPr>
            <w:t>. With over 3,400 UK stores</w:t>
          </w:r>
          <w:r w:rsidR="004A69EE" w:rsidRPr="00347E38">
            <w:rPr>
              <w:rFonts w:asciiTheme="minorHAnsi" w:hAnsiTheme="minorHAnsi" w:cstheme="minorHAnsi"/>
              <w:sz w:val="22"/>
              <w:szCs w:val="22"/>
            </w:rPr>
            <w:t xml:space="preserve">, Tesco’s strategy </w:t>
          </w:r>
          <w:r w:rsidR="004934FF" w:rsidRPr="00347E38">
            <w:rPr>
              <w:rFonts w:asciiTheme="minorHAnsi" w:hAnsiTheme="minorHAnsi" w:cstheme="minorHAnsi"/>
              <w:sz w:val="22"/>
              <w:szCs w:val="22"/>
            </w:rPr>
            <w:t>emphasises</w:t>
          </w:r>
          <w:r w:rsidR="004A69EE" w:rsidRPr="00347E38">
            <w:rPr>
              <w:rFonts w:asciiTheme="minorHAnsi" w:hAnsiTheme="minorHAnsi" w:cstheme="minorHAnsi"/>
              <w:sz w:val="22"/>
              <w:szCs w:val="22"/>
            </w:rPr>
            <w:t xml:space="preserve"> customer loyalty, price competitiveness, and sustainable growth</w:t>
          </w:r>
          <w:r w:rsidR="00E059E7" w:rsidRPr="00347E38">
            <w:rPr>
              <w:rFonts w:asciiTheme="minorHAnsi" w:hAnsiTheme="minorHAnsi" w:cstheme="minorHAnsi"/>
              <w:sz w:val="22"/>
              <w:szCs w:val="22"/>
            </w:rPr>
            <w:t>.</w:t>
          </w:r>
          <w:r w:rsidR="00E239E4" w:rsidRPr="00347E38">
            <w:rPr>
              <w:rFonts w:asciiTheme="minorHAnsi" w:hAnsiTheme="minorHAnsi" w:cstheme="minorHAnsi"/>
              <w:color w:val="000000"/>
              <w:sz w:val="22"/>
              <w:szCs w:val="22"/>
            </w:rPr>
            <w:t xml:space="preserve"> </w:t>
          </w:r>
          <w:r w:rsidR="00E239E4" w:rsidRPr="00347E38">
            <w:rPr>
              <w:rFonts w:asciiTheme="minorHAnsi" w:hAnsiTheme="minorHAnsi" w:cstheme="minorHAnsi"/>
              <w:sz w:val="22"/>
              <w:szCs w:val="22"/>
            </w:rPr>
            <w:t>As Tesco itself states, “Tesco was built to be a champion for customers, serving them every day with affordable, healthy and sustainable food.”</w:t>
          </w:r>
          <w:r w:rsidR="00D878DB">
            <w:rPr>
              <w:rFonts w:asciiTheme="minorHAnsi" w:hAnsiTheme="minorHAnsi" w:cstheme="minorHAnsi"/>
              <w:sz w:val="22"/>
              <w:szCs w:val="22"/>
            </w:rPr>
            <w:t>,</w:t>
          </w:r>
          <w:r w:rsidR="00E239E4" w:rsidRPr="00347E38">
            <w:rPr>
              <w:rFonts w:asciiTheme="minorHAnsi" w:hAnsiTheme="minorHAnsi" w:cstheme="minorHAnsi"/>
              <w:sz w:val="22"/>
              <w:szCs w:val="22"/>
            </w:rPr>
            <w:t xml:space="preserve"> (Tesco plc, 2024)</w:t>
          </w:r>
          <w:r w:rsidR="00D878DB">
            <w:rPr>
              <w:rFonts w:asciiTheme="minorHAnsi" w:hAnsiTheme="minorHAnsi" w:cstheme="minorHAnsi"/>
              <w:sz w:val="22"/>
              <w:szCs w:val="22"/>
            </w:rPr>
            <w:t>.</w:t>
          </w:r>
          <w:r w:rsidR="00E239E4" w:rsidRPr="00347E38">
            <w:rPr>
              <w:rFonts w:asciiTheme="minorHAnsi" w:hAnsiTheme="minorHAnsi" w:cstheme="minorHAnsi"/>
              <w:sz w:val="22"/>
              <w:szCs w:val="22"/>
            </w:rPr>
            <w:t xml:space="preserve"> This quote highlights the company’s customer-centric positioning and its commitment to value and sustainability</w:t>
          </w:r>
          <w:r w:rsidR="00E51EEF" w:rsidRPr="00347E38">
            <w:rPr>
              <w:rFonts w:asciiTheme="minorHAnsi" w:hAnsiTheme="minorHAnsi" w:cstheme="minorHAnsi"/>
              <w:sz w:val="22"/>
              <w:szCs w:val="22"/>
            </w:rPr>
            <w:t xml:space="preserve">, these are </w:t>
          </w:r>
          <w:r w:rsidR="00E239E4" w:rsidRPr="00347E38">
            <w:rPr>
              <w:rFonts w:asciiTheme="minorHAnsi" w:hAnsiTheme="minorHAnsi" w:cstheme="minorHAnsi"/>
              <w:sz w:val="22"/>
              <w:szCs w:val="22"/>
            </w:rPr>
            <w:t xml:space="preserve">key elements </w:t>
          </w:r>
          <w:r w:rsidR="00E51EEF" w:rsidRPr="00347E38">
            <w:rPr>
              <w:rFonts w:asciiTheme="minorHAnsi" w:hAnsiTheme="minorHAnsi" w:cstheme="minorHAnsi"/>
              <w:sz w:val="22"/>
              <w:szCs w:val="22"/>
            </w:rPr>
            <w:t xml:space="preserve">in </w:t>
          </w:r>
          <w:r w:rsidR="00E239E4" w:rsidRPr="00347E38">
            <w:rPr>
              <w:rFonts w:asciiTheme="minorHAnsi" w:hAnsiTheme="minorHAnsi" w:cstheme="minorHAnsi"/>
              <w:sz w:val="22"/>
              <w:szCs w:val="22"/>
            </w:rPr>
            <w:t>supporting its competitive strategy.</w:t>
          </w:r>
          <w:r w:rsidR="00DF4AC7" w:rsidRPr="00347E38">
            <w:rPr>
              <w:rFonts w:asciiTheme="minorHAnsi" w:hAnsiTheme="minorHAnsi" w:cstheme="minorHAnsi"/>
              <w:sz w:val="22"/>
              <w:szCs w:val="22"/>
            </w:rPr>
            <w:t xml:space="preserve"> </w:t>
          </w:r>
          <w:r w:rsidR="00E059E7" w:rsidRPr="00347E38">
            <w:rPr>
              <w:rFonts w:asciiTheme="minorHAnsi" w:hAnsiTheme="minorHAnsi" w:cstheme="minorHAnsi"/>
              <w:sz w:val="22"/>
              <w:szCs w:val="22"/>
            </w:rPr>
            <w:t>However</w:t>
          </w:r>
          <w:r w:rsidR="00DF4AC7" w:rsidRPr="00347E38">
            <w:rPr>
              <w:rFonts w:asciiTheme="minorHAnsi" w:hAnsiTheme="minorHAnsi" w:cstheme="minorHAnsi"/>
              <w:sz w:val="22"/>
              <w:szCs w:val="22"/>
            </w:rPr>
            <w:t xml:space="preserve">, </w:t>
          </w:r>
          <w:r w:rsidR="006209A6" w:rsidRPr="00347E38">
            <w:rPr>
              <w:rFonts w:asciiTheme="minorHAnsi" w:hAnsiTheme="minorHAnsi" w:cstheme="minorHAnsi"/>
              <w:sz w:val="22"/>
              <w:szCs w:val="22"/>
            </w:rPr>
            <w:t xml:space="preserve">Tesco’s </w:t>
          </w:r>
          <w:r w:rsidR="00DF4AC7" w:rsidRPr="00347E38">
            <w:rPr>
              <w:rFonts w:asciiTheme="minorHAnsi" w:hAnsiTheme="minorHAnsi" w:cstheme="minorHAnsi"/>
              <w:sz w:val="22"/>
              <w:szCs w:val="22"/>
            </w:rPr>
            <w:t>strategic</w:t>
          </w:r>
          <w:r w:rsidR="008E0AEE" w:rsidRPr="00347E38">
            <w:rPr>
              <w:rFonts w:asciiTheme="minorHAnsi" w:hAnsiTheme="minorHAnsi" w:cstheme="minorHAnsi"/>
              <w:sz w:val="22"/>
              <w:szCs w:val="22"/>
            </w:rPr>
            <w:t xml:space="preserve"> and financial</w:t>
          </w:r>
          <w:r w:rsidR="00DF4AC7" w:rsidRPr="00347E38">
            <w:rPr>
              <w:rFonts w:asciiTheme="minorHAnsi" w:hAnsiTheme="minorHAnsi" w:cstheme="minorHAnsi"/>
              <w:sz w:val="22"/>
              <w:szCs w:val="22"/>
            </w:rPr>
            <w:t xml:space="preserve"> decisions </w:t>
          </w:r>
          <w:r w:rsidR="006E120C" w:rsidRPr="00347E38">
            <w:rPr>
              <w:rFonts w:asciiTheme="minorHAnsi" w:hAnsiTheme="minorHAnsi" w:cstheme="minorHAnsi"/>
              <w:sz w:val="22"/>
              <w:szCs w:val="22"/>
            </w:rPr>
            <w:t xml:space="preserve">are significantly </w:t>
          </w:r>
          <w:r w:rsidR="006209A6" w:rsidRPr="00347E38">
            <w:rPr>
              <w:rFonts w:asciiTheme="minorHAnsi" w:hAnsiTheme="minorHAnsi" w:cstheme="minorHAnsi"/>
              <w:sz w:val="22"/>
              <w:szCs w:val="22"/>
            </w:rPr>
            <w:t>shaped</w:t>
          </w:r>
          <w:r w:rsidR="006E120C" w:rsidRPr="00347E38">
            <w:rPr>
              <w:rFonts w:asciiTheme="minorHAnsi" w:hAnsiTheme="minorHAnsi" w:cstheme="minorHAnsi"/>
              <w:sz w:val="22"/>
              <w:szCs w:val="22"/>
            </w:rPr>
            <w:t xml:space="preserve"> by external</w:t>
          </w:r>
          <w:r w:rsidR="00DF4AC7" w:rsidRPr="00347E38">
            <w:rPr>
              <w:rFonts w:asciiTheme="minorHAnsi" w:hAnsiTheme="minorHAnsi" w:cstheme="minorHAnsi"/>
              <w:sz w:val="22"/>
              <w:szCs w:val="22"/>
            </w:rPr>
            <w:t xml:space="preserve"> PESTLE factors</w:t>
          </w:r>
          <w:r w:rsidR="00E25EDA" w:rsidRPr="00347E38">
            <w:rPr>
              <w:rFonts w:asciiTheme="minorHAnsi" w:hAnsiTheme="minorHAnsi" w:cstheme="minorHAnsi"/>
              <w:sz w:val="22"/>
              <w:szCs w:val="22"/>
            </w:rPr>
            <w:t>, which</w:t>
          </w:r>
          <w:r w:rsidR="00AD6295" w:rsidRPr="00347E38">
            <w:rPr>
              <w:rFonts w:asciiTheme="minorHAnsi" w:hAnsiTheme="minorHAnsi" w:cstheme="minorHAnsi"/>
              <w:sz w:val="22"/>
              <w:szCs w:val="22"/>
            </w:rPr>
            <w:t xml:space="preserve"> influence </w:t>
          </w:r>
          <w:r w:rsidR="0078671C" w:rsidRPr="00347E38">
            <w:rPr>
              <w:rFonts w:asciiTheme="minorHAnsi" w:hAnsiTheme="minorHAnsi" w:cstheme="minorHAnsi"/>
              <w:sz w:val="22"/>
              <w:szCs w:val="22"/>
            </w:rPr>
            <w:t xml:space="preserve">its capital allocation, cost management and long-term </w:t>
          </w:r>
          <w:r w:rsidR="00474C22" w:rsidRPr="00347E38">
            <w:rPr>
              <w:rFonts w:asciiTheme="minorHAnsi" w:hAnsiTheme="minorHAnsi" w:cstheme="minorHAnsi"/>
              <w:sz w:val="22"/>
              <w:szCs w:val="22"/>
            </w:rPr>
            <w:t>investment priorities</w:t>
          </w:r>
          <w:r w:rsidR="001D5B42" w:rsidRPr="00347E38">
            <w:rPr>
              <w:rFonts w:asciiTheme="minorHAnsi" w:hAnsiTheme="minorHAnsi" w:cstheme="minorHAnsi"/>
              <w:sz w:val="22"/>
              <w:szCs w:val="22"/>
            </w:rPr>
            <w:t xml:space="preserve">, </w:t>
          </w:r>
          <w:r w:rsidR="00D80692" w:rsidRPr="00347E38">
            <w:rPr>
              <w:rFonts w:asciiTheme="minorHAnsi" w:hAnsiTheme="minorHAnsi" w:cstheme="minorHAnsi"/>
              <w:sz w:val="22"/>
              <w:szCs w:val="22"/>
            </w:rPr>
            <w:t>(</w:t>
          </w:r>
          <w:r w:rsidR="001D5B42" w:rsidRPr="00347E38">
            <w:rPr>
              <w:rFonts w:asciiTheme="minorHAnsi" w:hAnsiTheme="minorHAnsi" w:cstheme="minorHAnsi"/>
              <w:sz w:val="22"/>
              <w:szCs w:val="22"/>
            </w:rPr>
            <w:t>Gupta,</w:t>
          </w:r>
          <w:r w:rsidR="00D878DB">
            <w:rPr>
              <w:rFonts w:asciiTheme="minorHAnsi" w:hAnsiTheme="minorHAnsi" w:cstheme="minorHAnsi"/>
              <w:sz w:val="22"/>
              <w:szCs w:val="22"/>
            </w:rPr>
            <w:t xml:space="preserve"> </w:t>
          </w:r>
          <w:r w:rsidR="001D5B42" w:rsidRPr="00347E38">
            <w:rPr>
              <w:rFonts w:asciiTheme="minorHAnsi" w:hAnsiTheme="minorHAnsi" w:cstheme="minorHAnsi"/>
              <w:sz w:val="22"/>
              <w:szCs w:val="22"/>
            </w:rPr>
            <w:t>2013)</w:t>
          </w:r>
          <w:r w:rsidR="00DF4AC7" w:rsidRPr="00347E38">
            <w:rPr>
              <w:rFonts w:asciiTheme="minorHAnsi" w:hAnsiTheme="minorHAnsi" w:cstheme="minorHAnsi"/>
              <w:sz w:val="22"/>
              <w:szCs w:val="22"/>
            </w:rPr>
            <w:t>.</w:t>
          </w:r>
          <w:r w:rsidR="001D4731" w:rsidRPr="00347E38">
            <w:rPr>
              <w:rFonts w:asciiTheme="minorHAnsi" w:hAnsiTheme="minorHAnsi" w:cstheme="minorHAnsi"/>
              <w:sz w:val="22"/>
              <w:szCs w:val="22"/>
            </w:rPr>
            <w:t xml:space="preserve"> Political</w:t>
          </w:r>
          <w:r w:rsidR="0078671C" w:rsidRPr="00347E38">
            <w:rPr>
              <w:rFonts w:asciiTheme="minorHAnsi" w:hAnsiTheme="minorHAnsi" w:cstheme="minorHAnsi"/>
              <w:sz w:val="22"/>
              <w:szCs w:val="22"/>
            </w:rPr>
            <w:t>ly,</w:t>
          </w:r>
          <w:r w:rsidR="00A414F1" w:rsidRPr="00347E38">
            <w:rPr>
              <w:rFonts w:asciiTheme="minorHAnsi" w:hAnsiTheme="minorHAnsi" w:cstheme="minorHAnsi"/>
              <w:sz w:val="22"/>
              <w:szCs w:val="22"/>
            </w:rPr>
            <w:t xml:space="preserve"> </w:t>
          </w:r>
          <w:r w:rsidR="008400CB" w:rsidRPr="00347E38">
            <w:rPr>
              <w:rFonts w:asciiTheme="minorHAnsi" w:hAnsiTheme="minorHAnsi" w:cstheme="minorHAnsi"/>
              <w:sz w:val="22"/>
              <w:szCs w:val="22"/>
            </w:rPr>
            <w:t xml:space="preserve">the company must plan for regulatory uncertainty relating to trade </w:t>
          </w:r>
          <w:r w:rsidR="000F322A" w:rsidRPr="00347E38">
            <w:rPr>
              <w:rFonts w:asciiTheme="minorHAnsi" w:hAnsiTheme="minorHAnsi" w:cstheme="minorHAnsi"/>
              <w:sz w:val="22"/>
              <w:szCs w:val="22"/>
            </w:rPr>
            <w:t>agreements</w:t>
          </w:r>
          <w:r w:rsidR="008400CB" w:rsidRPr="00347E38">
            <w:rPr>
              <w:rFonts w:asciiTheme="minorHAnsi" w:hAnsiTheme="minorHAnsi" w:cstheme="minorHAnsi"/>
              <w:sz w:val="22"/>
              <w:szCs w:val="22"/>
            </w:rPr>
            <w:t>, labour polic</w:t>
          </w:r>
          <w:r w:rsidR="000F322A" w:rsidRPr="00347E38">
            <w:rPr>
              <w:rFonts w:asciiTheme="minorHAnsi" w:hAnsiTheme="minorHAnsi" w:cstheme="minorHAnsi"/>
              <w:sz w:val="22"/>
              <w:szCs w:val="22"/>
            </w:rPr>
            <w:t>y and industry-specific levies, all of which directly affect labour costs, supply-chain expenses and long-term capital commitments</w:t>
          </w:r>
          <w:r w:rsidR="00DC136E" w:rsidRPr="00347E38">
            <w:rPr>
              <w:rFonts w:asciiTheme="minorHAnsi" w:hAnsiTheme="minorHAnsi" w:cstheme="minorHAnsi"/>
              <w:sz w:val="22"/>
              <w:szCs w:val="22"/>
            </w:rPr>
            <w:t>.</w:t>
          </w:r>
          <w:r w:rsidR="0056140D" w:rsidRPr="00347E38">
            <w:rPr>
              <w:rFonts w:asciiTheme="minorHAnsi" w:hAnsiTheme="minorHAnsi" w:cstheme="minorHAnsi"/>
              <w:sz w:val="22"/>
              <w:szCs w:val="22"/>
            </w:rPr>
            <w:t xml:space="preserve"> Recent increases in employer National Insurance contributions and packaging-related taxes illustrate how policy changes can raise operational costs and necessitate more robust financial planning and risk management, (SeafoodSource, 2024)</w:t>
          </w:r>
          <w:r w:rsidR="0004735E" w:rsidRPr="00347E38">
            <w:rPr>
              <w:rFonts w:asciiTheme="minorHAnsi" w:hAnsiTheme="minorHAnsi" w:cstheme="minorHAnsi"/>
              <w:sz w:val="22"/>
              <w:szCs w:val="22"/>
            </w:rPr>
            <w:t xml:space="preserve">. </w:t>
          </w:r>
          <w:r w:rsidR="0056140D" w:rsidRPr="00347E38">
            <w:rPr>
              <w:rFonts w:asciiTheme="minorHAnsi" w:hAnsiTheme="minorHAnsi" w:cstheme="minorHAnsi"/>
              <w:sz w:val="22"/>
              <w:szCs w:val="22"/>
            </w:rPr>
            <w:t xml:space="preserve">Internationally, political stability </w:t>
          </w:r>
          <w:r w:rsidR="005651AF" w:rsidRPr="00347E38">
            <w:rPr>
              <w:rFonts w:asciiTheme="minorHAnsi" w:hAnsiTheme="minorHAnsi" w:cstheme="minorHAnsi"/>
              <w:sz w:val="22"/>
              <w:szCs w:val="22"/>
            </w:rPr>
            <w:t>influences</w:t>
          </w:r>
          <w:r w:rsidR="0056140D" w:rsidRPr="00347E38">
            <w:rPr>
              <w:rFonts w:asciiTheme="minorHAnsi" w:hAnsiTheme="minorHAnsi" w:cstheme="minorHAnsi"/>
              <w:sz w:val="22"/>
              <w:szCs w:val="22"/>
            </w:rPr>
            <w:t xml:space="preserve"> Tesco’s supply-chain design and investment in global sourcing, requiring strong financial and operational risk-miti</w:t>
          </w:r>
          <w:r w:rsidR="005651AF" w:rsidRPr="00347E38">
            <w:rPr>
              <w:rFonts w:asciiTheme="minorHAnsi" w:hAnsiTheme="minorHAnsi" w:cstheme="minorHAnsi"/>
              <w:sz w:val="22"/>
              <w:szCs w:val="22"/>
            </w:rPr>
            <w:t xml:space="preserve">gation strategies, (Li </w:t>
          </w:r>
          <w:r w:rsidR="007B6043">
            <w:rPr>
              <w:rFonts w:asciiTheme="minorHAnsi" w:hAnsiTheme="minorHAnsi" w:cstheme="minorHAnsi"/>
              <w:sz w:val="22"/>
              <w:szCs w:val="22"/>
            </w:rPr>
            <w:t>and</w:t>
          </w:r>
          <w:r w:rsidR="005651AF" w:rsidRPr="00347E38">
            <w:rPr>
              <w:rFonts w:asciiTheme="minorHAnsi" w:hAnsiTheme="minorHAnsi" w:cstheme="minorHAnsi"/>
              <w:sz w:val="22"/>
              <w:szCs w:val="22"/>
            </w:rPr>
            <w:t xml:space="preserve"> Zeng, 2024).</w:t>
          </w:r>
          <w:r w:rsidR="00AD159D" w:rsidRPr="00347E38">
            <w:rPr>
              <w:rFonts w:asciiTheme="minorHAnsi" w:hAnsiTheme="minorHAnsi" w:cstheme="minorHAnsi"/>
              <w:sz w:val="22"/>
              <w:szCs w:val="22"/>
            </w:rPr>
            <w:t xml:space="preserve"> </w:t>
          </w:r>
        </w:p>
        <w:p w14:paraId="1EB7334B" w14:textId="05C05AAE" w:rsidR="008F2D3F" w:rsidRDefault="00DC136E" w:rsidP="00680EB8">
          <w:pPr>
            <w:rPr>
              <w:rFonts w:asciiTheme="minorHAnsi" w:hAnsiTheme="minorHAnsi" w:cstheme="minorHAnsi"/>
              <w:sz w:val="22"/>
              <w:szCs w:val="22"/>
            </w:rPr>
          </w:pPr>
          <w:r w:rsidRPr="00347E38">
            <w:rPr>
              <w:rFonts w:asciiTheme="minorHAnsi" w:hAnsiTheme="minorHAnsi" w:cstheme="minorHAnsi"/>
              <w:sz w:val="22"/>
              <w:szCs w:val="22"/>
            </w:rPr>
            <w:t>Economi</w:t>
          </w:r>
          <w:r w:rsidR="00AD159D" w:rsidRPr="00347E38">
            <w:rPr>
              <w:rFonts w:asciiTheme="minorHAnsi" w:hAnsiTheme="minorHAnsi" w:cstheme="minorHAnsi"/>
              <w:sz w:val="22"/>
              <w:szCs w:val="22"/>
            </w:rPr>
            <w:t>c</w:t>
          </w:r>
          <w:r w:rsidRPr="00347E38">
            <w:rPr>
              <w:rFonts w:asciiTheme="minorHAnsi" w:hAnsiTheme="minorHAnsi" w:cstheme="minorHAnsi"/>
              <w:sz w:val="22"/>
              <w:szCs w:val="22"/>
            </w:rPr>
            <w:t xml:space="preserve"> </w:t>
          </w:r>
          <w:r w:rsidR="00AD159D" w:rsidRPr="00347E38">
            <w:rPr>
              <w:rFonts w:asciiTheme="minorHAnsi" w:hAnsiTheme="minorHAnsi" w:cstheme="minorHAnsi"/>
              <w:sz w:val="22"/>
              <w:szCs w:val="22"/>
            </w:rPr>
            <w:t>pressures</w:t>
          </w:r>
          <w:r w:rsidR="008C70D9" w:rsidRPr="00347E38">
            <w:rPr>
              <w:rFonts w:asciiTheme="minorHAnsi" w:hAnsiTheme="minorHAnsi" w:cstheme="minorHAnsi"/>
              <w:sz w:val="22"/>
              <w:szCs w:val="22"/>
            </w:rPr>
            <w:t xml:space="preserve"> </w:t>
          </w:r>
          <w:r w:rsidR="00EF52D4" w:rsidRPr="00347E38">
            <w:rPr>
              <w:rFonts w:asciiTheme="minorHAnsi" w:hAnsiTheme="minorHAnsi" w:cstheme="minorHAnsi"/>
              <w:sz w:val="22"/>
              <w:szCs w:val="22"/>
            </w:rPr>
            <w:t xml:space="preserve">including high </w:t>
          </w:r>
          <w:r w:rsidR="00344E2C" w:rsidRPr="00347E38">
            <w:rPr>
              <w:rFonts w:asciiTheme="minorHAnsi" w:hAnsiTheme="minorHAnsi" w:cstheme="minorHAnsi"/>
              <w:sz w:val="22"/>
              <w:szCs w:val="22"/>
            </w:rPr>
            <w:t>inflation,</w:t>
          </w:r>
          <w:r w:rsidR="00EF52D4" w:rsidRPr="00347E38">
            <w:rPr>
              <w:rFonts w:asciiTheme="minorHAnsi" w:hAnsiTheme="minorHAnsi" w:cstheme="minorHAnsi"/>
              <w:sz w:val="22"/>
              <w:szCs w:val="22"/>
            </w:rPr>
            <w:t xml:space="preserve"> and the ongoing cost-of-living crisis requires Tesco to manage pricing competitiveness while absorbing</w:t>
          </w:r>
          <w:r w:rsidR="00395D61" w:rsidRPr="00347E38">
            <w:rPr>
              <w:rFonts w:asciiTheme="minorHAnsi" w:hAnsiTheme="minorHAnsi" w:cstheme="minorHAnsi"/>
              <w:sz w:val="22"/>
              <w:szCs w:val="22"/>
            </w:rPr>
            <w:t xml:space="preserve"> rising input costs, (Reuters, 2025)</w:t>
          </w:r>
          <w:r w:rsidR="00DB2265" w:rsidRPr="00347E38">
            <w:rPr>
              <w:rFonts w:asciiTheme="minorHAnsi" w:hAnsiTheme="minorHAnsi" w:cstheme="minorHAnsi"/>
              <w:sz w:val="22"/>
              <w:szCs w:val="22"/>
            </w:rPr>
            <w:t>.</w:t>
          </w:r>
          <w:r w:rsidR="00395D61" w:rsidRPr="00347E38">
            <w:rPr>
              <w:rFonts w:asciiTheme="minorHAnsi" w:hAnsiTheme="minorHAnsi" w:cstheme="minorHAnsi"/>
              <w:sz w:val="22"/>
              <w:szCs w:val="22"/>
            </w:rPr>
            <w:t xml:space="preserve"> Consequently, </w:t>
          </w:r>
          <w:r w:rsidR="00B716C8" w:rsidRPr="00347E38">
            <w:rPr>
              <w:rFonts w:asciiTheme="minorHAnsi" w:hAnsiTheme="minorHAnsi" w:cstheme="minorHAnsi"/>
              <w:sz w:val="22"/>
              <w:szCs w:val="22"/>
            </w:rPr>
            <w:t>Tesco</w:t>
          </w:r>
          <w:r w:rsidR="000E1F08" w:rsidRPr="00347E38">
            <w:rPr>
              <w:rFonts w:asciiTheme="minorHAnsi" w:hAnsiTheme="minorHAnsi" w:cstheme="minorHAnsi"/>
              <w:sz w:val="22"/>
              <w:szCs w:val="22"/>
            </w:rPr>
            <w:t xml:space="preserve"> has </w:t>
          </w:r>
          <w:r w:rsidR="00344E2C" w:rsidRPr="00347E38">
            <w:rPr>
              <w:rFonts w:asciiTheme="minorHAnsi" w:hAnsiTheme="minorHAnsi" w:cstheme="minorHAnsi"/>
              <w:sz w:val="22"/>
              <w:szCs w:val="22"/>
            </w:rPr>
            <w:t>intensified</w:t>
          </w:r>
          <w:r w:rsidR="000E1F08" w:rsidRPr="00347E38">
            <w:rPr>
              <w:rFonts w:asciiTheme="minorHAnsi" w:hAnsiTheme="minorHAnsi" w:cstheme="minorHAnsi"/>
              <w:sz w:val="22"/>
              <w:szCs w:val="22"/>
            </w:rPr>
            <w:t xml:space="preserve"> efficiency measures and </w:t>
          </w:r>
          <w:r w:rsidR="008F0C52" w:rsidRPr="00347E38">
            <w:rPr>
              <w:rFonts w:asciiTheme="minorHAnsi" w:hAnsiTheme="minorHAnsi" w:cstheme="minorHAnsi"/>
              <w:sz w:val="22"/>
              <w:szCs w:val="22"/>
            </w:rPr>
            <w:t>strengthened its working-capital management, includi</w:t>
          </w:r>
          <w:r w:rsidR="00857FDB" w:rsidRPr="00347E38">
            <w:rPr>
              <w:rFonts w:asciiTheme="minorHAnsi" w:hAnsiTheme="minorHAnsi" w:cstheme="minorHAnsi"/>
              <w:sz w:val="22"/>
              <w:szCs w:val="22"/>
            </w:rPr>
            <w:t>ng optimising inventory, negotiating supplier terms and reducing operational waste to preserve liquidity and margins, (The Guardian, 2024). Economic volati</w:t>
          </w:r>
          <w:r w:rsidR="00B716C8" w:rsidRPr="00347E38">
            <w:rPr>
              <w:rFonts w:asciiTheme="minorHAnsi" w:hAnsiTheme="minorHAnsi" w:cstheme="minorHAnsi"/>
              <w:sz w:val="22"/>
              <w:szCs w:val="22"/>
            </w:rPr>
            <w:t>lit</w:t>
          </w:r>
          <w:r w:rsidR="00857FDB" w:rsidRPr="00347E38">
            <w:rPr>
              <w:rFonts w:asciiTheme="minorHAnsi" w:hAnsiTheme="minorHAnsi" w:cstheme="minorHAnsi"/>
              <w:sz w:val="22"/>
              <w:szCs w:val="22"/>
            </w:rPr>
            <w:t xml:space="preserve">y </w:t>
          </w:r>
          <w:r w:rsidR="00B716C8" w:rsidRPr="00347E38">
            <w:rPr>
              <w:rFonts w:asciiTheme="minorHAnsi" w:hAnsiTheme="minorHAnsi" w:cstheme="minorHAnsi"/>
              <w:sz w:val="22"/>
              <w:szCs w:val="22"/>
            </w:rPr>
            <w:t>also</w:t>
          </w:r>
          <w:r w:rsidR="00857FDB" w:rsidRPr="00347E38">
            <w:rPr>
              <w:rFonts w:asciiTheme="minorHAnsi" w:hAnsiTheme="minorHAnsi" w:cstheme="minorHAnsi"/>
              <w:sz w:val="22"/>
              <w:szCs w:val="22"/>
            </w:rPr>
            <w:t xml:space="preserve"> influences the timing of capital investment, making financial pr</w:t>
          </w:r>
          <w:r w:rsidR="00F52FE8" w:rsidRPr="00347E38">
            <w:rPr>
              <w:rFonts w:asciiTheme="minorHAnsi" w:hAnsiTheme="minorHAnsi" w:cstheme="minorHAnsi"/>
              <w:sz w:val="22"/>
              <w:szCs w:val="22"/>
            </w:rPr>
            <w:t>ud</w:t>
          </w:r>
          <w:r w:rsidR="00F76070" w:rsidRPr="00347E38">
            <w:rPr>
              <w:rFonts w:asciiTheme="minorHAnsi" w:hAnsiTheme="minorHAnsi" w:cstheme="minorHAnsi"/>
              <w:sz w:val="22"/>
              <w:szCs w:val="22"/>
            </w:rPr>
            <w:t>ence essential when consumer spending becomes unpredictable.</w:t>
          </w:r>
          <w:r w:rsidR="00DB2265" w:rsidRPr="00347E38">
            <w:rPr>
              <w:rFonts w:asciiTheme="minorHAnsi" w:hAnsiTheme="minorHAnsi" w:cstheme="minorHAnsi"/>
              <w:sz w:val="22"/>
              <w:szCs w:val="22"/>
            </w:rPr>
            <w:t xml:space="preserve"> </w:t>
          </w:r>
          <w:r w:rsidR="00626225" w:rsidRPr="00347E38">
            <w:rPr>
              <w:rFonts w:asciiTheme="minorHAnsi" w:hAnsiTheme="minorHAnsi" w:cstheme="minorHAnsi"/>
              <w:sz w:val="22"/>
              <w:szCs w:val="22"/>
            </w:rPr>
            <w:t xml:space="preserve">Social factors </w:t>
          </w:r>
          <w:r w:rsidR="00B716C8" w:rsidRPr="00347E38">
            <w:rPr>
              <w:rFonts w:asciiTheme="minorHAnsi" w:hAnsiTheme="minorHAnsi" w:cstheme="minorHAnsi"/>
              <w:sz w:val="22"/>
              <w:szCs w:val="22"/>
            </w:rPr>
            <w:t xml:space="preserve">such as </w:t>
          </w:r>
          <w:r w:rsidR="000A4709" w:rsidRPr="00347E38">
            <w:rPr>
              <w:rFonts w:asciiTheme="minorHAnsi" w:hAnsiTheme="minorHAnsi" w:cstheme="minorHAnsi"/>
              <w:sz w:val="22"/>
              <w:szCs w:val="22"/>
            </w:rPr>
            <w:t>shifting consumer expectations, the rise of online grocery shopping and growing demand for</w:t>
          </w:r>
          <w:r w:rsidR="0062436C" w:rsidRPr="00347E38">
            <w:rPr>
              <w:rFonts w:asciiTheme="minorHAnsi" w:hAnsiTheme="minorHAnsi" w:cstheme="minorHAnsi"/>
              <w:sz w:val="22"/>
              <w:szCs w:val="22"/>
            </w:rPr>
            <w:t xml:space="preserve"> sustainable and ethical retail practices require significant long-term investment, in digital infrastructure, ethical sourcing and customer-value initiatives, (Fu, 2024)</w:t>
          </w:r>
          <w:r w:rsidR="00626225" w:rsidRPr="00347E38">
            <w:rPr>
              <w:rFonts w:asciiTheme="minorHAnsi" w:hAnsiTheme="minorHAnsi" w:cstheme="minorHAnsi"/>
              <w:sz w:val="22"/>
              <w:szCs w:val="22"/>
            </w:rPr>
            <w:t>.</w:t>
          </w:r>
          <w:r w:rsidR="0043236D" w:rsidRPr="00347E38">
            <w:rPr>
              <w:rFonts w:asciiTheme="minorHAnsi" w:hAnsiTheme="minorHAnsi" w:cstheme="minorHAnsi"/>
              <w:sz w:val="22"/>
              <w:szCs w:val="22"/>
            </w:rPr>
            <w:t xml:space="preserve"> Sustainability </w:t>
          </w:r>
          <w:r w:rsidR="00A72358" w:rsidRPr="00347E38">
            <w:rPr>
              <w:rFonts w:asciiTheme="minorHAnsi" w:hAnsiTheme="minorHAnsi" w:cstheme="minorHAnsi"/>
              <w:sz w:val="22"/>
              <w:szCs w:val="22"/>
            </w:rPr>
            <w:t>expectations, in particular, have pushed Tesco to invest in emissions reduction, responsible sourcing and ESG-linked programmes across the supply chain, (Orcan, 2023)</w:t>
          </w:r>
          <w:r w:rsidR="00AD30DF" w:rsidRPr="00347E38">
            <w:rPr>
              <w:rFonts w:asciiTheme="minorHAnsi" w:hAnsiTheme="minorHAnsi" w:cstheme="minorHAnsi"/>
              <w:sz w:val="22"/>
              <w:szCs w:val="22"/>
            </w:rPr>
            <w:t xml:space="preserve">. Financial managers must evaluate the return on investment (ROI) </w:t>
          </w:r>
          <w:r w:rsidR="00666EA0" w:rsidRPr="00347E38">
            <w:rPr>
              <w:rFonts w:asciiTheme="minorHAnsi" w:hAnsiTheme="minorHAnsi" w:cstheme="minorHAnsi"/>
              <w:sz w:val="22"/>
              <w:szCs w:val="22"/>
            </w:rPr>
            <w:t xml:space="preserve">for these projects to ensure they are profitable </w:t>
          </w:r>
          <w:r w:rsidR="00DD78BE" w:rsidRPr="00347E38">
            <w:rPr>
              <w:rFonts w:asciiTheme="minorHAnsi" w:hAnsiTheme="minorHAnsi" w:cstheme="minorHAnsi"/>
              <w:sz w:val="22"/>
              <w:szCs w:val="22"/>
            </w:rPr>
            <w:t>long-term,</w:t>
          </w:r>
          <w:r w:rsidR="00666EA0" w:rsidRPr="00347E38">
            <w:rPr>
              <w:rFonts w:asciiTheme="minorHAnsi" w:hAnsiTheme="minorHAnsi" w:cstheme="minorHAnsi"/>
              <w:sz w:val="22"/>
              <w:szCs w:val="22"/>
            </w:rPr>
            <w:t xml:space="preserve"> especially with the high costs of running delivery fleets. </w:t>
          </w:r>
          <w:r w:rsidR="00DD78BE" w:rsidRPr="00347E38">
            <w:rPr>
              <w:rFonts w:asciiTheme="minorHAnsi" w:hAnsiTheme="minorHAnsi" w:cstheme="minorHAnsi"/>
              <w:sz w:val="22"/>
              <w:szCs w:val="22"/>
            </w:rPr>
            <w:t xml:space="preserve">ESG and sustainability commitments, such as </w:t>
          </w:r>
          <w:r w:rsidR="006253AE" w:rsidRPr="00347E38">
            <w:rPr>
              <w:rFonts w:asciiTheme="minorHAnsi" w:hAnsiTheme="minorHAnsi" w:cstheme="minorHAnsi"/>
              <w:sz w:val="22"/>
              <w:szCs w:val="22"/>
            </w:rPr>
            <w:t>transitioning to electric delivery vehicles, require dedicated funding</w:t>
          </w:r>
          <w:r w:rsidR="0039195C" w:rsidRPr="00347E38">
            <w:rPr>
              <w:rFonts w:asciiTheme="minorHAnsi" w:hAnsiTheme="minorHAnsi" w:cstheme="minorHAnsi"/>
              <w:sz w:val="22"/>
              <w:szCs w:val="22"/>
            </w:rPr>
            <w:t xml:space="preserve"> and alignment between sustainability performance and corporate financing strategies</w:t>
          </w:r>
          <w:r w:rsidR="006253AE" w:rsidRPr="00347E38">
            <w:rPr>
              <w:rFonts w:asciiTheme="minorHAnsi" w:hAnsiTheme="minorHAnsi" w:cstheme="minorHAnsi"/>
              <w:sz w:val="22"/>
              <w:szCs w:val="22"/>
            </w:rPr>
            <w:t xml:space="preserve">. </w:t>
          </w:r>
          <w:r w:rsidR="00E63E7B" w:rsidRPr="00347E38">
            <w:rPr>
              <w:rFonts w:asciiTheme="minorHAnsi" w:hAnsiTheme="minorHAnsi" w:cstheme="minorHAnsi"/>
              <w:sz w:val="22"/>
              <w:szCs w:val="22"/>
            </w:rPr>
            <w:t xml:space="preserve">Technological factors </w:t>
          </w:r>
          <w:r w:rsidR="00053623" w:rsidRPr="00347E38">
            <w:rPr>
              <w:rFonts w:asciiTheme="minorHAnsi" w:hAnsiTheme="minorHAnsi" w:cstheme="minorHAnsi"/>
              <w:sz w:val="22"/>
              <w:szCs w:val="22"/>
            </w:rPr>
            <w:t>play</w:t>
          </w:r>
          <w:r w:rsidR="00F36C7E" w:rsidRPr="00347E38">
            <w:rPr>
              <w:rFonts w:asciiTheme="minorHAnsi" w:hAnsiTheme="minorHAnsi" w:cstheme="minorHAnsi"/>
              <w:sz w:val="22"/>
              <w:szCs w:val="22"/>
            </w:rPr>
            <w:t xml:space="preserve"> a central role in Tesco’s financial planning, with substantial investment directed tow</w:t>
          </w:r>
          <w:r w:rsidR="00BD7904" w:rsidRPr="00347E38">
            <w:rPr>
              <w:rFonts w:asciiTheme="minorHAnsi" w:hAnsiTheme="minorHAnsi" w:cstheme="minorHAnsi"/>
              <w:sz w:val="22"/>
              <w:szCs w:val="22"/>
            </w:rPr>
            <w:t xml:space="preserve">ard digital operations, automation and data analytics. </w:t>
          </w:r>
          <w:r w:rsidR="005A3D59" w:rsidRPr="00347E38">
            <w:rPr>
              <w:rFonts w:asciiTheme="minorHAnsi" w:hAnsiTheme="minorHAnsi" w:cstheme="minorHAnsi"/>
              <w:sz w:val="22"/>
              <w:szCs w:val="22"/>
            </w:rPr>
            <w:t xml:space="preserve">The </w:t>
          </w:r>
          <w:r w:rsidR="00053623" w:rsidRPr="00347E38">
            <w:rPr>
              <w:rFonts w:asciiTheme="minorHAnsi" w:hAnsiTheme="minorHAnsi" w:cstheme="minorHAnsi"/>
              <w:sz w:val="22"/>
              <w:szCs w:val="22"/>
            </w:rPr>
            <w:t>expansion</w:t>
          </w:r>
          <w:r w:rsidR="005A3D59" w:rsidRPr="00347E38">
            <w:rPr>
              <w:rFonts w:asciiTheme="minorHAnsi" w:hAnsiTheme="minorHAnsi" w:cstheme="minorHAnsi"/>
              <w:sz w:val="22"/>
              <w:szCs w:val="22"/>
            </w:rPr>
            <w:t xml:space="preserve"> of </w:t>
          </w:r>
          <w:r w:rsidR="00053623" w:rsidRPr="00347E38">
            <w:rPr>
              <w:rFonts w:asciiTheme="minorHAnsi" w:hAnsiTheme="minorHAnsi" w:cstheme="minorHAnsi"/>
              <w:sz w:val="22"/>
              <w:szCs w:val="22"/>
            </w:rPr>
            <w:t xml:space="preserve">online </w:t>
          </w:r>
          <w:r w:rsidR="005A3D59" w:rsidRPr="00347E38">
            <w:rPr>
              <w:rFonts w:asciiTheme="minorHAnsi" w:hAnsiTheme="minorHAnsi" w:cstheme="minorHAnsi"/>
              <w:sz w:val="22"/>
              <w:szCs w:val="22"/>
            </w:rPr>
            <w:t xml:space="preserve">retail, fulfilment automation and data-driven </w:t>
          </w:r>
          <w:r w:rsidR="00053623" w:rsidRPr="00347E38">
            <w:rPr>
              <w:rFonts w:asciiTheme="minorHAnsi" w:hAnsiTheme="minorHAnsi" w:cstheme="minorHAnsi"/>
              <w:sz w:val="22"/>
              <w:szCs w:val="22"/>
            </w:rPr>
            <w:t>decision</w:t>
          </w:r>
          <w:r w:rsidR="005A3D59" w:rsidRPr="00347E38">
            <w:rPr>
              <w:rFonts w:asciiTheme="minorHAnsi" w:hAnsiTheme="minorHAnsi" w:cstheme="minorHAnsi"/>
              <w:sz w:val="22"/>
              <w:szCs w:val="22"/>
            </w:rPr>
            <w:t>-making, exemplified by innovations in Clubcard analytics</w:t>
          </w:r>
          <w:r w:rsidR="009E7535" w:rsidRPr="00347E38">
            <w:rPr>
              <w:rFonts w:asciiTheme="minorHAnsi" w:hAnsiTheme="minorHAnsi" w:cstheme="minorHAnsi"/>
              <w:sz w:val="22"/>
              <w:szCs w:val="22"/>
            </w:rPr>
            <w:t xml:space="preserve">, </w:t>
          </w:r>
          <w:r w:rsidR="004B5E49" w:rsidRPr="00347E38">
            <w:rPr>
              <w:rFonts w:asciiTheme="minorHAnsi" w:hAnsiTheme="minorHAnsi" w:cstheme="minorHAnsi"/>
              <w:sz w:val="22"/>
              <w:szCs w:val="22"/>
            </w:rPr>
            <w:t xml:space="preserve">require ongoing capital </w:t>
          </w:r>
          <w:r w:rsidR="00245787" w:rsidRPr="00347E38">
            <w:rPr>
              <w:rFonts w:asciiTheme="minorHAnsi" w:hAnsiTheme="minorHAnsi" w:cstheme="minorHAnsi"/>
              <w:sz w:val="22"/>
              <w:szCs w:val="22"/>
            </w:rPr>
            <w:t>expenditure and justify the need for long-</w:t>
          </w:r>
          <w:r w:rsidR="00DA4B0A" w:rsidRPr="00347E38">
            <w:rPr>
              <w:rFonts w:asciiTheme="minorHAnsi" w:hAnsiTheme="minorHAnsi" w:cstheme="minorHAnsi"/>
              <w:sz w:val="22"/>
              <w:szCs w:val="22"/>
            </w:rPr>
            <w:t>term digital</w:t>
          </w:r>
          <w:r w:rsidR="00245787" w:rsidRPr="00347E38">
            <w:rPr>
              <w:rFonts w:asciiTheme="minorHAnsi" w:hAnsiTheme="minorHAnsi" w:cstheme="minorHAnsi"/>
              <w:sz w:val="22"/>
              <w:szCs w:val="22"/>
            </w:rPr>
            <w:t xml:space="preserve"> investment strategies, </w:t>
          </w:r>
          <w:r w:rsidR="00DA4B0A" w:rsidRPr="00347E38">
            <w:rPr>
              <w:rFonts w:asciiTheme="minorHAnsi" w:hAnsiTheme="minorHAnsi" w:cstheme="minorHAnsi"/>
              <w:sz w:val="22"/>
              <w:szCs w:val="22"/>
            </w:rPr>
            <w:t>(</w:t>
          </w:r>
          <w:r w:rsidR="00DA4B0A" w:rsidRPr="00347E38">
            <w:rPr>
              <w:rFonts w:asciiTheme="minorHAnsi" w:hAnsiTheme="minorHAnsi" w:cstheme="minorHAnsi"/>
              <w:sz w:val="22"/>
              <w:szCs w:val="22"/>
            </w:rPr>
            <w:t xml:space="preserve">Seifert </w:t>
          </w:r>
          <w:r w:rsidR="0081690E">
            <w:rPr>
              <w:rFonts w:asciiTheme="minorHAnsi" w:hAnsiTheme="minorHAnsi" w:cstheme="minorHAnsi"/>
              <w:sz w:val="22"/>
              <w:szCs w:val="22"/>
            </w:rPr>
            <w:t>and</w:t>
          </w:r>
          <w:r w:rsidR="00DA4B0A" w:rsidRPr="00347E38">
            <w:rPr>
              <w:rFonts w:asciiTheme="minorHAnsi" w:hAnsiTheme="minorHAnsi" w:cstheme="minorHAnsi"/>
              <w:sz w:val="22"/>
              <w:szCs w:val="22"/>
            </w:rPr>
            <w:t xml:space="preserve"> Markoff, 2024; Vega-Carrasco et al., 2020</w:t>
          </w:r>
          <w:r w:rsidR="00DA4B0A" w:rsidRPr="00347E38">
            <w:rPr>
              <w:rFonts w:asciiTheme="minorHAnsi" w:hAnsiTheme="minorHAnsi" w:cstheme="minorHAnsi"/>
              <w:sz w:val="22"/>
              <w:szCs w:val="22"/>
            </w:rPr>
            <w:t>)</w:t>
          </w:r>
          <w:r w:rsidR="00A141DD" w:rsidRPr="00347E38">
            <w:rPr>
              <w:rFonts w:asciiTheme="minorHAnsi" w:hAnsiTheme="minorHAnsi" w:cstheme="minorHAnsi"/>
              <w:sz w:val="22"/>
              <w:szCs w:val="22"/>
            </w:rPr>
            <w:t>. These investments enable the company to understand c</w:t>
          </w:r>
          <w:r w:rsidR="00593B93" w:rsidRPr="00347E38">
            <w:rPr>
              <w:rFonts w:asciiTheme="minorHAnsi" w:hAnsiTheme="minorHAnsi" w:cstheme="minorHAnsi"/>
              <w:sz w:val="22"/>
              <w:szCs w:val="22"/>
            </w:rPr>
            <w:t>o</w:t>
          </w:r>
          <w:r w:rsidR="00A141DD" w:rsidRPr="00347E38">
            <w:rPr>
              <w:rFonts w:asciiTheme="minorHAnsi" w:hAnsiTheme="minorHAnsi" w:cstheme="minorHAnsi"/>
              <w:sz w:val="22"/>
              <w:szCs w:val="22"/>
            </w:rPr>
            <w:t>nsumer behaviour</w:t>
          </w:r>
          <w:r w:rsidR="007D0CDA" w:rsidRPr="00347E38">
            <w:rPr>
              <w:rFonts w:asciiTheme="minorHAnsi" w:hAnsiTheme="minorHAnsi" w:cstheme="minorHAnsi"/>
              <w:sz w:val="22"/>
              <w:szCs w:val="22"/>
            </w:rPr>
            <w:t>, allowing financial management to justify expenditure by demonstrating how data-driven insights enhance profitability via personalised marketing and more accurate demand forecasting.</w:t>
          </w:r>
          <w:r w:rsidR="003703AE" w:rsidRPr="00347E38">
            <w:rPr>
              <w:rFonts w:asciiTheme="minorHAnsi" w:hAnsiTheme="minorHAnsi" w:cstheme="minorHAnsi"/>
              <w:sz w:val="22"/>
              <w:szCs w:val="22"/>
            </w:rPr>
            <w:t xml:space="preserve"> At the same time, the need for continuous technological innovation </w:t>
          </w:r>
          <w:r w:rsidR="00522717" w:rsidRPr="00347E38">
            <w:rPr>
              <w:rFonts w:asciiTheme="minorHAnsi" w:hAnsiTheme="minorHAnsi" w:cstheme="minorHAnsi"/>
              <w:sz w:val="22"/>
              <w:szCs w:val="22"/>
            </w:rPr>
            <w:t>necessitates</w:t>
          </w:r>
          <w:r w:rsidR="003703AE" w:rsidRPr="00347E38">
            <w:rPr>
              <w:rFonts w:asciiTheme="minorHAnsi" w:hAnsiTheme="minorHAnsi" w:cstheme="minorHAnsi"/>
              <w:sz w:val="22"/>
              <w:szCs w:val="22"/>
            </w:rPr>
            <w:t xml:space="preserve"> careful financial planning</w:t>
          </w:r>
          <w:r w:rsidR="00A42503" w:rsidRPr="00347E38">
            <w:rPr>
              <w:rFonts w:asciiTheme="minorHAnsi" w:hAnsiTheme="minorHAnsi" w:cstheme="minorHAnsi"/>
              <w:sz w:val="22"/>
              <w:szCs w:val="22"/>
            </w:rPr>
            <w:t xml:space="preserve">, </w:t>
          </w:r>
          <w:r w:rsidR="00522717" w:rsidRPr="00347E38">
            <w:rPr>
              <w:rFonts w:asciiTheme="minorHAnsi" w:hAnsiTheme="minorHAnsi" w:cstheme="minorHAnsi"/>
              <w:sz w:val="22"/>
              <w:szCs w:val="22"/>
            </w:rPr>
            <w:t>Tesco</w:t>
          </w:r>
          <w:r w:rsidR="003703AE" w:rsidRPr="00347E38">
            <w:rPr>
              <w:rFonts w:asciiTheme="minorHAnsi" w:hAnsiTheme="minorHAnsi" w:cstheme="minorHAnsi"/>
              <w:sz w:val="22"/>
              <w:szCs w:val="22"/>
            </w:rPr>
            <w:t xml:space="preserve"> must balance significant </w:t>
          </w:r>
          <w:r w:rsidR="00522717" w:rsidRPr="00347E38">
            <w:rPr>
              <w:rFonts w:asciiTheme="minorHAnsi" w:hAnsiTheme="minorHAnsi" w:cstheme="minorHAnsi"/>
              <w:sz w:val="22"/>
              <w:szCs w:val="22"/>
            </w:rPr>
            <w:t>capital expenditures on new systems and tools with ongoing cost control measures to ensure sustainable growth and maintain strong financial health.</w:t>
          </w:r>
          <w:r w:rsidR="0008220F" w:rsidRPr="00347E38">
            <w:rPr>
              <w:rFonts w:asciiTheme="minorHAnsi" w:hAnsiTheme="minorHAnsi" w:cstheme="minorHAnsi"/>
              <w:sz w:val="22"/>
              <w:szCs w:val="22"/>
            </w:rPr>
            <w:t xml:space="preserve"> Legal factors</w:t>
          </w:r>
          <w:r w:rsidR="000B43C3" w:rsidRPr="00347E38">
            <w:rPr>
              <w:rFonts w:asciiTheme="minorHAnsi" w:hAnsiTheme="minorHAnsi" w:cstheme="minorHAnsi"/>
              <w:sz w:val="22"/>
              <w:szCs w:val="22"/>
            </w:rPr>
            <w:t xml:space="preserve">, including food safety, competition law and data-protection requirements, </w:t>
          </w:r>
          <w:r w:rsidR="00B639CA" w:rsidRPr="00347E38">
            <w:rPr>
              <w:rFonts w:asciiTheme="minorHAnsi" w:hAnsiTheme="minorHAnsi" w:cstheme="minorHAnsi"/>
              <w:sz w:val="22"/>
              <w:szCs w:val="22"/>
            </w:rPr>
            <w:t>necessitate ongoing compliance spending an</w:t>
          </w:r>
          <w:r w:rsidR="009A0C0A">
            <w:rPr>
              <w:rFonts w:asciiTheme="minorHAnsi" w:hAnsiTheme="minorHAnsi" w:cstheme="minorHAnsi"/>
              <w:sz w:val="22"/>
              <w:szCs w:val="22"/>
            </w:rPr>
            <w:t>d</w:t>
          </w:r>
          <w:r w:rsidR="00B639CA" w:rsidRPr="00347E38">
            <w:rPr>
              <w:rFonts w:asciiTheme="minorHAnsi" w:hAnsiTheme="minorHAnsi" w:cstheme="minorHAnsi"/>
              <w:sz w:val="22"/>
              <w:szCs w:val="22"/>
            </w:rPr>
            <w:t xml:space="preserve"> strong risk-management frameworks. </w:t>
          </w:r>
          <w:r w:rsidR="0005585F" w:rsidRPr="00347E38">
            <w:rPr>
              <w:rFonts w:asciiTheme="minorHAnsi" w:hAnsiTheme="minorHAnsi" w:cstheme="minorHAnsi"/>
              <w:sz w:val="22"/>
              <w:szCs w:val="22"/>
            </w:rPr>
            <w:t>Exposure to market, c</w:t>
          </w:r>
          <w:r w:rsidR="0042072B" w:rsidRPr="00347E38">
            <w:rPr>
              <w:rFonts w:asciiTheme="minorHAnsi" w:hAnsiTheme="minorHAnsi" w:cstheme="minorHAnsi"/>
              <w:sz w:val="22"/>
              <w:szCs w:val="22"/>
            </w:rPr>
            <w:t>ompliance</w:t>
          </w:r>
          <w:r w:rsidR="0005585F" w:rsidRPr="00347E38">
            <w:rPr>
              <w:rFonts w:asciiTheme="minorHAnsi" w:hAnsiTheme="minorHAnsi" w:cstheme="minorHAnsi"/>
              <w:sz w:val="22"/>
              <w:szCs w:val="22"/>
            </w:rPr>
            <w:t xml:space="preserve"> and operational risks requires robust enterprise-risk oversight</w:t>
          </w:r>
          <w:r w:rsidR="00CA5604" w:rsidRPr="00347E38">
            <w:rPr>
              <w:rFonts w:asciiTheme="minorHAnsi" w:hAnsiTheme="minorHAnsi" w:cstheme="minorHAnsi"/>
              <w:sz w:val="22"/>
              <w:szCs w:val="22"/>
            </w:rPr>
            <w:t xml:space="preserve"> to protect financial stability, (Mitchell et al., 2020)</w:t>
          </w:r>
          <w:r w:rsidR="008D526F" w:rsidRPr="00347E38">
            <w:rPr>
              <w:rFonts w:asciiTheme="minorHAnsi" w:hAnsiTheme="minorHAnsi" w:cstheme="minorHAnsi"/>
              <w:sz w:val="22"/>
              <w:szCs w:val="22"/>
            </w:rPr>
            <w:t xml:space="preserve">. Financial management plays a crucial role in controlling these costs while minimising the risk of </w:t>
          </w:r>
          <w:r w:rsidR="003B5E82" w:rsidRPr="00347E38">
            <w:rPr>
              <w:rFonts w:asciiTheme="minorHAnsi" w:hAnsiTheme="minorHAnsi" w:cstheme="minorHAnsi"/>
              <w:sz w:val="22"/>
              <w:szCs w:val="22"/>
            </w:rPr>
            <w:t>substantial</w:t>
          </w:r>
          <w:r w:rsidR="008D526F" w:rsidRPr="00347E38">
            <w:rPr>
              <w:rFonts w:asciiTheme="minorHAnsi" w:hAnsiTheme="minorHAnsi" w:cstheme="minorHAnsi"/>
              <w:sz w:val="22"/>
              <w:szCs w:val="22"/>
            </w:rPr>
            <w:t xml:space="preserve"> fines and regulatory penalties. </w:t>
          </w:r>
        </w:p>
        <w:p w14:paraId="638C5ADF" w14:textId="73E47707" w:rsidR="00CF0E48" w:rsidRPr="00347E38" w:rsidRDefault="003B5E82" w:rsidP="00680EB8">
          <w:pPr>
            <w:rPr>
              <w:rFonts w:asciiTheme="minorHAnsi" w:hAnsiTheme="minorHAnsi" w:cstheme="minorHAnsi"/>
              <w:sz w:val="22"/>
              <w:szCs w:val="22"/>
            </w:rPr>
          </w:pPr>
          <w:r w:rsidRPr="00347E38">
            <w:rPr>
              <w:rFonts w:asciiTheme="minorHAnsi" w:hAnsiTheme="minorHAnsi" w:cstheme="minorHAnsi"/>
              <w:sz w:val="22"/>
              <w:szCs w:val="22"/>
            </w:rPr>
            <w:t xml:space="preserve">In addition, </w:t>
          </w:r>
          <w:r w:rsidR="00207037" w:rsidRPr="00347E38">
            <w:rPr>
              <w:rFonts w:asciiTheme="minorHAnsi" w:hAnsiTheme="minorHAnsi" w:cstheme="minorHAnsi"/>
              <w:sz w:val="22"/>
              <w:szCs w:val="22"/>
            </w:rPr>
            <w:t>Tesco</w:t>
          </w:r>
          <w:r w:rsidRPr="00347E38">
            <w:rPr>
              <w:rFonts w:asciiTheme="minorHAnsi" w:hAnsiTheme="minorHAnsi" w:cstheme="minorHAnsi"/>
              <w:sz w:val="22"/>
              <w:szCs w:val="22"/>
            </w:rPr>
            <w:t xml:space="preserve"> faces exposure to a variety of operational and financial risk, including credit</w:t>
          </w:r>
          <w:r w:rsidR="00A16986" w:rsidRPr="00347E38">
            <w:rPr>
              <w:rFonts w:asciiTheme="minorHAnsi" w:hAnsiTheme="minorHAnsi" w:cstheme="minorHAnsi"/>
              <w:sz w:val="22"/>
              <w:szCs w:val="22"/>
            </w:rPr>
            <w:t xml:space="preserve">, market </w:t>
          </w:r>
          <w:r w:rsidR="00207037" w:rsidRPr="00347E38">
            <w:rPr>
              <w:rFonts w:asciiTheme="minorHAnsi" w:hAnsiTheme="minorHAnsi" w:cstheme="minorHAnsi"/>
              <w:sz w:val="22"/>
              <w:szCs w:val="22"/>
            </w:rPr>
            <w:t>and</w:t>
          </w:r>
          <w:r w:rsidR="00A16986" w:rsidRPr="00347E38">
            <w:rPr>
              <w:rFonts w:asciiTheme="minorHAnsi" w:hAnsiTheme="minorHAnsi" w:cstheme="minorHAnsi"/>
              <w:sz w:val="22"/>
              <w:szCs w:val="22"/>
            </w:rPr>
            <w:t xml:space="preserve"> compliance risks. A robust enterprise risk management framework, overseen by financial management, is essential to identify, asses</w:t>
          </w:r>
          <w:r w:rsidR="00207037" w:rsidRPr="00347E38">
            <w:rPr>
              <w:rFonts w:asciiTheme="minorHAnsi" w:hAnsiTheme="minorHAnsi" w:cstheme="minorHAnsi"/>
              <w:sz w:val="22"/>
              <w:szCs w:val="22"/>
            </w:rPr>
            <w:t>s</w:t>
          </w:r>
          <w:r w:rsidR="00A16986" w:rsidRPr="00347E38">
            <w:rPr>
              <w:rFonts w:asciiTheme="minorHAnsi" w:hAnsiTheme="minorHAnsi" w:cstheme="minorHAnsi"/>
              <w:sz w:val="22"/>
              <w:szCs w:val="22"/>
            </w:rPr>
            <w:t xml:space="preserve"> and mitigate these risks effectively, ensuring the company’s long-term </w:t>
          </w:r>
          <w:r w:rsidR="00207037" w:rsidRPr="00347E38">
            <w:rPr>
              <w:rFonts w:asciiTheme="minorHAnsi" w:hAnsiTheme="minorHAnsi" w:cstheme="minorHAnsi"/>
              <w:sz w:val="22"/>
              <w:szCs w:val="22"/>
            </w:rPr>
            <w:t>financial</w:t>
          </w:r>
          <w:r w:rsidR="00A16986" w:rsidRPr="00347E38">
            <w:rPr>
              <w:rFonts w:asciiTheme="minorHAnsi" w:hAnsiTheme="minorHAnsi" w:cstheme="minorHAnsi"/>
              <w:sz w:val="22"/>
              <w:szCs w:val="22"/>
            </w:rPr>
            <w:t xml:space="preserve"> stability and resilience. </w:t>
          </w:r>
          <w:r w:rsidR="00155BC2" w:rsidRPr="00347E38">
            <w:rPr>
              <w:rFonts w:asciiTheme="minorHAnsi" w:hAnsiTheme="minorHAnsi" w:cstheme="minorHAnsi"/>
              <w:sz w:val="22"/>
              <w:szCs w:val="22"/>
            </w:rPr>
            <w:t>Finally, e</w:t>
          </w:r>
          <w:r w:rsidR="003472D4" w:rsidRPr="00347E38">
            <w:rPr>
              <w:rFonts w:asciiTheme="minorHAnsi" w:hAnsiTheme="minorHAnsi" w:cstheme="minorHAnsi"/>
              <w:sz w:val="22"/>
              <w:szCs w:val="22"/>
            </w:rPr>
            <w:t xml:space="preserve">nvironmental </w:t>
          </w:r>
          <w:r w:rsidR="00155BC2" w:rsidRPr="00347E38">
            <w:rPr>
              <w:rFonts w:asciiTheme="minorHAnsi" w:hAnsiTheme="minorHAnsi" w:cstheme="minorHAnsi"/>
              <w:sz w:val="22"/>
              <w:szCs w:val="22"/>
            </w:rPr>
            <w:t>pressures including Tesco’s commitments to carbon neutrality and sustainable sourcing</w:t>
          </w:r>
          <w:r w:rsidR="005E2ECC" w:rsidRPr="00347E38">
            <w:rPr>
              <w:rFonts w:asciiTheme="minorHAnsi" w:hAnsiTheme="minorHAnsi" w:cstheme="minorHAnsi"/>
              <w:sz w:val="22"/>
              <w:szCs w:val="22"/>
            </w:rPr>
            <w:t xml:space="preserve">, require extensive capital budgeting for energy transition, low-carbon supply-chain </w:t>
          </w:r>
          <w:r w:rsidR="00DE7082" w:rsidRPr="00347E38">
            <w:rPr>
              <w:rFonts w:asciiTheme="minorHAnsi" w:hAnsiTheme="minorHAnsi" w:cstheme="minorHAnsi"/>
              <w:sz w:val="22"/>
              <w:szCs w:val="22"/>
            </w:rPr>
            <w:t>initiatives</w:t>
          </w:r>
          <w:r w:rsidR="005E2ECC" w:rsidRPr="00347E38">
            <w:rPr>
              <w:rFonts w:asciiTheme="minorHAnsi" w:hAnsiTheme="minorHAnsi" w:cstheme="minorHAnsi"/>
              <w:sz w:val="22"/>
              <w:szCs w:val="22"/>
            </w:rPr>
            <w:t xml:space="preserve"> and </w:t>
          </w:r>
          <w:r w:rsidR="00DE7082" w:rsidRPr="00347E38">
            <w:rPr>
              <w:rFonts w:asciiTheme="minorHAnsi" w:hAnsiTheme="minorHAnsi" w:cstheme="minorHAnsi"/>
              <w:sz w:val="22"/>
              <w:szCs w:val="22"/>
            </w:rPr>
            <w:t>sustainability</w:t>
          </w:r>
          <w:r w:rsidR="00F5480B" w:rsidRPr="00347E38">
            <w:rPr>
              <w:rFonts w:asciiTheme="minorHAnsi" w:hAnsiTheme="minorHAnsi" w:cstheme="minorHAnsi"/>
              <w:sz w:val="22"/>
              <w:szCs w:val="22"/>
            </w:rPr>
            <w:t xml:space="preserve">-linked </w:t>
          </w:r>
          <w:r w:rsidR="00F5480B" w:rsidRPr="00347E38">
            <w:rPr>
              <w:rFonts w:asciiTheme="minorHAnsi" w:hAnsiTheme="minorHAnsi" w:cstheme="minorHAnsi"/>
              <w:sz w:val="22"/>
              <w:szCs w:val="22"/>
            </w:rPr>
            <w:lastRenderedPageBreak/>
            <w:t>financing structures, such as green bonds and supplier-incentive schemes, (Tesco PLC, 2025; Smart Energy Decisions, 2023)</w:t>
          </w:r>
          <w:r w:rsidR="00BE25C1" w:rsidRPr="00347E38">
            <w:rPr>
              <w:rFonts w:asciiTheme="minorHAnsi" w:hAnsiTheme="minorHAnsi" w:cstheme="minorHAnsi"/>
              <w:sz w:val="22"/>
              <w:szCs w:val="22"/>
            </w:rPr>
            <w:t xml:space="preserve">. These goals necessitate </w:t>
          </w:r>
          <w:r w:rsidR="003D1DD0" w:rsidRPr="00347E38">
            <w:rPr>
              <w:rFonts w:asciiTheme="minorHAnsi" w:hAnsiTheme="minorHAnsi" w:cstheme="minorHAnsi"/>
              <w:sz w:val="22"/>
              <w:szCs w:val="22"/>
            </w:rPr>
            <w:t xml:space="preserve">the development of innovative financing strategies, </w:t>
          </w:r>
          <w:r w:rsidR="00D0045A" w:rsidRPr="00347E38">
            <w:rPr>
              <w:rFonts w:asciiTheme="minorHAnsi" w:hAnsiTheme="minorHAnsi" w:cstheme="minorHAnsi"/>
              <w:sz w:val="22"/>
              <w:szCs w:val="22"/>
            </w:rPr>
            <w:t>including</w:t>
          </w:r>
          <w:r w:rsidR="003D1DD0" w:rsidRPr="00347E38">
            <w:rPr>
              <w:rFonts w:asciiTheme="minorHAnsi" w:hAnsiTheme="minorHAnsi" w:cstheme="minorHAnsi"/>
              <w:sz w:val="22"/>
              <w:szCs w:val="22"/>
            </w:rPr>
            <w:t xml:space="preserve"> offering favourable financing terms to eco-friendly suppliers to encourage sustainable practices across the supply chain. Similarly, the shift towards renewable energy and other sustainable </w:t>
          </w:r>
          <w:r w:rsidR="00524B46" w:rsidRPr="00347E38">
            <w:rPr>
              <w:rFonts w:asciiTheme="minorHAnsi" w:hAnsiTheme="minorHAnsi" w:cstheme="minorHAnsi"/>
              <w:sz w:val="22"/>
              <w:szCs w:val="22"/>
            </w:rPr>
            <w:t xml:space="preserve">initiatives requires careful capital budgeting. Long-term, capital-intensive projects must be planned </w:t>
          </w:r>
          <w:r w:rsidR="00D0045A" w:rsidRPr="00347E38">
            <w:rPr>
              <w:rFonts w:asciiTheme="minorHAnsi" w:hAnsiTheme="minorHAnsi" w:cstheme="minorHAnsi"/>
              <w:sz w:val="22"/>
              <w:szCs w:val="22"/>
            </w:rPr>
            <w:t>strategically to ensure alignment with Tesco’s broader financial performance objectives</w:t>
          </w:r>
          <w:r w:rsidR="00817E5E" w:rsidRPr="00347E38">
            <w:rPr>
              <w:rFonts w:asciiTheme="minorHAnsi" w:hAnsiTheme="minorHAnsi" w:cstheme="minorHAnsi"/>
              <w:sz w:val="22"/>
              <w:szCs w:val="22"/>
            </w:rPr>
            <w:t>,</w:t>
          </w:r>
          <w:r w:rsidR="00D0045A" w:rsidRPr="00347E38">
            <w:rPr>
              <w:rFonts w:asciiTheme="minorHAnsi" w:hAnsiTheme="minorHAnsi" w:cstheme="minorHAnsi"/>
              <w:sz w:val="22"/>
              <w:szCs w:val="22"/>
            </w:rPr>
            <w:t xml:space="preserve"> while supporting the company’s commitment to environmental responsibility</w:t>
          </w:r>
          <w:r w:rsidR="00817E5E" w:rsidRPr="00347E38">
            <w:rPr>
              <w:rFonts w:asciiTheme="minorHAnsi" w:hAnsiTheme="minorHAnsi" w:cstheme="minorHAnsi"/>
              <w:sz w:val="22"/>
              <w:szCs w:val="22"/>
            </w:rPr>
            <w:t xml:space="preserve"> and sustained competitive advantage,</w:t>
          </w:r>
          <w:r w:rsidR="00D80692" w:rsidRPr="00347E38">
            <w:rPr>
              <w:rFonts w:asciiTheme="minorHAnsi" w:hAnsiTheme="minorHAnsi" w:cstheme="minorHAnsi"/>
              <w:sz w:val="22"/>
              <w:szCs w:val="22"/>
            </w:rPr>
            <w:t xml:space="preserve"> (</w:t>
          </w:r>
          <w:r w:rsidR="00817E5E" w:rsidRPr="00347E38">
            <w:rPr>
              <w:rFonts w:asciiTheme="minorHAnsi" w:hAnsiTheme="minorHAnsi" w:cstheme="minorHAnsi"/>
              <w:sz w:val="22"/>
              <w:szCs w:val="22"/>
            </w:rPr>
            <w:t>Barney, J.B. 1991)</w:t>
          </w:r>
          <w:r w:rsidR="00D0045A" w:rsidRPr="00347E38">
            <w:rPr>
              <w:rFonts w:asciiTheme="minorHAnsi" w:hAnsiTheme="minorHAnsi" w:cstheme="minorHAnsi"/>
              <w:sz w:val="22"/>
              <w:szCs w:val="22"/>
            </w:rPr>
            <w:t xml:space="preserve">. </w:t>
          </w:r>
          <w:r w:rsidR="00613538" w:rsidRPr="00347E38">
            <w:rPr>
              <w:rFonts w:asciiTheme="minorHAnsi" w:hAnsiTheme="minorHAnsi" w:cstheme="minorHAnsi"/>
              <w:sz w:val="22"/>
              <w:szCs w:val="22"/>
            </w:rPr>
            <w:t>Together, these factors demonstrate how external PESTLE dynamics influence Tesco’s financial strategy, shaping investment decisions, risk management and long-term organisational resilience.</w:t>
          </w:r>
        </w:p>
        <w:p w14:paraId="59A8FFAE" w14:textId="4874A522" w:rsidR="001C36DE" w:rsidRPr="00347E38" w:rsidRDefault="008E3E81" w:rsidP="00EF3337">
          <w:pPr>
            <w:pStyle w:val="Heading1"/>
            <w:rPr>
              <w:rFonts w:asciiTheme="minorHAnsi" w:hAnsiTheme="minorHAnsi" w:cstheme="minorHAnsi"/>
            </w:rPr>
          </w:pPr>
          <w:bookmarkStart w:id="4" w:name="_Toc216779316"/>
          <w:r w:rsidRPr="00347E38">
            <w:rPr>
              <w:rFonts w:asciiTheme="minorHAnsi" w:hAnsiTheme="minorHAnsi" w:cstheme="minorHAnsi"/>
            </w:rPr>
            <w:t>Financial Analysis</w:t>
          </w:r>
          <w:bookmarkEnd w:id="4"/>
        </w:p>
        <w:p w14:paraId="1A85AA29" w14:textId="17B121AA" w:rsidR="00C9592D" w:rsidRPr="00347E38" w:rsidRDefault="000C388B" w:rsidP="00CF0E48">
          <w:pPr>
            <w:rPr>
              <w:rFonts w:asciiTheme="minorHAnsi" w:hAnsiTheme="minorHAnsi" w:cstheme="minorHAnsi"/>
              <w:sz w:val="22"/>
              <w:szCs w:val="22"/>
            </w:rPr>
          </w:pPr>
          <w:r w:rsidRPr="00347E38">
            <w:rPr>
              <w:rFonts w:asciiTheme="minorHAnsi" w:hAnsiTheme="minorHAnsi" w:cstheme="minorHAnsi"/>
              <w:sz w:val="22"/>
              <w:szCs w:val="22"/>
            </w:rPr>
            <w:t xml:space="preserve">Strategically, Tesco aims to maintain market leadership </w:t>
          </w:r>
          <w:r w:rsidR="00454579" w:rsidRPr="00347E38">
            <w:rPr>
              <w:rFonts w:asciiTheme="minorHAnsi" w:hAnsiTheme="minorHAnsi" w:cstheme="minorHAnsi"/>
              <w:sz w:val="22"/>
              <w:szCs w:val="22"/>
            </w:rPr>
            <w:t xml:space="preserve">through strategic change </w:t>
          </w:r>
          <w:r w:rsidRPr="00347E38">
            <w:rPr>
              <w:rFonts w:asciiTheme="minorHAnsi" w:hAnsiTheme="minorHAnsi" w:cstheme="minorHAnsi"/>
              <w:sz w:val="22"/>
              <w:szCs w:val="22"/>
            </w:rPr>
            <w:t>by focusing on operational efficiency, competitive pricing and delivering superior customer value</w:t>
          </w:r>
          <w:r w:rsidR="003E29B7" w:rsidRPr="00347E38">
            <w:rPr>
              <w:rFonts w:asciiTheme="minorHAnsi" w:hAnsiTheme="minorHAnsi" w:cstheme="minorHAnsi"/>
              <w:sz w:val="22"/>
              <w:szCs w:val="22"/>
            </w:rPr>
            <w:t xml:space="preserve">, </w:t>
          </w:r>
          <w:r w:rsidR="00A10707" w:rsidRPr="00347E38">
            <w:rPr>
              <w:rFonts w:asciiTheme="minorHAnsi" w:hAnsiTheme="minorHAnsi" w:cstheme="minorHAnsi"/>
              <w:sz w:val="22"/>
              <w:szCs w:val="22"/>
            </w:rPr>
            <w:t>(</w:t>
          </w:r>
          <w:r w:rsidR="003E29B7" w:rsidRPr="00347E38">
            <w:rPr>
              <w:rFonts w:asciiTheme="minorHAnsi" w:hAnsiTheme="minorHAnsi" w:cstheme="minorHAnsi"/>
              <w:sz w:val="22"/>
              <w:szCs w:val="22"/>
            </w:rPr>
            <w:t>Johnson, Scholes and Whittington, 2020)</w:t>
          </w:r>
          <w:r w:rsidRPr="00347E38">
            <w:rPr>
              <w:rFonts w:asciiTheme="minorHAnsi" w:hAnsiTheme="minorHAnsi" w:cstheme="minorHAnsi"/>
              <w:sz w:val="22"/>
              <w:szCs w:val="22"/>
            </w:rPr>
            <w:t xml:space="preserve">. Their financial management underpins these strategic goals by carefully managing </w:t>
          </w:r>
          <w:r w:rsidR="00135C1E" w:rsidRPr="00347E38">
            <w:rPr>
              <w:rFonts w:asciiTheme="minorHAnsi" w:hAnsiTheme="minorHAnsi" w:cstheme="minorHAnsi"/>
              <w:sz w:val="22"/>
              <w:szCs w:val="22"/>
            </w:rPr>
            <w:t>liquidity</w:t>
          </w:r>
          <w:r w:rsidRPr="00347E38">
            <w:rPr>
              <w:rFonts w:asciiTheme="minorHAnsi" w:hAnsiTheme="minorHAnsi" w:cstheme="minorHAnsi"/>
              <w:sz w:val="22"/>
              <w:szCs w:val="22"/>
            </w:rPr>
            <w:t xml:space="preserve">, controlling costs and prioritising investments in technology, data analytics and sustainability initiatives. Furthermore, robust risk management, compliance oversight and </w:t>
          </w:r>
          <w:r w:rsidR="00135C1E" w:rsidRPr="00347E38">
            <w:rPr>
              <w:rFonts w:asciiTheme="minorHAnsi" w:hAnsiTheme="minorHAnsi" w:cstheme="minorHAnsi"/>
              <w:sz w:val="22"/>
              <w:szCs w:val="22"/>
            </w:rPr>
            <w:t>adaptive</w:t>
          </w:r>
          <w:r w:rsidRPr="00347E38">
            <w:rPr>
              <w:rFonts w:asciiTheme="minorHAnsi" w:hAnsiTheme="minorHAnsi" w:cstheme="minorHAnsi"/>
              <w:sz w:val="22"/>
              <w:szCs w:val="22"/>
            </w:rPr>
            <w:t xml:space="preserve"> financial planning </w:t>
          </w:r>
          <w:r w:rsidR="00135C1E" w:rsidRPr="00347E38">
            <w:rPr>
              <w:rFonts w:asciiTheme="minorHAnsi" w:hAnsiTheme="minorHAnsi" w:cstheme="minorHAnsi"/>
              <w:sz w:val="22"/>
              <w:szCs w:val="22"/>
            </w:rPr>
            <w:t>enables</w:t>
          </w:r>
          <w:r w:rsidRPr="00347E38">
            <w:rPr>
              <w:rFonts w:asciiTheme="minorHAnsi" w:hAnsiTheme="minorHAnsi" w:cstheme="minorHAnsi"/>
              <w:sz w:val="22"/>
              <w:szCs w:val="22"/>
            </w:rPr>
            <w:t xml:space="preserve"> the company t</w:t>
          </w:r>
          <w:r w:rsidR="00135C1E" w:rsidRPr="00347E38">
            <w:rPr>
              <w:rFonts w:asciiTheme="minorHAnsi" w:hAnsiTheme="minorHAnsi" w:cstheme="minorHAnsi"/>
              <w:sz w:val="22"/>
              <w:szCs w:val="22"/>
            </w:rPr>
            <w:t>o navigate economic volatility, regulatory changes and evolving market conditions, ensuring that resources are allocated effectively to support both short-term performance and long-term growth.</w:t>
          </w:r>
        </w:p>
        <w:p w14:paraId="30FC2A21" w14:textId="016E135E" w:rsidR="00293259" w:rsidRPr="00347E38" w:rsidRDefault="00011F0C" w:rsidP="00680EB8">
          <w:pPr>
            <w:rPr>
              <w:rFonts w:asciiTheme="minorHAnsi" w:hAnsiTheme="minorHAnsi" w:cstheme="minorHAnsi"/>
              <w:sz w:val="22"/>
              <w:szCs w:val="22"/>
            </w:rPr>
          </w:pPr>
          <w:r w:rsidRPr="00347E38">
            <w:rPr>
              <w:rFonts w:asciiTheme="minorHAnsi" w:hAnsiTheme="minorHAnsi" w:cstheme="minorHAnsi"/>
              <w:sz w:val="22"/>
              <w:szCs w:val="22"/>
            </w:rPr>
            <w:t xml:space="preserve">With these strategic and financial management priorities in mind, it is essential to examine </w:t>
          </w:r>
          <w:r w:rsidR="00D14415" w:rsidRPr="00347E38">
            <w:rPr>
              <w:rFonts w:asciiTheme="minorHAnsi" w:hAnsiTheme="minorHAnsi" w:cstheme="minorHAnsi"/>
              <w:sz w:val="22"/>
              <w:szCs w:val="22"/>
            </w:rPr>
            <w:t>Tesco’s</w:t>
          </w:r>
          <w:r w:rsidRPr="00347E38">
            <w:rPr>
              <w:rFonts w:asciiTheme="minorHAnsi" w:hAnsiTheme="minorHAnsi" w:cstheme="minorHAnsi"/>
              <w:sz w:val="22"/>
              <w:szCs w:val="22"/>
            </w:rPr>
            <w:t xml:space="preserve"> recent financial performance to assess how effectively these objectives are being implemented. A detailed review of the company’s financial statements from 202</w:t>
          </w:r>
          <w:r w:rsidR="002E61BD" w:rsidRPr="00347E38">
            <w:rPr>
              <w:rFonts w:asciiTheme="minorHAnsi" w:hAnsiTheme="minorHAnsi" w:cstheme="minorHAnsi"/>
              <w:sz w:val="22"/>
              <w:szCs w:val="22"/>
            </w:rPr>
            <w:t>3</w:t>
          </w:r>
          <w:r w:rsidRPr="00347E38">
            <w:rPr>
              <w:rFonts w:asciiTheme="minorHAnsi" w:hAnsiTheme="minorHAnsi" w:cstheme="minorHAnsi"/>
              <w:sz w:val="22"/>
              <w:szCs w:val="22"/>
            </w:rPr>
            <w:t xml:space="preserve"> to 2024 </w:t>
          </w:r>
          <w:r w:rsidR="00D14415" w:rsidRPr="00347E38">
            <w:rPr>
              <w:rFonts w:asciiTheme="minorHAnsi" w:hAnsiTheme="minorHAnsi" w:cstheme="minorHAnsi"/>
              <w:sz w:val="22"/>
              <w:szCs w:val="22"/>
            </w:rPr>
            <w:t>provides insight into rev</w:t>
          </w:r>
          <w:r w:rsidR="0028780B" w:rsidRPr="00347E38">
            <w:rPr>
              <w:rFonts w:asciiTheme="minorHAnsi" w:hAnsiTheme="minorHAnsi" w:cstheme="minorHAnsi"/>
              <w:sz w:val="22"/>
              <w:szCs w:val="22"/>
            </w:rPr>
            <w:t>en</w:t>
          </w:r>
          <w:r w:rsidR="00D14415" w:rsidRPr="00347E38">
            <w:rPr>
              <w:rFonts w:asciiTheme="minorHAnsi" w:hAnsiTheme="minorHAnsi" w:cstheme="minorHAnsi"/>
              <w:sz w:val="22"/>
              <w:szCs w:val="22"/>
            </w:rPr>
            <w:t>ue growth, profitability, liquidity, and capital allocation decisions</w:t>
          </w:r>
          <w:r w:rsidR="008A2D3D" w:rsidRPr="00347E38">
            <w:rPr>
              <w:rFonts w:asciiTheme="minorHAnsi" w:hAnsiTheme="minorHAnsi" w:cstheme="minorHAnsi"/>
              <w:sz w:val="22"/>
              <w:szCs w:val="22"/>
            </w:rPr>
            <w:t>, (Tesco PLC 2023;2024)</w:t>
          </w:r>
          <w:r w:rsidR="008D180F" w:rsidRPr="00347E38">
            <w:rPr>
              <w:rFonts w:asciiTheme="minorHAnsi" w:hAnsiTheme="minorHAnsi" w:cstheme="minorHAnsi"/>
              <w:sz w:val="22"/>
              <w:szCs w:val="22"/>
            </w:rPr>
            <w:t>. T</w:t>
          </w:r>
          <w:r w:rsidR="00D14415" w:rsidRPr="00347E38">
            <w:rPr>
              <w:rFonts w:asciiTheme="minorHAnsi" w:hAnsiTheme="minorHAnsi" w:cstheme="minorHAnsi"/>
              <w:sz w:val="22"/>
              <w:szCs w:val="22"/>
            </w:rPr>
            <w:t>his analysis will highlight key trends, strengths, and potential areas of concern, forming the basis for a comprehensive evaluation of Tesco’s financial health and its ability to sustain long-term strategic goals.</w:t>
          </w:r>
          <w:r w:rsidR="00C9592D" w:rsidRPr="00347E38">
            <w:rPr>
              <w:rFonts w:asciiTheme="minorHAnsi" w:hAnsiTheme="minorHAnsi" w:cstheme="minorHAnsi"/>
              <w:sz w:val="22"/>
              <w:szCs w:val="22"/>
            </w:rPr>
            <w:t xml:space="preserve"> The review focuses on the income statement, balance sheet</w:t>
          </w:r>
          <w:r w:rsidR="00AA6B65" w:rsidRPr="00347E38">
            <w:rPr>
              <w:rFonts w:asciiTheme="minorHAnsi" w:hAnsiTheme="minorHAnsi" w:cstheme="minorHAnsi"/>
              <w:sz w:val="22"/>
              <w:szCs w:val="22"/>
            </w:rPr>
            <w:t>, and cash flow statements</w:t>
          </w:r>
          <w:r w:rsidR="00B567D6" w:rsidRPr="00347E38">
            <w:rPr>
              <w:rFonts w:asciiTheme="minorHAnsi" w:hAnsiTheme="minorHAnsi" w:cstheme="minorHAnsi"/>
              <w:sz w:val="22"/>
              <w:szCs w:val="22"/>
            </w:rPr>
            <w:t>, by analysing these documents, it becomes possible to assess how Tesco’s strategic priorities</w:t>
          </w:r>
          <w:r w:rsidR="00D41B22">
            <w:rPr>
              <w:rFonts w:asciiTheme="minorHAnsi" w:hAnsiTheme="minorHAnsi" w:cstheme="minorHAnsi"/>
              <w:sz w:val="22"/>
              <w:szCs w:val="22"/>
            </w:rPr>
            <w:t xml:space="preserve">, </w:t>
          </w:r>
          <w:r w:rsidR="00B567D6" w:rsidRPr="00347E38">
            <w:rPr>
              <w:rFonts w:asciiTheme="minorHAnsi" w:hAnsiTheme="minorHAnsi" w:cstheme="minorHAnsi"/>
              <w:sz w:val="22"/>
              <w:szCs w:val="22"/>
            </w:rPr>
            <w:t>such as operational efficiency, investment in technology and sustainability, and risk management</w:t>
          </w:r>
          <w:r w:rsidR="00D41B22">
            <w:rPr>
              <w:rFonts w:asciiTheme="minorHAnsi" w:hAnsiTheme="minorHAnsi" w:cstheme="minorHAnsi"/>
              <w:sz w:val="22"/>
              <w:szCs w:val="22"/>
            </w:rPr>
            <w:t>,</w:t>
          </w:r>
          <w:r w:rsidR="00B567D6" w:rsidRPr="00347E38">
            <w:rPr>
              <w:rFonts w:asciiTheme="minorHAnsi" w:hAnsiTheme="minorHAnsi" w:cstheme="minorHAnsi"/>
              <w:sz w:val="22"/>
              <w:szCs w:val="22"/>
            </w:rPr>
            <w:t xml:space="preserve"> are reflected in its financial outcomes. </w:t>
          </w:r>
          <w:r w:rsidR="007F731D" w:rsidRPr="00347E38">
            <w:rPr>
              <w:rFonts w:asciiTheme="minorHAnsi" w:hAnsiTheme="minorHAnsi" w:cstheme="minorHAnsi"/>
              <w:sz w:val="22"/>
              <w:szCs w:val="22"/>
            </w:rPr>
            <w:t xml:space="preserve">The review also considers the impact of </w:t>
          </w:r>
          <w:r w:rsidR="00543153" w:rsidRPr="00347E38">
            <w:rPr>
              <w:rFonts w:asciiTheme="minorHAnsi" w:hAnsiTheme="minorHAnsi" w:cstheme="minorHAnsi"/>
              <w:sz w:val="22"/>
              <w:szCs w:val="22"/>
            </w:rPr>
            <w:t>external</w:t>
          </w:r>
          <w:r w:rsidR="007F731D" w:rsidRPr="00347E38">
            <w:rPr>
              <w:rFonts w:asciiTheme="minorHAnsi" w:hAnsiTheme="minorHAnsi" w:cstheme="minorHAnsi"/>
              <w:sz w:val="22"/>
              <w:szCs w:val="22"/>
            </w:rPr>
            <w:t xml:space="preserve"> factors including the economic conditions, regulatory changes and competitive pressures on Tesco’s financial results. Understanding these trends </w:t>
          </w:r>
          <w:r w:rsidR="00543153" w:rsidRPr="00347E38">
            <w:rPr>
              <w:rFonts w:asciiTheme="minorHAnsi" w:hAnsiTheme="minorHAnsi" w:cstheme="minorHAnsi"/>
              <w:sz w:val="22"/>
              <w:szCs w:val="22"/>
            </w:rPr>
            <w:t xml:space="preserve">provides a foundation for subsequent ratio analysis and benchmarking against competitors, allowing a clear evaluation of the company’s financial strengths, weaknesses, and capacity to generate shareholder value. </w:t>
          </w:r>
        </w:p>
        <w:p w14:paraId="3B3CD53E" w14:textId="345A6B51" w:rsidR="00D877A7" w:rsidRPr="00347E38" w:rsidRDefault="0095760C" w:rsidP="00680EB8">
          <w:pPr>
            <w:rPr>
              <w:rFonts w:asciiTheme="minorHAnsi" w:hAnsiTheme="minorHAnsi" w:cstheme="minorHAnsi"/>
              <w:sz w:val="22"/>
              <w:szCs w:val="22"/>
            </w:rPr>
          </w:pPr>
          <w:r w:rsidRPr="00347E38">
            <w:rPr>
              <w:rFonts w:asciiTheme="minorHAnsi" w:hAnsiTheme="minorHAnsi" w:cstheme="minorHAnsi"/>
              <w:sz w:val="22"/>
              <w:szCs w:val="22"/>
            </w:rPr>
            <w:t xml:space="preserve">For the profitability analysis, </w:t>
          </w:r>
          <w:r w:rsidR="00ED532D" w:rsidRPr="00347E38">
            <w:rPr>
              <w:rFonts w:asciiTheme="minorHAnsi" w:hAnsiTheme="minorHAnsi" w:cstheme="minorHAnsi"/>
              <w:sz w:val="22"/>
              <w:szCs w:val="22"/>
            </w:rPr>
            <w:t>Tesco demonstrates a broadly improving profitability profile between 2023 and 2024. Gross profit margins remain stable at around 7%</w:t>
          </w:r>
          <w:r w:rsidR="00961097" w:rsidRPr="00347E38">
            <w:rPr>
              <w:rFonts w:asciiTheme="minorHAnsi" w:hAnsiTheme="minorHAnsi" w:cstheme="minorHAnsi"/>
              <w:sz w:val="22"/>
              <w:szCs w:val="22"/>
            </w:rPr>
            <w:t xml:space="preserve">, </w:t>
          </w:r>
          <w:r w:rsidR="00B8696F" w:rsidRPr="00347E38">
            <w:rPr>
              <w:rFonts w:asciiTheme="minorHAnsi" w:hAnsiTheme="minorHAnsi" w:cstheme="minorHAnsi"/>
              <w:sz w:val="22"/>
              <w:szCs w:val="22"/>
            </w:rPr>
            <w:t>which is broad</w:t>
          </w:r>
          <w:r w:rsidR="00961097" w:rsidRPr="00347E38">
            <w:rPr>
              <w:rFonts w:asciiTheme="minorHAnsi" w:hAnsiTheme="minorHAnsi" w:cstheme="minorHAnsi"/>
              <w:sz w:val="22"/>
              <w:szCs w:val="22"/>
            </w:rPr>
            <w:t>l</w:t>
          </w:r>
          <w:r w:rsidR="00B8696F" w:rsidRPr="00347E38">
            <w:rPr>
              <w:rFonts w:asciiTheme="minorHAnsi" w:hAnsiTheme="minorHAnsi" w:cstheme="minorHAnsi"/>
              <w:sz w:val="22"/>
              <w:szCs w:val="22"/>
            </w:rPr>
            <w:t>y consistent with the UK grocery</w:t>
          </w:r>
          <w:r w:rsidR="00F61506" w:rsidRPr="00347E38">
            <w:rPr>
              <w:rFonts w:asciiTheme="minorHAnsi" w:hAnsiTheme="minorHAnsi" w:cstheme="minorHAnsi"/>
              <w:sz w:val="22"/>
              <w:szCs w:val="22"/>
            </w:rPr>
            <w:t xml:space="preserve"> retail sector average of approximately 6</w:t>
          </w:r>
          <w:r w:rsidR="00890A41" w:rsidRPr="00347E38">
            <w:rPr>
              <w:rFonts w:asciiTheme="minorHAnsi" w:hAnsiTheme="minorHAnsi" w:cstheme="minorHAnsi"/>
              <w:sz w:val="22"/>
              <w:szCs w:val="22"/>
            </w:rPr>
            <w:t xml:space="preserve">% to </w:t>
          </w:r>
          <w:r w:rsidR="00F61506" w:rsidRPr="00347E38">
            <w:rPr>
              <w:rFonts w:asciiTheme="minorHAnsi" w:hAnsiTheme="minorHAnsi" w:cstheme="minorHAnsi"/>
              <w:sz w:val="22"/>
              <w:szCs w:val="22"/>
            </w:rPr>
            <w:t>8%, indicating effective cost of sales management despite ongoing in</w:t>
          </w:r>
          <w:r w:rsidR="008D5AC5" w:rsidRPr="00347E38">
            <w:rPr>
              <w:rFonts w:asciiTheme="minorHAnsi" w:hAnsiTheme="minorHAnsi" w:cstheme="minorHAnsi"/>
              <w:sz w:val="22"/>
              <w:szCs w:val="22"/>
            </w:rPr>
            <w:t>flationary pressures in food retail</w:t>
          </w:r>
          <w:r w:rsidR="00E8742F" w:rsidRPr="00347E38">
            <w:rPr>
              <w:rFonts w:asciiTheme="minorHAnsi" w:hAnsiTheme="minorHAnsi" w:cstheme="minorHAnsi"/>
              <w:sz w:val="22"/>
              <w:szCs w:val="22"/>
            </w:rPr>
            <w:t xml:space="preserve">, </w:t>
          </w:r>
          <w:r w:rsidR="00BC2D3F" w:rsidRPr="00347E38">
            <w:rPr>
              <w:rFonts w:asciiTheme="minorHAnsi" w:hAnsiTheme="minorHAnsi" w:cstheme="minorHAnsi"/>
              <w:sz w:val="22"/>
              <w:szCs w:val="22"/>
            </w:rPr>
            <w:t>(Armstrong and Taylor, 2020)</w:t>
          </w:r>
          <w:r w:rsidR="00961097" w:rsidRPr="00347E38">
            <w:rPr>
              <w:rFonts w:asciiTheme="minorHAnsi" w:hAnsiTheme="minorHAnsi" w:cstheme="minorHAnsi"/>
              <w:sz w:val="22"/>
              <w:szCs w:val="22"/>
            </w:rPr>
            <w:t>.</w:t>
          </w:r>
          <w:r w:rsidR="00363664" w:rsidRPr="00347E38">
            <w:rPr>
              <w:rFonts w:asciiTheme="minorHAnsi" w:hAnsiTheme="minorHAnsi" w:cstheme="minorHAnsi"/>
              <w:sz w:val="22"/>
              <w:szCs w:val="22"/>
            </w:rPr>
            <w:t xml:space="preserve"> </w:t>
          </w:r>
          <w:r w:rsidR="00C949D3" w:rsidRPr="00347E38">
            <w:rPr>
              <w:rFonts w:asciiTheme="minorHAnsi" w:hAnsiTheme="minorHAnsi" w:cstheme="minorHAnsi"/>
              <w:sz w:val="22"/>
              <w:szCs w:val="22"/>
            </w:rPr>
            <w:t xml:space="preserve">Operating margins increase marginally from 4.0% </w:t>
          </w:r>
          <w:r w:rsidR="001446DF" w:rsidRPr="00347E38">
            <w:rPr>
              <w:rFonts w:asciiTheme="minorHAnsi" w:hAnsiTheme="minorHAnsi" w:cstheme="minorHAnsi"/>
              <w:sz w:val="22"/>
              <w:szCs w:val="22"/>
            </w:rPr>
            <w:t xml:space="preserve">to 4.14%, </w:t>
          </w:r>
          <w:r w:rsidR="00F770BA" w:rsidRPr="00347E38">
            <w:rPr>
              <w:rFonts w:asciiTheme="minorHAnsi" w:hAnsiTheme="minorHAnsi" w:cstheme="minorHAnsi"/>
              <w:sz w:val="22"/>
              <w:szCs w:val="22"/>
            </w:rPr>
            <w:t>outperforming the sector benchmark of around 3%</w:t>
          </w:r>
          <w:r w:rsidR="00687AD1" w:rsidRPr="00347E38">
            <w:rPr>
              <w:rFonts w:asciiTheme="minorHAnsi" w:hAnsiTheme="minorHAnsi" w:cstheme="minorHAnsi"/>
              <w:sz w:val="22"/>
              <w:szCs w:val="22"/>
            </w:rPr>
            <w:t>,</w:t>
          </w:r>
          <w:r w:rsidR="00F770BA" w:rsidRPr="00347E38">
            <w:rPr>
              <w:rFonts w:asciiTheme="minorHAnsi" w:hAnsiTheme="minorHAnsi" w:cstheme="minorHAnsi"/>
              <w:sz w:val="22"/>
              <w:szCs w:val="22"/>
            </w:rPr>
            <w:t xml:space="preserve"> </w:t>
          </w:r>
          <w:r w:rsidR="001446DF" w:rsidRPr="00347E38">
            <w:rPr>
              <w:rFonts w:asciiTheme="minorHAnsi" w:hAnsiTheme="minorHAnsi" w:cstheme="minorHAnsi"/>
              <w:sz w:val="22"/>
              <w:szCs w:val="22"/>
            </w:rPr>
            <w:t xml:space="preserve">reflecting improved operational efficiency and cost </w:t>
          </w:r>
          <w:r w:rsidR="00B07609" w:rsidRPr="00347E38">
            <w:rPr>
              <w:rFonts w:asciiTheme="minorHAnsi" w:hAnsiTheme="minorHAnsi" w:cstheme="minorHAnsi"/>
              <w:sz w:val="22"/>
              <w:szCs w:val="22"/>
            </w:rPr>
            <w:t>discipline within store operations and supply chain activities</w:t>
          </w:r>
          <w:r w:rsidR="00980F77" w:rsidRPr="00347E38">
            <w:rPr>
              <w:rFonts w:asciiTheme="minorHAnsi" w:hAnsiTheme="minorHAnsi" w:cstheme="minorHAnsi"/>
              <w:sz w:val="22"/>
              <w:szCs w:val="22"/>
            </w:rPr>
            <w:t>, (McKinsey &amp; Company, 2023)</w:t>
          </w:r>
          <w:r w:rsidR="00B07609" w:rsidRPr="00347E38">
            <w:rPr>
              <w:rFonts w:asciiTheme="minorHAnsi" w:hAnsiTheme="minorHAnsi" w:cstheme="minorHAnsi"/>
              <w:sz w:val="22"/>
              <w:szCs w:val="22"/>
            </w:rPr>
            <w:t xml:space="preserve">. </w:t>
          </w:r>
          <w:r w:rsidR="00613EA5" w:rsidRPr="00347E38">
            <w:rPr>
              <w:rFonts w:asciiTheme="minorHAnsi" w:hAnsiTheme="minorHAnsi" w:cstheme="minorHAnsi"/>
              <w:sz w:val="22"/>
              <w:szCs w:val="22"/>
            </w:rPr>
            <w:t xml:space="preserve">The most significant development is the sharp improvement in net profit margin, </w:t>
          </w:r>
          <w:r w:rsidR="00322BDA" w:rsidRPr="00347E38">
            <w:rPr>
              <w:rFonts w:asciiTheme="minorHAnsi" w:hAnsiTheme="minorHAnsi" w:cstheme="minorHAnsi"/>
              <w:sz w:val="22"/>
              <w:szCs w:val="22"/>
            </w:rPr>
            <w:t>rising from 1.12% to 2.59</w:t>
          </w:r>
          <w:r w:rsidR="000C7D42" w:rsidRPr="00347E38">
            <w:rPr>
              <w:rFonts w:asciiTheme="minorHAnsi" w:hAnsiTheme="minorHAnsi" w:cstheme="minorHAnsi"/>
              <w:sz w:val="22"/>
              <w:szCs w:val="22"/>
            </w:rPr>
            <w:t xml:space="preserve">%, driven </w:t>
          </w:r>
          <w:r w:rsidR="00216AC8" w:rsidRPr="00347E38">
            <w:rPr>
              <w:rFonts w:asciiTheme="minorHAnsi" w:hAnsiTheme="minorHAnsi" w:cstheme="minorHAnsi"/>
              <w:sz w:val="22"/>
              <w:szCs w:val="22"/>
            </w:rPr>
            <w:t>primarily</w:t>
          </w:r>
          <w:r w:rsidR="000C7D42" w:rsidRPr="00347E38">
            <w:rPr>
              <w:rFonts w:asciiTheme="minorHAnsi" w:hAnsiTheme="minorHAnsi" w:cstheme="minorHAnsi"/>
              <w:sz w:val="22"/>
              <w:szCs w:val="22"/>
            </w:rPr>
            <w:t xml:space="preserve"> by increased pos</w:t>
          </w:r>
          <w:r w:rsidR="00216AC8" w:rsidRPr="00347E38">
            <w:rPr>
              <w:rFonts w:asciiTheme="minorHAnsi" w:hAnsiTheme="minorHAnsi" w:cstheme="minorHAnsi"/>
              <w:sz w:val="22"/>
              <w:szCs w:val="22"/>
            </w:rPr>
            <w:t>t-tax profit and reduced exceptional costs</w:t>
          </w:r>
          <w:r w:rsidR="007C692B" w:rsidRPr="00347E38">
            <w:rPr>
              <w:rFonts w:asciiTheme="minorHAnsi" w:hAnsiTheme="minorHAnsi" w:cstheme="minorHAnsi"/>
              <w:sz w:val="22"/>
              <w:szCs w:val="22"/>
            </w:rPr>
            <w:t xml:space="preserve">, </w:t>
          </w:r>
          <w:r w:rsidR="00AA216F" w:rsidRPr="00347E38">
            <w:rPr>
              <w:rFonts w:asciiTheme="minorHAnsi" w:hAnsiTheme="minorHAnsi" w:cstheme="minorHAnsi"/>
              <w:sz w:val="22"/>
              <w:szCs w:val="22"/>
            </w:rPr>
            <w:t>(</w:t>
          </w:r>
          <w:r w:rsidR="00AA216F" w:rsidRPr="00347E38">
            <w:rPr>
              <w:rFonts w:asciiTheme="minorHAnsi" w:hAnsiTheme="minorHAnsi" w:cstheme="minorHAnsi"/>
              <w:sz w:val="22"/>
              <w:szCs w:val="22"/>
            </w:rPr>
            <w:t>Smith, J. and Thompson, R. 2021)</w:t>
          </w:r>
          <w:r w:rsidR="00216AC8" w:rsidRPr="00347E38">
            <w:rPr>
              <w:rFonts w:asciiTheme="minorHAnsi" w:hAnsiTheme="minorHAnsi" w:cstheme="minorHAnsi"/>
              <w:sz w:val="22"/>
              <w:szCs w:val="22"/>
            </w:rPr>
            <w:t xml:space="preserve">. </w:t>
          </w:r>
          <w:r w:rsidR="00687AD1" w:rsidRPr="00347E38">
            <w:rPr>
              <w:rFonts w:asciiTheme="minorHAnsi" w:hAnsiTheme="minorHAnsi" w:cstheme="minorHAnsi"/>
              <w:sz w:val="22"/>
              <w:szCs w:val="22"/>
            </w:rPr>
            <w:t>Although net</w:t>
          </w:r>
          <w:r w:rsidR="00222C93" w:rsidRPr="00347E38">
            <w:rPr>
              <w:rFonts w:asciiTheme="minorHAnsi" w:hAnsiTheme="minorHAnsi" w:cstheme="minorHAnsi"/>
              <w:sz w:val="22"/>
              <w:szCs w:val="22"/>
            </w:rPr>
            <w:t xml:space="preserve"> margins remain </w:t>
          </w:r>
          <w:r w:rsidR="00687AD1" w:rsidRPr="00347E38">
            <w:rPr>
              <w:rFonts w:asciiTheme="minorHAnsi" w:hAnsiTheme="minorHAnsi" w:cstheme="minorHAnsi"/>
              <w:sz w:val="22"/>
              <w:szCs w:val="22"/>
            </w:rPr>
            <w:t>modest</w:t>
          </w:r>
          <w:r w:rsidR="00222C93" w:rsidRPr="00347E38">
            <w:rPr>
              <w:rFonts w:asciiTheme="minorHAnsi" w:hAnsiTheme="minorHAnsi" w:cstheme="minorHAnsi"/>
              <w:sz w:val="22"/>
              <w:szCs w:val="22"/>
            </w:rPr>
            <w:t xml:space="preserve"> compared to non-food retailers,</w:t>
          </w:r>
          <w:r w:rsidR="006262CC" w:rsidRPr="00347E38">
            <w:rPr>
              <w:rFonts w:asciiTheme="minorHAnsi" w:hAnsiTheme="minorHAnsi" w:cstheme="minorHAnsi"/>
              <w:sz w:val="22"/>
              <w:szCs w:val="22"/>
            </w:rPr>
            <w:t xml:space="preserve"> they are strong relative to grocery sector norms, where margins typically range from 1</w:t>
          </w:r>
          <w:r w:rsidR="00B50BAB" w:rsidRPr="00347E38">
            <w:rPr>
              <w:rFonts w:asciiTheme="minorHAnsi" w:hAnsiTheme="minorHAnsi" w:cstheme="minorHAnsi"/>
              <w:sz w:val="22"/>
              <w:szCs w:val="22"/>
            </w:rPr>
            <w:t>%</w:t>
          </w:r>
          <w:r w:rsidR="006262CC" w:rsidRPr="00347E38">
            <w:rPr>
              <w:rFonts w:asciiTheme="minorHAnsi" w:hAnsiTheme="minorHAnsi" w:cstheme="minorHAnsi"/>
              <w:sz w:val="22"/>
              <w:szCs w:val="22"/>
            </w:rPr>
            <w:t xml:space="preserve"> and 3</w:t>
          </w:r>
          <w:r w:rsidR="00B50BAB" w:rsidRPr="00347E38">
            <w:rPr>
              <w:rFonts w:asciiTheme="minorHAnsi" w:hAnsiTheme="minorHAnsi" w:cstheme="minorHAnsi"/>
              <w:sz w:val="22"/>
              <w:szCs w:val="22"/>
            </w:rPr>
            <w:t>%</w:t>
          </w:r>
          <w:r w:rsidR="007636AB" w:rsidRPr="00347E38">
            <w:rPr>
              <w:rFonts w:asciiTheme="minorHAnsi" w:hAnsiTheme="minorHAnsi" w:cstheme="minorHAnsi"/>
              <w:sz w:val="22"/>
              <w:szCs w:val="22"/>
            </w:rPr>
            <w:t>, (GuruFocus, 2025)</w:t>
          </w:r>
          <w:r w:rsidR="00222C93" w:rsidRPr="00347E38">
            <w:rPr>
              <w:rFonts w:asciiTheme="minorHAnsi" w:hAnsiTheme="minorHAnsi" w:cstheme="minorHAnsi"/>
              <w:sz w:val="22"/>
              <w:szCs w:val="22"/>
            </w:rPr>
            <w:t xml:space="preserve">. Return on Assets (ROA) increases </w:t>
          </w:r>
          <w:r w:rsidR="008C5470" w:rsidRPr="00347E38">
            <w:rPr>
              <w:rFonts w:asciiTheme="minorHAnsi" w:hAnsiTheme="minorHAnsi" w:cstheme="minorHAnsi"/>
              <w:sz w:val="22"/>
              <w:szCs w:val="22"/>
            </w:rPr>
            <w:t>substantially</w:t>
          </w:r>
          <w:r w:rsidR="00222C93" w:rsidRPr="00347E38">
            <w:rPr>
              <w:rFonts w:asciiTheme="minorHAnsi" w:hAnsiTheme="minorHAnsi" w:cstheme="minorHAnsi"/>
              <w:sz w:val="22"/>
              <w:szCs w:val="22"/>
            </w:rPr>
            <w:t xml:space="preserve"> from 1.61% to 3.75%, </w:t>
          </w:r>
          <w:r w:rsidR="00C07FCB" w:rsidRPr="00347E38">
            <w:rPr>
              <w:rFonts w:asciiTheme="minorHAnsi" w:hAnsiTheme="minorHAnsi" w:cstheme="minorHAnsi"/>
              <w:sz w:val="22"/>
              <w:szCs w:val="22"/>
            </w:rPr>
            <w:t>exceeding</w:t>
          </w:r>
          <w:r w:rsidR="007B3D00" w:rsidRPr="00347E38">
            <w:rPr>
              <w:rFonts w:asciiTheme="minorHAnsi" w:hAnsiTheme="minorHAnsi" w:cstheme="minorHAnsi"/>
              <w:sz w:val="22"/>
              <w:szCs w:val="22"/>
            </w:rPr>
            <w:t xml:space="preserve"> the retail sector benchmark of approximately 2</w:t>
          </w:r>
          <w:r w:rsidR="002F5383" w:rsidRPr="00347E38">
            <w:rPr>
              <w:rFonts w:asciiTheme="minorHAnsi" w:hAnsiTheme="minorHAnsi" w:cstheme="minorHAnsi"/>
              <w:sz w:val="22"/>
              <w:szCs w:val="22"/>
            </w:rPr>
            <w:t xml:space="preserve">% to </w:t>
          </w:r>
          <w:r w:rsidR="007B3D00" w:rsidRPr="00347E38">
            <w:rPr>
              <w:rFonts w:asciiTheme="minorHAnsi" w:hAnsiTheme="minorHAnsi" w:cstheme="minorHAnsi"/>
              <w:sz w:val="22"/>
              <w:szCs w:val="22"/>
            </w:rPr>
            <w:t xml:space="preserve">3%, </w:t>
          </w:r>
          <w:r w:rsidR="00222C93" w:rsidRPr="00347E38">
            <w:rPr>
              <w:rFonts w:asciiTheme="minorHAnsi" w:hAnsiTheme="minorHAnsi" w:cstheme="minorHAnsi"/>
              <w:sz w:val="22"/>
              <w:szCs w:val="22"/>
            </w:rPr>
            <w:t xml:space="preserve">suggesting that Tesco is utilising </w:t>
          </w:r>
          <w:r w:rsidR="008C5470" w:rsidRPr="00347E38">
            <w:rPr>
              <w:rFonts w:asciiTheme="minorHAnsi" w:hAnsiTheme="minorHAnsi" w:cstheme="minorHAnsi"/>
              <w:sz w:val="22"/>
              <w:szCs w:val="22"/>
            </w:rPr>
            <w:t xml:space="preserve">its assets base more efficiently to generate earnings. </w:t>
          </w:r>
          <w:r w:rsidR="00ED3D2B" w:rsidRPr="00347E38">
            <w:rPr>
              <w:rFonts w:asciiTheme="minorHAnsi" w:hAnsiTheme="minorHAnsi" w:cstheme="minorHAnsi"/>
              <w:sz w:val="22"/>
              <w:szCs w:val="22"/>
            </w:rPr>
            <w:t>Return on Equity (ROE) rises sharply</w:t>
          </w:r>
          <w:r w:rsidR="00321CA2" w:rsidRPr="00347E38">
            <w:rPr>
              <w:rFonts w:asciiTheme="minorHAnsi" w:hAnsiTheme="minorHAnsi" w:cstheme="minorHAnsi"/>
              <w:sz w:val="22"/>
              <w:szCs w:val="22"/>
            </w:rPr>
            <w:t xml:space="preserve"> from 6.03% to 15.12%, </w:t>
          </w:r>
          <w:r w:rsidR="002F5383" w:rsidRPr="00347E38">
            <w:rPr>
              <w:rFonts w:asciiTheme="minorHAnsi" w:hAnsiTheme="minorHAnsi" w:cstheme="minorHAnsi"/>
              <w:sz w:val="22"/>
              <w:szCs w:val="22"/>
            </w:rPr>
            <w:t xml:space="preserve">moving closer to </w:t>
          </w:r>
          <w:r w:rsidR="00BA76C0" w:rsidRPr="00347E38">
            <w:rPr>
              <w:rFonts w:asciiTheme="minorHAnsi" w:hAnsiTheme="minorHAnsi" w:cstheme="minorHAnsi"/>
              <w:sz w:val="22"/>
              <w:szCs w:val="22"/>
            </w:rPr>
            <w:t>the retail industry benchmark of around</w:t>
          </w:r>
          <w:r w:rsidR="00800842" w:rsidRPr="00347E38">
            <w:rPr>
              <w:rFonts w:asciiTheme="minorHAnsi" w:hAnsiTheme="minorHAnsi" w:cstheme="minorHAnsi"/>
              <w:sz w:val="22"/>
              <w:szCs w:val="22"/>
            </w:rPr>
            <w:t xml:space="preserve"> 12% to 15%, </w:t>
          </w:r>
          <w:r w:rsidR="009B696C" w:rsidRPr="00347E38">
            <w:rPr>
              <w:rFonts w:asciiTheme="minorHAnsi" w:hAnsiTheme="minorHAnsi" w:cstheme="minorHAnsi"/>
              <w:sz w:val="22"/>
              <w:szCs w:val="22"/>
            </w:rPr>
            <w:t>this reflects stronger profitability but also signals an increased reliance on financial leverage as equity declined year-on-year</w:t>
          </w:r>
          <w:r w:rsidR="00F756E3" w:rsidRPr="00347E38">
            <w:rPr>
              <w:rFonts w:asciiTheme="minorHAnsi" w:hAnsiTheme="minorHAnsi" w:cstheme="minorHAnsi"/>
              <w:sz w:val="22"/>
              <w:szCs w:val="22"/>
            </w:rPr>
            <w:t>, (KPMG, 2023)</w:t>
          </w:r>
          <w:r w:rsidR="009B696C" w:rsidRPr="00347E38">
            <w:rPr>
              <w:rFonts w:asciiTheme="minorHAnsi" w:hAnsiTheme="minorHAnsi" w:cstheme="minorHAnsi"/>
              <w:sz w:val="22"/>
              <w:szCs w:val="22"/>
            </w:rPr>
            <w:t>.</w:t>
          </w:r>
          <w:r w:rsidR="00D6698F" w:rsidRPr="00347E38">
            <w:rPr>
              <w:rFonts w:asciiTheme="minorHAnsi" w:hAnsiTheme="minorHAnsi" w:cstheme="minorHAnsi"/>
              <w:sz w:val="22"/>
              <w:szCs w:val="22"/>
            </w:rPr>
            <w:t xml:space="preserve"> This indicates stronger returns for shareholders</w:t>
          </w:r>
          <w:r w:rsidR="0008177A">
            <w:rPr>
              <w:rFonts w:asciiTheme="minorHAnsi" w:hAnsiTheme="minorHAnsi" w:cstheme="minorHAnsi"/>
              <w:sz w:val="22"/>
              <w:szCs w:val="22"/>
            </w:rPr>
            <w:t>,</w:t>
          </w:r>
          <w:r w:rsidR="00D6698F" w:rsidRPr="00347E38">
            <w:rPr>
              <w:rFonts w:asciiTheme="minorHAnsi" w:hAnsiTheme="minorHAnsi" w:cstheme="minorHAnsi"/>
              <w:sz w:val="22"/>
              <w:szCs w:val="22"/>
            </w:rPr>
            <w:t xml:space="preserve"> </w:t>
          </w:r>
          <w:r w:rsidR="00A76296">
            <w:rPr>
              <w:rFonts w:asciiTheme="minorHAnsi" w:hAnsiTheme="minorHAnsi" w:cstheme="minorHAnsi"/>
              <w:sz w:val="22"/>
              <w:szCs w:val="22"/>
            </w:rPr>
            <w:t>although partly driven by</w:t>
          </w:r>
          <w:r w:rsidR="00D6698F" w:rsidRPr="00347E38">
            <w:rPr>
              <w:rFonts w:asciiTheme="minorHAnsi" w:hAnsiTheme="minorHAnsi" w:cstheme="minorHAnsi"/>
              <w:sz w:val="22"/>
              <w:szCs w:val="22"/>
            </w:rPr>
            <w:t xml:space="preserve"> </w:t>
          </w:r>
          <w:r w:rsidR="009C3951">
            <w:rPr>
              <w:rFonts w:asciiTheme="minorHAnsi" w:hAnsiTheme="minorHAnsi" w:cstheme="minorHAnsi"/>
              <w:sz w:val="22"/>
              <w:szCs w:val="22"/>
            </w:rPr>
            <w:t xml:space="preserve">increased </w:t>
          </w:r>
          <w:r w:rsidR="00D6698F" w:rsidRPr="00347E38">
            <w:rPr>
              <w:rFonts w:asciiTheme="minorHAnsi" w:hAnsiTheme="minorHAnsi" w:cstheme="minorHAnsi"/>
              <w:sz w:val="22"/>
              <w:szCs w:val="22"/>
            </w:rPr>
            <w:t xml:space="preserve">leverage. </w:t>
          </w:r>
          <w:r w:rsidR="00B15D38" w:rsidRPr="00347E38">
            <w:rPr>
              <w:rFonts w:asciiTheme="minorHAnsi" w:hAnsiTheme="minorHAnsi" w:cstheme="minorHAnsi"/>
              <w:sz w:val="22"/>
              <w:szCs w:val="22"/>
            </w:rPr>
            <w:t xml:space="preserve">This shows </w:t>
          </w:r>
          <w:r w:rsidR="00B15D38" w:rsidRPr="00347E38">
            <w:rPr>
              <w:rFonts w:asciiTheme="minorHAnsi" w:hAnsiTheme="minorHAnsi" w:cstheme="minorHAnsi"/>
              <w:sz w:val="22"/>
              <w:szCs w:val="22"/>
            </w:rPr>
            <w:lastRenderedPageBreak/>
            <w:t>that</w:t>
          </w:r>
          <w:r w:rsidRPr="00347E38">
            <w:rPr>
              <w:rFonts w:asciiTheme="minorHAnsi" w:hAnsiTheme="minorHAnsi" w:cstheme="minorHAnsi"/>
              <w:sz w:val="22"/>
              <w:szCs w:val="22"/>
            </w:rPr>
            <w:t xml:space="preserve"> Tesco’s </w:t>
          </w:r>
          <w:r w:rsidR="006B29F4" w:rsidRPr="00347E38">
            <w:rPr>
              <w:rFonts w:asciiTheme="minorHAnsi" w:hAnsiTheme="minorHAnsi" w:cstheme="minorHAnsi"/>
              <w:sz w:val="22"/>
              <w:szCs w:val="22"/>
            </w:rPr>
            <w:t xml:space="preserve">profitability trends </w:t>
          </w:r>
          <w:r w:rsidR="004F44DB" w:rsidRPr="00347E38">
            <w:rPr>
              <w:rFonts w:asciiTheme="minorHAnsi" w:hAnsiTheme="minorHAnsi" w:cstheme="minorHAnsi"/>
              <w:sz w:val="22"/>
              <w:szCs w:val="22"/>
            </w:rPr>
            <w:t>suggest</w:t>
          </w:r>
          <w:r w:rsidR="006B29F4" w:rsidRPr="00347E38">
            <w:rPr>
              <w:rFonts w:asciiTheme="minorHAnsi" w:hAnsiTheme="minorHAnsi" w:cstheme="minorHAnsi"/>
              <w:sz w:val="22"/>
              <w:szCs w:val="22"/>
            </w:rPr>
            <w:t xml:space="preserve"> strengthening performance, improved cost management and a recovering post-COVID retail environment.</w:t>
          </w:r>
          <w:r w:rsidR="004F44DB" w:rsidRPr="00347E38">
            <w:rPr>
              <w:rFonts w:asciiTheme="minorHAnsi" w:hAnsiTheme="minorHAnsi" w:cstheme="minorHAnsi"/>
              <w:sz w:val="22"/>
              <w:szCs w:val="22"/>
            </w:rPr>
            <w:t xml:space="preserve"> Liquidity analysis </w:t>
          </w:r>
          <w:r w:rsidR="00C77BEB">
            <w:rPr>
              <w:rFonts w:asciiTheme="minorHAnsi" w:hAnsiTheme="minorHAnsi" w:cstheme="minorHAnsi"/>
              <w:sz w:val="22"/>
              <w:szCs w:val="22"/>
            </w:rPr>
            <w:t>indicates</w:t>
          </w:r>
          <w:r w:rsidR="004430D4">
            <w:rPr>
              <w:rFonts w:asciiTheme="minorHAnsi" w:hAnsiTheme="minorHAnsi" w:cstheme="minorHAnsi"/>
              <w:sz w:val="22"/>
              <w:szCs w:val="22"/>
            </w:rPr>
            <w:t xml:space="preserve"> a noticeable improvement in </w:t>
          </w:r>
          <w:r w:rsidR="001A2FD2" w:rsidRPr="00347E38">
            <w:rPr>
              <w:rFonts w:asciiTheme="minorHAnsi" w:hAnsiTheme="minorHAnsi" w:cstheme="minorHAnsi"/>
              <w:sz w:val="22"/>
              <w:szCs w:val="22"/>
            </w:rPr>
            <w:t xml:space="preserve">Tesco’s </w:t>
          </w:r>
          <w:r w:rsidR="004430D4">
            <w:rPr>
              <w:rFonts w:asciiTheme="minorHAnsi" w:hAnsiTheme="minorHAnsi" w:cstheme="minorHAnsi"/>
              <w:sz w:val="22"/>
              <w:szCs w:val="22"/>
            </w:rPr>
            <w:t xml:space="preserve">short-term financial position in </w:t>
          </w:r>
          <w:r w:rsidR="001A2FD2" w:rsidRPr="00347E38">
            <w:rPr>
              <w:rFonts w:asciiTheme="minorHAnsi" w:hAnsiTheme="minorHAnsi" w:cstheme="minorHAnsi"/>
              <w:sz w:val="22"/>
              <w:szCs w:val="22"/>
            </w:rPr>
            <w:t xml:space="preserve">2024. </w:t>
          </w:r>
          <w:r w:rsidR="00820D61" w:rsidRPr="00347E38">
            <w:rPr>
              <w:rFonts w:asciiTheme="minorHAnsi" w:hAnsiTheme="minorHAnsi" w:cstheme="minorHAnsi"/>
              <w:sz w:val="22"/>
              <w:szCs w:val="22"/>
            </w:rPr>
            <w:t xml:space="preserve">The current ratio </w:t>
          </w:r>
          <w:r w:rsidR="004430D4">
            <w:rPr>
              <w:rFonts w:asciiTheme="minorHAnsi" w:hAnsiTheme="minorHAnsi" w:cstheme="minorHAnsi"/>
              <w:sz w:val="22"/>
              <w:szCs w:val="22"/>
            </w:rPr>
            <w:t>increases</w:t>
          </w:r>
          <w:r w:rsidR="00820D61" w:rsidRPr="00347E38">
            <w:rPr>
              <w:rFonts w:asciiTheme="minorHAnsi" w:hAnsiTheme="minorHAnsi" w:cstheme="minorHAnsi"/>
              <w:sz w:val="22"/>
              <w:szCs w:val="22"/>
            </w:rPr>
            <w:t xml:space="preserve"> from 0.72 to</w:t>
          </w:r>
          <w:r w:rsidR="004430D4">
            <w:rPr>
              <w:rFonts w:asciiTheme="minorHAnsi" w:hAnsiTheme="minorHAnsi" w:cstheme="minorHAnsi"/>
              <w:sz w:val="22"/>
              <w:szCs w:val="22"/>
            </w:rPr>
            <w:t xml:space="preserve"> approximately</w:t>
          </w:r>
          <w:r w:rsidR="00820D61" w:rsidRPr="00347E38">
            <w:rPr>
              <w:rFonts w:asciiTheme="minorHAnsi" w:hAnsiTheme="minorHAnsi" w:cstheme="minorHAnsi"/>
              <w:sz w:val="22"/>
              <w:szCs w:val="22"/>
            </w:rPr>
            <w:t xml:space="preserve"> </w:t>
          </w:r>
          <w:r w:rsidR="004430D4">
            <w:rPr>
              <w:rFonts w:asciiTheme="minorHAnsi" w:hAnsiTheme="minorHAnsi" w:cstheme="minorHAnsi"/>
              <w:sz w:val="22"/>
              <w:szCs w:val="22"/>
            </w:rPr>
            <w:t>0.81</w:t>
          </w:r>
          <w:r w:rsidR="00820D61" w:rsidRPr="00347E38">
            <w:rPr>
              <w:rFonts w:asciiTheme="minorHAnsi" w:hAnsiTheme="minorHAnsi" w:cstheme="minorHAnsi"/>
              <w:sz w:val="22"/>
              <w:szCs w:val="22"/>
            </w:rPr>
            <w:t xml:space="preserve">, moving Tesco </w:t>
          </w:r>
          <w:r w:rsidR="001D589D">
            <w:rPr>
              <w:rFonts w:asciiTheme="minorHAnsi" w:hAnsiTheme="minorHAnsi" w:cstheme="minorHAnsi"/>
              <w:sz w:val="22"/>
              <w:szCs w:val="22"/>
            </w:rPr>
            <w:t>within</w:t>
          </w:r>
          <w:r w:rsidR="008F7238" w:rsidRPr="00347E38">
            <w:rPr>
              <w:rFonts w:asciiTheme="minorHAnsi" w:hAnsiTheme="minorHAnsi" w:cstheme="minorHAnsi"/>
              <w:sz w:val="22"/>
              <w:szCs w:val="22"/>
            </w:rPr>
            <w:t xml:space="preserve"> </w:t>
          </w:r>
          <w:r w:rsidR="007D3B09" w:rsidRPr="00347E38">
            <w:rPr>
              <w:rFonts w:asciiTheme="minorHAnsi" w:hAnsiTheme="minorHAnsi" w:cstheme="minorHAnsi"/>
              <w:sz w:val="22"/>
              <w:szCs w:val="22"/>
            </w:rPr>
            <w:t>the grocery sector norm of approximately 0</w:t>
          </w:r>
          <w:r w:rsidR="00506850">
            <w:rPr>
              <w:rFonts w:asciiTheme="minorHAnsi" w:hAnsiTheme="minorHAnsi" w:cstheme="minorHAnsi"/>
              <w:sz w:val="22"/>
              <w:szCs w:val="22"/>
            </w:rPr>
            <w:t>.</w:t>
          </w:r>
          <w:r w:rsidR="007D3B09" w:rsidRPr="00347E38">
            <w:rPr>
              <w:rFonts w:asciiTheme="minorHAnsi" w:hAnsiTheme="minorHAnsi" w:cstheme="minorHAnsi"/>
              <w:sz w:val="22"/>
              <w:szCs w:val="22"/>
            </w:rPr>
            <w:t xml:space="preserve">6 </w:t>
          </w:r>
          <w:r w:rsidR="004052A5" w:rsidRPr="00347E38">
            <w:rPr>
              <w:rFonts w:asciiTheme="minorHAnsi" w:hAnsiTheme="minorHAnsi" w:cstheme="minorHAnsi"/>
              <w:sz w:val="22"/>
              <w:szCs w:val="22"/>
            </w:rPr>
            <w:t>t</w:t>
          </w:r>
          <w:r w:rsidR="007D3B09" w:rsidRPr="00347E38">
            <w:rPr>
              <w:rFonts w:asciiTheme="minorHAnsi" w:hAnsiTheme="minorHAnsi" w:cstheme="minorHAnsi"/>
              <w:sz w:val="22"/>
              <w:szCs w:val="22"/>
            </w:rPr>
            <w:t>o 0.8</w:t>
          </w:r>
          <w:r w:rsidR="004052A5" w:rsidRPr="00347E38">
            <w:rPr>
              <w:rFonts w:asciiTheme="minorHAnsi" w:hAnsiTheme="minorHAnsi" w:cstheme="minorHAnsi"/>
              <w:sz w:val="22"/>
              <w:szCs w:val="22"/>
            </w:rPr>
            <w:t xml:space="preserve"> and</w:t>
          </w:r>
          <w:r w:rsidR="008F7238" w:rsidRPr="00347E38">
            <w:rPr>
              <w:rFonts w:asciiTheme="minorHAnsi" w:hAnsiTheme="minorHAnsi" w:cstheme="minorHAnsi"/>
              <w:sz w:val="22"/>
              <w:szCs w:val="22"/>
            </w:rPr>
            <w:t xml:space="preserve"> </w:t>
          </w:r>
          <w:r w:rsidR="00820D61" w:rsidRPr="00347E38">
            <w:rPr>
              <w:rFonts w:asciiTheme="minorHAnsi" w:hAnsiTheme="minorHAnsi" w:cstheme="minorHAnsi"/>
              <w:sz w:val="22"/>
              <w:szCs w:val="22"/>
            </w:rPr>
            <w:t xml:space="preserve">closer </w:t>
          </w:r>
          <w:r w:rsidR="00223832" w:rsidRPr="00347E38">
            <w:rPr>
              <w:rFonts w:asciiTheme="minorHAnsi" w:hAnsiTheme="minorHAnsi" w:cstheme="minorHAnsi"/>
              <w:sz w:val="22"/>
              <w:szCs w:val="22"/>
            </w:rPr>
            <w:t>to</w:t>
          </w:r>
          <w:r w:rsidR="004052A5" w:rsidRPr="00347E38">
            <w:rPr>
              <w:rFonts w:asciiTheme="minorHAnsi" w:hAnsiTheme="minorHAnsi" w:cstheme="minorHAnsi"/>
              <w:sz w:val="22"/>
              <w:szCs w:val="22"/>
            </w:rPr>
            <w:t xml:space="preserve"> the conventional benchmark of 1.5</w:t>
          </w:r>
          <w:r w:rsidR="00654C9A" w:rsidRPr="00347E38">
            <w:rPr>
              <w:rFonts w:asciiTheme="minorHAnsi" w:hAnsiTheme="minorHAnsi" w:cstheme="minorHAnsi"/>
              <w:sz w:val="22"/>
              <w:szCs w:val="22"/>
            </w:rPr>
            <w:t>, indicating an improved ability to</w:t>
          </w:r>
          <w:r w:rsidR="00654C9A" w:rsidRPr="00347E38">
            <w:rPr>
              <w:rFonts w:asciiTheme="minorHAnsi" w:hAnsiTheme="minorHAnsi" w:cstheme="minorHAnsi"/>
              <w:sz w:val="22"/>
              <w:szCs w:val="22"/>
            </w:rPr>
            <w:t xml:space="preserve"> </w:t>
          </w:r>
          <w:r w:rsidR="00654C9A" w:rsidRPr="00347E38">
            <w:rPr>
              <w:rFonts w:asciiTheme="minorHAnsi" w:hAnsiTheme="minorHAnsi" w:cstheme="minorHAnsi"/>
              <w:sz w:val="22"/>
              <w:szCs w:val="22"/>
            </w:rPr>
            <w:t>meet short-term obligations</w:t>
          </w:r>
          <w:r w:rsidR="00F3735E" w:rsidRPr="00347E38">
            <w:rPr>
              <w:rFonts w:asciiTheme="minorHAnsi" w:hAnsiTheme="minorHAnsi" w:cstheme="minorHAnsi"/>
              <w:sz w:val="22"/>
              <w:szCs w:val="22"/>
            </w:rPr>
            <w:t>.</w:t>
          </w:r>
          <w:r w:rsidR="00DD53C4" w:rsidRPr="00347E38">
            <w:rPr>
              <w:rFonts w:asciiTheme="minorHAnsi" w:hAnsiTheme="minorHAnsi" w:cstheme="minorHAnsi"/>
              <w:sz w:val="22"/>
              <w:szCs w:val="22"/>
            </w:rPr>
            <w:t xml:space="preserve"> Similarly, the </w:t>
          </w:r>
          <w:r w:rsidR="003D0884" w:rsidRPr="00347E38">
            <w:rPr>
              <w:rFonts w:asciiTheme="minorHAnsi" w:hAnsiTheme="minorHAnsi" w:cstheme="minorHAnsi"/>
              <w:sz w:val="22"/>
              <w:szCs w:val="22"/>
            </w:rPr>
            <w:t>quick</w:t>
          </w:r>
          <w:r w:rsidR="00DD53C4" w:rsidRPr="00347E38">
            <w:rPr>
              <w:rFonts w:asciiTheme="minorHAnsi" w:hAnsiTheme="minorHAnsi" w:cstheme="minorHAnsi"/>
              <w:sz w:val="22"/>
              <w:szCs w:val="22"/>
            </w:rPr>
            <w:t xml:space="preserve"> ratio increases from 0.58 to </w:t>
          </w:r>
          <w:r w:rsidR="00116FBC">
            <w:rPr>
              <w:rFonts w:asciiTheme="minorHAnsi" w:hAnsiTheme="minorHAnsi" w:cstheme="minorHAnsi"/>
              <w:sz w:val="22"/>
              <w:szCs w:val="22"/>
            </w:rPr>
            <w:t>0.68</w:t>
          </w:r>
          <w:r w:rsidR="00DD53C4" w:rsidRPr="00347E38">
            <w:rPr>
              <w:rFonts w:asciiTheme="minorHAnsi" w:hAnsiTheme="minorHAnsi" w:cstheme="minorHAnsi"/>
              <w:sz w:val="22"/>
              <w:szCs w:val="22"/>
            </w:rPr>
            <w:t>,</w:t>
          </w:r>
          <w:r w:rsidR="00054795" w:rsidRPr="00347E38">
            <w:rPr>
              <w:rFonts w:asciiTheme="minorHAnsi" w:hAnsiTheme="minorHAnsi" w:cstheme="minorHAnsi"/>
              <w:sz w:val="22"/>
              <w:szCs w:val="22"/>
            </w:rPr>
            <w:t xml:space="preserve"> </w:t>
          </w:r>
          <w:r w:rsidR="000B2B27" w:rsidRPr="00347E38">
            <w:rPr>
              <w:rFonts w:asciiTheme="minorHAnsi" w:hAnsiTheme="minorHAnsi" w:cstheme="minorHAnsi"/>
              <w:sz w:val="22"/>
              <w:szCs w:val="22"/>
            </w:rPr>
            <w:t xml:space="preserve">exceeding the typical grocery benchmark </w:t>
          </w:r>
          <w:r w:rsidR="00054795" w:rsidRPr="00347E38">
            <w:rPr>
              <w:rFonts w:asciiTheme="minorHAnsi" w:hAnsiTheme="minorHAnsi" w:cstheme="minorHAnsi"/>
              <w:sz w:val="22"/>
              <w:szCs w:val="22"/>
            </w:rPr>
            <w:t>of around 0.4 and</w:t>
          </w:r>
          <w:r w:rsidR="00DD53C4" w:rsidRPr="00347E38">
            <w:rPr>
              <w:rFonts w:asciiTheme="minorHAnsi" w:hAnsiTheme="minorHAnsi" w:cstheme="minorHAnsi"/>
              <w:sz w:val="22"/>
              <w:szCs w:val="22"/>
            </w:rPr>
            <w:t xml:space="preserve"> suggesting that</w:t>
          </w:r>
          <w:r w:rsidR="00054795" w:rsidRPr="00347E38">
            <w:rPr>
              <w:rFonts w:asciiTheme="minorHAnsi" w:hAnsiTheme="minorHAnsi" w:cstheme="minorHAnsi"/>
              <w:sz w:val="22"/>
              <w:szCs w:val="22"/>
            </w:rPr>
            <w:t xml:space="preserve"> Tesco</w:t>
          </w:r>
          <w:r w:rsidR="00FE6F35" w:rsidRPr="00347E38">
            <w:rPr>
              <w:rFonts w:asciiTheme="minorHAnsi" w:hAnsiTheme="minorHAnsi" w:cstheme="minorHAnsi"/>
              <w:sz w:val="22"/>
              <w:szCs w:val="22"/>
            </w:rPr>
            <w:t xml:space="preserve"> </w:t>
          </w:r>
          <w:r w:rsidR="000925EB" w:rsidRPr="00347E38">
            <w:rPr>
              <w:rFonts w:asciiTheme="minorHAnsi" w:hAnsiTheme="minorHAnsi" w:cstheme="minorHAnsi"/>
              <w:sz w:val="22"/>
              <w:szCs w:val="22"/>
            </w:rPr>
            <w:t>can meet short-term liabilities without reliance on inventory</w:t>
          </w:r>
          <w:r w:rsidR="003D0884" w:rsidRPr="00347E38">
            <w:rPr>
              <w:rFonts w:asciiTheme="minorHAnsi" w:hAnsiTheme="minorHAnsi" w:cstheme="minorHAnsi"/>
              <w:sz w:val="22"/>
              <w:szCs w:val="22"/>
            </w:rPr>
            <w:t>.</w:t>
          </w:r>
          <w:r w:rsidR="00A23A8C" w:rsidRPr="00347E38">
            <w:rPr>
              <w:rFonts w:asciiTheme="minorHAnsi" w:hAnsiTheme="minorHAnsi" w:cstheme="minorHAnsi"/>
              <w:sz w:val="22"/>
              <w:szCs w:val="22"/>
            </w:rPr>
            <w:t xml:space="preserve"> These improvements are strategically important because they reduce financial risk, </w:t>
          </w:r>
          <w:r w:rsidR="000925EB" w:rsidRPr="00347E38">
            <w:rPr>
              <w:rFonts w:asciiTheme="minorHAnsi" w:hAnsiTheme="minorHAnsi" w:cstheme="minorHAnsi"/>
              <w:sz w:val="22"/>
              <w:szCs w:val="22"/>
            </w:rPr>
            <w:t>enhances</w:t>
          </w:r>
          <w:r w:rsidR="00A23A8C" w:rsidRPr="00347E38">
            <w:rPr>
              <w:rFonts w:asciiTheme="minorHAnsi" w:hAnsiTheme="minorHAnsi" w:cstheme="minorHAnsi"/>
              <w:sz w:val="22"/>
              <w:szCs w:val="22"/>
            </w:rPr>
            <w:t xml:space="preserve"> operational flexibility, and </w:t>
          </w:r>
          <w:r w:rsidR="000925EB" w:rsidRPr="00347E38">
            <w:rPr>
              <w:rFonts w:asciiTheme="minorHAnsi" w:hAnsiTheme="minorHAnsi" w:cstheme="minorHAnsi"/>
              <w:sz w:val="22"/>
              <w:szCs w:val="22"/>
            </w:rPr>
            <w:t xml:space="preserve">supports </w:t>
          </w:r>
          <w:r w:rsidR="00A23A8C" w:rsidRPr="00347E38">
            <w:rPr>
              <w:rFonts w:asciiTheme="minorHAnsi" w:hAnsiTheme="minorHAnsi" w:cstheme="minorHAnsi"/>
              <w:sz w:val="22"/>
              <w:szCs w:val="22"/>
            </w:rPr>
            <w:t>price competitiveness</w:t>
          </w:r>
          <w:r w:rsidR="008A560A" w:rsidRPr="00347E38">
            <w:rPr>
              <w:rFonts w:asciiTheme="minorHAnsi" w:hAnsiTheme="minorHAnsi" w:cstheme="minorHAnsi"/>
              <w:sz w:val="22"/>
              <w:szCs w:val="22"/>
            </w:rPr>
            <w:t xml:space="preserve"> in a highly competitive market</w:t>
          </w:r>
          <w:r w:rsidR="00C46DD9" w:rsidRPr="00347E38">
            <w:rPr>
              <w:rFonts w:asciiTheme="minorHAnsi" w:hAnsiTheme="minorHAnsi" w:cstheme="minorHAnsi"/>
              <w:sz w:val="22"/>
              <w:szCs w:val="22"/>
            </w:rPr>
            <w:t>, (PwC, 2024)</w:t>
          </w:r>
          <w:r w:rsidR="00A23A8C" w:rsidRPr="00347E38">
            <w:rPr>
              <w:rFonts w:asciiTheme="minorHAnsi" w:hAnsiTheme="minorHAnsi" w:cstheme="minorHAnsi"/>
              <w:sz w:val="22"/>
              <w:szCs w:val="22"/>
            </w:rPr>
            <w:t>.</w:t>
          </w:r>
          <w:r w:rsidR="002972C6" w:rsidRPr="00347E38">
            <w:rPr>
              <w:rFonts w:asciiTheme="minorHAnsi" w:hAnsiTheme="minorHAnsi" w:cstheme="minorHAnsi"/>
              <w:sz w:val="22"/>
              <w:szCs w:val="22"/>
            </w:rPr>
            <w:t xml:space="preserve"> The efficiency analysis shows </w:t>
          </w:r>
          <w:r w:rsidR="0037307A" w:rsidRPr="00347E38">
            <w:rPr>
              <w:rFonts w:asciiTheme="minorHAnsi" w:hAnsiTheme="minorHAnsi" w:cstheme="minorHAnsi"/>
              <w:sz w:val="22"/>
              <w:szCs w:val="22"/>
            </w:rPr>
            <w:t>Tesco’s</w:t>
          </w:r>
          <w:r w:rsidR="002972C6" w:rsidRPr="00347E38">
            <w:rPr>
              <w:rFonts w:asciiTheme="minorHAnsi" w:hAnsiTheme="minorHAnsi" w:cstheme="minorHAnsi"/>
              <w:sz w:val="22"/>
              <w:szCs w:val="22"/>
            </w:rPr>
            <w:t xml:space="preserve"> </w:t>
          </w:r>
          <w:r w:rsidR="0072267A" w:rsidRPr="00347E38">
            <w:rPr>
              <w:rFonts w:asciiTheme="minorHAnsi" w:hAnsiTheme="minorHAnsi" w:cstheme="minorHAnsi"/>
              <w:sz w:val="22"/>
              <w:szCs w:val="22"/>
            </w:rPr>
            <w:t xml:space="preserve">operational </w:t>
          </w:r>
          <w:r w:rsidR="00D95C29" w:rsidRPr="00347E38">
            <w:rPr>
              <w:rFonts w:asciiTheme="minorHAnsi" w:hAnsiTheme="minorHAnsi" w:cstheme="minorHAnsi"/>
              <w:sz w:val="22"/>
              <w:szCs w:val="22"/>
            </w:rPr>
            <w:t>efficiency remain stable. Asset turnover improves slightly</w:t>
          </w:r>
          <w:r w:rsidR="0072267A" w:rsidRPr="00347E38">
            <w:rPr>
              <w:rFonts w:asciiTheme="minorHAnsi" w:hAnsiTheme="minorHAnsi" w:cstheme="minorHAnsi"/>
              <w:sz w:val="22"/>
              <w:szCs w:val="22"/>
            </w:rPr>
            <w:t xml:space="preserve"> from</w:t>
          </w:r>
          <w:r w:rsidR="00D95C29" w:rsidRPr="00347E38">
            <w:rPr>
              <w:rFonts w:asciiTheme="minorHAnsi" w:hAnsiTheme="minorHAnsi" w:cstheme="minorHAnsi"/>
              <w:sz w:val="22"/>
              <w:szCs w:val="22"/>
            </w:rPr>
            <w:t xml:space="preserve"> 1.43 </w:t>
          </w:r>
          <w:r w:rsidR="0037307A" w:rsidRPr="00347E38">
            <w:rPr>
              <w:rFonts w:asciiTheme="minorHAnsi" w:hAnsiTheme="minorHAnsi" w:cstheme="minorHAnsi"/>
              <w:sz w:val="22"/>
              <w:szCs w:val="22"/>
            </w:rPr>
            <w:t>to 1.45,</w:t>
          </w:r>
          <w:r w:rsidR="00A8391B" w:rsidRPr="00347E38">
            <w:rPr>
              <w:rFonts w:asciiTheme="minorHAnsi" w:hAnsiTheme="minorHAnsi" w:cstheme="minorHAnsi"/>
              <w:sz w:val="22"/>
              <w:szCs w:val="22"/>
            </w:rPr>
            <w:t xml:space="preserve"> aligning with sector averages of approximately 1.4 to 1.6 and</w:t>
          </w:r>
          <w:r w:rsidR="0037307A" w:rsidRPr="00347E38">
            <w:rPr>
              <w:rFonts w:asciiTheme="minorHAnsi" w:hAnsiTheme="minorHAnsi" w:cstheme="minorHAnsi"/>
              <w:sz w:val="22"/>
              <w:szCs w:val="22"/>
            </w:rPr>
            <w:t xml:space="preserve"> demonstrating consistent utilisation of Tesco’s large asset base to generate revenue</w:t>
          </w:r>
          <w:r w:rsidR="007850DF" w:rsidRPr="00347E38">
            <w:rPr>
              <w:rFonts w:asciiTheme="minorHAnsi" w:hAnsiTheme="minorHAnsi" w:cstheme="minorHAnsi"/>
              <w:sz w:val="22"/>
              <w:szCs w:val="22"/>
            </w:rPr>
            <w:t>, (Kenton,</w:t>
          </w:r>
          <w:r w:rsidR="00495161" w:rsidRPr="00347E38">
            <w:rPr>
              <w:rFonts w:asciiTheme="minorHAnsi" w:hAnsiTheme="minorHAnsi" w:cstheme="minorHAnsi"/>
              <w:sz w:val="22"/>
              <w:szCs w:val="22"/>
            </w:rPr>
            <w:t xml:space="preserve"> </w:t>
          </w:r>
          <w:r w:rsidR="00495161" w:rsidRPr="003E1C68">
            <w:rPr>
              <w:rFonts w:asciiTheme="minorHAnsi" w:hAnsiTheme="minorHAnsi" w:cstheme="minorHAnsi"/>
              <w:sz w:val="22"/>
              <w:szCs w:val="22"/>
            </w:rPr>
            <w:t>2022)</w:t>
          </w:r>
          <w:r w:rsidR="0037307A" w:rsidRPr="003E1C68">
            <w:rPr>
              <w:rFonts w:asciiTheme="minorHAnsi" w:hAnsiTheme="minorHAnsi" w:cstheme="minorHAnsi"/>
              <w:sz w:val="22"/>
              <w:szCs w:val="22"/>
            </w:rPr>
            <w:t xml:space="preserve">. </w:t>
          </w:r>
          <w:r w:rsidR="0011269E" w:rsidRPr="003E1C68">
            <w:rPr>
              <w:rFonts w:asciiTheme="minorHAnsi" w:hAnsiTheme="minorHAnsi" w:cstheme="minorHAnsi"/>
              <w:sz w:val="22"/>
              <w:szCs w:val="22"/>
            </w:rPr>
            <w:t>Inventory turnover marginally decreases</w:t>
          </w:r>
          <w:r w:rsidR="00A8391B" w:rsidRPr="003E1C68">
            <w:rPr>
              <w:rFonts w:asciiTheme="minorHAnsi" w:hAnsiTheme="minorHAnsi" w:cstheme="minorHAnsi"/>
              <w:sz w:val="22"/>
              <w:szCs w:val="22"/>
            </w:rPr>
            <w:t xml:space="preserve"> from</w:t>
          </w:r>
          <w:r w:rsidR="0011269E" w:rsidRPr="003E1C68">
            <w:rPr>
              <w:rFonts w:asciiTheme="minorHAnsi" w:hAnsiTheme="minorHAnsi" w:cstheme="minorHAnsi"/>
              <w:sz w:val="22"/>
              <w:szCs w:val="22"/>
            </w:rPr>
            <w:t xml:space="preserve"> 24.3 to 23.8</w:t>
          </w:r>
          <w:r w:rsidR="003E1C68" w:rsidRPr="003E1C68">
            <w:rPr>
              <w:rFonts w:asciiTheme="minorHAnsi" w:hAnsiTheme="minorHAnsi" w:cstheme="minorHAnsi"/>
              <w:sz w:val="22"/>
              <w:szCs w:val="22"/>
            </w:rPr>
            <w:t>6</w:t>
          </w:r>
          <w:r w:rsidR="0011269E" w:rsidRPr="00347E38">
            <w:rPr>
              <w:rFonts w:asciiTheme="minorHAnsi" w:hAnsiTheme="minorHAnsi" w:cstheme="minorHAnsi"/>
              <w:sz w:val="22"/>
              <w:szCs w:val="22"/>
            </w:rPr>
            <w:t>, which</w:t>
          </w:r>
          <w:r w:rsidR="004E5ED5" w:rsidRPr="00347E38">
            <w:rPr>
              <w:rFonts w:asciiTheme="minorHAnsi" w:hAnsiTheme="minorHAnsi" w:cstheme="minorHAnsi"/>
              <w:sz w:val="22"/>
              <w:szCs w:val="22"/>
            </w:rPr>
            <w:t xml:space="preserve"> remains well above typical</w:t>
          </w:r>
          <w:r w:rsidR="006A41D6" w:rsidRPr="00347E38">
            <w:rPr>
              <w:rFonts w:asciiTheme="minorHAnsi" w:hAnsiTheme="minorHAnsi" w:cstheme="minorHAnsi"/>
              <w:sz w:val="22"/>
              <w:szCs w:val="22"/>
            </w:rPr>
            <w:t xml:space="preserve"> retail benchmarks of around 10 to 15 times, reflecting efficient </w:t>
          </w:r>
          <w:r w:rsidR="0011269E" w:rsidRPr="00347E38">
            <w:rPr>
              <w:rFonts w:asciiTheme="minorHAnsi" w:hAnsiTheme="minorHAnsi" w:cstheme="minorHAnsi"/>
              <w:sz w:val="22"/>
              <w:szCs w:val="22"/>
            </w:rPr>
            <w:t xml:space="preserve">stock </w:t>
          </w:r>
          <w:r w:rsidR="005E069F" w:rsidRPr="00347E38">
            <w:rPr>
              <w:rFonts w:asciiTheme="minorHAnsi" w:hAnsiTheme="minorHAnsi" w:cstheme="minorHAnsi"/>
              <w:sz w:val="22"/>
              <w:szCs w:val="22"/>
            </w:rPr>
            <w:t>management despite possible</w:t>
          </w:r>
          <w:r w:rsidR="0011269E" w:rsidRPr="00347E38">
            <w:rPr>
              <w:rFonts w:asciiTheme="minorHAnsi" w:hAnsiTheme="minorHAnsi" w:cstheme="minorHAnsi"/>
              <w:sz w:val="22"/>
              <w:szCs w:val="22"/>
            </w:rPr>
            <w:t xml:space="preserve"> strategic inventory buffering to mitigate </w:t>
          </w:r>
          <w:r w:rsidR="002D05DB" w:rsidRPr="00347E38">
            <w:rPr>
              <w:rFonts w:asciiTheme="minorHAnsi" w:hAnsiTheme="minorHAnsi" w:cstheme="minorHAnsi"/>
              <w:sz w:val="22"/>
              <w:szCs w:val="22"/>
            </w:rPr>
            <w:t xml:space="preserve">supply </w:t>
          </w:r>
          <w:r w:rsidR="0011269E" w:rsidRPr="00347E38">
            <w:rPr>
              <w:rFonts w:asciiTheme="minorHAnsi" w:hAnsiTheme="minorHAnsi" w:cstheme="minorHAnsi"/>
              <w:sz w:val="22"/>
              <w:szCs w:val="22"/>
            </w:rPr>
            <w:t xml:space="preserve">chain risk. </w:t>
          </w:r>
          <w:r w:rsidR="002D05DB" w:rsidRPr="00347E38">
            <w:rPr>
              <w:rFonts w:asciiTheme="minorHAnsi" w:hAnsiTheme="minorHAnsi" w:cstheme="minorHAnsi"/>
              <w:sz w:val="22"/>
              <w:szCs w:val="22"/>
            </w:rPr>
            <w:t>Receivables</w:t>
          </w:r>
          <w:r w:rsidR="0011269E" w:rsidRPr="00347E38">
            <w:rPr>
              <w:rFonts w:asciiTheme="minorHAnsi" w:hAnsiTheme="minorHAnsi" w:cstheme="minorHAnsi"/>
              <w:sz w:val="22"/>
              <w:szCs w:val="22"/>
            </w:rPr>
            <w:t xml:space="preserve"> days remain extremely low</w:t>
          </w:r>
          <w:r w:rsidR="003B5C0C" w:rsidRPr="00347E38">
            <w:rPr>
              <w:rFonts w:asciiTheme="minorHAnsi" w:hAnsiTheme="minorHAnsi" w:cstheme="minorHAnsi"/>
              <w:sz w:val="22"/>
              <w:szCs w:val="22"/>
            </w:rPr>
            <w:t xml:space="preserve"> at</w:t>
          </w:r>
          <w:r w:rsidR="002D05DB" w:rsidRPr="00347E38">
            <w:rPr>
              <w:rFonts w:asciiTheme="minorHAnsi" w:hAnsiTheme="minorHAnsi" w:cstheme="minorHAnsi"/>
              <w:sz w:val="22"/>
              <w:szCs w:val="22"/>
            </w:rPr>
            <w:t xml:space="preserve"> around 7 days, consistent </w:t>
          </w:r>
          <w:r w:rsidR="00564951" w:rsidRPr="00347E38">
            <w:rPr>
              <w:rFonts w:asciiTheme="minorHAnsi" w:hAnsiTheme="minorHAnsi" w:cstheme="minorHAnsi"/>
              <w:sz w:val="22"/>
              <w:szCs w:val="22"/>
            </w:rPr>
            <w:t xml:space="preserve">with </w:t>
          </w:r>
          <w:r w:rsidR="000354A8" w:rsidRPr="00347E38">
            <w:rPr>
              <w:rFonts w:asciiTheme="minorHAnsi" w:hAnsiTheme="minorHAnsi" w:cstheme="minorHAnsi"/>
              <w:sz w:val="22"/>
              <w:szCs w:val="22"/>
            </w:rPr>
            <w:t>Tesco’s</w:t>
          </w:r>
          <w:r w:rsidR="00ED4110" w:rsidRPr="00347E38">
            <w:rPr>
              <w:rFonts w:asciiTheme="minorHAnsi" w:hAnsiTheme="minorHAnsi" w:cstheme="minorHAnsi"/>
              <w:sz w:val="22"/>
              <w:szCs w:val="22"/>
            </w:rPr>
            <w:t xml:space="preserve"> predominately</w:t>
          </w:r>
          <w:r w:rsidR="00564951" w:rsidRPr="00347E38">
            <w:rPr>
              <w:rFonts w:asciiTheme="minorHAnsi" w:hAnsiTheme="minorHAnsi" w:cstheme="minorHAnsi"/>
              <w:sz w:val="22"/>
              <w:szCs w:val="22"/>
            </w:rPr>
            <w:t xml:space="preserve"> cash-based retail model</w:t>
          </w:r>
          <w:r w:rsidR="00ED4110" w:rsidRPr="00347E38">
            <w:rPr>
              <w:rFonts w:asciiTheme="minorHAnsi" w:hAnsiTheme="minorHAnsi" w:cstheme="minorHAnsi"/>
              <w:sz w:val="22"/>
              <w:szCs w:val="22"/>
            </w:rPr>
            <w:t xml:space="preserve"> and outperforming general retail norms</w:t>
          </w:r>
          <w:r w:rsidR="00564951" w:rsidRPr="00347E38">
            <w:rPr>
              <w:rFonts w:asciiTheme="minorHAnsi" w:hAnsiTheme="minorHAnsi" w:cstheme="minorHAnsi"/>
              <w:sz w:val="22"/>
              <w:szCs w:val="22"/>
            </w:rPr>
            <w:t>. Payables days increase slightly</w:t>
          </w:r>
          <w:r w:rsidR="00ED4110" w:rsidRPr="00347E38">
            <w:rPr>
              <w:rFonts w:asciiTheme="minorHAnsi" w:hAnsiTheme="minorHAnsi" w:cstheme="minorHAnsi"/>
              <w:sz w:val="22"/>
              <w:szCs w:val="22"/>
            </w:rPr>
            <w:t xml:space="preserve"> from</w:t>
          </w:r>
          <w:r w:rsidR="00564951" w:rsidRPr="00347E38">
            <w:rPr>
              <w:rFonts w:asciiTheme="minorHAnsi" w:hAnsiTheme="minorHAnsi" w:cstheme="minorHAnsi"/>
              <w:sz w:val="22"/>
              <w:szCs w:val="22"/>
            </w:rPr>
            <w:t xml:space="preserve"> 58.73 to 59.66 days, </w:t>
          </w:r>
          <w:r w:rsidR="00B377AA" w:rsidRPr="00347E38">
            <w:rPr>
              <w:rFonts w:asciiTheme="minorHAnsi" w:hAnsiTheme="minorHAnsi" w:cstheme="minorHAnsi"/>
              <w:sz w:val="22"/>
              <w:szCs w:val="22"/>
            </w:rPr>
            <w:t xml:space="preserve">exceeding the industry benchmark of approximately 45 to 55 days, indicating Tesco continues to leverage strong bargaining power with suppliers to optimise working capital. </w:t>
          </w:r>
          <w:r w:rsidR="00564951" w:rsidRPr="00347E38">
            <w:rPr>
              <w:rFonts w:asciiTheme="minorHAnsi" w:hAnsiTheme="minorHAnsi" w:cstheme="minorHAnsi"/>
              <w:sz w:val="22"/>
              <w:szCs w:val="22"/>
            </w:rPr>
            <w:t xml:space="preserve">Overall, Tesco’s efficiency performance shows operational consistency and robust working-capital management, supporting a strong competitive position. </w:t>
          </w:r>
          <w:r w:rsidR="000354A8" w:rsidRPr="00347E38">
            <w:rPr>
              <w:rFonts w:asciiTheme="minorHAnsi" w:hAnsiTheme="minorHAnsi" w:cstheme="minorHAnsi"/>
              <w:sz w:val="22"/>
              <w:szCs w:val="22"/>
            </w:rPr>
            <w:t xml:space="preserve">Tesco’s </w:t>
          </w:r>
          <w:r w:rsidR="00F60F92" w:rsidRPr="00347E38">
            <w:rPr>
              <w:rFonts w:asciiTheme="minorHAnsi" w:hAnsiTheme="minorHAnsi" w:cstheme="minorHAnsi"/>
              <w:sz w:val="22"/>
              <w:szCs w:val="22"/>
            </w:rPr>
            <w:t>leverage increases modestly</w:t>
          </w:r>
          <w:r w:rsidR="002C7E03" w:rsidRPr="00347E38">
            <w:rPr>
              <w:rFonts w:asciiTheme="minorHAnsi" w:hAnsiTheme="minorHAnsi" w:cstheme="minorHAnsi"/>
              <w:sz w:val="22"/>
              <w:szCs w:val="22"/>
            </w:rPr>
            <w:t xml:space="preserve"> over the period</w:t>
          </w:r>
          <w:r w:rsidR="00F60F92" w:rsidRPr="00347E38">
            <w:rPr>
              <w:rFonts w:asciiTheme="minorHAnsi" w:hAnsiTheme="minorHAnsi" w:cstheme="minorHAnsi"/>
              <w:sz w:val="22"/>
              <w:szCs w:val="22"/>
            </w:rPr>
            <w:t xml:space="preserve">. The debt-to-equity ratio rises from 1.14 to 1.29, </w:t>
          </w:r>
          <w:r w:rsidR="002C7E03" w:rsidRPr="00347E38">
            <w:rPr>
              <w:rFonts w:asciiTheme="minorHAnsi" w:hAnsiTheme="minorHAnsi" w:cstheme="minorHAnsi"/>
              <w:sz w:val="22"/>
              <w:szCs w:val="22"/>
            </w:rPr>
            <w:t>exceeding the retail sector benchmark of approximately 0.6 to 0.8</w:t>
          </w:r>
          <w:r w:rsidR="009F7EA6" w:rsidRPr="00347E38">
            <w:rPr>
              <w:rFonts w:asciiTheme="minorHAnsi" w:hAnsiTheme="minorHAnsi" w:cstheme="minorHAnsi"/>
              <w:sz w:val="22"/>
              <w:szCs w:val="22"/>
            </w:rPr>
            <w:t xml:space="preserve"> and indicating greater reliance on debt financing</w:t>
          </w:r>
          <w:r w:rsidR="00F60F92" w:rsidRPr="00347E38">
            <w:rPr>
              <w:rFonts w:asciiTheme="minorHAnsi" w:hAnsiTheme="minorHAnsi" w:cstheme="minorHAnsi"/>
              <w:sz w:val="22"/>
              <w:szCs w:val="22"/>
            </w:rPr>
            <w:t>.</w:t>
          </w:r>
          <w:r w:rsidR="000354A8" w:rsidRPr="00347E38">
            <w:rPr>
              <w:rFonts w:asciiTheme="minorHAnsi" w:hAnsiTheme="minorHAnsi" w:cstheme="minorHAnsi"/>
              <w:sz w:val="22"/>
              <w:szCs w:val="22"/>
            </w:rPr>
            <w:t xml:space="preserve"> </w:t>
          </w:r>
          <w:r w:rsidR="00023957" w:rsidRPr="00347E38">
            <w:rPr>
              <w:rFonts w:asciiTheme="minorHAnsi" w:hAnsiTheme="minorHAnsi" w:cstheme="minorHAnsi"/>
              <w:sz w:val="22"/>
              <w:szCs w:val="22"/>
            </w:rPr>
            <w:t>The debt ratio</w:t>
          </w:r>
          <w:r w:rsidR="000758F5" w:rsidRPr="00347E38">
            <w:rPr>
              <w:rFonts w:asciiTheme="minorHAnsi" w:hAnsiTheme="minorHAnsi" w:cstheme="minorHAnsi"/>
              <w:sz w:val="22"/>
              <w:szCs w:val="22"/>
            </w:rPr>
            <w:t xml:space="preserve"> also increases slightly from</w:t>
          </w:r>
          <w:r w:rsidR="00023957" w:rsidRPr="00347E38">
            <w:rPr>
              <w:rFonts w:asciiTheme="minorHAnsi" w:hAnsiTheme="minorHAnsi" w:cstheme="minorHAnsi"/>
              <w:sz w:val="22"/>
              <w:szCs w:val="22"/>
            </w:rPr>
            <w:t xml:space="preserve"> 0.31 to 0</w:t>
          </w:r>
          <w:r w:rsidR="0061234A" w:rsidRPr="00347E38">
            <w:rPr>
              <w:rFonts w:asciiTheme="minorHAnsi" w:hAnsiTheme="minorHAnsi" w:cstheme="minorHAnsi"/>
              <w:sz w:val="22"/>
              <w:szCs w:val="22"/>
            </w:rPr>
            <w:t>.</w:t>
          </w:r>
          <w:r w:rsidR="00023957" w:rsidRPr="00347E38">
            <w:rPr>
              <w:rFonts w:asciiTheme="minorHAnsi" w:hAnsiTheme="minorHAnsi" w:cstheme="minorHAnsi"/>
              <w:sz w:val="22"/>
              <w:szCs w:val="22"/>
            </w:rPr>
            <w:t xml:space="preserve">32, </w:t>
          </w:r>
          <w:r w:rsidR="001521EA" w:rsidRPr="00347E38">
            <w:rPr>
              <w:rFonts w:asciiTheme="minorHAnsi" w:hAnsiTheme="minorHAnsi" w:cstheme="minorHAnsi"/>
              <w:sz w:val="22"/>
              <w:szCs w:val="22"/>
            </w:rPr>
            <w:t>reflecting higher leverage within capital structure.</w:t>
          </w:r>
          <w:r w:rsidR="000758F5" w:rsidRPr="00347E38">
            <w:rPr>
              <w:rFonts w:asciiTheme="minorHAnsi" w:hAnsiTheme="minorHAnsi" w:cstheme="minorHAnsi"/>
              <w:sz w:val="22"/>
              <w:szCs w:val="22"/>
            </w:rPr>
            <w:t xml:space="preserve"> </w:t>
          </w:r>
          <w:r w:rsidR="00AD58E4" w:rsidRPr="00347E38">
            <w:rPr>
              <w:rFonts w:asciiTheme="minorHAnsi" w:hAnsiTheme="minorHAnsi" w:cstheme="minorHAnsi"/>
              <w:sz w:val="22"/>
              <w:szCs w:val="22"/>
            </w:rPr>
            <w:t xml:space="preserve">Meanwhile, interest cover declines from 4.03 to 3.42, </w:t>
          </w:r>
          <w:r w:rsidR="00256319" w:rsidRPr="00347E38">
            <w:rPr>
              <w:rFonts w:asciiTheme="minorHAnsi" w:hAnsiTheme="minorHAnsi" w:cstheme="minorHAnsi"/>
              <w:sz w:val="22"/>
              <w:szCs w:val="22"/>
            </w:rPr>
            <w:t xml:space="preserve">falling below the commonly accepted benchmark of 5 to 6 times, </w:t>
          </w:r>
          <w:r w:rsidR="001521EA" w:rsidRPr="00347E38">
            <w:rPr>
              <w:rFonts w:asciiTheme="minorHAnsi" w:hAnsiTheme="minorHAnsi" w:cstheme="minorHAnsi"/>
              <w:sz w:val="22"/>
              <w:szCs w:val="22"/>
            </w:rPr>
            <w:t>signalling</w:t>
          </w:r>
          <w:r w:rsidR="00AD58E4" w:rsidRPr="00347E38">
            <w:rPr>
              <w:rFonts w:asciiTheme="minorHAnsi" w:hAnsiTheme="minorHAnsi" w:cstheme="minorHAnsi"/>
              <w:sz w:val="22"/>
              <w:szCs w:val="22"/>
            </w:rPr>
            <w:t xml:space="preserve"> </w:t>
          </w:r>
          <w:r w:rsidR="00807F2A" w:rsidRPr="00347E38">
            <w:rPr>
              <w:rFonts w:asciiTheme="minorHAnsi" w:hAnsiTheme="minorHAnsi" w:cstheme="minorHAnsi"/>
              <w:sz w:val="22"/>
              <w:szCs w:val="22"/>
            </w:rPr>
            <w:t>Tesco</w:t>
          </w:r>
          <w:r w:rsidR="00AD58E4" w:rsidRPr="00347E38">
            <w:rPr>
              <w:rFonts w:asciiTheme="minorHAnsi" w:hAnsiTheme="minorHAnsi" w:cstheme="minorHAnsi"/>
              <w:sz w:val="22"/>
              <w:szCs w:val="22"/>
            </w:rPr>
            <w:t xml:space="preserve"> has less headroom to service </w:t>
          </w:r>
          <w:r w:rsidR="0012402E" w:rsidRPr="00347E38">
            <w:rPr>
              <w:rFonts w:asciiTheme="minorHAnsi" w:hAnsiTheme="minorHAnsi" w:cstheme="minorHAnsi"/>
              <w:sz w:val="22"/>
              <w:szCs w:val="22"/>
            </w:rPr>
            <w:t>interest obligations amid rising borrowing costs</w:t>
          </w:r>
          <w:r w:rsidR="00807F2A" w:rsidRPr="00347E38">
            <w:rPr>
              <w:rFonts w:asciiTheme="minorHAnsi" w:hAnsiTheme="minorHAnsi" w:cstheme="minorHAnsi"/>
              <w:sz w:val="22"/>
              <w:szCs w:val="22"/>
            </w:rPr>
            <w:t xml:space="preserve">. </w:t>
          </w:r>
          <w:r w:rsidR="005B3DB7" w:rsidRPr="00347E38">
            <w:rPr>
              <w:rFonts w:asciiTheme="minorHAnsi" w:hAnsiTheme="minorHAnsi" w:cstheme="minorHAnsi"/>
              <w:sz w:val="22"/>
              <w:szCs w:val="22"/>
            </w:rPr>
            <w:t>Although gearing remains manageable, th</w:t>
          </w:r>
          <w:r w:rsidR="0012402E" w:rsidRPr="00347E38">
            <w:rPr>
              <w:rFonts w:asciiTheme="minorHAnsi" w:hAnsiTheme="minorHAnsi" w:cstheme="minorHAnsi"/>
              <w:sz w:val="22"/>
              <w:szCs w:val="22"/>
            </w:rPr>
            <w:t>is</w:t>
          </w:r>
          <w:r w:rsidR="005B3DB7" w:rsidRPr="00347E38">
            <w:rPr>
              <w:rFonts w:asciiTheme="minorHAnsi" w:hAnsiTheme="minorHAnsi" w:cstheme="minorHAnsi"/>
              <w:sz w:val="22"/>
              <w:szCs w:val="22"/>
            </w:rPr>
            <w:t xml:space="preserve"> trend </w:t>
          </w:r>
          <w:r w:rsidR="0012402E" w:rsidRPr="00347E38">
            <w:rPr>
              <w:rFonts w:asciiTheme="minorHAnsi" w:hAnsiTheme="minorHAnsi" w:cstheme="minorHAnsi"/>
              <w:sz w:val="22"/>
              <w:szCs w:val="22"/>
            </w:rPr>
            <w:t>suggests</w:t>
          </w:r>
          <w:r w:rsidR="005B3DB7" w:rsidRPr="00347E38">
            <w:rPr>
              <w:rFonts w:asciiTheme="minorHAnsi" w:hAnsiTheme="minorHAnsi" w:cstheme="minorHAnsi"/>
              <w:sz w:val="22"/>
              <w:szCs w:val="22"/>
            </w:rPr>
            <w:t xml:space="preserve"> rising financial risk</w:t>
          </w:r>
          <w:r w:rsidR="00A1327D" w:rsidRPr="00347E38">
            <w:rPr>
              <w:rFonts w:asciiTheme="minorHAnsi" w:hAnsiTheme="minorHAnsi" w:cstheme="minorHAnsi"/>
              <w:sz w:val="22"/>
              <w:szCs w:val="22"/>
            </w:rPr>
            <w:t xml:space="preserve"> and a reduced</w:t>
          </w:r>
          <w:r w:rsidR="005B1342" w:rsidRPr="00347E38">
            <w:rPr>
              <w:rFonts w:asciiTheme="minorHAnsi" w:hAnsiTheme="minorHAnsi" w:cstheme="minorHAnsi"/>
              <w:sz w:val="22"/>
              <w:szCs w:val="22"/>
            </w:rPr>
            <w:t xml:space="preserve"> capacity to absorb</w:t>
          </w:r>
          <w:r w:rsidR="005B3DB7" w:rsidRPr="00347E38">
            <w:rPr>
              <w:rFonts w:asciiTheme="minorHAnsi" w:hAnsiTheme="minorHAnsi" w:cstheme="minorHAnsi"/>
              <w:sz w:val="22"/>
              <w:szCs w:val="22"/>
            </w:rPr>
            <w:t xml:space="preserve"> external shocks such as interest rate increases or economic downturns</w:t>
          </w:r>
          <w:r w:rsidR="007C0EB2" w:rsidRPr="00347E38">
            <w:rPr>
              <w:rFonts w:asciiTheme="minorHAnsi" w:hAnsiTheme="minorHAnsi" w:cstheme="minorHAnsi"/>
              <w:sz w:val="22"/>
              <w:szCs w:val="22"/>
            </w:rPr>
            <w:t xml:space="preserve">, </w:t>
          </w:r>
          <w:r w:rsidR="008D698C" w:rsidRPr="00347E38">
            <w:rPr>
              <w:rFonts w:asciiTheme="minorHAnsi" w:hAnsiTheme="minorHAnsi" w:cstheme="minorHAnsi"/>
              <w:sz w:val="22"/>
              <w:szCs w:val="22"/>
            </w:rPr>
            <w:t>(Deloitte, 2023)</w:t>
          </w:r>
          <w:r w:rsidR="005B3DB7" w:rsidRPr="00347E38">
            <w:rPr>
              <w:rFonts w:asciiTheme="minorHAnsi" w:hAnsiTheme="minorHAnsi" w:cstheme="minorHAnsi"/>
              <w:sz w:val="22"/>
              <w:szCs w:val="22"/>
            </w:rPr>
            <w:t>. Investor performance</w:t>
          </w:r>
          <w:r w:rsidR="005559D7" w:rsidRPr="00347E38">
            <w:rPr>
              <w:rFonts w:asciiTheme="minorHAnsi" w:hAnsiTheme="minorHAnsi" w:cstheme="minorHAnsi"/>
              <w:sz w:val="22"/>
              <w:szCs w:val="22"/>
            </w:rPr>
            <w:t xml:space="preserve"> indicators present </w:t>
          </w:r>
          <w:r w:rsidR="005B3DB7" w:rsidRPr="00347E38">
            <w:rPr>
              <w:rFonts w:asciiTheme="minorHAnsi" w:hAnsiTheme="minorHAnsi" w:cstheme="minorHAnsi"/>
              <w:sz w:val="22"/>
              <w:szCs w:val="22"/>
            </w:rPr>
            <w:t>mixed results.</w:t>
          </w:r>
          <w:r w:rsidR="00013E36" w:rsidRPr="00347E38">
            <w:rPr>
              <w:rFonts w:asciiTheme="minorHAnsi" w:hAnsiTheme="minorHAnsi" w:cstheme="minorHAnsi"/>
              <w:sz w:val="22"/>
              <w:szCs w:val="22"/>
            </w:rPr>
            <w:t xml:space="preserve"> </w:t>
          </w:r>
          <w:r w:rsidR="005B3DB7" w:rsidRPr="00347E38">
            <w:rPr>
              <w:rFonts w:asciiTheme="minorHAnsi" w:hAnsiTheme="minorHAnsi" w:cstheme="minorHAnsi"/>
              <w:sz w:val="22"/>
              <w:szCs w:val="22"/>
            </w:rPr>
            <w:t xml:space="preserve">Earnings per share rise </w:t>
          </w:r>
          <w:r w:rsidR="005559D7" w:rsidRPr="00347E38">
            <w:rPr>
              <w:rFonts w:asciiTheme="minorHAnsi" w:hAnsiTheme="minorHAnsi" w:cstheme="minorHAnsi"/>
              <w:sz w:val="22"/>
              <w:szCs w:val="22"/>
            </w:rPr>
            <w:t>sharply from</w:t>
          </w:r>
          <w:r w:rsidR="005B3DB7" w:rsidRPr="00347E38">
            <w:rPr>
              <w:rFonts w:asciiTheme="minorHAnsi" w:hAnsiTheme="minorHAnsi" w:cstheme="minorHAnsi"/>
              <w:sz w:val="22"/>
              <w:szCs w:val="22"/>
            </w:rPr>
            <w:t xml:space="preserve"> 0.1035 to 1.2499, reflecting the</w:t>
          </w:r>
          <w:r w:rsidR="005559D7" w:rsidRPr="00347E38">
            <w:rPr>
              <w:rFonts w:asciiTheme="minorHAnsi" w:hAnsiTheme="minorHAnsi" w:cstheme="minorHAnsi"/>
              <w:sz w:val="22"/>
              <w:szCs w:val="22"/>
            </w:rPr>
            <w:t xml:space="preserve"> significant improvement in</w:t>
          </w:r>
          <w:r w:rsidR="005B3DB7" w:rsidRPr="00347E38">
            <w:rPr>
              <w:rFonts w:asciiTheme="minorHAnsi" w:hAnsiTheme="minorHAnsi" w:cstheme="minorHAnsi"/>
              <w:sz w:val="22"/>
              <w:szCs w:val="22"/>
            </w:rPr>
            <w:t xml:space="preserve"> net profit</w:t>
          </w:r>
          <w:r w:rsidR="005559D7" w:rsidRPr="00347E38">
            <w:rPr>
              <w:rFonts w:asciiTheme="minorHAnsi" w:hAnsiTheme="minorHAnsi" w:cstheme="minorHAnsi"/>
              <w:sz w:val="22"/>
              <w:szCs w:val="22"/>
            </w:rPr>
            <w:t>ability</w:t>
          </w:r>
          <w:r w:rsidR="005B3DB7" w:rsidRPr="00347E38">
            <w:rPr>
              <w:rFonts w:asciiTheme="minorHAnsi" w:hAnsiTheme="minorHAnsi" w:cstheme="minorHAnsi"/>
              <w:sz w:val="22"/>
              <w:szCs w:val="22"/>
            </w:rPr>
            <w:t>. However, this contrasts with</w:t>
          </w:r>
          <w:r w:rsidR="0087204D" w:rsidRPr="00347E38">
            <w:rPr>
              <w:rFonts w:asciiTheme="minorHAnsi" w:hAnsiTheme="minorHAnsi" w:cstheme="minorHAnsi"/>
              <w:sz w:val="22"/>
              <w:szCs w:val="22"/>
            </w:rPr>
            <w:t xml:space="preserve"> a </w:t>
          </w:r>
          <w:r w:rsidR="009E663E" w:rsidRPr="00347E38">
            <w:rPr>
              <w:rFonts w:asciiTheme="minorHAnsi" w:hAnsiTheme="minorHAnsi" w:cstheme="minorHAnsi"/>
              <w:sz w:val="22"/>
              <w:szCs w:val="22"/>
            </w:rPr>
            <w:t xml:space="preserve">substantial decline </w:t>
          </w:r>
          <w:r w:rsidR="0087204D" w:rsidRPr="00347E38">
            <w:rPr>
              <w:rFonts w:asciiTheme="minorHAnsi" w:hAnsiTheme="minorHAnsi" w:cstheme="minorHAnsi"/>
              <w:sz w:val="22"/>
              <w:szCs w:val="22"/>
            </w:rPr>
            <w:t>in share price</w:t>
          </w:r>
          <w:r w:rsidR="009E663E" w:rsidRPr="00347E38">
            <w:rPr>
              <w:rFonts w:asciiTheme="minorHAnsi" w:hAnsiTheme="minorHAnsi" w:cstheme="minorHAnsi"/>
              <w:sz w:val="22"/>
              <w:szCs w:val="22"/>
            </w:rPr>
            <w:t xml:space="preserve"> from</w:t>
          </w:r>
          <w:r w:rsidR="0087204D" w:rsidRPr="00347E38">
            <w:rPr>
              <w:rFonts w:asciiTheme="minorHAnsi" w:hAnsiTheme="minorHAnsi" w:cstheme="minorHAnsi"/>
              <w:sz w:val="22"/>
              <w:szCs w:val="22"/>
            </w:rPr>
            <w:t xml:space="preserve"> 463p to 195p, which depresses the </w:t>
          </w:r>
          <w:r w:rsidR="004641B3">
            <w:rPr>
              <w:rFonts w:asciiTheme="minorHAnsi" w:hAnsiTheme="minorHAnsi" w:cstheme="minorHAnsi"/>
              <w:sz w:val="22"/>
              <w:szCs w:val="22"/>
            </w:rPr>
            <w:t>price-to-earnings (</w:t>
          </w:r>
          <w:r w:rsidR="0087204D" w:rsidRPr="00347E38">
            <w:rPr>
              <w:rFonts w:asciiTheme="minorHAnsi" w:hAnsiTheme="minorHAnsi" w:cstheme="minorHAnsi"/>
              <w:sz w:val="22"/>
              <w:szCs w:val="22"/>
            </w:rPr>
            <w:t>P/E</w:t>
          </w:r>
          <w:r w:rsidR="004641B3">
            <w:rPr>
              <w:rFonts w:asciiTheme="minorHAnsi" w:hAnsiTheme="minorHAnsi" w:cstheme="minorHAnsi"/>
              <w:sz w:val="22"/>
              <w:szCs w:val="22"/>
            </w:rPr>
            <w:t>)</w:t>
          </w:r>
          <w:r w:rsidR="0087204D" w:rsidRPr="00347E38">
            <w:rPr>
              <w:rFonts w:asciiTheme="minorHAnsi" w:hAnsiTheme="minorHAnsi" w:cstheme="minorHAnsi"/>
              <w:sz w:val="22"/>
              <w:szCs w:val="22"/>
            </w:rPr>
            <w:t xml:space="preserve"> ratio</w:t>
          </w:r>
          <w:r w:rsidR="00A53EA4">
            <w:rPr>
              <w:rFonts w:asciiTheme="minorHAnsi" w:hAnsiTheme="minorHAnsi" w:cstheme="minorHAnsi"/>
              <w:sz w:val="22"/>
              <w:szCs w:val="22"/>
            </w:rPr>
            <w:t xml:space="preserve"> down from</w:t>
          </w:r>
          <w:r w:rsidR="0087204D" w:rsidRPr="00347E38">
            <w:rPr>
              <w:rFonts w:asciiTheme="minorHAnsi" w:hAnsiTheme="minorHAnsi" w:cstheme="minorHAnsi"/>
              <w:sz w:val="22"/>
              <w:szCs w:val="22"/>
            </w:rPr>
            <w:t xml:space="preserve"> 44</w:t>
          </w:r>
          <w:r w:rsidR="008A4C4C">
            <w:rPr>
              <w:rFonts w:asciiTheme="minorHAnsi" w:hAnsiTheme="minorHAnsi" w:cstheme="minorHAnsi"/>
              <w:sz w:val="22"/>
              <w:szCs w:val="22"/>
            </w:rPr>
            <w:t>.</w:t>
          </w:r>
          <w:r w:rsidR="0087204D" w:rsidRPr="00347E38">
            <w:rPr>
              <w:rFonts w:asciiTheme="minorHAnsi" w:hAnsiTheme="minorHAnsi" w:cstheme="minorHAnsi"/>
              <w:sz w:val="22"/>
              <w:szCs w:val="22"/>
            </w:rPr>
            <w:t>7 to 7</w:t>
          </w:r>
          <w:r w:rsidR="008A4C4C">
            <w:rPr>
              <w:rFonts w:asciiTheme="minorHAnsi" w:hAnsiTheme="minorHAnsi" w:cstheme="minorHAnsi"/>
              <w:sz w:val="22"/>
              <w:szCs w:val="22"/>
            </w:rPr>
            <w:t>.</w:t>
          </w:r>
          <w:r w:rsidR="0087204D" w:rsidRPr="00347E38">
            <w:rPr>
              <w:rFonts w:asciiTheme="minorHAnsi" w:hAnsiTheme="minorHAnsi" w:cstheme="minorHAnsi"/>
              <w:sz w:val="22"/>
              <w:szCs w:val="22"/>
            </w:rPr>
            <w:t>80</w:t>
          </w:r>
          <w:r w:rsidR="00996225" w:rsidRPr="00347E38">
            <w:rPr>
              <w:rFonts w:asciiTheme="minorHAnsi" w:hAnsiTheme="minorHAnsi" w:cstheme="minorHAnsi"/>
              <w:sz w:val="22"/>
              <w:szCs w:val="22"/>
            </w:rPr>
            <w:t>, and places it well below Tesco’s historical average and the sector benchmark of approximately 18 to 20 times</w:t>
          </w:r>
          <w:r w:rsidR="0087204D" w:rsidRPr="00347E38">
            <w:rPr>
              <w:rFonts w:asciiTheme="minorHAnsi" w:hAnsiTheme="minorHAnsi" w:cstheme="minorHAnsi"/>
              <w:sz w:val="22"/>
              <w:szCs w:val="22"/>
            </w:rPr>
            <w:t>. This</w:t>
          </w:r>
          <w:r w:rsidR="00996225" w:rsidRPr="00347E38">
            <w:rPr>
              <w:rFonts w:asciiTheme="minorHAnsi" w:hAnsiTheme="minorHAnsi" w:cstheme="minorHAnsi"/>
              <w:sz w:val="22"/>
              <w:szCs w:val="22"/>
            </w:rPr>
            <w:t xml:space="preserve"> divergence suggests</w:t>
          </w:r>
          <w:r w:rsidR="00011B1B" w:rsidRPr="00347E38">
            <w:rPr>
              <w:rFonts w:asciiTheme="minorHAnsi" w:hAnsiTheme="minorHAnsi" w:cstheme="minorHAnsi"/>
              <w:sz w:val="22"/>
              <w:szCs w:val="22"/>
            </w:rPr>
            <w:t xml:space="preserve"> cautious market sentiment despite</w:t>
          </w:r>
          <w:r w:rsidR="001B57AB" w:rsidRPr="00347E38">
            <w:rPr>
              <w:rFonts w:asciiTheme="minorHAnsi" w:hAnsiTheme="minorHAnsi" w:cstheme="minorHAnsi"/>
              <w:sz w:val="22"/>
              <w:szCs w:val="22"/>
            </w:rPr>
            <w:t xml:space="preserve"> stronger operational fundamentals</w:t>
          </w:r>
          <w:r w:rsidR="0087204D" w:rsidRPr="00347E38">
            <w:rPr>
              <w:rFonts w:asciiTheme="minorHAnsi" w:hAnsiTheme="minorHAnsi" w:cstheme="minorHAnsi"/>
              <w:sz w:val="22"/>
              <w:szCs w:val="22"/>
            </w:rPr>
            <w:t xml:space="preserve">. Dividend yield remains </w:t>
          </w:r>
          <w:r w:rsidR="001B57AB" w:rsidRPr="00347E38">
            <w:rPr>
              <w:rFonts w:asciiTheme="minorHAnsi" w:hAnsiTheme="minorHAnsi" w:cstheme="minorHAnsi"/>
              <w:sz w:val="22"/>
              <w:szCs w:val="22"/>
            </w:rPr>
            <w:t xml:space="preserve">broadly </w:t>
          </w:r>
          <w:r w:rsidR="0087204D" w:rsidRPr="00347E38">
            <w:rPr>
              <w:rFonts w:asciiTheme="minorHAnsi" w:hAnsiTheme="minorHAnsi" w:cstheme="minorHAnsi"/>
              <w:sz w:val="22"/>
              <w:szCs w:val="22"/>
            </w:rPr>
            <w:t>stable</w:t>
          </w:r>
          <w:r w:rsidR="001B57AB" w:rsidRPr="00347E38">
            <w:rPr>
              <w:rFonts w:asciiTheme="minorHAnsi" w:hAnsiTheme="minorHAnsi" w:cstheme="minorHAnsi"/>
              <w:sz w:val="22"/>
              <w:szCs w:val="22"/>
            </w:rPr>
            <w:t xml:space="preserve"> at </w:t>
          </w:r>
          <w:r w:rsidR="0087204D" w:rsidRPr="00347E38">
            <w:rPr>
              <w:rFonts w:asciiTheme="minorHAnsi" w:hAnsiTheme="minorHAnsi" w:cstheme="minorHAnsi"/>
              <w:sz w:val="22"/>
              <w:szCs w:val="22"/>
            </w:rPr>
            <w:t>2.35% to 2.21%</w:t>
          </w:r>
          <w:r w:rsidR="00524BA1" w:rsidRPr="00347E38">
            <w:rPr>
              <w:rFonts w:asciiTheme="minorHAnsi" w:hAnsiTheme="minorHAnsi" w:cstheme="minorHAnsi"/>
              <w:sz w:val="22"/>
              <w:szCs w:val="22"/>
            </w:rPr>
            <w:t xml:space="preserve">, </w:t>
          </w:r>
          <w:r w:rsidR="0076034C" w:rsidRPr="00347E38">
            <w:rPr>
              <w:rFonts w:asciiTheme="minorHAnsi" w:hAnsiTheme="minorHAnsi" w:cstheme="minorHAnsi"/>
              <w:sz w:val="22"/>
              <w:szCs w:val="22"/>
            </w:rPr>
            <w:t>slightly</w:t>
          </w:r>
          <w:r w:rsidR="00F224EE" w:rsidRPr="00347E38">
            <w:rPr>
              <w:rFonts w:asciiTheme="minorHAnsi" w:hAnsiTheme="minorHAnsi" w:cstheme="minorHAnsi"/>
              <w:sz w:val="22"/>
              <w:szCs w:val="22"/>
            </w:rPr>
            <w:t xml:space="preserve"> below the FTSE 100 average of approximately </w:t>
          </w:r>
          <w:r w:rsidR="00E81838" w:rsidRPr="00347E38">
            <w:rPr>
              <w:rFonts w:asciiTheme="minorHAnsi" w:hAnsiTheme="minorHAnsi" w:cstheme="minorHAnsi"/>
              <w:sz w:val="22"/>
              <w:szCs w:val="22"/>
            </w:rPr>
            <w:t>3% to 4%, while</w:t>
          </w:r>
          <w:r w:rsidR="00524BA1" w:rsidRPr="00347E38">
            <w:rPr>
              <w:rFonts w:asciiTheme="minorHAnsi" w:hAnsiTheme="minorHAnsi" w:cstheme="minorHAnsi"/>
              <w:sz w:val="22"/>
              <w:szCs w:val="22"/>
            </w:rPr>
            <w:t xml:space="preserve"> dividend cover strengthens from 0.95 to 2.06,</w:t>
          </w:r>
          <w:r w:rsidR="00FF52CD" w:rsidRPr="00347E38">
            <w:rPr>
              <w:rFonts w:asciiTheme="minorHAnsi" w:hAnsiTheme="minorHAnsi" w:cstheme="minorHAnsi"/>
              <w:sz w:val="22"/>
              <w:szCs w:val="22"/>
            </w:rPr>
            <w:t xml:space="preserve"> exceeding the benchmark </w:t>
          </w:r>
          <w:r w:rsidR="00164F4A" w:rsidRPr="00347E38">
            <w:rPr>
              <w:rFonts w:asciiTheme="minorHAnsi" w:hAnsiTheme="minorHAnsi" w:cstheme="minorHAnsi"/>
              <w:sz w:val="22"/>
              <w:szCs w:val="22"/>
            </w:rPr>
            <w:t>level of 1.5 and</w:t>
          </w:r>
          <w:r w:rsidR="00524BA1" w:rsidRPr="00347E38">
            <w:rPr>
              <w:rFonts w:asciiTheme="minorHAnsi" w:hAnsiTheme="minorHAnsi" w:cstheme="minorHAnsi"/>
              <w:sz w:val="22"/>
              <w:szCs w:val="22"/>
            </w:rPr>
            <w:t xml:space="preserve"> indicating </w:t>
          </w:r>
          <w:r w:rsidR="004E076B" w:rsidRPr="00347E38">
            <w:rPr>
              <w:rFonts w:asciiTheme="minorHAnsi" w:hAnsiTheme="minorHAnsi" w:cstheme="minorHAnsi"/>
              <w:sz w:val="22"/>
              <w:szCs w:val="22"/>
            </w:rPr>
            <w:t>that dividends are now well supported by earnings</w:t>
          </w:r>
          <w:r w:rsidR="0048075B" w:rsidRPr="00347E38">
            <w:rPr>
              <w:rFonts w:asciiTheme="minorHAnsi" w:hAnsiTheme="minorHAnsi" w:cstheme="minorHAnsi"/>
              <w:sz w:val="22"/>
              <w:szCs w:val="22"/>
            </w:rPr>
            <w:t>, (FTSE Russell, 2024)</w:t>
          </w:r>
          <w:r w:rsidR="00592E87" w:rsidRPr="00347E38">
            <w:rPr>
              <w:rFonts w:asciiTheme="minorHAnsi" w:hAnsiTheme="minorHAnsi" w:cstheme="minorHAnsi"/>
              <w:sz w:val="22"/>
              <w:szCs w:val="22"/>
            </w:rPr>
            <w:t>.</w:t>
          </w:r>
          <w:r w:rsidR="002D3CE0" w:rsidRPr="00347E38">
            <w:rPr>
              <w:rFonts w:asciiTheme="minorHAnsi" w:hAnsiTheme="minorHAnsi" w:cstheme="minorHAnsi"/>
              <w:sz w:val="22"/>
              <w:szCs w:val="22"/>
            </w:rPr>
            <w:t xml:space="preserve"> </w:t>
          </w:r>
          <w:r w:rsidR="003447FB" w:rsidRPr="00347E38">
            <w:rPr>
              <w:rFonts w:asciiTheme="minorHAnsi" w:hAnsiTheme="minorHAnsi" w:cstheme="minorHAnsi"/>
              <w:sz w:val="22"/>
              <w:szCs w:val="22"/>
            </w:rPr>
            <w:t>Tesco’s financial ratios f</w:t>
          </w:r>
          <w:r w:rsidR="00F506B3" w:rsidRPr="00347E38">
            <w:rPr>
              <w:rFonts w:asciiTheme="minorHAnsi" w:hAnsiTheme="minorHAnsi" w:cstheme="minorHAnsi"/>
              <w:sz w:val="22"/>
              <w:szCs w:val="22"/>
            </w:rPr>
            <w:t>or</w:t>
          </w:r>
          <w:r w:rsidR="003447FB" w:rsidRPr="00347E38">
            <w:rPr>
              <w:rFonts w:asciiTheme="minorHAnsi" w:hAnsiTheme="minorHAnsi" w:cstheme="minorHAnsi"/>
              <w:sz w:val="22"/>
              <w:szCs w:val="22"/>
            </w:rPr>
            <w:t xml:space="preserve"> 2023</w:t>
          </w:r>
          <w:r w:rsidR="00F506B3" w:rsidRPr="00347E38">
            <w:rPr>
              <w:rFonts w:asciiTheme="minorHAnsi" w:hAnsiTheme="minorHAnsi" w:cstheme="minorHAnsi"/>
              <w:sz w:val="22"/>
              <w:szCs w:val="22"/>
            </w:rPr>
            <w:t xml:space="preserve"> to </w:t>
          </w:r>
          <w:r w:rsidR="003447FB" w:rsidRPr="00347E38">
            <w:rPr>
              <w:rFonts w:asciiTheme="minorHAnsi" w:hAnsiTheme="minorHAnsi" w:cstheme="minorHAnsi"/>
              <w:sz w:val="22"/>
              <w:szCs w:val="22"/>
            </w:rPr>
            <w:t>2024 indicate a strengthening operational and financial position</w:t>
          </w:r>
          <w:r w:rsidR="00F506B3" w:rsidRPr="00347E38">
            <w:rPr>
              <w:rFonts w:asciiTheme="minorHAnsi" w:hAnsiTheme="minorHAnsi" w:cstheme="minorHAnsi"/>
              <w:sz w:val="22"/>
              <w:szCs w:val="22"/>
            </w:rPr>
            <w:t>, with improved p</w:t>
          </w:r>
          <w:r w:rsidR="003447FB" w:rsidRPr="00347E38">
            <w:rPr>
              <w:rFonts w:asciiTheme="minorHAnsi" w:hAnsiTheme="minorHAnsi" w:cstheme="minorHAnsi"/>
              <w:sz w:val="22"/>
              <w:szCs w:val="22"/>
            </w:rPr>
            <w:t>rofitability, liquidity and efficiency, suggesting effective cost management, improved cash flow, and robust commercial</w:t>
          </w:r>
          <w:r w:rsidR="00467594" w:rsidRPr="00347E38">
            <w:rPr>
              <w:rFonts w:asciiTheme="minorHAnsi" w:hAnsiTheme="minorHAnsi" w:cstheme="minorHAnsi"/>
              <w:sz w:val="22"/>
              <w:szCs w:val="22"/>
            </w:rPr>
            <w:t xml:space="preserve"> performance. </w:t>
          </w:r>
          <w:r w:rsidR="001651B1">
            <w:rPr>
              <w:rFonts w:asciiTheme="minorHAnsi" w:hAnsiTheme="minorHAnsi" w:cstheme="minorHAnsi"/>
              <w:sz w:val="22"/>
              <w:szCs w:val="22"/>
            </w:rPr>
            <w:t>Although</w:t>
          </w:r>
          <w:r w:rsidR="00467594" w:rsidRPr="00347E38">
            <w:rPr>
              <w:rFonts w:asciiTheme="minorHAnsi" w:hAnsiTheme="minorHAnsi" w:cstheme="minorHAnsi"/>
              <w:sz w:val="22"/>
              <w:szCs w:val="22"/>
            </w:rPr>
            <w:t>, rising leverage and declinin</w:t>
          </w:r>
          <w:r w:rsidR="004F297C" w:rsidRPr="00347E38">
            <w:rPr>
              <w:rFonts w:asciiTheme="minorHAnsi" w:hAnsiTheme="minorHAnsi" w:cstheme="minorHAnsi"/>
              <w:sz w:val="22"/>
              <w:szCs w:val="22"/>
            </w:rPr>
            <w:t xml:space="preserve">g interest cover </w:t>
          </w:r>
          <w:r w:rsidR="00C46B5A" w:rsidRPr="00347E38">
            <w:rPr>
              <w:rFonts w:asciiTheme="minorHAnsi" w:hAnsiTheme="minorHAnsi" w:cstheme="minorHAnsi"/>
              <w:sz w:val="22"/>
              <w:szCs w:val="22"/>
            </w:rPr>
            <w:t>highlight</w:t>
          </w:r>
          <w:r w:rsidR="004F297C" w:rsidRPr="00347E38">
            <w:rPr>
              <w:rFonts w:asciiTheme="minorHAnsi" w:hAnsiTheme="minorHAnsi" w:cstheme="minorHAnsi"/>
              <w:sz w:val="22"/>
              <w:szCs w:val="22"/>
            </w:rPr>
            <w:t xml:space="preserve"> increasing financial risk, while </w:t>
          </w:r>
          <w:r w:rsidR="00C46B5A" w:rsidRPr="00347E38">
            <w:rPr>
              <w:rFonts w:asciiTheme="minorHAnsi" w:hAnsiTheme="minorHAnsi" w:cstheme="minorHAnsi"/>
              <w:sz w:val="22"/>
              <w:szCs w:val="22"/>
            </w:rPr>
            <w:t>weaker</w:t>
          </w:r>
          <w:r w:rsidR="004F297C" w:rsidRPr="00347E38">
            <w:rPr>
              <w:rFonts w:asciiTheme="minorHAnsi" w:hAnsiTheme="minorHAnsi" w:cstheme="minorHAnsi"/>
              <w:sz w:val="22"/>
              <w:szCs w:val="22"/>
            </w:rPr>
            <w:t xml:space="preserve"> share prices </w:t>
          </w:r>
          <w:r w:rsidR="00F3773F" w:rsidRPr="00347E38">
            <w:rPr>
              <w:rFonts w:asciiTheme="minorHAnsi" w:hAnsiTheme="minorHAnsi" w:cstheme="minorHAnsi"/>
              <w:sz w:val="22"/>
              <w:szCs w:val="22"/>
            </w:rPr>
            <w:t xml:space="preserve">performances </w:t>
          </w:r>
          <w:r w:rsidR="001B0331" w:rsidRPr="00347E38">
            <w:rPr>
              <w:rFonts w:asciiTheme="minorHAnsi" w:hAnsiTheme="minorHAnsi" w:cstheme="minorHAnsi"/>
              <w:sz w:val="22"/>
              <w:szCs w:val="22"/>
            </w:rPr>
            <w:t>reflect</w:t>
          </w:r>
          <w:r w:rsidR="00F3773F" w:rsidRPr="00347E38">
            <w:rPr>
              <w:rFonts w:asciiTheme="minorHAnsi" w:hAnsiTheme="minorHAnsi" w:cstheme="minorHAnsi"/>
              <w:sz w:val="22"/>
              <w:szCs w:val="22"/>
            </w:rPr>
            <w:t xml:space="preserve"> ongoing investor caution despite improved fundamentals. </w:t>
          </w:r>
        </w:p>
        <w:p w14:paraId="10DDB9BC" w14:textId="205047B1" w:rsidR="0043176D" w:rsidRPr="00347E38" w:rsidRDefault="00DC222B" w:rsidP="00680EB8">
          <w:pPr>
            <w:rPr>
              <w:rFonts w:asciiTheme="minorHAnsi" w:hAnsiTheme="minorHAnsi" w:cstheme="minorHAnsi"/>
              <w:sz w:val="22"/>
              <w:szCs w:val="22"/>
            </w:rPr>
          </w:pPr>
          <w:r>
            <w:rPr>
              <w:rFonts w:asciiTheme="minorHAnsi" w:hAnsiTheme="minorHAnsi" w:cstheme="minorHAnsi"/>
              <w:sz w:val="22"/>
              <w:szCs w:val="22"/>
            </w:rPr>
            <w:t xml:space="preserve">Focusing on </w:t>
          </w:r>
          <w:r w:rsidR="00501930" w:rsidRPr="00347E38">
            <w:rPr>
              <w:rFonts w:asciiTheme="minorHAnsi" w:hAnsiTheme="minorHAnsi" w:cstheme="minorHAnsi"/>
              <w:sz w:val="22"/>
              <w:szCs w:val="22"/>
            </w:rPr>
            <w:t>Tesco’s</w:t>
          </w:r>
          <w:r w:rsidR="00E073F8" w:rsidRPr="00347E38">
            <w:rPr>
              <w:rFonts w:asciiTheme="minorHAnsi" w:hAnsiTheme="minorHAnsi" w:cstheme="minorHAnsi"/>
              <w:sz w:val="22"/>
              <w:szCs w:val="22"/>
            </w:rPr>
            <w:t xml:space="preserve"> 2024 financial performance</w:t>
          </w:r>
          <w:r>
            <w:rPr>
              <w:rFonts w:asciiTheme="minorHAnsi" w:hAnsiTheme="minorHAnsi" w:cstheme="minorHAnsi"/>
              <w:sz w:val="22"/>
              <w:szCs w:val="22"/>
            </w:rPr>
            <w:t xml:space="preserve">, </w:t>
          </w:r>
          <w:r w:rsidR="00697D19">
            <w:rPr>
              <w:rFonts w:asciiTheme="minorHAnsi" w:hAnsiTheme="minorHAnsi" w:cstheme="minorHAnsi"/>
              <w:sz w:val="22"/>
              <w:szCs w:val="22"/>
            </w:rPr>
            <w:t>p</w:t>
          </w:r>
          <w:r w:rsidR="00501930" w:rsidRPr="00347E38">
            <w:rPr>
              <w:rFonts w:asciiTheme="minorHAnsi" w:hAnsiTheme="minorHAnsi" w:cstheme="minorHAnsi"/>
              <w:sz w:val="22"/>
              <w:szCs w:val="22"/>
            </w:rPr>
            <w:t>rofit margins improved notably, with operating and net profit margins rising, suggesting stronger cost control</w:t>
          </w:r>
          <w:r w:rsidR="00A02D26" w:rsidRPr="00347E38">
            <w:rPr>
              <w:rFonts w:asciiTheme="minorHAnsi" w:hAnsiTheme="minorHAnsi" w:cstheme="minorHAnsi"/>
              <w:sz w:val="22"/>
              <w:szCs w:val="22"/>
            </w:rPr>
            <w:t xml:space="preserve">, </w:t>
          </w:r>
          <w:r w:rsidR="00501930" w:rsidRPr="00347E38">
            <w:rPr>
              <w:rFonts w:asciiTheme="minorHAnsi" w:hAnsiTheme="minorHAnsi" w:cstheme="minorHAnsi"/>
              <w:sz w:val="22"/>
              <w:szCs w:val="22"/>
            </w:rPr>
            <w:t>improved operational efficiency</w:t>
          </w:r>
          <w:r w:rsidR="00A02D26" w:rsidRPr="00347E38">
            <w:rPr>
              <w:rFonts w:asciiTheme="minorHAnsi" w:hAnsiTheme="minorHAnsi" w:cstheme="minorHAnsi"/>
              <w:sz w:val="22"/>
              <w:szCs w:val="22"/>
            </w:rPr>
            <w:t xml:space="preserve">, and a reduction </w:t>
          </w:r>
          <w:r w:rsidR="002D20E9" w:rsidRPr="00347E38">
            <w:rPr>
              <w:rFonts w:asciiTheme="minorHAnsi" w:hAnsiTheme="minorHAnsi" w:cstheme="minorHAnsi"/>
              <w:sz w:val="22"/>
              <w:szCs w:val="22"/>
            </w:rPr>
            <w:t>in exceptional costs compared to the prior year</w:t>
          </w:r>
          <w:r w:rsidR="00EE28E8" w:rsidRPr="00347E38">
            <w:rPr>
              <w:rFonts w:asciiTheme="minorHAnsi" w:hAnsiTheme="minorHAnsi" w:cstheme="minorHAnsi"/>
              <w:sz w:val="22"/>
              <w:szCs w:val="22"/>
            </w:rPr>
            <w:t>.</w:t>
          </w:r>
          <w:r w:rsidR="002D20E9" w:rsidRPr="00347E38">
            <w:rPr>
              <w:rFonts w:asciiTheme="minorHAnsi" w:hAnsiTheme="minorHAnsi" w:cstheme="minorHAnsi"/>
              <w:sz w:val="22"/>
              <w:szCs w:val="22"/>
            </w:rPr>
            <w:t xml:space="preserve"> These </w:t>
          </w:r>
          <w:r w:rsidR="00BA6D84" w:rsidRPr="00347E38">
            <w:rPr>
              <w:rFonts w:asciiTheme="minorHAnsi" w:hAnsiTheme="minorHAnsi" w:cstheme="minorHAnsi"/>
              <w:sz w:val="22"/>
              <w:szCs w:val="22"/>
            </w:rPr>
            <w:t>improvements</w:t>
          </w:r>
          <w:r w:rsidR="002D20E9" w:rsidRPr="00347E38">
            <w:rPr>
              <w:rFonts w:asciiTheme="minorHAnsi" w:hAnsiTheme="minorHAnsi" w:cstheme="minorHAnsi"/>
              <w:sz w:val="22"/>
              <w:szCs w:val="22"/>
            </w:rPr>
            <w:t xml:space="preserve"> are </w:t>
          </w:r>
          <w:r w:rsidR="00BA6D84" w:rsidRPr="00347E38">
            <w:rPr>
              <w:rFonts w:asciiTheme="minorHAnsi" w:hAnsiTheme="minorHAnsi" w:cstheme="minorHAnsi"/>
              <w:sz w:val="22"/>
              <w:szCs w:val="22"/>
            </w:rPr>
            <w:t>likely driven by post-COVID recovery in consumer demand, tighter cost management across supply chain operations, and pricing adjustments implemented to offset inflationary pressures in the grocery sector.</w:t>
          </w:r>
          <w:r w:rsidR="00EE28E8" w:rsidRPr="00347E38">
            <w:rPr>
              <w:rFonts w:asciiTheme="minorHAnsi" w:hAnsiTheme="minorHAnsi" w:cstheme="minorHAnsi"/>
              <w:sz w:val="22"/>
              <w:szCs w:val="22"/>
            </w:rPr>
            <w:t xml:space="preserve"> Returns to shareholders also increased significantly</w:t>
          </w:r>
          <w:r w:rsidR="00A30C91" w:rsidRPr="00347E38">
            <w:rPr>
              <w:rFonts w:asciiTheme="minorHAnsi" w:hAnsiTheme="minorHAnsi" w:cstheme="minorHAnsi"/>
              <w:sz w:val="22"/>
              <w:szCs w:val="22"/>
            </w:rPr>
            <w:t>, as reflected in the sharp improvements in ROA and ROE</w:t>
          </w:r>
          <w:r w:rsidR="00336BF8" w:rsidRPr="00347E38">
            <w:rPr>
              <w:rFonts w:asciiTheme="minorHAnsi" w:hAnsiTheme="minorHAnsi" w:cstheme="minorHAnsi"/>
              <w:sz w:val="22"/>
              <w:szCs w:val="22"/>
            </w:rPr>
            <w:t>, indicating more effective</w:t>
          </w:r>
          <w:r w:rsidR="00BE0EFB" w:rsidRPr="00347E38">
            <w:rPr>
              <w:rFonts w:asciiTheme="minorHAnsi" w:hAnsiTheme="minorHAnsi" w:cstheme="minorHAnsi"/>
              <w:sz w:val="22"/>
              <w:szCs w:val="22"/>
            </w:rPr>
            <w:t xml:space="preserve"> utilisation of assets and stronger profit generation relative to shareholder equity.</w:t>
          </w:r>
          <w:r w:rsidR="0043176D" w:rsidRPr="00347E38">
            <w:rPr>
              <w:rFonts w:asciiTheme="minorHAnsi" w:hAnsiTheme="minorHAnsi" w:cstheme="minorHAnsi"/>
              <w:sz w:val="22"/>
              <w:szCs w:val="22"/>
            </w:rPr>
            <w:t xml:space="preserve"> However, the rise in ROE is also partly attributable to</w:t>
          </w:r>
          <w:r w:rsidR="0096038D" w:rsidRPr="00347E38">
            <w:rPr>
              <w:rFonts w:asciiTheme="minorHAnsi" w:hAnsiTheme="minorHAnsi" w:cstheme="minorHAnsi"/>
              <w:sz w:val="22"/>
              <w:szCs w:val="22"/>
            </w:rPr>
            <w:t xml:space="preserve"> a reduction in equity levels, which suggests that improved shareholder returns are accompanied by increased financial leverage rather than</w:t>
          </w:r>
          <w:r w:rsidR="00E2275B" w:rsidRPr="00347E38">
            <w:rPr>
              <w:rFonts w:asciiTheme="minorHAnsi" w:hAnsiTheme="minorHAnsi" w:cstheme="minorHAnsi"/>
              <w:sz w:val="22"/>
              <w:szCs w:val="22"/>
            </w:rPr>
            <w:t xml:space="preserve"> profitability alone.</w:t>
          </w:r>
        </w:p>
        <w:p w14:paraId="1939C7E3" w14:textId="1B261F49" w:rsidR="00AA4838" w:rsidRPr="00347E38" w:rsidRDefault="00A30C91" w:rsidP="00680EB8">
          <w:pPr>
            <w:rPr>
              <w:rFonts w:asciiTheme="minorHAnsi" w:hAnsiTheme="minorHAnsi" w:cstheme="minorHAnsi"/>
              <w:sz w:val="22"/>
              <w:szCs w:val="22"/>
            </w:rPr>
          </w:pPr>
          <w:r w:rsidRPr="00347E38">
            <w:rPr>
              <w:rFonts w:asciiTheme="minorHAnsi" w:hAnsiTheme="minorHAnsi" w:cstheme="minorHAnsi"/>
              <w:sz w:val="22"/>
              <w:szCs w:val="22"/>
            </w:rPr>
            <w:lastRenderedPageBreak/>
            <w:t xml:space="preserve">Liquidity ratios, including the current and quick ratio, </w:t>
          </w:r>
          <w:r w:rsidR="00402F1E">
            <w:rPr>
              <w:rFonts w:asciiTheme="minorHAnsi" w:hAnsiTheme="minorHAnsi" w:cstheme="minorHAnsi"/>
              <w:sz w:val="22"/>
              <w:szCs w:val="22"/>
            </w:rPr>
            <w:t>indicate</w:t>
          </w:r>
          <w:r w:rsidRPr="00347E38">
            <w:rPr>
              <w:rFonts w:asciiTheme="minorHAnsi" w:hAnsiTheme="minorHAnsi" w:cstheme="minorHAnsi"/>
              <w:sz w:val="22"/>
              <w:szCs w:val="22"/>
            </w:rPr>
            <w:t xml:space="preserve"> that Tesco is better positioned </w:t>
          </w:r>
          <w:r w:rsidR="00402F1E">
            <w:rPr>
              <w:rFonts w:asciiTheme="minorHAnsi" w:hAnsiTheme="minorHAnsi" w:cstheme="minorHAnsi"/>
              <w:sz w:val="22"/>
              <w:szCs w:val="22"/>
            </w:rPr>
            <w:t xml:space="preserve">than in 2023 </w:t>
          </w:r>
          <w:r w:rsidRPr="00347E38">
            <w:rPr>
              <w:rFonts w:asciiTheme="minorHAnsi" w:hAnsiTheme="minorHAnsi" w:cstheme="minorHAnsi"/>
              <w:sz w:val="22"/>
              <w:szCs w:val="22"/>
            </w:rPr>
            <w:t>to meet</w:t>
          </w:r>
          <w:r w:rsidR="00402F1E">
            <w:rPr>
              <w:rFonts w:asciiTheme="minorHAnsi" w:hAnsiTheme="minorHAnsi" w:cstheme="minorHAnsi"/>
              <w:sz w:val="22"/>
              <w:szCs w:val="22"/>
            </w:rPr>
            <w:t xml:space="preserve"> its</w:t>
          </w:r>
          <w:r w:rsidRPr="00347E38">
            <w:rPr>
              <w:rFonts w:asciiTheme="minorHAnsi" w:hAnsiTheme="minorHAnsi" w:cstheme="minorHAnsi"/>
              <w:sz w:val="22"/>
              <w:szCs w:val="22"/>
            </w:rPr>
            <w:t xml:space="preserve"> short-term obligations</w:t>
          </w:r>
          <w:r w:rsidR="00D07BED">
            <w:rPr>
              <w:rFonts w:asciiTheme="minorHAnsi" w:hAnsiTheme="minorHAnsi" w:cstheme="minorHAnsi"/>
              <w:sz w:val="22"/>
              <w:szCs w:val="22"/>
            </w:rPr>
            <w:t>.</w:t>
          </w:r>
          <w:r w:rsidR="00426B0A" w:rsidRPr="00347E38">
            <w:rPr>
              <w:rFonts w:asciiTheme="minorHAnsi" w:hAnsiTheme="minorHAnsi" w:cstheme="minorHAnsi"/>
              <w:sz w:val="22"/>
              <w:szCs w:val="22"/>
            </w:rPr>
            <w:t xml:space="preserve"> </w:t>
          </w:r>
          <w:r w:rsidR="00D07BED">
            <w:rPr>
              <w:rFonts w:asciiTheme="minorHAnsi" w:hAnsiTheme="minorHAnsi" w:cstheme="minorHAnsi"/>
              <w:sz w:val="22"/>
              <w:szCs w:val="22"/>
            </w:rPr>
            <w:t>This</w:t>
          </w:r>
          <w:r w:rsidR="00426B0A" w:rsidRPr="00347E38">
            <w:rPr>
              <w:rFonts w:asciiTheme="minorHAnsi" w:hAnsiTheme="minorHAnsi" w:cstheme="minorHAnsi"/>
              <w:sz w:val="22"/>
              <w:szCs w:val="22"/>
            </w:rPr>
            <w:t xml:space="preserve"> improve</w:t>
          </w:r>
          <w:r w:rsidR="00D07BED">
            <w:rPr>
              <w:rFonts w:asciiTheme="minorHAnsi" w:hAnsiTheme="minorHAnsi" w:cstheme="minorHAnsi"/>
              <w:sz w:val="22"/>
              <w:szCs w:val="22"/>
            </w:rPr>
            <w:t>ment reflects stronger</w:t>
          </w:r>
          <w:r w:rsidR="00426B0A" w:rsidRPr="00347E38">
            <w:rPr>
              <w:rFonts w:asciiTheme="minorHAnsi" w:hAnsiTheme="minorHAnsi" w:cstheme="minorHAnsi"/>
              <w:sz w:val="22"/>
              <w:szCs w:val="22"/>
            </w:rPr>
            <w:t xml:space="preserve"> working-capital management</w:t>
          </w:r>
          <w:r w:rsidR="00A16BF6" w:rsidRPr="00347E38">
            <w:rPr>
              <w:rFonts w:asciiTheme="minorHAnsi" w:hAnsiTheme="minorHAnsi" w:cstheme="minorHAnsi"/>
              <w:sz w:val="22"/>
              <w:szCs w:val="22"/>
            </w:rPr>
            <w:t>, higher current assets, and</w:t>
          </w:r>
          <w:r w:rsidR="00D07BED">
            <w:rPr>
              <w:rFonts w:asciiTheme="minorHAnsi" w:hAnsiTheme="minorHAnsi" w:cstheme="minorHAnsi"/>
              <w:sz w:val="22"/>
              <w:szCs w:val="22"/>
            </w:rPr>
            <w:t xml:space="preserve"> a significant</w:t>
          </w:r>
          <w:r w:rsidR="00A16BF6" w:rsidRPr="00347E38">
            <w:rPr>
              <w:rFonts w:asciiTheme="minorHAnsi" w:hAnsiTheme="minorHAnsi" w:cstheme="minorHAnsi"/>
              <w:sz w:val="22"/>
              <w:szCs w:val="22"/>
            </w:rPr>
            <w:t xml:space="preserve"> reduc</w:t>
          </w:r>
          <w:r w:rsidR="00D07BED">
            <w:rPr>
              <w:rFonts w:asciiTheme="minorHAnsi" w:hAnsiTheme="minorHAnsi" w:cstheme="minorHAnsi"/>
              <w:sz w:val="22"/>
              <w:szCs w:val="22"/>
            </w:rPr>
            <w:t>tion in</w:t>
          </w:r>
          <w:r w:rsidR="00A16BF6" w:rsidRPr="00347E38">
            <w:rPr>
              <w:rFonts w:asciiTheme="minorHAnsi" w:hAnsiTheme="minorHAnsi" w:cstheme="minorHAnsi"/>
              <w:sz w:val="22"/>
              <w:szCs w:val="22"/>
            </w:rPr>
            <w:t xml:space="preserve"> short-term borrowing,</w:t>
          </w:r>
          <w:r w:rsidR="00862DDA" w:rsidRPr="00347E38">
            <w:rPr>
              <w:rFonts w:asciiTheme="minorHAnsi" w:hAnsiTheme="minorHAnsi" w:cstheme="minorHAnsi"/>
              <w:sz w:val="22"/>
              <w:szCs w:val="22"/>
            </w:rPr>
            <w:t xml:space="preserve"> (Tesco PLC, 2023)</w:t>
          </w:r>
          <w:r w:rsidRPr="00347E38">
            <w:rPr>
              <w:rFonts w:asciiTheme="minorHAnsi" w:hAnsiTheme="minorHAnsi" w:cstheme="minorHAnsi"/>
              <w:sz w:val="22"/>
              <w:szCs w:val="22"/>
            </w:rPr>
            <w:t xml:space="preserve">. </w:t>
          </w:r>
          <w:r w:rsidR="007D0EDF">
            <w:rPr>
              <w:rFonts w:asciiTheme="minorHAnsi" w:hAnsiTheme="minorHAnsi" w:cstheme="minorHAnsi"/>
              <w:sz w:val="22"/>
              <w:szCs w:val="22"/>
            </w:rPr>
            <w:t>While liquidity remains below conventional benchmarks levels, the upward trend suggests reduced short-term financial pressure and improved op</w:t>
          </w:r>
          <w:r w:rsidR="00B52AED">
            <w:rPr>
              <w:rFonts w:asciiTheme="minorHAnsi" w:hAnsiTheme="minorHAnsi" w:cstheme="minorHAnsi"/>
              <w:sz w:val="22"/>
              <w:szCs w:val="22"/>
            </w:rPr>
            <w:t xml:space="preserve">erational resilience. </w:t>
          </w:r>
          <w:r w:rsidR="00717926" w:rsidRPr="00347E38">
            <w:rPr>
              <w:rFonts w:asciiTheme="minorHAnsi" w:hAnsiTheme="minorHAnsi" w:cstheme="minorHAnsi"/>
              <w:sz w:val="22"/>
              <w:szCs w:val="22"/>
            </w:rPr>
            <w:t>Efficiency</w:t>
          </w:r>
          <w:r w:rsidR="009957EF" w:rsidRPr="00347E38">
            <w:rPr>
              <w:rFonts w:asciiTheme="minorHAnsi" w:hAnsiTheme="minorHAnsi" w:cstheme="minorHAnsi"/>
              <w:sz w:val="22"/>
              <w:szCs w:val="22"/>
            </w:rPr>
            <w:t xml:space="preserve"> ratios were broadly stable, with a slight increase in asset turnover </w:t>
          </w:r>
          <w:r w:rsidR="00C804DF" w:rsidRPr="00347E38">
            <w:rPr>
              <w:rFonts w:asciiTheme="minorHAnsi" w:hAnsiTheme="minorHAnsi" w:cstheme="minorHAnsi"/>
              <w:sz w:val="22"/>
              <w:szCs w:val="22"/>
            </w:rPr>
            <w:t xml:space="preserve">indicating consistent revenue generation from Tesco’s extensive asset base. </w:t>
          </w:r>
          <w:r w:rsidR="00C32D66" w:rsidRPr="00347E38">
            <w:rPr>
              <w:rFonts w:asciiTheme="minorHAnsi" w:hAnsiTheme="minorHAnsi" w:cstheme="minorHAnsi"/>
              <w:sz w:val="22"/>
              <w:szCs w:val="22"/>
            </w:rPr>
            <w:t>However, while these ratio movements indicate improving financial performance, ratio analysis has inherent limitations. Ratios are influenced by accounting policies, inflation, and seasonal trading patterns, and therefore should be interpreted alongside qualitative and strategic factors rather than in isolation (Atrill and McLaney, 2023).</w:t>
          </w:r>
          <w:r w:rsidR="00C32D66" w:rsidRPr="00347E38">
            <w:rPr>
              <w:rFonts w:asciiTheme="minorHAnsi" w:hAnsiTheme="minorHAnsi" w:cstheme="minorHAnsi"/>
              <w:sz w:val="22"/>
              <w:szCs w:val="22"/>
            </w:rPr>
            <w:t xml:space="preserve"> </w:t>
          </w:r>
          <w:r w:rsidR="00C804DF" w:rsidRPr="00347E38">
            <w:rPr>
              <w:rFonts w:asciiTheme="minorHAnsi" w:hAnsiTheme="minorHAnsi" w:cstheme="minorHAnsi"/>
              <w:sz w:val="22"/>
              <w:szCs w:val="22"/>
            </w:rPr>
            <w:t>The marginal decline in inventory turnover may</w:t>
          </w:r>
          <w:r w:rsidR="00E6422C" w:rsidRPr="00347E38">
            <w:rPr>
              <w:rFonts w:asciiTheme="minorHAnsi" w:hAnsiTheme="minorHAnsi" w:cstheme="minorHAnsi"/>
              <w:sz w:val="22"/>
              <w:szCs w:val="22"/>
            </w:rPr>
            <w:t xml:space="preserve"> reflect deliberate stock buffering to manage supply chain uncertainty, while the increase in payables days</w:t>
          </w:r>
          <w:r w:rsidR="00126001" w:rsidRPr="00347E38">
            <w:rPr>
              <w:rFonts w:asciiTheme="minorHAnsi" w:hAnsiTheme="minorHAnsi" w:cstheme="minorHAnsi"/>
              <w:sz w:val="22"/>
              <w:szCs w:val="22"/>
            </w:rPr>
            <w:t xml:space="preserve"> suggests Tesco is extending payment terms with suppliers to support cash flow. While this strengthens </w:t>
          </w:r>
          <w:r w:rsidR="00EB4F5A" w:rsidRPr="00347E38">
            <w:rPr>
              <w:rFonts w:asciiTheme="minorHAnsi" w:hAnsiTheme="minorHAnsi" w:cstheme="minorHAnsi"/>
              <w:sz w:val="22"/>
              <w:szCs w:val="22"/>
            </w:rPr>
            <w:t>liquidity, prolonged reliance on supplier financing could strain supplier relationships if not carefully managed. Despite these positive trends</w:t>
          </w:r>
          <w:r w:rsidR="00717926" w:rsidRPr="00347E38">
            <w:rPr>
              <w:rFonts w:asciiTheme="minorHAnsi" w:hAnsiTheme="minorHAnsi" w:cstheme="minorHAnsi"/>
              <w:sz w:val="22"/>
              <w:szCs w:val="22"/>
            </w:rPr>
            <w:t xml:space="preserve">, </w:t>
          </w:r>
          <w:r w:rsidR="00EB4F5A" w:rsidRPr="00347E38">
            <w:rPr>
              <w:rFonts w:asciiTheme="minorHAnsi" w:hAnsiTheme="minorHAnsi" w:cstheme="minorHAnsi"/>
              <w:sz w:val="22"/>
              <w:szCs w:val="22"/>
            </w:rPr>
            <w:t>Tesco’s</w:t>
          </w:r>
          <w:r w:rsidR="00717926" w:rsidRPr="00347E38">
            <w:rPr>
              <w:rFonts w:asciiTheme="minorHAnsi" w:hAnsiTheme="minorHAnsi" w:cstheme="minorHAnsi"/>
              <w:sz w:val="22"/>
              <w:szCs w:val="22"/>
            </w:rPr>
            <w:t xml:space="preserve"> capital structure </w:t>
          </w:r>
          <w:r w:rsidR="00EB4F5A" w:rsidRPr="00347E38">
            <w:rPr>
              <w:rFonts w:asciiTheme="minorHAnsi" w:hAnsiTheme="minorHAnsi" w:cstheme="minorHAnsi"/>
              <w:sz w:val="22"/>
              <w:szCs w:val="22"/>
            </w:rPr>
            <w:t xml:space="preserve">indicates </w:t>
          </w:r>
          <w:r w:rsidR="00DA1458" w:rsidRPr="00347E38">
            <w:rPr>
              <w:rFonts w:asciiTheme="minorHAnsi" w:hAnsiTheme="minorHAnsi" w:cstheme="minorHAnsi"/>
              <w:sz w:val="22"/>
              <w:szCs w:val="22"/>
            </w:rPr>
            <w:t xml:space="preserve">rising financial risk. Increased debt-to-equity and a marginally higher debt ratio, combined with weak interest cover, </w:t>
          </w:r>
          <w:r w:rsidR="00EC34F4" w:rsidRPr="00347E38">
            <w:rPr>
              <w:rFonts w:asciiTheme="minorHAnsi" w:hAnsiTheme="minorHAnsi" w:cstheme="minorHAnsi"/>
              <w:sz w:val="22"/>
              <w:szCs w:val="22"/>
            </w:rPr>
            <w:t>suggest</w:t>
          </w:r>
          <w:r w:rsidR="002C4A10">
            <w:rPr>
              <w:rFonts w:asciiTheme="minorHAnsi" w:hAnsiTheme="minorHAnsi" w:cstheme="minorHAnsi"/>
              <w:sz w:val="22"/>
              <w:szCs w:val="22"/>
            </w:rPr>
            <w:t>s</w:t>
          </w:r>
          <w:r w:rsidR="00EC34F4" w:rsidRPr="00347E38">
            <w:rPr>
              <w:rFonts w:asciiTheme="minorHAnsi" w:hAnsiTheme="minorHAnsi" w:cstheme="minorHAnsi"/>
              <w:sz w:val="22"/>
              <w:szCs w:val="22"/>
            </w:rPr>
            <w:t xml:space="preserve"> greater reliance on debt </w:t>
          </w:r>
          <w:r w:rsidR="00EF0298" w:rsidRPr="00347E38">
            <w:rPr>
              <w:rFonts w:asciiTheme="minorHAnsi" w:hAnsiTheme="minorHAnsi" w:cstheme="minorHAnsi"/>
              <w:sz w:val="22"/>
              <w:szCs w:val="22"/>
            </w:rPr>
            <w:t>financing</w:t>
          </w:r>
          <w:r w:rsidR="00EC34F4" w:rsidRPr="00347E38">
            <w:rPr>
              <w:rFonts w:asciiTheme="minorHAnsi" w:hAnsiTheme="minorHAnsi" w:cstheme="minorHAnsi"/>
              <w:sz w:val="22"/>
              <w:szCs w:val="22"/>
            </w:rPr>
            <w:t xml:space="preserve"> and reduced headroom to absorb future interest rate rises </w:t>
          </w:r>
          <w:r w:rsidR="00D269F5" w:rsidRPr="00347E38">
            <w:rPr>
              <w:rFonts w:asciiTheme="minorHAnsi" w:hAnsiTheme="minorHAnsi" w:cstheme="minorHAnsi"/>
              <w:sz w:val="22"/>
              <w:szCs w:val="22"/>
            </w:rPr>
            <w:t xml:space="preserve">or economic shocks, </w:t>
          </w:r>
          <w:r w:rsidR="00BA0EAC" w:rsidRPr="00347E38">
            <w:rPr>
              <w:rFonts w:asciiTheme="minorHAnsi" w:hAnsiTheme="minorHAnsi" w:cstheme="minorHAnsi"/>
              <w:sz w:val="22"/>
              <w:szCs w:val="22"/>
            </w:rPr>
            <w:t>(Simply Wall St, 2025)</w:t>
          </w:r>
          <w:r w:rsidR="0061735A" w:rsidRPr="00347E38">
            <w:rPr>
              <w:rFonts w:asciiTheme="minorHAnsi" w:hAnsiTheme="minorHAnsi" w:cstheme="minorHAnsi"/>
              <w:sz w:val="22"/>
              <w:szCs w:val="22"/>
            </w:rPr>
            <w:t>.</w:t>
          </w:r>
          <w:r w:rsidR="00D82B72" w:rsidRPr="00347E38">
            <w:rPr>
              <w:rFonts w:asciiTheme="minorHAnsi" w:hAnsiTheme="minorHAnsi" w:cstheme="minorHAnsi"/>
              <w:sz w:val="22"/>
              <w:szCs w:val="22"/>
            </w:rPr>
            <w:t xml:space="preserve"> </w:t>
          </w:r>
          <w:r w:rsidR="00D82B72" w:rsidRPr="00347E38">
            <w:rPr>
              <w:rFonts w:asciiTheme="minorHAnsi" w:hAnsiTheme="minorHAnsi" w:cstheme="minorHAnsi"/>
              <w:sz w:val="22"/>
              <w:szCs w:val="22"/>
            </w:rPr>
            <w:t>According to Brigham and Ehrhardt (2022), increased financial leverage can enhance shareholder returns during periods of strong performance, but it also raises financial risk by reducing flexibility and increasing exposure to interest rate volatility, a risk that is reflected in Tesco’s declining interest cover.</w:t>
          </w:r>
          <w:r w:rsidR="00B531A5" w:rsidRPr="00347E38">
            <w:rPr>
              <w:rFonts w:asciiTheme="minorHAnsi" w:hAnsiTheme="minorHAnsi" w:cstheme="minorHAnsi"/>
              <w:sz w:val="22"/>
              <w:szCs w:val="22"/>
            </w:rPr>
            <w:t xml:space="preserve"> </w:t>
          </w:r>
          <w:r w:rsidR="0061735A" w:rsidRPr="00347E38">
            <w:rPr>
              <w:rFonts w:asciiTheme="minorHAnsi" w:hAnsiTheme="minorHAnsi" w:cstheme="minorHAnsi"/>
              <w:sz w:val="22"/>
              <w:szCs w:val="22"/>
            </w:rPr>
            <w:t xml:space="preserve"> </w:t>
          </w:r>
          <w:r w:rsidR="00D269F5" w:rsidRPr="00347E38">
            <w:rPr>
              <w:rFonts w:asciiTheme="minorHAnsi" w:hAnsiTheme="minorHAnsi" w:cstheme="minorHAnsi"/>
              <w:sz w:val="22"/>
              <w:szCs w:val="22"/>
            </w:rPr>
            <w:t xml:space="preserve">Although leverage remains manageable, </w:t>
          </w:r>
          <w:r w:rsidR="00EF0298" w:rsidRPr="00347E38">
            <w:rPr>
              <w:rFonts w:asciiTheme="minorHAnsi" w:hAnsiTheme="minorHAnsi" w:cstheme="minorHAnsi"/>
              <w:sz w:val="22"/>
              <w:szCs w:val="22"/>
            </w:rPr>
            <w:t xml:space="preserve">continued increase could constrain future investment in capacity and elevate financial risk. </w:t>
          </w:r>
          <w:r w:rsidR="00D269F5" w:rsidRPr="00347E38">
            <w:rPr>
              <w:rFonts w:asciiTheme="minorHAnsi" w:hAnsiTheme="minorHAnsi" w:cstheme="minorHAnsi"/>
              <w:sz w:val="22"/>
              <w:szCs w:val="22"/>
            </w:rPr>
            <w:t xml:space="preserve"> </w:t>
          </w:r>
          <w:r w:rsidR="0061735A" w:rsidRPr="00347E38">
            <w:rPr>
              <w:rFonts w:asciiTheme="minorHAnsi" w:hAnsiTheme="minorHAnsi" w:cstheme="minorHAnsi"/>
              <w:sz w:val="22"/>
              <w:szCs w:val="22"/>
            </w:rPr>
            <w:t>Market</w:t>
          </w:r>
          <w:r w:rsidR="003430AD" w:rsidRPr="00347E38">
            <w:rPr>
              <w:rFonts w:asciiTheme="minorHAnsi" w:hAnsiTheme="minorHAnsi" w:cstheme="minorHAnsi"/>
              <w:sz w:val="22"/>
              <w:szCs w:val="22"/>
            </w:rPr>
            <w:t>-based</w:t>
          </w:r>
          <w:r w:rsidR="0061735A" w:rsidRPr="00347E38">
            <w:rPr>
              <w:rFonts w:asciiTheme="minorHAnsi" w:hAnsiTheme="minorHAnsi" w:cstheme="minorHAnsi"/>
              <w:sz w:val="22"/>
              <w:szCs w:val="22"/>
            </w:rPr>
            <w:t xml:space="preserve"> performance metric</w:t>
          </w:r>
          <w:r w:rsidR="005332FC">
            <w:rPr>
              <w:rFonts w:asciiTheme="minorHAnsi" w:hAnsiTheme="minorHAnsi" w:cstheme="minorHAnsi"/>
              <w:sz w:val="22"/>
              <w:szCs w:val="22"/>
            </w:rPr>
            <w:t>s</w:t>
          </w:r>
          <w:r w:rsidR="0061735A" w:rsidRPr="00347E38">
            <w:rPr>
              <w:rFonts w:asciiTheme="minorHAnsi" w:hAnsiTheme="minorHAnsi" w:cstheme="minorHAnsi"/>
              <w:sz w:val="22"/>
              <w:szCs w:val="22"/>
            </w:rPr>
            <w:t xml:space="preserve"> </w:t>
          </w:r>
          <w:r w:rsidR="003430AD" w:rsidRPr="00347E38">
            <w:rPr>
              <w:rFonts w:asciiTheme="minorHAnsi" w:hAnsiTheme="minorHAnsi" w:cstheme="minorHAnsi"/>
              <w:sz w:val="22"/>
              <w:szCs w:val="22"/>
            </w:rPr>
            <w:t xml:space="preserve">present </w:t>
          </w:r>
          <w:r w:rsidR="0061735A" w:rsidRPr="00347E38">
            <w:rPr>
              <w:rFonts w:asciiTheme="minorHAnsi" w:hAnsiTheme="minorHAnsi" w:cstheme="minorHAnsi"/>
              <w:sz w:val="22"/>
              <w:szCs w:val="22"/>
            </w:rPr>
            <w:t>mixed results, while earnings per share grew substantially, the</w:t>
          </w:r>
          <w:r w:rsidR="00703A9C" w:rsidRPr="00347E38">
            <w:rPr>
              <w:rFonts w:asciiTheme="minorHAnsi" w:hAnsiTheme="minorHAnsi" w:cstheme="minorHAnsi"/>
              <w:sz w:val="22"/>
              <w:szCs w:val="22"/>
            </w:rPr>
            <w:t xml:space="preserve"> significant fall in the</w:t>
          </w:r>
          <w:r w:rsidR="0061735A" w:rsidRPr="00347E38">
            <w:rPr>
              <w:rFonts w:asciiTheme="minorHAnsi" w:hAnsiTheme="minorHAnsi" w:cstheme="minorHAnsi"/>
              <w:sz w:val="22"/>
              <w:szCs w:val="22"/>
            </w:rPr>
            <w:t xml:space="preserve"> </w:t>
          </w:r>
          <w:r w:rsidR="007E03A2">
            <w:rPr>
              <w:rFonts w:asciiTheme="minorHAnsi" w:hAnsiTheme="minorHAnsi" w:cstheme="minorHAnsi"/>
              <w:sz w:val="22"/>
              <w:szCs w:val="22"/>
            </w:rPr>
            <w:t>price-to-earnings</w:t>
          </w:r>
          <w:r w:rsidR="0061735A" w:rsidRPr="00347E38">
            <w:rPr>
              <w:rFonts w:asciiTheme="minorHAnsi" w:hAnsiTheme="minorHAnsi" w:cstheme="minorHAnsi"/>
              <w:sz w:val="22"/>
              <w:szCs w:val="22"/>
            </w:rPr>
            <w:t xml:space="preserve"> ratio</w:t>
          </w:r>
          <w:r w:rsidR="00703A9C" w:rsidRPr="00347E38">
            <w:rPr>
              <w:rFonts w:asciiTheme="minorHAnsi" w:hAnsiTheme="minorHAnsi" w:cstheme="minorHAnsi"/>
              <w:sz w:val="22"/>
              <w:szCs w:val="22"/>
            </w:rPr>
            <w:t xml:space="preserve"> reflects either </w:t>
          </w:r>
          <w:r w:rsidR="00F55110" w:rsidRPr="00347E38">
            <w:rPr>
              <w:rFonts w:asciiTheme="minorHAnsi" w:hAnsiTheme="minorHAnsi" w:cstheme="minorHAnsi"/>
              <w:sz w:val="22"/>
              <w:szCs w:val="22"/>
            </w:rPr>
            <w:t>improved</w:t>
          </w:r>
          <w:r w:rsidR="00703A9C" w:rsidRPr="00347E38">
            <w:rPr>
              <w:rFonts w:asciiTheme="minorHAnsi" w:hAnsiTheme="minorHAnsi" w:cstheme="minorHAnsi"/>
              <w:sz w:val="22"/>
              <w:szCs w:val="22"/>
            </w:rPr>
            <w:t xml:space="preserve"> earnings</w:t>
          </w:r>
          <w:r w:rsidR="00F55110" w:rsidRPr="00347E38">
            <w:rPr>
              <w:rFonts w:asciiTheme="minorHAnsi" w:hAnsiTheme="minorHAnsi" w:cstheme="minorHAnsi"/>
              <w:sz w:val="22"/>
              <w:szCs w:val="22"/>
            </w:rPr>
            <w:t xml:space="preserve"> relative to share price or cautious </w:t>
          </w:r>
          <w:r w:rsidR="00E70207" w:rsidRPr="00347E38">
            <w:rPr>
              <w:rFonts w:asciiTheme="minorHAnsi" w:hAnsiTheme="minorHAnsi" w:cstheme="minorHAnsi"/>
              <w:sz w:val="22"/>
              <w:szCs w:val="22"/>
            </w:rPr>
            <w:t>investor</w:t>
          </w:r>
          <w:r w:rsidR="00F55110" w:rsidRPr="00347E38">
            <w:rPr>
              <w:rFonts w:asciiTheme="minorHAnsi" w:hAnsiTheme="minorHAnsi" w:cstheme="minorHAnsi"/>
              <w:sz w:val="22"/>
              <w:szCs w:val="22"/>
            </w:rPr>
            <w:t xml:space="preserve"> sentiment amid broader sector pressures</w:t>
          </w:r>
          <w:r w:rsidR="0061735A" w:rsidRPr="00347E38">
            <w:rPr>
              <w:rFonts w:asciiTheme="minorHAnsi" w:hAnsiTheme="minorHAnsi" w:cstheme="minorHAnsi"/>
              <w:sz w:val="22"/>
              <w:szCs w:val="22"/>
            </w:rPr>
            <w:t>. Dividend performance slightly decline</w:t>
          </w:r>
          <w:r w:rsidR="00B40507" w:rsidRPr="00347E38">
            <w:rPr>
              <w:rFonts w:asciiTheme="minorHAnsi" w:hAnsiTheme="minorHAnsi" w:cstheme="minorHAnsi"/>
              <w:sz w:val="22"/>
              <w:szCs w:val="22"/>
            </w:rPr>
            <w:t xml:space="preserve">d, but stronger dividend cover indicates improved sustainability of shareholder payouts, overall, Tesco’s 2024 </w:t>
          </w:r>
          <w:r w:rsidR="004E4DB1" w:rsidRPr="00347E38">
            <w:rPr>
              <w:rFonts w:asciiTheme="minorHAnsi" w:hAnsiTheme="minorHAnsi" w:cstheme="minorHAnsi"/>
              <w:sz w:val="22"/>
              <w:szCs w:val="22"/>
            </w:rPr>
            <w:t xml:space="preserve">ratios </w:t>
          </w:r>
          <w:r w:rsidR="00B40507" w:rsidRPr="00347E38">
            <w:rPr>
              <w:rFonts w:asciiTheme="minorHAnsi" w:hAnsiTheme="minorHAnsi" w:cstheme="minorHAnsi"/>
              <w:sz w:val="22"/>
              <w:szCs w:val="22"/>
            </w:rPr>
            <w:t>reflect enhanced profitability and liquidity, moderate efficiency but a cautious need to monitor rising debt levels</w:t>
          </w:r>
          <w:r w:rsidR="004D0395" w:rsidRPr="00347E38">
            <w:rPr>
              <w:rFonts w:asciiTheme="minorHAnsi" w:hAnsiTheme="minorHAnsi" w:cstheme="minorHAnsi"/>
              <w:sz w:val="22"/>
              <w:szCs w:val="22"/>
            </w:rPr>
            <w:t xml:space="preserve"> with resource-based strategies, (Day, 2014)</w:t>
          </w:r>
          <w:r w:rsidR="00B40507" w:rsidRPr="00347E38">
            <w:rPr>
              <w:rFonts w:asciiTheme="minorHAnsi" w:hAnsiTheme="minorHAnsi" w:cstheme="minorHAnsi"/>
              <w:sz w:val="22"/>
              <w:szCs w:val="22"/>
            </w:rPr>
            <w:t>.</w:t>
          </w:r>
          <w:r w:rsidR="0061735A" w:rsidRPr="00347E38">
            <w:rPr>
              <w:rFonts w:asciiTheme="minorHAnsi" w:hAnsiTheme="minorHAnsi" w:cstheme="minorHAnsi"/>
              <w:sz w:val="22"/>
              <w:szCs w:val="22"/>
            </w:rPr>
            <w:t xml:space="preserve"> </w:t>
          </w:r>
        </w:p>
        <w:p w14:paraId="6CD2F685" w14:textId="106451E5" w:rsidR="00030AEB" w:rsidRPr="00347E38" w:rsidRDefault="00DB06B3" w:rsidP="00030AEB">
          <w:pPr>
            <w:rPr>
              <w:rFonts w:asciiTheme="minorHAnsi" w:hAnsiTheme="minorHAnsi" w:cstheme="minorHAnsi"/>
              <w:sz w:val="22"/>
              <w:szCs w:val="22"/>
            </w:rPr>
          </w:pPr>
          <w:r w:rsidRPr="00347E38">
            <w:rPr>
              <w:rFonts w:asciiTheme="minorHAnsi" w:hAnsiTheme="minorHAnsi" w:cstheme="minorHAnsi"/>
              <w:sz w:val="22"/>
              <w:szCs w:val="22"/>
            </w:rPr>
            <w:t xml:space="preserve">However, ratio analysis has several limitations that must be acknowledged. Ratios are based on historical </w:t>
          </w:r>
          <w:r w:rsidR="00F40D79" w:rsidRPr="00347E38">
            <w:rPr>
              <w:rFonts w:asciiTheme="minorHAnsi" w:hAnsiTheme="minorHAnsi" w:cstheme="minorHAnsi"/>
              <w:sz w:val="22"/>
              <w:szCs w:val="22"/>
            </w:rPr>
            <w:t xml:space="preserve">financial data and may not fully reflect current market conditions or future performance. </w:t>
          </w:r>
          <w:r w:rsidR="00B92E22" w:rsidRPr="00347E38">
            <w:rPr>
              <w:rFonts w:asciiTheme="minorHAnsi" w:hAnsiTheme="minorHAnsi" w:cstheme="minorHAnsi"/>
              <w:sz w:val="22"/>
              <w:szCs w:val="22"/>
            </w:rPr>
            <w:t xml:space="preserve">Comparability can be distorted by differences in accounting policies, inflations, seasonality, and one-off exceptional items. In addition, ratios provide limited insight into qualitative </w:t>
          </w:r>
          <w:r w:rsidR="00E70207" w:rsidRPr="00347E38">
            <w:rPr>
              <w:rFonts w:asciiTheme="minorHAnsi" w:hAnsiTheme="minorHAnsi" w:cstheme="minorHAnsi"/>
              <w:sz w:val="22"/>
              <w:szCs w:val="22"/>
            </w:rPr>
            <w:t>factors such as brand strength, customer loyalty, or management capability, which are particularly important in the retail sector</w:t>
          </w:r>
          <w:r w:rsidR="005D135F" w:rsidRPr="00347E38">
            <w:rPr>
              <w:rFonts w:asciiTheme="minorHAnsi" w:hAnsiTheme="minorHAnsi" w:cstheme="minorHAnsi"/>
              <w:sz w:val="22"/>
              <w:szCs w:val="22"/>
            </w:rPr>
            <w:t xml:space="preserve">. As such, </w:t>
          </w:r>
          <w:r w:rsidR="005B43C3" w:rsidRPr="00347E38">
            <w:rPr>
              <w:rFonts w:asciiTheme="minorHAnsi" w:hAnsiTheme="minorHAnsi" w:cstheme="minorHAnsi"/>
              <w:sz w:val="22"/>
              <w:szCs w:val="22"/>
            </w:rPr>
            <w:t xml:space="preserve">ratios should be interpreted alongside strategic, market, and non-financial information. </w:t>
          </w:r>
          <w:r w:rsidR="00FE59F9">
            <w:rPr>
              <w:rFonts w:asciiTheme="minorHAnsi" w:hAnsiTheme="minorHAnsi" w:cstheme="minorHAnsi"/>
              <w:sz w:val="22"/>
              <w:szCs w:val="22"/>
            </w:rPr>
            <w:t>According to the IASB (2021), management commentary plays a critical role in complementing financial ratios by providing narrative explanations of strategic object</w:t>
          </w:r>
          <w:r w:rsidR="00F37E4F">
            <w:rPr>
              <w:rFonts w:asciiTheme="minorHAnsi" w:hAnsiTheme="minorHAnsi" w:cstheme="minorHAnsi"/>
              <w:sz w:val="22"/>
              <w:szCs w:val="22"/>
            </w:rPr>
            <w:t>ives, key risks, and forward-looking information, thereby enabling stakeholders to make more informed economic decisions.</w:t>
          </w:r>
          <w:r w:rsidR="00FE59F9">
            <w:rPr>
              <w:rFonts w:asciiTheme="minorHAnsi" w:hAnsiTheme="minorHAnsi" w:cstheme="minorHAnsi"/>
              <w:sz w:val="22"/>
              <w:szCs w:val="22"/>
            </w:rPr>
            <w:t xml:space="preserve"> </w:t>
          </w:r>
          <w:r w:rsidR="005B43C3" w:rsidRPr="00347E38">
            <w:rPr>
              <w:rFonts w:asciiTheme="minorHAnsi" w:hAnsiTheme="minorHAnsi" w:cstheme="minorHAnsi"/>
              <w:sz w:val="22"/>
              <w:szCs w:val="22"/>
            </w:rPr>
            <w:t xml:space="preserve">Based on this analysis, several recommendations can be made to improve Tesco’s financial management. Tesco should prioritise stabilising its capital structure by moderating further increases in debt and improving interest cover through cautious borrowing and improved operating cash flows. Continued focus </w:t>
          </w:r>
          <w:r w:rsidR="00B675A7" w:rsidRPr="00347E38">
            <w:rPr>
              <w:rFonts w:asciiTheme="minorHAnsi" w:hAnsiTheme="minorHAnsi" w:cstheme="minorHAnsi"/>
              <w:sz w:val="22"/>
              <w:szCs w:val="22"/>
            </w:rPr>
            <w:t>on cost efficiency and</w:t>
          </w:r>
          <w:r w:rsidR="009E068D" w:rsidRPr="00347E38">
            <w:rPr>
              <w:rFonts w:asciiTheme="minorHAnsi" w:hAnsiTheme="minorHAnsi" w:cstheme="minorHAnsi"/>
              <w:sz w:val="22"/>
              <w:szCs w:val="22"/>
            </w:rPr>
            <w:t xml:space="preserve"> margin protection will be essential to sustain profitability in a highly competitive market. </w:t>
          </w:r>
          <w:r w:rsidR="00F73646" w:rsidRPr="00347E38">
            <w:rPr>
              <w:rFonts w:asciiTheme="minorHAnsi" w:hAnsiTheme="minorHAnsi" w:cstheme="minorHAnsi"/>
              <w:sz w:val="22"/>
              <w:szCs w:val="22"/>
            </w:rPr>
            <w:t>The company should also maintain disciplined working-capital management while ensuring supplier relationships are not adversely affected by extended payment terms. Finally, enhancing transparency around strategic investment</w:t>
          </w:r>
          <w:r w:rsidR="00BE789A" w:rsidRPr="00347E38">
            <w:rPr>
              <w:rFonts w:asciiTheme="minorHAnsi" w:hAnsiTheme="minorHAnsi" w:cstheme="minorHAnsi"/>
              <w:sz w:val="22"/>
              <w:szCs w:val="22"/>
            </w:rPr>
            <w:t xml:space="preserve"> and long-term growth initiatives may help rebuild investor confidence and support share price recovery. Collectively, these actions would strengthen Tesco’s financial res</w:t>
          </w:r>
          <w:r w:rsidR="005E0847" w:rsidRPr="00347E38">
            <w:rPr>
              <w:rFonts w:asciiTheme="minorHAnsi" w:hAnsiTheme="minorHAnsi" w:cstheme="minorHAnsi"/>
              <w:sz w:val="22"/>
              <w:szCs w:val="22"/>
            </w:rPr>
            <w:t xml:space="preserve">ilience while supporting sustainable long-term value creation. </w:t>
          </w:r>
        </w:p>
        <w:p w14:paraId="11657221" w14:textId="78D3B4FB" w:rsidR="00CF0E48" w:rsidRPr="00347E38" w:rsidRDefault="00CF0E48" w:rsidP="00EF3337">
          <w:pPr>
            <w:pStyle w:val="Heading1"/>
            <w:rPr>
              <w:rFonts w:asciiTheme="minorHAnsi" w:hAnsiTheme="minorHAnsi" w:cstheme="minorHAnsi"/>
            </w:rPr>
          </w:pPr>
          <w:bookmarkStart w:id="5" w:name="_Toc216779317"/>
          <w:r w:rsidRPr="00347E38">
            <w:rPr>
              <w:rFonts w:asciiTheme="minorHAnsi" w:hAnsiTheme="minorHAnsi" w:cstheme="minorHAnsi"/>
            </w:rPr>
            <w:t>Task 2</w:t>
          </w:r>
          <w:bookmarkEnd w:id="5"/>
        </w:p>
        <w:p w14:paraId="006DEFE5" w14:textId="2E4887AB" w:rsidR="00D52912" w:rsidRPr="00347E38" w:rsidRDefault="00D52912" w:rsidP="00030AEB">
          <w:pPr>
            <w:rPr>
              <w:rFonts w:asciiTheme="minorHAnsi" w:hAnsiTheme="minorHAnsi" w:cstheme="minorHAnsi"/>
              <w:sz w:val="22"/>
              <w:szCs w:val="22"/>
            </w:rPr>
          </w:pPr>
          <w:r w:rsidRPr="00347E38">
            <w:rPr>
              <w:rFonts w:asciiTheme="minorHAnsi" w:hAnsiTheme="minorHAnsi" w:cstheme="minorHAnsi"/>
              <w:sz w:val="22"/>
              <w:szCs w:val="22"/>
            </w:rPr>
            <w:t xml:space="preserve">Investment appraisal is a crucial aspect of financial management, enabling organisations to evaluate the </w:t>
          </w:r>
          <w:r w:rsidR="002737D6" w:rsidRPr="00347E38">
            <w:rPr>
              <w:rFonts w:asciiTheme="minorHAnsi" w:hAnsiTheme="minorHAnsi" w:cstheme="minorHAnsi"/>
              <w:sz w:val="22"/>
              <w:szCs w:val="22"/>
            </w:rPr>
            <w:t>financial</w:t>
          </w:r>
          <w:r w:rsidRPr="00347E38">
            <w:rPr>
              <w:rFonts w:asciiTheme="minorHAnsi" w:hAnsiTheme="minorHAnsi" w:cstheme="minorHAnsi"/>
              <w:sz w:val="22"/>
              <w:szCs w:val="22"/>
            </w:rPr>
            <w:t xml:space="preserve"> </w:t>
          </w:r>
          <w:r w:rsidR="002737D6" w:rsidRPr="00347E38">
            <w:rPr>
              <w:rFonts w:asciiTheme="minorHAnsi" w:hAnsiTheme="minorHAnsi" w:cstheme="minorHAnsi"/>
              <w:sz w:val="22"/>
              <w:szCs w:val="22"/>
            </w:rPr>
            <w:t xml:space="preserve">viability of long-term projects and allocate resources effectively. </w:t>
          </w:r>
          <w:r w:rsidR="00634B3D" w:rsidRPr="00347E38">
            <w:rPr>
              <w:rFonts w:asciiTheme="minorHAnsi" w:hAnsiTheme="minorHAnsi" w:cstheme="minorHAnsi"/>
              <w:sz w:val="22"/>
              <w:szCs w:val="22"/>
            </w:rPr>
            <w:t xml:space="preserve">Westward Plc, a </w:t>
          </w:r>
          <w:r w:rsidR="00634B3D" w:rsidRPr="00347E38">
            <w:rPr>
              <w:rFonts w:asciiTheme="minorHAnsi" w:hAnsiTheme="minorHAnsi" w:cstheme="minorHAnsi"/>
              <w:sz w:val="22"/>
              <w:szCs w:val="22"/>
            </w:rPr>
            <w:lastRenderedPageBreak/>
            <w:t xml:space="preserve">manufacturer of high-quality curtains, is considering three </w:t>
          </w:r>
          <w:r w:rsidR="008506F9" w:rsidRPr="00347E38">
            <w:rPr>
              <w:rFonts w:asciiTheme="minorHAnsi" w:hAnsiTheme="minorHAnsi" w:cstheme="minorHAnsi"/>
              <w:sz w:val="22"/>
              <w:szCs w:val="22"/>
            </w:rPr>
            <w:t>strategic</w:t>
          </w:r>
          <w:r w:rsidR="00634B3D" w:rsidRPr="00347E38">
            <w:rPr>
              <w:rFonts w:asciiTheme="minorHAnsi" w:hAnsiTheme="minorHAnsi" w:cstheme="minorHAnsi"/>
              <w:sz w:val="22"/>
              <w:szCs w:val="22"/>
            </w:rPr>
            <w:t xml:space="preserve"> investment options as part of a four-year expansion plan. These options include expanding its retail </w:t>
          </w:r>
          <w:r w:rsidR="008506F9" w:rsidRPr="00347E38">
            <w:rPr>
              <w:rFonts w:asciiTheme="minorHAnsi" w:hAnsiTheme="minorHAnsi" w:cstheme="minorHAnsi"/>
              <w:sz w:val="22"/>
              <w:szCs w:val="22"/>
            </w:rPr>
            <w:t>outlet</w:t>
          </w:r>
          <w:r w:rsidR="003D4977" w:rsidRPr="00347E38">
            <w:rPr>
              <w:rFonts w:asciiTheme="minorHAnsi" w:hAnsiTheme="minorHAnsi" w:cstheme="minorHAnsi"/>
              <w:sz w:val="22"/>
              <w:szCs w:val="22"/>
            </w:rPr>
            <w:t xml:space="preserve"> (A)</w:t>
          </w:r>
          <w:r w:rsidR="008506F9" w:rsidRPr="00347E38">
            <w:rPr>
              <w:rFonts w:asciiTheme="minorHAnsi" w:hAnsiTheme="minorHAnsi" w:cstheme="minorHAnsi"/>
              <w:sz w:val="22"/>
              <w:szCs w:val="22"/>
            </w:rPr>
            <w:t>, developing an internet sales channel</w:t>
          </w:r>
          <w:r w:rsidR="003D4977" w:rsidRPr="00347E38">
            <w:rPr>
              <w:rFonts w:asciiTheme="minorHAnsi" w:hAnsiTheme="minorHAnsi" w:cstheme="minorHAnsi"/>
              <w:sz w:val="22"/>
              <w:szCs w:val="22"/>
            </w:rPr>
            <w:t xml:space="preserve"> (B)</w:t>
          </w:r>
          <w:r w:rsidR="008506F9" w:rsidRPr="00347E38">
            <w:rPr>
              <w:rFonts w:asciiTheme="minorHAnsi" w:hAnsiTheme="minorHAnsi" w:cstheme="minorHAnsi"/>
              <w:sz w:val="22"/>
              <w:szCs w:val="22"/>
            </w:rPr>
            <w:t>, or diversifying into the production of wooden and Roman blinds</w:t>
          </w:r>
          <w:r w:rsidR="00936C95" w:rsidRPr="00347E38">
            <w:rPr>
              <w:rFonts w:asciiTheme="minorHAnsi" w:hAnsiTheme="minorHAnsi" w:cstheme="minorHAnsi"/>
              <w:sz w:val="22"/>
              <w:szCs w:val="22"/>
            </w:rPr>
            <w:t xml:space="preserve"> (C)</w:t>
          </w:r>
          <w:r w:rsidR="008506F9" w:rsidRPr="00347E38">
            <w:rPr>
              <w:rFonts w:asciiTheme="minorHAnsi" w:hAnsiTheme="minorHAnsi" w:cstheme="minorHAnsi"/>
              <w:sz w:val="22"/>
              <w:szCs w:val="22"/>
            </w:rPr>
            <w:t>. Each proposal requires a significant initial investment and carries different risk and return profiles. This report evaluates the options using discounted cash flow te</w:t>
          </w:r>
          <w:r w:rsidR="00AA59EE" w:rsidRPr="00347E38">
            <w:rPr>
              <w:rFonts w:asciiTheme="minorHAnsi" w:hAnsiTheme="minorHAnsi" w:cstheme="minorHAnsi"/>
              <w:sz w:val="22"/>
              <w:szCs w:val="22"/>
            </w:rPr>
            <w:t>chni</w:t>
          </w:r>
          <w:r w:rsidR="008506F9" w:rsidRPr="00347E38">
            <w:rPr>
              <w:rFonts w:asciiTheme="minorHAnsi" w:hAnsiTheme="minorHAnsi" w:cstheme="minorHAnsi"/>
              <w:sz w:val="22"/>
              <w:szCs w:val="22"/>
            </w:rPr>
            <w:t>ques</w:t>
          </w:r>
          <w:r w:rsidR="003A1027" w:rsidRPr="00347E38">
            <w:rPr>
              <w:rFonts w:asciiTheme="minorHAnsi" w:hAnsiTheme="minorHAnsi" w:cstheme="minorHAnsi"/>
              <w:sz w:val="22"/>
              <w:szCs w:val="22"/>
            </w:rPr>
            <w:t xml:space="preserve"> which occur at year-end</w:t>
          </w:r>
          <w:r w:rsidR="008506F9" w:rsidRPr="00347E38">
            <w:rPr>
              <w:rFonts w:asciiTheme="minorHAnsi" w:hAnsiTheme="minorHAnsi" w:cstheme="minorHAnsi"/>
              <w:sz w:val="22"/>
              <w:szCs w:val="22"/>
            </w:rPr>
            <w:t>,</w:t>
          </w:r>
          <w:r w:rsidR="00AA59EE" w:rsidRPr="00347E38">
            <w:rPr>
              <w:rFonts w:asciiTheme="minorHAnsi" w:hAnsiTheme="minorHAnsi" w:cstheme="minorHAnsi"/>
              <w:sz w:val="22"/>
              <w:szCs w:val="22"/>
            </w:rPr>
            <w:t xml:space="preserve"> primarily the Net Present Value (NPV) method, assuming the cost of capital of 6%</w:t>
          </w:r>
          <w:r w:rsidR="00AC0D1B" w:rsidRPr="00347E38">
            <w:rPr>
              <w:rFonts w:asciiTheme="minorHAnsi" w:hAnsiTheme="minorHAnsi" w:cstheme="minorHAnsi"/>
              <w:sz w:val="22"/>
              <w:szCs w:val="22"/>
            </w:rPr>
            <w:t>, (Brealey et a</w:t>
          </w:r>
          <w:r w:rsidR="007671AE" w:rsidRPr="00347E38">
            <w:rPr>
              <w:rFonts w:asciiTheme="minorHAnsi" w:hAnsiTheme="minorHAnsi" w:cstheme="minorHAnsi"/>
              <w:sz w:val="22"/>
              <w:szCs w:val="22"/>
            </w:rPr>
            <w:t>l</w:t>
          </w:r>
          <w:r w:rsidR="00AC0D1B" w:rsidRPr="00347E38">
            <w:rPr>
              <w:rFonts w:asciiTheme="minorHAnsi" w:hAnsiTheme="minorHAnsi" w:cstheme="minorHAnsi"/>
              <w:sz w:val="22"/>
              <w:szCs w:val="22"/>
            </w:rPr>
            <w:t>.</w:t>
          </w:r>
          <w:r w:rsidR="0060442B" w:rsidRPr="00347E38">
            <w:rPr>
              <w:rFonts w:asciiTheme="minorHAnsi" w:hAnsiTheme="minorHAnsi" w:cstheme="minorHAnsi"/>
              <w:sz w:val="22"/>
              <w:szCs w:val="22"/>
            </w:rPr>
            <w:t>,</w:t>
          </w:r>
          <w:r w:rsidR="00AC0D1B" w:rsidRPr="00347E38">
            <w:rPr>
              <w:rFonts w:asciiTheme="minorHAnsi" w:hAnsiTheme="minorHAnsi" w:cstheme="minorHAnsi"/>
              <w:sz w:val="22"/>
              <w:szCs w:val="22"/>
            </w:rPr>
            <w:t xml:space="preserve"> 2020</w:t>
          </w:r>
          <w:r w:rsidR="00E12BA9" w:rsidRPr="00347E38">
            <w:rPr>
              <w:rFonts w:asciiTheme="minorHAnsi" w:hAnsiTheme="minorHAnsi" w:cstheme="minorHAnsi"/>
              <w:sz w:val="22"/>
              <w:szCs w:val="22"/>
            </w:rPr>
            <w:t>; Ross et al.</w:t>
          </w:r>
          <w:r w:rsidR="0060442B" w:rsidRPr="00347E38">
            <w:rPr>
              <w:rFonts w:asciiTheme="minorHAnsi" w:hAnsiTheme="minorHAnsi" w:cstheme="minorHAnsi"/>
              <w:sz w:val="22"/>
              <w:szCs w:val="22"/>
            </w:rPr>
            <w:t>,</w:t>
          </w:r>
          <w:r w:rsidR="00E12BA9" w:rsidRPr="00347E38">
            <w:rPr>
              <w:rFonts w:asciiTheme="minorHAnsi" w:hAnsiTheme="minorHAnsi" w:cstheme="minorHAnsi"/>
              <w:sz w:val="22"/>
              <w:szCs w:val="22"/>
            </w:rPr>
            <w:t xml:space="preserve"> 2022</w:t>
          </w:r>
          <w:r w:rsidR="00AC0D1B" w:rsidRPr="00347E38">
            <w:rPr>
              <w:rFonts w:asciiTheme="minorHAnsi" w:hAnsiTheme="minorHAnsi" w:cstheme="minorHAnsi"/>
              <w:sz w:val="22"/>
              <w:szCs w:val="22"/>
            </w:rPr>
            <w:t>)</w:t>
          </w:r>
          <w:r w:rsidR="00AA59EE" w:rsidRPr="00347E38">
            <w:rPr>
              <w:rFonts w:asciiTheme="minorHAnsi" w:hAnsiTheme="minorHAnsi" w:cstheme="minorHAnsi"/>
              <w:sz w:val="22"/>
              <w:szCs w:val="22"/>
            </w:rPr>
            <w:t>. The analysis incorporates</w:t>
          </w:r>
          <w:r w:rsidR="00E54BF2">
            <w:rPr>
              <w:rFonts w:asciiTheme="minorHAnsi" w:hAnsiTheme="minorHAnsi" w:cstheme="minorHAnsi"/>
              <w:sz w:val="22"/>
              <w:szCs w:val="22"/>
            </w:rPr>
            <w:t xml:space="preserve"> corporation</w:t>
          </w:r>
          <w:r w:rsidR="00AA59EE" w:rsidRPr="00347E38">
            <w:rPr>
              <w:rFonts w:asciiTheme="minorHAnsi" w:hAnsiTheme="minorHAnsi" w:cstheme="minorHAnsi"/>
              <w:sz w:val="22"/>
              <w:szCs w:val="22"/>
            </w:rPr>
            <w:t xml:space="preserve"> tax at 25% and capital allowances at 20% on a straight-line basis</w:t>
          </w:r>
          <w:r w:rsidR="00BD2470">
            <w:rPr>
              <w:rFonts w:asciiTheme="minorHAnsi" w:hAnsiTheme="minorHAnsi" w:cstheme="minorHAnsi"/>
              <w:sz w:val="22"/>
              <w:szCs w:val="22"/>
            </w:rPr>
            <w:t xml:space="preserve"> over the four-year project life</w:t>
          </w:r>
          <w:r w:rsidR="00AA59EE" w:rsidRPr="00347E38">
            <w:rPr>
              <w:rFonts w:asciiTheme="minorHAnsi" w:hAnsiTheme="minorHAnsi" w:cstheme="minorHAnsi"/>
              <w:sz w:val="22"/>
              <w:szCs w:val="22"/>
            </w:rPr>
            <w:t xml:space="preserve">. </w:t>
          </w:r>
          <w:r w:rsidR="00ED42E4" w:rsidRPr="00347E38">
            <w:rPr>
              <w:rFonts w:asciiTheme="minorHAnsi" w:hAnsiTheme="minorHAnsi" w:cstheme="minorHAnsi"/>
              <w:sz w:val="22"/>
              <w:szCs w:val="22"/>
            </w:rPr>
            <w:t>Following the NPV assessment, the Internal Rate of Return (IRR) of the preferred option is calculated</w:t>
          </w:r>
          <w:r w:rsidR="00D63691" w:rsidRPr="00347E38">
            <w:rPr>
              <w:rFonts w:asciiTheme="minorHAnsi" w:hAnsiTheme="minorHAnsi" w:cstheme="minorHAnsi"/>
              <w:sz w:val="22"/>
              <w:szCs w:val="22"/>
            </w:rPr>
            <w:t xml:space="preserve">, </w:t>
          </w:r>
          <w:r w:rsidR="009618E0" w:rsidRPr="00347E38">
            <w:rPr>
              <w:rFonts w:asciiTheme="minorHAnsi" w:hAnsiTheme="minorHAnsi" w:cstheme="minorHAnsi"/>
              <w:sz w:val="22"/>
              <w:szCs w:val="22"/>
            </w:rPr>
            <w:t>it is important to mention there is no residual/scrap value assumed and capital allowances are fully claimable</w:t>
          </w:r>
          <w:r w:rsidR="004130AE" w:rsidRPr="00347E38">
            <w:rPr>
              <w:rFonts w:asciiTheme="minorHAnsi" w:hAnsiTheme="minorHAnsi" w:cstheme="minorHAnsi"/>
              <w:sz w:val="22"/>
              <w:szCs w:val="22"/>
            </w:rPr>
            <w:t xml:space="preserve">, </w:t>
          </w:r>
          <w:r w:rsidR="00180B4E" w:rsidRPr="00347E38">
            <w:rPr>
              <w:rFonts w:asciiTheme="minorHAnsi" w:hAnsiTheme="minorHAnsi" w:cstheme="minorHAnsi"/>
              <w:sz w:val="22"/>
              <w:szCs w:val="22"/>
            </w:rPr>
            <w:t>(</w:t>
          </w:r>
          <w:r w:rsidR="00180B4E" w:rsidRPr="00347E38">
            <w:rPr>
              <w:rFonts w:asciiTheme="minorHAnsi" w:eastAsiaTheme="minorEastAsia" w:hAnsiTheme="minorHAnsi" w:cstheme="minorHAnsi"/>
              <w:sz w:val="22"/>
              <w:szCs w:val="22"/>
            </w:rPr>
            <w:t>Brigham &amp; Ehrhardt</w:t>
          </w:r>
          <w:r w:rsidR="00180B4E" w:rsidRPr="00347E38">
            <w:rPr>
              <w:rFonts w:asciiTheme="minorHAnsi" w:hAnsiTheme="minorHAnsi" w:cstheme="minorHAnsi"/>
              <w:sz w:val="22"/>
              <w:szCs w:val="22"/>
            </w:rPr>
            <w:t>, 2022)</w:t>
          </w:r>
          <w:r w:rsidR="00874A3A" w:rsidRPr="00347E38">
            <w:rPr>
              <w:rFonts w:asciiTheme="minorHAnsi" w:hAnsiTheme="minorHAnsi" w:cstheme="minorHAnsi"/>
              <w:sz w:val="22"/>
              <w:szCs w:val="22"/>
            </w:rPr>
            <w:t xml:space="preserve">. The report then interprets the results for management, discussing both the theoretical strengths and practical limitations of investment appraisal techniques. Capital rationing is also considered </w:t>
          </w:r>
          <w:r w:rsidR="00C673E2">
            <w:rPr>
              <w:rFonts w:asciiTheme="minorHAnsi" w:hAnsiTheme="minorHAnsi" w:cstheme="minorHAnsi"/>
              <w:sz w:val="22"/>
              <w:szCs w:val="22"/>
            </w:rPr>
            <w:t>under funding constraints</w:t>
          </w:r>
          <w:r w:rsidR="00874A3A" w:rsidRPr="00347E38">
            <w:rPr>
              <w:rFonts w:asciiTheme="minorHAnsi" w:hAnsiTheme="minorHAnsi" w:cstheme="minorHAnsi"/>
              <w:sz w:val="22"/>
              <w:szCs w:val="22"/>
            </w:rPr>
            <w:t>, before concluding with recommendations on the most appropriate sources of finance to support the proposed investment programme</w:t>
          </w:r>
          <w:r w:rsidR="00180B4E" w:rsidRPr="00347E38">
            <w:rPr>
              <w:rFonts w:asciiTheme="minorHAnsi" w:hAnsiTheme="minorHAnsi" w:cstheme="minorHAnsi"/>
              <w:sz w:val="22"/>
              <w:szCs w:val="22"/>
            </w:rPr>
            <w:t>, (Dayanada</w:t>
          </w:r>
          <w:r w:rsidR="00DC15AA" w:rsidRPr="00347E38">
            <w:rPr>
              <w:rFonts w:asciiTheme="minorHAnsi" w:hAnsiTheme="minorHAnsi" w:cstheme="minorHAnsi"/>
              <w:sz w:val="22"/>
              <w:szCs w:val="22"/>
            </w:rPr>
            <w:t xml:space="preserve"> et al</w:t>
          </w:r>
          <w:r w:rsidR="0060442B" w:rsidRPr="00347E38">
            <w:rPr>
              <w:rFonts w:asciiTheme="minorHAnsi" w:hAnsiTheme="minorHAnsi" w:cstheme="minorHAnsi"/>
              <w:sz w:val="22"/>
              <w:szCs w:val="22"/>
            </w:rPr>
            <w:t>.</w:t>
          </w:r>
          <w:r w:rsidR="00DC15AA" w:rsidRPr="00347E38">
            <w:rPr>
              <w:rFonts w:asciiTheme="minorHAnsi" w:hAnsiTheme="minorHAnsi" w:cstheme="minorHAnsi"/>
              <w:sz w:val="22"/>
              <w:szCs w:val="22"/>
            </w:rPr>
            <w:t>, 2002)</w:t>
          </w:r>
          <w:r w:rsidR="00874A3A" w:rsidRPr="00347E38">
            <w:rPr>
              <w:rFonts w:asciiTheme="minorHAnsi" w:hAnsiTheme="minorHAnsi" w:cstheme="minorHAnsi"/>
              <w:sz w:val="22"/>
              <w:szCs w:val="22"/>
            </w:rPr>
            <w:t xml:space="preserve">. </w:t>
          </w:r>
          <w:r w:rsidR="00ED42E4" w:rsidRPr="00347E38">
            <w:rPr>
              <w:rFonts w:asciiTheme="minorHAnsi" w:hAnsiTheme="minorHAnsi" w:cstheme="minorHAnsi"/>
              <w:sz w:val="22"/>
              <w:szCs w:val="22"/>
            </w:rPr>
            <w:t xml:space="preserve"> </w:t>
          </w:r>
        </w:p>
        <w:p w14:paraId="06FC3E9B" w14:textId="76EDA937" w:rsidR="00F7777D" w:rsidRPr="00347E38" w:rsidRDefault="009C1912" w:rsidP="00030AEB">
          <w:pPr>
            <w:rPr>
              <w:rFonts w:asciiTheme="minorHAnsi" w:hAnsiTheme="minorHAnsi" w:cstheme="minorHAnsi"/>
              <w:sz w:val="22"/>
              <w:szCs w:val="22"/>
            </w:rPr>
          </w:pPr>
          <w:r w:rsidRPr="00347E38">
            <w:rPr>
              <w:rFonts w:asciiTheme="minorHAnsi" w:hAnsiTheme="minorHAnsi" w:cstheme="minorHAnsi"/>
              <w:sz w:val="22"/>
              <w:szCs w:val="22"/>
            </w:rPr>
            <w:t>As previously mentioned, to ensure a realistic assessment</w:t>
          </w:r>
          <w:r w:rsidR="0099521E" w:rsidRPr="00347E38">
            <w:rPr>
              <w:rFonts w:asciiTheme="minorHAnsi" w:hAnsiTheme="minorHAnsi" w:cstheme="minorHAnsi"/>
              <w:sz w:val="22"/>
              <w:szCs w:val="22"/>
            </w:rPr>
            <w:t xml:space="preserve"> the projected cash flows for each investment option were adjusted to reflect corporation tax at 25% and capital allowances at 20% on a straight-line basis over the four-year period. Capital allow</w:t>
          </w:r>
          <w:r w:rsidR="00B43281" w:rsidRPr="00347E38">
            <w:rPr>
              <w:rFonts w:asciiTheme="minorHAnsi" w:hAnsiTheme="minorHAnsi" w:cstheme="minorHAnsi"/>
              <w:sz w:val="22"/>
              <w:szCs w:val="22"/>
            </w:rPr>
            <w:t xml:space="preserve">ances reduce </w:t>
          </w:r>
          <w:r w:rsidR="006416A1" w:rsidRPr="00347E38">
            <w:rPr>
              <w:rFonts w:asciiTheme="minorHAnsi" w:hAnsiTheme="minorHAnsi" w:cstheme="minorHAnsi"/>
              <w:sz w:val="22"/>
              <w:szCs w:val="22"/>
            </w:rPr>
            <w:t>taxable</w:t>
          </w:r>
          <w:r w:rsidR="00B43281" w:rsidRPr="00347E38">
            <w:rPr>
              <w:rFonts w:asciiTheme="minorHAnsi" w:hAnsiTheme="minorHAnsi" w:cstheme="minorHAnsi"/>
              <w:sz w:val="22"/>
              <w:szCs w:val="22"/>
            </w:rPr>
            <w:t xml:space="preserve"> profits and generate a tax shield</w:t>
          </w:r>
          <w:r w:rsidR="00BA5BD0">
            <w:rPr>
              <w:rFonts w:asciiTheme="minorHAnsi" w:hAnsiTheme="minorHAnsi" w:cstheme="minorHAnsi"/>
              <w:sz w:val="22"/>
              <w:szCs w:val="22"/>
            </w:rPr>
            <w:t xml:space="preserve">, thereby </w:t>
          </w:r>
          <w:r w:rsidR="00264460" w:rsidRPr="00347E38">
            <w:rPr>
              <w:rFonts w:asciiTheme="minorHAnsi" w:hAnsiTheme="minorHAnsi" w:cstheme="minorHAnsi"/>
              <w:sz w:val="22"/>
              <w:szCs w:val="22"/>
            </w:rPr>
            <w:t>enhancing overall project value</w:t>
          </w:r>
          <w:r w:rsidR="00B43281" w:rsidRPr="00347E38">
            <w:rPr>
              <w:rFonts w:asciiTheme="minorHAnsi" w:hAnsiTheme="minorHAnsi" w:cstheme="minorHAnsi"/>
              <w:sz w:val="22"/>
              <w:szCs w:val="22"/>
            </w:rPr>
            <w:t>.</w:t>
          </w:r>
          <w:r w:rsidR="00B8716A" w:rsidRPr="00347E38">
            <w:rPr>
              <w:rFonts w:asciiTheme="minorHAnsi" w:hAnsiTheme="minorHAnsi" w:cstheme="minorHAnsi"/>
              <w:sz w:val="22"/>
              <w:szCs w:val="22"/>
            </w:rPr>
            <w:t xml:space="preserve"> Evaluating </w:t>
          </w:r>
          <w:r w:rsidR="00BC5699" w:rsidRPr="00347E38">
            <w:rPr>
              <w:rFonts w:asciiTheme="minorHAnsi" w:hAnsiTheme="minorHAnsi" w:cstheme="minorHAnsi"/>
              <w:sz w:val="22"/>
              <w:szCs w:val="22"/>
            </w:rPr>
            <w:t>investments</w:t>
          </w:r>
          <w:r w:rsidR="00B8716A" w:rsidRPr="00347E38">
            <w:rPr>
              <w:rFonts w:asciiTheme="minorHAnsi" w:hAnsiTheme="minorHAnsi" w:cstheme="minorHAnsi"/>
              <w:sz w:val="22"/>
              <w:szCs w:val="22"/>
            </w:rPr>
            <w:t xml:space="preserve"> on the basis of discounted cash flows ensures that </w:t>
          </w:r>
          <w:r w:rsidR="002D22CD" w:rsidRPr="00347E38">
            <w:rPr>
              <w:rFonts w:asciiTheme="minorHAnsi" w:hAnsiTheme="minorHAnsi" w:cstheme="minorHAnsi"/>
              <w:sz w:val="22"/>
              <w:szCs w:val="22"/>
            </w:rPr>
            <w:t xml:space="preserve">decisions are aligned with long-term value creation rather than short-term accounting profits. By discounting after-tax cash flows at the firm’s cost of capital, management </w:t>
          </w:r>
          <w:r w:rsidR="00BC5699" w:rsidRPr="00347E38">
            <w:rPr>
              <w:rFonts w:asciiTheme="minorHAnsi" w:hAnsiTheme="minorHAnsi" w:cstheme="minorHAnsi"/>
              <w:sz w:val="22"/>
              <w:szCs w:val="22"/>
            </w:rPr>
            <w:t>is better able to assess whether proposed investments contribute to shareholder value and support strategic performance objectives, (Walsh, 2010; Marr, 2012).</w:t>
          </w:r>
          <w:r w:rsidR="00B43281" w:rsidRPr="00347E38">
            <w:rPr>
              <w:rFonts w:asciiTheme="minorHAnsi" w:hAnsiTheme="minorHAnsi" w:cstheme="minorHAnsi"/>
              <w:sz w:val="22"/>
              <w:szCs w:val="22"/>
            </w:rPr>
            <w:t xml:space="preserve"> </w:t>
          </w:r>
          <w:r w:rsidR="00137A4F">
            <w:rPr>
              <w:rFonts w:asciiTheme="minorHAnsi" w:hAnsiTheme="minorHAnsi" w:cstheme="minorHAnsi"/>
              <w:sz w:val="22"/>
              <w:szCs w:val="22"/>
            </w:rPr>
            <w:t>T</w:t>
          </w:r>
          <w:r w:rsidR="00B43281" w:rsidRPr="00347E38">
            <w:rPr>
              <w:rFonts w:asciiTheme="minorHAnsi" w:hAnsiTheme="minorHAnsi" w:cstheme="minorHAnsi"/>
              <w:sz w:val="22"/>
              <w:szCs w:val="22"/>
            </w:rPr>
            <w:t>he after-tax cash flows were discounted to their present values using the 6% discount rate and agg</w:t>
          </w:r>
          <w:r w:rsidR="00496D7B" w:rsidRPr="00347E38">
            <w:rPr>
              <w:rFonts w:asciiTheme="minorHAnsi" w:hAnsiTheme="minorHAnsi" w:cstheme="minorHAnsi"/>
              <w:sz w:val="22"/>
              <w:szCs w:val="22"/>
            </w:rPr>
            <w:t>regated</w:t>
          </w:r>
          <w:r w:rsidR="0089087E">
            <w:rPr>
              <w:rFonts w:asciiTheme="minorHAnsi" w:hAnsiTheme="minorHAnsi" w:cstheme="minorHAnsi"/>
              <w:sz w:val="22"/>
              <w:szCs w:val="22"/>
            </w:rPr>
            <w:t xml:space="preserve"> to determine their present value</w:t>
          </w:r>
          <w:r w:rsidR="00496D7B" w:rsidRPr="00347E38">
            <w:rPr>
              <w:rFonts w:asciiTheme="minorHAnsi" w:hAnsiTheme="minorHAnsi" w:cstheme="minorHAnsi"/>
              <w:sz w:val="22"/>
              <w:szCs w:val="22"/>
            </w:rPr>
            <w:t>.</w:t>
          </w:r>
          <w:r w:rsidR="00E4733C">
            <w:rPr>
              <w:rFonts w:asciiTheme="minorHAnsi" w:hAnsiTheme="minorHAnsi" w:cstheme="minorHAnsi"/>
              <w:sz w:val="22"/>
              <w:szCs w:val="22"/>
            </w:rPr>
            <w:t xml:space="preserve"> For Westward Plc specifically, t</w:t>
          </w:r>
          <w:r w:rsidR="00363DF5" w:rsidRPr="00347E38">
            <w:rPr>
              <w:rFonts w:asciiTheme="minorHAnsi" w:hAnsiTheme="minorHAnsi" w:cstheme="minorHAnsi"/>
              <w:sz w:val="22"/>
              <w:szCs w:val="22"/>
            </w:rPr>
            <w:t>he NPV analysis indicates that all three investment options generate positive NPVs, suggesting that each pro</w:t>
          </w:r>
          <w:r w:rsidR="0040758B">
            <w:rPr>
              <w:rFonts w:asciiTheme="minorHAnsi" w:hAnsiTheme="minorHAnsi" w:cstheme="minorHAnsi"/>
              <w:sz w:val="22"/>
              <w:szCs w:val="22"/>
            </w:rPr>
            <w:t>posal</w:t>
          </w:r>
          <w:r w:rsidR="00363DF5" w:rsidRPr="00347E38">
            <w:rPr>
              <w:rFonts w:asciiTheme="minorHAnsi" w:hAnsiTheme="minorHAnsi" w:cstheme="minorHAnsi"/>
              <w:sz w:val="22"/>
              <w:szCs w:val="22"/>
            </w:rPr>
            <w:t xml:space="preserve"> is financially viable and would add value to the company. </w:t>
          </w:r>
          <w:r w:rsidR="0035188C">
            <w:rPr>
              <w:rFonts w:asciiTheme="minorHAnsi" w:hAnsiTheme="minorHAnsi" w:cstheme="minorHAnsi"/>
              <w:sz w:val="22"/>
              <w:szCs w:val="22"/>
            </w:rPr>
            <w:t xml:space="preserve">In this context, </w:t>
          </w:r>
          <w:r w:rsidR="00363DF5" w:rsidRPr="00347E38">
            <w:rPr>
              <w:rFonts w:asciiTheme="minorHAnsi" w:hAnsiTheme="minorHAnsi" w:cstheme="minorHAnsi"/>
              <w:sz w:val="22"/>
              <w:szCs w:val="22"/>
            </w:rPr>
            <w:t xml:space="preserve">Option A, which involved expanding the existing retail outlet, produces a positive NPV of approximately </w:t>
          </w:r>
          <w:r w:rsidR="007F3FDD" w:rsidRPr="00347E38">
            <w:rPr>
              <w:rFonts w:asciiTheme="minorHAnsi" w:hAnsiTheme="minorHAnsi" w:cstheme="minorHAnsi"/>
              <w:sz w:val="22"/>
              <w:szCs w:val="22"/>
            </w:rPr>
            <w:t>£643,000</w:t>
          </w:r>
          <w:r w:rsidR="007F3FDD" w:rsidRPr="00347E38">
            <w:rPr>
              <w:rFonts w:asciiTheme="minorHAnsi" w:hAnsiTheme="minorHAnsi" w:cstheme="minorHAnsi"/>
              <w:sz w:val="22"/>
              <w:szCs w:val="22"/>
            </w:rPr>
            <w:t xml:space="preserve">. Option B, focused on developing internet sales, generates </w:t>
          </w:r>
          <w:r w:rsidR="00DC294C" w:rsidRPr="00347E38">
            <w:rPr>
              <w:rFonts w:asciiTheme="minorHAnsi" w:hAnsiTheme="minorHAnsi" w:cstheme="minorHAnsi"/>
              <w:sz w:val="22"/>
              <w:szCs w:val="22"/>
            </w:rPr>
            <w:t xml:space="preserve">a higher NPV of around </w:t>
          </w:r>
          <w:r w:rsidR="00DC294C" w:rsidRPr="00347E38">
            <w:rPr>
              <w:rFonts w:asciiTheme="minorHAnsi" w:hAnsiTheme="minorHAnsi" w:cstheme="minorHAnsi"/>
              <w:sz w:val="22"/>
              <w:szCs w:val="22"/>
            </w:rPr>
            <w:t>£7</w:t>
          </w:r>
          <w:r w:rsidR="0040758B">
            <w:rPr>
              <w:rFonts w:asciiTheme="minorHAnsi" w:hAnsiTheme="minorHAnsi" w:cstheme="minorHAnsi"/>
              <w:sz w:val="22"/>
              <w:szCs w:val="22"/>
            </w:rPr>
            <w:t>92</w:t>
          </w:r>
          <w:r w:rsidR="00DC294C" w:rsidRPr="00347E38">
            <w:rPr>
              <w:rFonts w:asciiTheme="minorHAnsi" w:hAnsiTheme="minorHAnsi" w:cstheme="minorHAnsi"/>
              <w:sz w:val="22"/>
              <w:szCs w:val="22"/>
            </w:rPr>
            <w:t>,000</w:t>
          </w:r>
          <w:r w:rsidR="00DC294C" w:rsidRPr="00347E38">
            <w:rPr>
              <w:rFonts w:asciiTheme="minorHAnsi" w:hAnsiTheme="minorHAnsi" w:cstheme="minorHAnsi"/>
              <w:sz w:val="22"/>
              <w:szCs w:val="22"/>
            </w:rPr>
            <w:t xml:space="preserve">, reflecting stronger projected cash inflows relative to </w:t>
          </w:r>
          <w:r w:rsidR="0012265D" w:rsidRPr="00347E38">
            <w:rPr>
              <w:rFonts w:asciiTheme="minorHAnsi" w:hAnsiTheme="minorHAnsi" w:cstheme="minorHAnsi"/>
              <w:sz w:val="22"/>
              <w:szCs w:val="22"/>
            </w:rPr>
            <w:t xml:space="preserve">its investment cost. Option C, which proposes diversification into wooden and Roman blinds, produces </w:t>
          </w:r>
          <w:r w:rsidR="00B60E0F">
            <w:rPr>
              <w:rFonts w:asciiTheme="minorHAnsi" w:hAnsiTheme="minorHAnsi" w:cstheme="minorHAnsi"/>
              <w:sz w:val="22"/>
              <w:szCs w:val="22"/>
            </w:rPr>
            <w:t xml:space="preserve">a substantially positive </w:t>
          </w:r>
          <w:r w:rsidR="0012265D" w:rsidRPr="00347E38">
            <w:rPr>
              <w:rFonts w:asciiTheme="minorHAnsi" w:hAnsiTheme="minorHAnsi" w:cstheme="minorHAnsi"/>
              <w:sz w:val="22"/>
              <w:szCs w:val="22"/>
            </w:rPr>
            <w:t xml:space="preserve">NPV </w:t>
          </w:r>
          <w:r w:rsidR="00B60E0F">
            <w:rPr>
              <w:rFonts w:asciiTheme="minorHAnsi" w:hAnsiTheme="minorHAnsi" w:cstheme="minorHAnsi"/>
              <w:sz w:val="22"/>
              <w:szCs w:val="22"/>
            </w:rPr>
            <w:t>of</w:t>
          </w:r>
          <w:r w:rsidR="0012265D" w:rsidRPr="00347E38">
            <w:rPr>
              <w:rFonts w:asciiTheme="minorHAnsi" w:hAnsiTheme="minorHAnsi" w:cstheme="minorHAnsi"/>
              <w:sz w:val="22"/>
              <w:szCs w:val="22"/>
            </w:rPr>
            <w:t xml:space="preserve"> approximately </w:t>
          </w:r>
          <w:r w:rsidR="00EB5652" w:rsidRPr="00347E38">
            <w:rPr>
              <w:rFonts w:asciiTheme="minorHAnsi" w:hAnsiTheme="minorHAnsi" w:cstheme="minorHAnsi"/>
              <w:sz w:val="22"/>
              <w:szCs w:val="22"/>
            </w:rPr>
            <w:t>£</w:t>
          </w:r>
          <w:r w:rsidR="0040758B">
            <w:rPr>
              <w:rFonts w:asciiTheme="minorHAnsi" w:hAnsiTheme="minorHAnsi" w:cstheme="minorHAnsi"/>
              <w:sz w:val="22"/>
              <w:szCs w:val="22"/>
            </w:rPr>
            <w:t>743</w:t>
          </w:r>
          <w:r w:rsidR="00EB5652" w:rsidRPr="00347E38">
            <w:rPr>
              <w:rFonts w:asciiTheme="minorHAnsi" w:hAnsiTheme="minorHAnsi" w:cstheme="minorHAnsi"/>
              <w:sz w:val="22"/>
              <w:szCs w:val="22"/>
            </w:rPr>
            <w:t>,000</w:t>
          </w:r>
          <w:r w:rsidR="00517595">
            <w:rPr>
              <w:rFonts w:asciiTheme="minorHAnsi" w:hAnsiTheme="minorHAnsi" w:cstheme="minorHAnsi"/>
              <w:sz w:val="22"/>
              <w:szCs w:val="22"/>
            </w:rPr>
            <w:t>, d</w:t>
          </w:r>
          <w:r w:rsidR="00EB5652" w:rsidRPr="00347E38">
            <w:rPr>
              <w:rFonts w:asciiTheme="minorHAnsi" w:hAnsiTheme="minorHAnsi" w:cstheme="minorHAnsi"/>
              <w:sz w:val="22"/>
              <w:szCs w:val="22"/>
            </w:rPr>
            <w:t>espite requiring the largest initial investment</w:t>
          </w:r>
          <w:r w:rsidR="00517595">
            <w:rPr>
              <w:rFonts w:asciiTheme="minorHAnsi" w:hAnsiTheme="minorHAnsi" w:cstheme="minorHAnsi"/>
              <w:sz w:val="22"/>
              <w:szCs w:val="22"/>
            </w:rPr>
            <w:t>.</w:t>
          </w:r>
          <w:r w:rsidR="00EB5652" w:rsidRPr="00347E38">
            <w:rPr>
              <w:rFonts w:asciiTheme="minorHAnsi" w:hAnsiTheme="minorHAnsi" w:cstheme="minorHAnsi"/>
              <w:sz w:val="22"/>
              <w:szCs w:val="22"/>
            </w:rPr>
            <w:t xml:space="preserve"> </w:t>
          </w:r>
          <w:r w:rsidR="004E4C44">
            <w:rPr>
              <w:rFonts w:asciiTheme="minorHAnsi" w:hAnsiTheme="minorHAnsi" w:cstheme="minorHAnsi"/>
              <w:sz w:val="22"/>
              <w:szCs w:val="22"/>
            </w:rPr>
            <w:t>B</w:t>
          </w:r>
          <w:r w:rsidR="00EB5652" w:rsidRPr="00347E38">
            <w:rPr>
              <w:rFonts w:asciiTheme="minorHAnsi" w:hAnsiTheme="minorHAnsi" w:cstheme="minorHAnsi"/>
              <w:sz w:val="22"/>
              <w:szCs w:val="22"/>
            </w:rPr>
            <w:t xml:space="preserve">ased on NPV </w:t>
          </w:r>
          <w:r w:rsidR="004E4C44">
            <w:rPr>
              <w:rFonts w:asciiTheme="minorHAnsi" w:hAnsiTheme="minorHAnsi" w:cstheme="minorHAnsi"/>
              <w:sz w:val="22"/>
              <w:szCs w:val="22"/>
            </w:rPr>
            <w:t xml:space="preserve">decision rule, Option B </w:t>
          </w:r>
          <w:r w:rsidR="00CD5705">
            <w:rPr>
              <w:rFonts w:asciiTheme="minorHAnsi" w:hAnsiTheme="minorHAnsi" w:cstheme="minorHAnsi"/>
              <w:sz w:val="22"/>
              <w:szCs w:val="22"/>
            </w:rPr>
            <w:t>represents the most attractive standalone investment in terms of absolute shareholder wealth creation</w:t>
          </w:r>
          <w:r w:rsidR="00EB5652" w:rsidRPr="00347E38">
            <w:rPr>
              <w:rFonts w:asciiTheme="minorHAnsi" w:hAnsiTheme="minorHAnsi" w:cstheme="minorHAnsi"/>
              <w:sz w:val="22"/>
              <w:szCs w:val="22"/>
            </w:rPr>
            <w:t xml:space="preserve">. </w:t>
          </w:r>
          <w:r w:rsidR="00EC3CC6">
            <w:rPr>
              <w:rFonts w:asciiTheme="minorHAnsi" w:hAnsiTheme="minorHAnsi" w:cstheme="minorHAnsi"/>
              <w:sz w:val="22"/>
              <w:szCs w:val="22"/>
            </w:rPr>
            <w:t>Be that as it may, under capital rationing, the combination of Options A, B and C delivers the highest total NPV, with Option C included proportionally despite having a lower standalone NPV.</w:t>
          </w:r>
        </w:p>
        <w:p w14:paraId="0F850AE0" w14:textId="05608367" w:rsidR="009825A1" w:rsidRPr="00347E38" w:rsidRDefault="008D6E86" w:rsidP="00030AEB">
          <w:pPr>
            <w:rPr>
              <w:rFonts w:asciiTheme="minorHAnsi" w:hAnsiTheme="minorHAnsi" w:cstheme="minorHAnsi"/>
              <w:sz w:val="22"/>
              <w:szCs w:val="22"/>
            </w:rPr>
          </w:pPr>
          <w:r w:rsidRPr="00347E38">
            <w:rPr>
              <w:rFonts w:asciiTheme="minorHAnsi" w:hAnsiTheme="minorHAnsi" w:cstheme="minorHAnsi"/>
              <w:sz w:val="22"/>
              <w:szCs w:val="22"/>
            </w:rPr>
            <w:t xml:space="preserve">The IRR </w:t>
          </w:r>
          <w:r w:rsidR="00C056FC" w:rsidRPr="00347E38">
            <w:rPr>
              <w:rFonts w:asciiTheme="minorHAnsi" w:hAnsiTheme="minorHAnsi" w:cstheme="minorHAnsi"/>
              <w:sz w:val="22"/>
              <w:szCs w:val="22"/>
            </w:rPr>
            <w:t>is an investment appraisal technique that identifies</w:t>
          </w:r>
          <w:r w:rsidRPr="00347E38">
            <w:rPr>
              <w:rFonts w:asciiTheme="minorHAnsi" w:hAnsiTheme="minorHAnsi" w:cstheme="minorHAnsi"/>
              <w:sz w:val="22"/>
              <w:szCs w:val="22"/>
            </w:rPr>
            <w:t xml:space="preserve"> </w:t>
          </w:r>
          <w:r w:rsidR="002B6C17" w:rsidRPr="00347E38">
            <w:rPr>
              <w:rFonts w:asciiTheme="minorHAnsi" w:hAnsiTheme="minorHAnsi" w:cstheme="minorHAnsi"/>
              <w:sz w:val="22"/>
              <w:szCs w:val="22"/>
            </w:rPr>
            <w:t xml:space="preserve">the discount rate at which the net present value of </w:t>
          </w:r>
          <w:r w:rsidR="00EC14DC" w:rsidRPr="00347E38">
            <w:rPr>
              <w:rFonts w:asciiTheme="minorHAnsi" w:hAnsiTheme="minorHAnsi" w:cstheme="minorHAnsi"/>
              <w:sz w:val="22"/>
              <w:szCs w:val="22"/>
            </w:rPr>
            <w:t>expected cash inflows equals the initial investment</w:t>
          </w:r>
          <w:r w:rsidR="00AE7B10" w:rsidRPr="00347E38">
            <w:rPr>
              <w:rFonts w:asciiTheme="minorHAnsi" w:hAnsiTheme="minorHAnsi" w:cstheme="minorHAnsi"/>
              <w:sz w:val="22"/>
              <w:szCs w:val="22"/>
            </w:rPr>
            <w:t xml:space="preserve">, resulting in a net present value of zero. </w:t>
          </w:r>
          <w:r w:rsidR="00713FCE" w:rsidRPr="00347E38">
            <w:rPr>
              <w:rFonts w:asciiTheme="minorHAnsi" w:hAnsiTheme="minorHAnsi" w:cstheme="minorHAnsi"/>
              <w:sz w:val="22"/>
              <w:szCs w:val="22"/>
            </w:rPr>
            <w:t xml:space="preserve">In practical terms, the IRR provides an estimate of </w:t>
          </w:r>
          <w:r w:rsidR="003858F0" w:rsidRPr="00347E38">
            <w:rPr>
              <w:rFonts w:asciiTheme="minorHAnsi" w:hAnsiTheme="minorHAnsi" w:cstheme="minorHAnsi"/>
              <w:sz w:val="22"/>
              <w:szCs w:val="22"/>
            </w:rPr>
            <w:t xml:space="preserve">the percentage return a project is expected to deliver over its economic life. </w:t>
          </w:r>
          <w:r w:rsidR="00E4733C">
            <w:rPr>
              <w:rFonts w:asciiTheme="minorHAnsi" w:hAnsiTheme="minorHAnsi" w:cstheme="minorHAnsi"/>
              <w:sz w:val="22"/>
              <w:szCs w:val="22"/>
            </w:rPr>
            <w:t>From a managerial perspective, i</w:t>
          </w:r>
          <w:r w:rsidR="002B6C17" w:rsidRPr="00347E38">
            <w:rPr>
              <w:rFonts w:asciiTheme="minorHAnsi" w:hAnsiTheme="minorHAnsi" w:cstheme="minorHAnsi"/>
              <w:sz w:val="22"/>
              <w:szCs w:val="22"/>
            </w:rPr>
            <w:t>t reflects the expected rate of return generated by a project and allows comparison with the organisation’s cost of capital. A project is considered acceptable if its IRR exceeds the required rate of return, as this indicate</w:t>
          </w:r>
          <w:r w:rsidR="0033250C">
            <w:rPr>
              <w:rFonts w:asciiTheme="minorHAnsi" w:hAnsiTheme="minorHAnsi" w:cstheme="minorHAnsi"/>
              <w:sz w:val="22"/>
              <w:szCs w:val="22"/>
            </w:rPr>
            <w:t>s</w:t>
          </w:r>
          <w:r w:rsidR="002B6C17" w:rsidRPr="00347E38">
            <w:rPr>
              <w:rFonts w:asciiTheme="minorHAnsi" w:hAnsiTheme="minorHAnsi" w:cstheme="minorHAnsi"/>
              <w:sz w:val="22"/>
              <w:szCs w:val="22"/>
            </w:rPr>
            <w:t xml:space="preserve"> that the project is expected to generate value to shareholders. The IRR </w:t>
          </w:r>
          <w:r w:rsidR="00B45F1F" w:rsidRPr="00347E38">
            <w:rPr>
              <w:rFonts w:asciiTheme="minorHAnsi" w:hAnsiTheme="minorHAnsi" w:cstheme="minorHAnsi"/>
              <w:sz w:val="22"/>
              <w:szCs w:val="22"/>
            </w:rPr>
            <w:t xml:space="preserve">was calculated for </w:t>
          </w:r>
          <w:r w:rsidR="00B117AB">
            <w:rPr>
              <w:rFonts w:asciiTheme="minorHAnsi" w:hAnsiTheme="minorHAnsi" w:cstheme="minorHAnsi"/>
              <w:sz w:val="22"/>
              <w:szCs w:val="22"/>
            </w:rPr>
            <w:t>O</w:t>
          </w:r>
          <w:r w:rsidR="00B45F1F" w:rsidRPr="00347E38">
            <w:rPr>
              <w:rFonts w:asciiTheme="minorHAnsi" w:hAnsiTheme="minorHAnsi" w:cstheme="minorHAnsi"/>
              <w:sz w:val="22"/>
              <w:szCs w:val="22"/>
            </w:rPr>
            <w:t xml:space="preserve">ption C, </w:t>
          </w:r>
          <w:r w:rsidR="00842097">
            <w:rPr>
              <w:rFonts w:asciiTheme="minorHAnsi" w:hAnsiTheme="minorHAnsi" w:cstheme="minorHAnsi"/>
              <w:sz w:val="22"/>
              <w:szCs w:val="22"/>
            </w:rPr>
            <w:t>which represents a major strategic expansion</w:t>
          </w:r>
          <w:r w:rsidR="00A2314F">
            <w:rPr>
              <w:rFonts w:asciiTheme="minorHAnsi" w:hAnsiTheme="minorHAnsi" w:cstheme="minorHAnsi"/>
              <w:sz w:val="22"/>
              <w:szCs w:val="22"/>
            </w:rPr>
            <w:t>.</w:t>
          </w:r>
          <w:r w:rsidR="00746A36">
            <w:rPr>
              <w:rFonts w:asciiTheme="minorHAnsi" w:hAnsiTheme="minorHAnsi" w:cstheme="minorHAnsi"/>
              <w:sz w:val="22"/>
              <w:szCs w:val="22"/>
            </w:rPr>
            <w:t xml:space="preserve"> </w:t>
          </w:r>
          <w:r w:rsidR="009F3192">
            <w:rPr>
              <w:rFonts w:asciiTheme="minorHAnsi" w:hAnsiTheme="minorHAnsi" w:cstheme="minorHAnsi"/>
              <w:sz w:val="22"/>
              <w:szCs w:val="22"/>
            </w:rPr>
            <w:t>While Option B has the highest standalone</w:t>
          </w:r>
          <w:r w:rsidR="00746A36">
            <w:rPr>
              <w:rFonts w:asciiTheme="minorHAnsi" w:hAnsiTheme="minorHAnsi" w:cstheme="minorHAnsi"/>
              <w:sz w:val="22"/>
              <w:szCs w:val="22"/>
            </w:rPr>
            <w:t xml:space="preserve"> NPV</w:t>
          </w:r>
          <w:r w:rsidR="009F3192">
            <w:rPr>
              <w:rFonts w:asciiTheme="minorHAnsi" w:hAnsiTheme="minorHAnsi" w:cstheme="minorHAnsi"/>
              <w:sz w:val="22"/>
              <w:szCs w:val="22"/>
            </w:rPr>
            <w:t>, Options C’s strong IRR supports its inclusion in the optimal investmen</w:t>
          </w:r>
          <w:r w:rsidR="00DC28A4">
            <w:rPr>
              <w:rFonts w:asciiTheme="minorHAnsi" w:hAnsiTheme="minorHAnsi" w:cstheme="minorHAnsi"/>
              <w:sz w:val="22"/>
              <w:szCs w:val="22"/>
            </w:rPr>
            <w:t>t portfolio</w:t>
          </w:r>
          <w:r w:rsidR="00746A36">
            <w:rPr>
              <w:rFonts w:asciiTheme="minorHAnsi" w:hAnsiTheme="minorHAnsi" w:cstheme="minorHAnsi"/>
              <w:sz w:val="22"/>
              <w:szCs w:val="22"/>
            </w:rPr>
            <w:t>.</w:t>
          </w:r>
          <w:r w:rsidR="00B45F1F" w:rsidRPr="00347E38">
            <w:rPr>
              <w:rFonts w:asciiTheme="minorHAnsi" w:hAnsiTheme="minorHAnsi" w:cstheme="minorHAnsi"/>
              <w:sz w:val="22"/>
              <w:szCs w:val="22"/>
            </w:rPr>
            <w:t xml:space="preserve"> </w:t>
          </w:r>
          <w:r w:rsidR="000D2E95" w:rsidRPr="00347E38">
            <w:rPr>
              <w:rFonts w:asciiTheme="minorHAnsi" w:hAnsiTheme="minorHAnsi" w:cstheme="minorHAnsi"/>
              <w:sz w:val="22"/>
              <w:szCs w:val="22"/>
            </w:rPr>
            <w:t xml:space="preserve">Using </w:t>
          </w:r>
          <w:r w:rsidR="00DC4E87" w:rsidRPr="00347E38">
            <w:rPr>
              <w:rFonts w:asciiTheme="minorHAnsi" w:hAnsiTheme="minorHAnsi" w:cstheme="minorHAnsi"/>
              <w:sz w:val="22"/>
              <w:szCs w:val="22"/>
            </w:rPr>
            <w:t>interpolat</w:t>
          </w:r>
          <w:r w:rsidR="00DC4E87">
            <w:rPr>
              <w:rFonts w:asciiTheme="minorHAnsi" w:hAnsiTheme="minorHAnsi" w:cstheme="minorHAnsi"/>
              <w:sz w:val="22"/>
              <w:szCs w:val="22"/>
            </w:rPr>
            <w:t>ion</w:t>
          </w:r>
          <w:r w:rsidR="000D2E95" w:rsidRPr="00347E38">
            <w:rPr>
              <w:rFonts w:asciiTheme="minorHAnsi" w:hAnsiTheme="minorHAnsi" w:cstheme="minorHAnsi"/>
              <w:sz w:val="22"/>
              <w:szCs w:val="22"/>
            </w:rPr>
            <w:t xml:space="preserve"> between </w:t>
          </w:r>
          <w:r w:rsidR="00DC4E87">
            <w:rPr>
              <w:rFonts w:asciiTheme="minorHAnsi" w:hAnsiTheme="minorHAnsi" w:cstheme="minorHAnsi"/>
              <w:sz w:val="22"/>
              <w:szCs w:val="22"/>
            </w:rPr>
            <w:t>discount rates</w:t>
          </w:r>
          <w:r w:rsidR="000D2E95" w:rsidRPr="00347E38">
            <w:rPr>
              <w:rFonts w:asciiTheme="minorHAnsi" w:hAnsiTheme="minorHAnsi" w:cstheme="minorHAnsi"/>
              <w:sz w:val="22"/>
              <w:szCs w:val="22"/>
            </w:rPr>
            <w:t xml:space="preserve">, the approximate IRR for </w:t>
          </w:r>
          <w:r w:rsidR="00B117AB">
            <w:rPr>
              <w:rFonts w:asciiTheme="minorHAnsi" w:hAnsiTheme="minorHAnsi" w:cstheme="minorHAnsi"/>
              <w:sz w:val="22"/>
              <w:szCs w:val="22"/>
            </w:rPr>
            <w:t>O</w:t>
          </w:r>
          <w:r w:rsidR="000D2E95" w:rsidRPr="00347E38">
            <w:rPr>
              <w:rFonts w:asciiTheme="minorHAnsi" w:hAnsiTheme="minorHAnsi" w:cstheme="minorHAnsi"/>
              <w:sz w:val="22"/>
              <w:szCs w:val="22"/>
            </w:rPr>
            <w:t xml:space="preserve">ption C was estimated </w:t>
          </w:r>
          <w:r w:rsidR="00DC4E87">
            <w:rPr>
              <w:rFonts w:asciiTheme="minorHAnsi" w:hAnsiTheme="minorHAnsi" w:cstheme="minorHAnsi"/>
              <w:sz w:val="22"/>
              <w:szCs w:val="22"/>
            </w:rPr>
            <w:t>at approximately 17.7%,</w:t>
          </w:r>
          <w:r w:rsidR="000D2E95" w:rsidRPr="00347E38">
            <w:rPr>
              <w:rFonts w:asciiTheme="minorHAnsi" w:hAnsiTheme="minorHAnsi" w:cstheme="minorHAnsi"/>
              <w:sz w:val="22"/>
              <w:szCs w:val="22"/>
            </w:rPr>
            <w:t xml:space="preserve"> significantly </w:t>
          </w:r>
          <w:r w:rsidR="00DC4E87">
            <w:rPr>
              <w:rFonts w:asciiTheme="minorHAnsi" w:hAnsiTheme="minorHAnsi" w:cstheme="minorHAnsi"/>
              <w:sz w:val="22"/>
              <w:szCs w:val="22"/>
            </w:rPr>
            <w:t>exceeding</w:t>
          </w:r>
          <w:r w:rsidR="000D2E95" w:rsidRPr="00347E38">
            <w:rPr>
              <w:rFonts w:asciiTheme="minorHAnsi" w:hAnsiTheme="minorHAnsi" w:cstheme="minorHAnsi"/>
              <w:sz w:val="22"/>
              <w:szCs w:val="22"/>
            </w:rPr>
            <w:t xml:space="preserve"> the company’s 6% cost of capital. This </w:t>
          </w:r>
          <w:r w:rsidR="00777275">
            <w:rPr>
              <w:rFonts w:asciiTheme="minorHAnsi" w:hAnsiTheme="minorHAnsi" w:cstheme="minorHAnsi"/>
              <w:sz w:val="22"/>
              <w:szCs w:val="22"/>
            </w:rPr>
            <w:t>confirms</w:t>
          </w:r>
          <w:r w:rsidR="000D2E95" w:rsidRPr="00347E38">
            <w:rPr>
              <w:rFonts w:asciiTheme="minorHAnsi" w:hAnsiTheme="minorHAnsi" w:cstheme="minorHAnsi"/>
              <w:sz w:val="22"/>
              <w:szCs w:val="22"/>
            </w:rPr>
            <w:t xml:space="preserve"> that </w:t>
          </w:r>
          <w:r w:rsidR="00B117AB">
            <w:rPr>
              <w:rFonts w:asciiTheme="minorHAnsi" w:hAnsiTheme="minorHAnsi" w:cstheme="minorHAnsi"/>
              <w:sz w:val="22"/>
              <w:szCs w:val="22"/>
            </w:rPr>
            <w:t>O</w:t>
          </w:r>
          <w:r w:rsidR="000D2E95" w:rsidRPr="00347E38">
            <w:rPr>
              <w:rFonts w:asciiTheme="minorHAnsi" w:hAnsiTheme="minorHAnsi" w:cstheme="minorHAnsi"/>
              <w:sz w:val="22"/>
              <w:szCs w:val="22"/>
            </w:rPr>
            <w:t xml:space="preserve">ption C </w:t>
          </w:r>
          <w:r w:rsidR="00777275">
            <w:rPr>
              <w:rFonts w:asciiTheme="minorHAnsi" w:hAnsiTheme="minorHAnsi" w:cstheme="minorHAnsi"/>
              <w:sz w:val="22"/>
              <w:szCs w:val="22"/>
            </w:rPr>
            <w:t>is financially viable and generates returns well above the required rate of return, supporting its inclusion in the optimal investment portfolio under capital rationing conditions.</w:t>
          </w:r>
        </w:p>
        <w:p w14:paraId="102A5A17" w14:textId="0E334E9A" w:rsidR="0092486D" w:rsidRPr="00347E38" w:rsidRDefault="000771ED" w:rsidP="00030AEB">
          <w:pPr>
            <w:rPr>
              <w:rFonts w:asciiTheme="minorHAnsi" w:hAnsiTheme="minorHAnsi" w:cstheme="minorHAnsi"/>
              <w:sz w:val="22"/>
              <w:szCs w:val="22"/>
            </w:rPr>
          </w:pPr>
          <w:r w:rsidRPr="00347E38">
            <w:rPr>
              <w:rFonts w:asciiTheme="minorHAnsi" w:hAnsiTheme="minorHAnsi" w:cstheme="minorHAnsi"/>
              <w:sz w:val="22"/>
              <w:szCs w:val="22"/>
            </w:rPr>
            <w:t>Net Present Value is widely regarded as the most theoretically robust investment appraisal technique</w:t>
          </w:r>
          <w:r w:rsidR="00F23779" w:rsidRPr="00347E38">
            <w:rPr>
              <w:rFonts w:asciiTheme="minorHAnsi" w:hAnsiTheme="minorHAnsi" w:cstheme="minorHAnsi"/>
              <w:sz w:val="22"/>
              <w:szCs w:val="22"/>
            </w:rPr>
            <w:t xml:space="preserve"> because it </w:t>
          </w:r>
          <w:r w:rsidR="00D63A5A" w:rsidRPr="00347E38">
            <w:rPr>
              <w:rFonts w:asciiTheme="minorHAnsi" w:hAnsiTheme="minorHAnsi" w:cstheme="minorHAnsi"/>
              <w:sz w:val="22"/>
              <w:szCs w:val="22"/>
            </w:rPr>
            <w:t xml:space="preserve">incorporates </w:t>
          </w:r>
          <w:r w:rsidR="00342C73" w:rsidRPr="00347E38">
            <w:rPr>
              <w:rFonts w:asciiTheme="minorHAnsi" w:hAnsiTheme="minorHAnsi" w:cstheme="minorHAnsi"/>
              <w:sz w:val="22"/>
              <w:szCs w:val="22"/>
            </w:rPr>
            <w:t>the time value of money and directly measures value creation, (Atrill, 2019; CIMA, 2022)</w:t>
          </w:r>
          <w:r w:rsidR="00F23779" w:rsidRPr="00347E38">
            <w:rPr>
              <w:rFonts w:asciiTheme="minorHAnsi" w:hAnsiTheme="minorHAnsi" w:cstheme="minorHAnsi"/>
              <w:sz w:val="22"/>
              <w:szCs w:val="22"/>
            </w:rPr>
            <w:t xml:space="preserve">. Unlike non-discounting methods, NPV </w:t>
          </w:r>
          <w:r w:rsidR="002C45D4" w:rsidRPr="00347E38">
            <w:rPr>
              <w:rFonts w:asciiTheme="minorHAnsi" w:hAnsiTheme="minorHAnsi" w:cstheme="minorHAnsi"/>
              <w:sz w:val="22"/>
              <w:szCs w:val="22"/>
            </w:rPr>
            <w:t>explicitly</w:t>
          </w:r>
          <w:r w:rsidR="00F23779" w:rsidRPr="00347E38">
            <w:rPr>
              <w:rFonts w:asciiTheme="minorHAnsi" w:hAnsiTheme="minorHAnsi" w:cstheme="minorHAnsi"/>
              <w:sz w:val="22"/>
              <w:szCs w:val="22"/>
            </w:rPr>
            <w:t xml:space="preserve"> accounts for the time of </w:t>
          </w:r>
          <w:r w:rsidR="00F23779" w:rsidRPr="00347E38">
            <w:rPr>
              <w:rFonts w:asciiTheme="minorHAnsi" w:hAnsiTheme="minorHAnsi" w:cstheme="minorHAnsi"/>
              <w:sz w:val="22"/>
              <w:szCs w:val="22"/>
            </w:rPr>
            <w:lastRenderedPageBreak/>
            <w:t>value of money and considers all cash flows over the entire project</w:t>
          </w:r>
          <w:r w:rsidR="002C45D4" w:rsidRPr="00347E38">
            <w:rPr>
              <w:rFonts w:asciiTheme="minorHAnsi" w:hAnsiTheme="minorHAnsi" w:cstheme="minorHAnsi"/>
              <w:sz w:val="22"/>
              <w:szCs w:val="22"/>
            </w:rPr>
            <w:t xml:space="preserve"> life. </w:t>
          </w:r>
          <w:r w:rsidR="001634C0" w:rsidRPr="00347E38">
            <w:rPr>
              <w:rFonts w:asciiTheme="minorHAnsi" w:hAnsiTheme="minorHAnsi" w:cstheme="minorHAnsi"/>
              <w:sz w:val="22"/>
              <w:szCs w:val="22"/>
            </w:rPr>
            <w:t>Discounted cash flow techniques adjust for risk by applying a required rate of return that reflects both time value and uncertainty in future cash flows, (B</w:t>
          </w:r>
          <w:r w:rsidR="00B0611A" w:rsidRPr="00347E38">
            <w:rPr>
              <w:rFonts w:asciiTheme="minorHAnsi" w:hAnsiTheme="minorHAnsi" w:cstheme="minorHAnsi"/>
              <w:sz w:val="22"/>
              <w:szCs w:val="22"/>
            </w:rPr>
            <w:t xml:space="preserve">ekaert, 2017). </w:t>
          </w:r>
          <w:r w:rsidR="00E41E69">
            <w:rPr>
              <w:rFonts w:asciiTheme="minorHAnsi" w:hAnsiTheme="minorHAnsi" w:cstheme="minorHAnsi"/>
              <w:sz w:val="22"/>
              <w:szCs w:val="22"/>
            </w:rPr>
            <w:t>To expand on this, i</w:t>
          </w:r>
          <w:r w:rsidR="002C45D4" w:rsidRPr="00347E38">
            <w:rPr>
              <w:rFonts w:asciiTheme="minorHAnsi" w:hAnsiTheme="minorHAnsi" w:cstheme="minorHAnsi"/>
              <w:sz w:val="22"/>
              <w:szCs w:val="22"/>
            </w:rPr>
            <w:t xml:space="preserve">t also uses the cost of capital as the discount rate, ensuring that the risk and </w:t>
          </w:r>
          <w:r w:rsidR="00C602BA" w:rsidRPr="00347E38">
            <w:rPr>
              <w:rFonts w:asciiTheme="minorHAnsi" w:hAnsiTheme="minorHAnsi" w:cstheme="minorHAnsi"/>
              <w:sz w:val="22"/>
              <w:szCs w:val="22"/>
            </w:rPr>
            <w:t>financing</w:t>
          </w:r>
          <w:r w:rsidR="002C45D4" w:rsidRPr="00347E38">
            <w:rPr>
              <w:rFonts w:asciiTheme="minorHAnsi" w:hAnsiTheme="minorHAnsi" w:cstheme="minorHAnsi"/>
              <w:sz w:val="22"/>
              <w:szCs w:val="22"/>
            </w:rPr>
            <w:t xml:space="preserve"> costs </w:t>
          </w:r>
          <w:r w:rsidR="00C602BA" w:rsidRPr="00347E38">
            <w:rPr>
              <w:rFonts w:asciiTheme="minorHAnsi" w:hAnsiTheme="minorHAnsi" w:cstheme="minorHAnsi"/>
              <w:sz w:val="22"/>
              <w:szCs w:val="22"/>
            </w:rPr>
            <w:t xml:space="preserve">associated with the investment are incorporated into the decision-making process. As a result, NPV provides </w:t>
          </w:r>
          <w:r w:rsidR="00C853E7" w:rsidRPr="00347E38">
            <w:rPr>
              <w:rFonts w:asciiTheme="minorHAnsi" w:hAnsiTheme="minorHAnsi" w:cstheme="minorHAnsi"/>
              <w:sz w:val="22"/>
              <w:szCs w:val="22"/>
            </w:rPr>
            <w:t xml:space="preserve">a clear and objective basis for comparing </w:t>
          </w:r>
          <w:r w:rsidR="0038563B" w:rsidRPr="00347E38">
            <w:rPr>
              <w:rFonts w:asciiTheme="minorHAnsi" w:hAnsiTheme="minorHAnsi" w:cstheme="minorHAnsi"/>
              <w:sz w:val="22"/>
              <w:szCs w:val="22"/>
            </w:rPr>
            <w:t>mutually</w:t>
          </w:r>
          <w:r w:rsidR="00C853E7" w:rsidRPr="00347E38">
            <w:rPr>
              <w:rFonts w:asciiTheme="minorHAnsi" w:hAnsiTheme="minorHAnsi" w:cstheme="minorHAnsi"/>
              <w:sz w:val="22"/>
              <w:szCs w:val="22"/>
            </w:rPr>
            <w:t xml:space="preserve"> e</w:t>
          </w:r>
          <w:r w:rsidR="00774FD7">
            <w:rPr>
              <w:rFonts w:asciiTheme="minorHAnsi" w:hAnsiTheme="minorHAnsi" w:cstheme="minorHAnsi"/>
              <w:sz w:val="22"/>
              <w:szCs w:val="22"/>
            </w:rPr>
            <w:t>xclusive</w:t>
          </w:r>
          <w:r w:rsidR="00C853E7" w:rsidRPr="00347E38">
            <w:rPr>
              <w:rFonts w:asciiTheme="minorHAnsi" w:hAnsiTheme="minorHAnsi" w:cstheme="minorHAnsi"/>
              <w:sz w:val="22"/>
              <w:szCs w:val="22"/>
            </w:rPr>
            <w:t xml:space="preserve"> investment options and identifying the project that maximises long-term value for the firm. </w:t>
          </w:r>
          <w:r w:rsidR="0038563B" w:rsidRPr="00347E38">
            <w:rPr>
              <w:rFonts w:asciiTheme="minorHAnsi" w:hAnsiTheme="minorHAnsi" w:cstheme="minorHAnsi"/>
              <w:sz w:val="22"/>
              <w:szCs w:val="22"/>
            </w:rPr>
            <w:t xml:space="preserve">Despite the theoretical superiority of discounted cash flow techniques, non-discounting methods such as the payback period and accounting rates of return remain popular among managers. One key reason for this is their simplicity and ease of </w:t>
          </w:r>
          <w:r w:rsidR="00894605" w:rsidRPr="00347E38">
            <w:rPr>
              <w:rFonts w:asciiTheme="minorHAnsi" w:hAnsiTheme="minorHAnsi" w:cstheme="minorHAnsi"/>
              <w:sz w:val="22"/>
              <w:szCs w:val="22"/>
            </w:rPr>
            <w:t>interpretation</w:t>
          </w:r>
          <w:r w:rsidR="0038563B" w:rsidRPr="00347E38">
            <w:rPr>
              <w:rFonts w:asciiTheme="minorHAnsi" w:hAnsiTheme="minorHAnsi" w:cstheme="minorHAnsi"/>
              <w:sz w:val="22"/>
              <w:szCs w:val="22"/>
            </w:rPr>
            <w:t>, particularly for non-financial managers</w:t>
          </w:r>
          <w:r w:rsidR="00894605" w:rsidRPr="00347E38">
            <w:rPr>
              <w:rFonts w:asciiTheme="minorHAnsi" w:hAnsiTheme="minorHAnsi" w:cstheme="minorHAnsi"/>
              <w:sz w:val="22"/>
              <w:szCs w:val="22"/>
            </w:rPr>
            <w:t>, (Drury, 2020)</w:t>
          </w:r>
          <w:r w:rsidR="0038563B" w:rsidRPr="00347E38">
            <w:rPr>
              <w:rFonts w:asciiTheme="minorHAnsi" w:hAnsiTheme="minorHAnsi" w:cstheme="minorHAnsi"/>
              <w:sz w:val="22"/>
              <w:szCs w:val="22"/>
            </w:rPr>
            <w:t xml:space="preserve">. Payback, for example, focuses on how quickly an initial investment can be recovered, which is useful in assessing liquidity risk and exposure to uncertainty. Additionally, non-discounting methods </w:t>
          </w:r>
          <w:r w:rsidR="002260C8" w:rsidRPr="00347E38">
            <w:rPr>
              <w:rFonts w:asciiTheme="minorHAnsi" w:hAnsiTheme="minorHAnsi" w:cstheme="minorHAnsi"/>
              <w:sz w:val="22"/>
              <w:szCs w:val="22"/>
            </w:rPr>
            <w:t xml:space="preserve">require fewer assumptions and less complex calculations, making them attractive for preliminary screening of investment proposals. However, </w:t>
          </w:r>
          <w:r w:rsidR="00F749C3" w:rsidRPr="00347E38">
            <w:rPr>
              <w:rFonts w:asciiTheme="minorHAnsi" w:hAnsiTheme="minorHAnsi" w:cstheme="minorHAnsi"/>
              <w:sz w:val="22"/>
              <w:szCs w:val="22"/>
            </w:rPr>
            <w:t>these methods are limited because they ignore the time value of money and, in some cases, fail t</w:t>
          </w:r>
          <w:r w:rsidR="00DB2D04">
            <w:rPr>
              <w:rFonts w:asciiTheme="minorHAnsi" w:hAnsiTheme="minorHAnsi" w:cstheme="minorHAnsi"/>
              <w:sz w:val="22"/>
              <w:szCs w:val="22"/>
            </w:rPr>
            <w:t>o</w:t>
          </w:r>
          <w:r w:rsidR="00F749C3" w:rsidRPr="00347E38">
            <w:rPr>
              <w:rFonts w:asciiTheme="minorHAnsi" w:hAnsiTheme="minorHAnsi" w:cstheme="minorHAnsi"/>
              <w:sz w:val="22"/>
              <w:szCs w:val="22"/>
            </w:rPr>
            <w:t xml:space="preserve"> consider cash flows beyond the payback period. </w:t>
          </w:r>
          <w:r w:rsidR="00BB40B6" w:rsidRPr="00347E38">
            <w:rPr>
              <w:rFonts w:asciiTheme="minorHAnsi" w:hAnsiTheme="minorHAnsi" w:cstheme="minorHAnsi"/>
              <w:sz w:val="22"/>
              <w:szCs w:val="22"/>
            </w:rPr>
            <w:t xml:space="preserve">While financial appraisal </w:t>
          </w:r>
          <w:r w:rsidR="00621791" w:rsidRPr="00347E38">
            <w:rPr>
              <w:rFonts w:asciiTheme="minorHAnsi" w:hAnsiTheme="minorHAnsi" w:cstheme="minorHAnsi"/>
              <w:sz w:val="22"/>
              <w:szCs w:val="22"/>
            </w:rPr>
            <w:t>techniques</w:t>
          </w:r>
          <w:r w:rsidR="00BB40B6" w:rsidRPr="00347E38">
            <w:rPr>
              <w:rFonts w:asciiTheme="minorHAnsi" w:hAnsiTheme="minorHAnsi" w:cstheme="minorHAnsi"/>
              <w:sz w:val="22"/>
              <w:szCs w:val="22"/>
            </w:rPr>
            <w:t xml:space="preserve"> provide essential </w:t>
          </w:r>
          <w:r w:rsidR="00621791" w:rsidRPr="00347E38">
            <w:rPr>
              <w:rFonts w:asciiTheme="minorHAnsi" w:hAnsiTheme="minorHAnsi" w:cstheme="minorHAnsi"/>
              <w:sz w:val="22"/>
              <w:szCs w:val="22"/>
            </w:rPr>
            <w:t xml:space="preserve">quantitative </w:t>
          </w:r>
          <w:r w:rsidR="00BB40B6" w:rsidRPr="00347E38">
            <w:rPr>
              <w:rFonts w:asciiTheme="minorHAnsi" w:hAnsiTheme="minorHAnsi" w:cstheme="minorHAnsi"/>
              <w:sz w:val="22"/>
              <w:szCs w:val="22"/>
            </w:rPr>
            <w:t>insights, investment decisions should not be based solely on numerical results. Wes</w:t>
          </w:r>
          <w:r w:rsidR="00621791" w:rsidRPr="00347E38">
            <w:rPr>
              <w:rFonts w:asciiTheme="minorHAnsi" w:hAnsiTheme="minorHAnsi" w:cstheme="minorHAnsi"/>
              <w:sz w:val="22"/>
              <w:szCs w:val="22"/>
            </w:rPr>
            <w:t>t</w:t>
          </w:r>
          <w:r w:rsidR="00BB40B6" w:rsidRPr="00347E38">
            <w:rPr>
              <w:rFonts w:asciiTheme="minorHAnsi" w:hAnsiTheme="minorHAnsi" w:cstheme="minorHAnsi"/>
              <w:sz w:val="22"/>
              <w:szCs w:val="22"/>
            </w:rPr>
            <w:t>ward Plc should also consider strategic, operational and qualitative factors before commit</w:t>
          </w:r>
          <w:r w:rsidR="00621791" w:rsidRPr="00347E38">
            <w:rPr>
              <w:rFonts w:asciiTheme="minorHAnsi" w:hAnsiTheme="minorHAnsi" w:cstheme="minorHAnsi"/>
              <w:sz w:val="22"/>
              <w:szCs w:val="22"/>
            </w:rPr>
            <w:t xml:space="preserve">ting to a major expansion. These include market demand for new products, competitive intensity, operational </w:t>
          </w:r>
          <w:r w:rsidR="00C97DA4" w:rsidRPr="00347E38">
            <w:rPr>
              <w:rFonts w:asciiTheme="minorHAnsi" w:hAnsiTheme="minorHAnsi" w:cstheme="minorHAnsi"/>
              <w:sz w:val="22"/>
              <w:szCs w:val="22"/>
            </w:rPr>
            <w:t>capability</w:t>
          </w:r>
          <w:r w:rsidR="00621791" w:rsidRPr="00347E38">
            <w:rPr>
              <w:rFonts w:asciiTheme="minorHAnsi" w:hAnsiTheme="minorHAnsi" w:cstheme="minorHAnsi"/>
              <w:sz w:val="22"/>
              <w:szCs w:val="22"/>
            </w:rPr>
            <w:t>, supply chain reliability</w:t>
          </w:r>
          <w:r w:rsidR="00C97DA4" w:rsidRPr="00347E38">
            <w:rPr>
              <w:rFonts w:asciiTheme="minorHAnsi" w:hAnsiTheme="minorHAnsi" w:cstheme="minorHAnsi"/>
              <w:sz w:val="22"/>
              <w:szCs w:val="22"/>
            </w:rPr>
            <w:t xml:space="preserve"> and potential risks associated with new technologies or production processes. </w:t>
          </w:r>
          <w:r w:rsidR="0060442B" w:rsidRPr="00347E38">
            <w:rPr>
              <w:rFonts w:asciiTheme="minorHAnsi" w:hAnsiTheme="minorHAnsi" w:cstheme="minorHAnsi"/>
              <w:sz w:val="22"/>
              <w:szCs w:val="22"/>
            </w:rPr>
            <w:t xml:space="preserve"> Financing growth initiatives requires careful consideration of </w:t>
          </w:r>
          <w:r w:rsidR="00C40E90" w:rsidRPr="00347E38">
            <w:rPr>
              <w:rFonts w:asciiTheme="minorHAnsi" w:hAnsiTheme="minorHAnsi" w:cstheme="minorHAnsi"/>
              <w:sz w:val="22"/>
              <w:szCs w:val="22"/>
            </w:rPr>
            <w:t>internal</w:t>
          </w:r>
          <w:r w:rsidR="0060442B" w:rsidRPr="00347E38">
            <w:rPr>
              <w:rFonts w:asciiTheme="minorHAnsi" w:hAnsiTheme="minorHAnsi" w:cstheme="minorHAnsi"/>
              <w:sz w:val="22"/>
              <w:szCs w:val="22"/>
            </w:rPr>
            <w:t xml:space="preserve"> and external funding sources, particularly for firms seeking to balance expansion with financial stability, (Bhimani, 2022; Kersten et al., 2017). </w:t>
          </w:r>
          <w:r w:rsidR="00C97DA4" w:rsidRPr="00347E38">
            <w:rPr>
              <w:rFonts w:asciiTheme="minorHAnsi" w:hAnsiTheme="minorHAnsi" w:cstheme="minorHAnsi"/>
              <w:sz w:val="22"/>
              <w:szCs w:val="22"/>
            </w:rPr>
            <w:t>Furthermore, organisational capacity</w:t>
          </w:r>
          <w:r w:rsidR="00B171BD" w:rsidRPr="00347E38">
            <w:rPr>
              <w:rFonts w:asciiTheme="minorHAnsi" w:hAnsiTheme="minorHAnsi" w:cstheme="minorHAnsi"/>
              <w:sz w:val="22"/>
              <w:szCs w:val="22"/>
            </w:rPr>
            <w:t xml:space="preserve">, workforce skills, and alignment with the company’s long-term strategic objectives are critical considerations. </w:t>
          </w:r>
          <w:r w:rsidR="00C33881" w:rsidRPr="00347E38">
            <w:rPr>
              <w:rFonts w:asciiTheme="minorHAnsi" w:hAnsiTheme="minorHAnsi" w:cstheme="minorHAnsi"/>
              <w:sz w:val="22"/>
              <w:szCs w:val="22"/>
            </w:rPr>
            <w:t>External factors such as economic conditions, inflation, and changes in consumer behaviour</w:t>
          </w:r>
          <w:r w:rsidR="0092486D" w:rsidRPr="00347E38">
            <w:rPr>
              <w:rFonts w:asciiTheme="minorHAnsi" w:hAnsiTheme="minorHAnsi" w:cstheme="minorHAnsi"/>
              <w:sz w:val="22"/>
              <w:szCs w:val="22"/>
            </w:rPr>
            <w:t xml:space="preserve"> may also affect the long-term success of the investment. Incorporating these broader considerations alongside financial metrics enables a more balanced and informed decision. </w:t>
          </w:r>
        </w:p>
        <w:p w14:paraId="17BDD93E" w14:textId="22DF931D" w:rsidR="00966D9C" w:rsidRPr="00347E38" w:rsidRDefault="007660A2" w:rsidP="00966D9C">
          <w:pPr>
            <w:rPr>
              <w:rFonts w:asciiTheme="minorHAnsi" w:hAnsiTheme="minorHAnsi" w:cstheme="minorHAnsi"/>
              <w:sz w:val="22"/>
              <w:szCs w:val="22"/>
            </w:rPr>
          </w:pPr>
          <w:r w:rsidRPr="00347E38">
            <w:rPr>
              <w:rFonts w:asciiTheme="minorHAnsi" w:hAnsiTheme="minorHAnsi" w:cstheme="minorHAnsi"/>
              <w:sz w:val="22"/>
              <w:szCs w:val="22"/>
            </w:rPr>
            <w:t xml:space="preserve">In situations where capital is limited, </w:t>
          </w:r>
          <w:r w:rsidR="00216B7A" w:rsidRPr="00347E38">
            <w:rPr>
              <w:rFonts w:asciiTheme="minorHAnsi" w:hAnsiTheme="minorHAnsi" w:cstheme="minorHAnsi"/>
              <w:sz w:val="22"/>
              <w:szCs w:val="22"/>
            </w:rPr>
            <w:t xml:space="preserve">companies must prioritise projects that generate the highest value relative to the investment required. Assuming Westward Plc has </w:t>
          </w:r>
          <w:r w:rsidR="00555061" w:rsidRPr="00347E38">
            <w:rPr>
              <w:rFonts w:asciiTheme="minorHAnsi" w:hAnsiTheme="minorHAnsi" w:cstheme="minorHAnsi"/>
              <w:sz w:val="22"/>
              <w:szCs w:val="22"/>
            </w:rPr>
            <w:t>£2.5 million</w:t>
          </w:r>
          <w:r w:rsidR="00555061" w:rsidRPr="00347E38">
            <w:rPr>
              <w:rFonts w:asciiTheme="minorHAnsi" w:hAnsiTheme="minorHAnsi" w:cstheme="minorHAnsi"/>
              <w:sz w:val="22"/>
              <w:szCs w:val="22"/>
            </w:rPr>
            <w:t xml:space="preserve"> available and that the projects are divisible,</w:t>
          </w:r>
          <w:r w:rsidR="00D411F8">
            <w:rPr>
              <w:rFonts w:asciiTheme="minorHAnsi" w:hAnsiTheme="minorHAnsi" w:cstheme="minorHAnsi"/>
              <w:sz w:val="22"/>
              <w:szCs w:val="22"/>
            </w:rPr>
            <w:t xml:space="preserve"> capital rationing was addressed using the </w:t>
          </w:r>
          <w:r w:rsidR="00C40E90">
            <w:rPr>
              <w:rFonts w:asciiTheme="minorHAnsi" w:hAnsiTheme="minorHAnsi" w:cstheme="minorHAnsi"/>
              <w:sz w:val="22"/>
              <w:szCs w:val="22"/>
            </w:rPr>
            <w:t>profitability</w:t>
          </w:r>
          <w:r w:rsidR="00D411F8">
            <w:rPr>
              <w:rFonts w:asciiTheme="minorHAnsi" w:hAnsiTheme="minorHAnsi" w:cstheme="minorHAnsi"/>
              <w:sz w:val="22"/>
              <w:szCs w:val="22"/>
            </w:rPr>
            <w:t xml:space="preserve"> index (PI)</w:t>
          </w:r>
          <w:r w:rsidR="00C40E90">
            <w:rPr>
              <w:rFonts w:asciiTheme="minorHAnsi" w:hAnsiTheme="minorHAnsi" w:cstheme="minorHAnsi"/>
              <w:sz w:val="22"/>
              <w:szCs w:val="22"/>
            </w:rPr>
            <w:t>, defined as the ratio of the present value of inflows to the initial investment</w:t>
          </w:r>
          <w:r w:rsidR="00555061" w:rsidRPr="00347E38">
            <w:rPr>
              <w:rFonts w:asciiTheme="minorHAnsi" w:hAnsiTheme="minorHAnsi" w:cstheme="minorHAnsi"/>
              <w:sz w:val="22"/>
              <w:szCs w:val="22"/>
            </w:rPr>
            <w:t>. Based on th</w:t>
          </w:r>
          <w:r w:rsidR="002B64DA">
            <w:rPr>
              <w:rFonts w:asciiTheme="minorHAnsi" w:hAnsiTheme="minorHAnsi" w:cstheme="minorHAnsi"/>
              <w:sz w:val="22"/>
              <w:szCs w:val="22"/>
            </w:rPr>
            <w:t>is measure, Option A ranked highest</w:t>
          </w:r>
          <w:r w:rsidR="00896B2C">
            <w:rPr>
              <w:rFonts w:asciiTheme="minorHAnsi" w:hAnsiTheme="minorHAnsi" w:cstheme="minorHAnsi"/>
              <w:sz w:val="22"/>
              <w:szCs w:val="22"/>
            </w:rPr>
            <w:t xml:space="preserve"> (PI = 2.07), followed by Option B (PI =1.79) and Option C (PI = 1.46)</w:t>
          </w:r>
          <w:r w:rsidR="00B64FF7" w:rsidRPr="00347E38">
            <w:rPr>
              <w:rFonts w:asciiTheme="minorHAnsi" w:hAnsiTheme="minorHAnsi" w:cstheme="minorHAnsi"/>
              <w:sz w:val="22"/>
              <w:szCs w:val="22"/>
            </w:rPr>
            <w:t xml:space="preserve">. </w:t>
          </w:r>
          <w:r w:rsidR="002509BE">
            <w:rPr>
              <w:rFonts w:asciiTheme="minorHAnsi" w:hAnsiTheme="minorHAnsi" w:cstheme="minorHAnsi"/>
              <w:sz w:val="22"/>
              <w:szCs w:val="22"/>
            </w:rPr>
            <w:t>Accordingly</w:t>
          </w:r>
          <w:r w:rsidR="00B64FF7" w:rsidRPr="00347E38">
            <w:rPr>
              <w:rFonts w:asciiTheme="minorHAnsi" w:hAnsiTheme="minorHAnsi" w:cstheme="minorHAnsi"/>
              <w:sz w:val="22"/>
              <w:szCs w:val="22"/>
            </w:rPr>
            <w:t xml:space="preserve">, Westward Plc should </w:t>
          </w:r>
          <w:r w:rsidR="002509BE">
            <w:rPr>
              <w:rFonts w:asciiTheme="minorHAnsi" w:hAnsiTheme="minorHAnsi" w:cstheme="minorHAnsi"/>
              <w:sz w:val="22"/>
              <w:szCs w:val="22"/>
            </w:rPr>
            <w:t>fully invest</w:t>
          </w:r>
          <w:r w:rsidR="00B64FF7" w:rsidRPr="00347E38">
            <w:rPr>
              <w:rFonts w:asciiTheme="minorHAnsi" w:hAnsiTheme="minorHAnsi" w:cstheme="minorHAnsi"/>
              <w:sz w:val="22"/>
              <w:szCs w:val="22"/>
            </w:rPr>
            <w:t xml:space="preserve"> </w:t>
          </w:r>
          <w:r w:rsidR="002F24A0">
            <w:rPr>
              <w:rFonts w:asciiTheme="minorHAnsi" w:hAnsiTheme="minorHAnsi" w:cstheme="minorHAnsi"/>
              <w:sz w:val="22"/>
              <w:szCs w:val="22"/>
            </w:rPr>
            <w:t>in Options A and B and allocate the remaining funds proportionally to Option C</w:t>
          </w:r>
          <w:r w:rsidR="00B64FF7" w:rsidRPr="00347E38">
            <w:rPr>
              <w:rFonts w:asciiTheme="minorHAnsi" w:hAnsiTheme="minorHAnsi" w:cstheme="minorHAnsi"/>
              <w:sz w:val="22"/>
              <w:szCs w:val="22"/>
            </w:rPr>
            <w:t xml:space="preserve">. </w:t>
          </w:r>
          <w:r w:rsidR="00DD5289">
            <w:rPr>
              <w:rFonts w:asciiTheme="minorHAnsi" w:hAnsiTheme="minorHAnsi" w:cstheme="minorHAnsi"/>
              <w:sz w:val="22"/>
              <w:szCs w:val="22"/>
            </w:rPr>
            <w:t xml:space="preserve">This investment policy maximises total NPV under the capital constraint and ensures optimal deployment of limited financial resources. </w:t>
          </w:r>
          <w:r w:rsidR="00B64FF7" w:rsidRPr="00347E38">
            <w:rPr>
              <w:rFonts w:asciiTheme="minorHAnsi" w:hAnsiTheme="minorHAnsi" w:cstheme="minorHAnsi"/>
              <w:sz w:val="22"/>
              <w:szCs w:val="22"/>
            </w:rPr>
            <w:t xml:space="preserve">By adopting this strategy, the company can achieve the highest possible overall return while operating within its financial constraints. </w:t>
          </w:r>
          <w:r w:rsidR="002C0E02" w:rsidRPr="00347E38">
            <w:rPr>
              <w:rFonts w:asciiTheme="minorHAnsi" w:hAnsiTheme="minorHAnsi" w:cstheme="minorHAnsi"/>
              <w:sz w:val="22"/>
              <w:szCs w:val="22"/>
            </w:rPr>
            <w:t xml:space="preserve">Once the preferred investment option has been identified, Westward Plc must determine how best to finance the proposed expansion. One potential source of finance is retained earnings, which offer a low-risk and cost-effective option as they do not involve interest payments or dilution of ownership. However, reliance on retained earnings </w:t>
          </w:r>
          <w:r w:rsidR="004E0995" w:rsidRPr="00347E38">
            <w:rPr>
              <w:rFonts w:asciiTheme="minorHAnsi" w:hAnsiTheme="minorHAnsi" w:cstheme="minorHAnsi"/>
              <w:sz w:val="22"/>
              <w:szCs w:val="22"/>
            </w:rPr>
            <w:t>may limit the scale of investment and reduce funds available for other strategic initiatives. Alternatively, the company could consider debt financing through bank loans or corporate borrowing. Debt offers the advantage of tax-de</w:t>
          </w:r>
          <w:r w:rsidR="00057A2E" w:rsidRPr="00347E38">
            <w:rPr>
              <w:rFonts w:asciiTheme="minorHAnsi" w:hAnsiTheme="minorHAnsi" w:cstheme="minorHAnsi"/>
              <w:sz w:val="22"/>
              <w:szCs w:val="22"/>
            </w:rPr>
            <w:t xml:space="preserve">ductible interest payments and allows </w:t>
          </w:r>
          <w:r w:rsidR="004E6BA0" w:rsidRPr="00347E38">
            <w:rPr>
              <w:rFonts w:asciiTheme="minorHAnsi" w:hAnsiTheme="minorHAnsi" w:cstheme="minorHAnsi"/>
              <w:sz w:val="22"/>
              <w:szCs w:val="22"/>
            </w:rPr>
            <w:t>existing</w:t>
          </w:r>
          <w:r w:rsidR="00057A2E" w:rsidRPr="00347E38">
            <w:rPr>
              <w:rFonts w:asciiTheme="minorHAnsi" w:hAnsiTheme="minorHAnsi" w:cstheme="minorHAnsi"/>
              <w:sz w:val="22"/>
              <w:szCs w:val="22"/>
            </w:rPr>
            <w:t xml:space="preserve"> shareholders to retain control. However, increased borrowings </w:t>
          </w:r>
          <w:r w:rsidR="0060442B" w:rsidRPr="00347E38">
            <w:rPr>
              <w:rFonts w:asciiTheme="minorHAnsi" w:hAnsiTheme="minorHAnsi" w:cstheme="minorHAnsi"/>
              <w:sz w:val="22"/>
              <w:szCs w:val="22"/>
            </w:rPr>
            <w:t xml:space="preserve">and reliance on debt finance </w:t>
          </w:r>
          <w:r w:rsidR="00A46558" w:rsidRPr="00347E38">
            <w:rPr>
              <w:rFonts w:asciiTheme="minorHAnsi" w:hAnsiTheme="minorHAnsi" w:cstheme="minorHAnsi"/>
              <w:sz w:val="22"/>
              <w:szCs w:val="22"/>
            </w:rPr>
            <w:t>exposes firms to higher</w:t>
          </w:r>
          <w:r w:rsidR="00057A2E" w:rsidRPr="00347E38">
            <w:rPr>
              <w:rFonts w:asciiTheme="minorHAnsi" w:hAnsiTheme="minorHAnsi" w:cstheme="minorHAnsi"/>
              <w:sz w:val="22"/>
              <w:szCs w:val="22"/>
            </w:rPr>
            <w:t xml:space="preserve"> financial risk and may place pressure on </w:t>
          </w:r>
          <w:r w:rsidR="004E6BA0" w:rsidRPr="00347E38">
            <w:rPr>
              <w:rFonts w:asciiTheme="minorHAnsi" w:hAnsiTheme="minorHAnsi" w:cstheme="minorHAnsi"/>
              <w:sz w:val="22"/>
              <w:szCs w:val="22"/>
            </w:rPr>
            <w:t>cash</w:t>
          </w:r>
          <w:r w:rsidR="00057A2E" w:rsidRPr="00347E38">
            <w:rPr>
              <w:rFonts w:asciiTheme="minorHAnsi" w:hAnsiTheme="minorHAnsi" w:cstheme="minorHAnsi"/>
              <w:sz w:val="22"/>
              <w:szCs w:val="22"/>
            </w:rPr>
            <w:t xml:space="preserve"> flows, particularly </w:t>
          </w:r>
          <w:r w:rsidR="00A46558" w:rsidRPr="00347E38">
            <w:rPr>
              <w:rFonts w:asciiTheme="minorHAnsi" w:hAnsiTheme="minorHAnsi" w:cstheme="minorHAnsi"/>
              <w:sz w:val="22"/>
              <w:szCs w:val="22"/>
            </w:rPr>
            <w:t>in periods of rising interest rates, (Saunders et al., 2021)</w:t>
          </w:r>
          <w:r w:rsidR="00057A2E" w:rsidRPr="00347E38">
            <w:rPr>
              <w:rFonts w:asciiTheme="minorHAnsi" w:hAnsiTheme="minorHAnsi" w:cstheme="minorHAnsi"/>
              <w:sz w:val="22"/>
              <w:szCs w:val="22"/>
            </w:rPr>
            <w:t xml:space="preserve">. </w:t>
          </w:r>
          <w:r w:rsidR="000E675A" w:rsidRPr="00347E38">
            <w:rPr>
              <w:rFonts w:asciiTheme="minorHAnsi" w:hAnsiTheme="minorHAnsi" w:cstheme="minorHAnsi"/>
              <w:sz w:val="22"/>
              <w:szCs w:val="22"/>
            </w:rPr>
            <w:t>While</w:t>
          </w:r>
          <w:r w:rsidR="000F12CC" w:rsidRPr="00347E38">
            <w:rPr>
              <w:rFonts w:asciiTheme="minorHAnsi" w:hAnsiTheme="minorHAnsi" w:cstheme="minorHAnsi"/>
              <w:sz w:val="22"/>
              <w:szCs w:val="22"/>
            </w:rPr>
            <w:t xml:space="preserve"> equity financing </w:t>
          </w:r>
          <w:r w:rsidR="000E675A" w:rsidRPr="00347E38">
            <w:rPr>
              <w:rFonts w:asciiTheme="minorHAnsi" w:hAnsiTheme="minorHAnsi" w:cstheme="minorHAnsi"/>
              <w:sz w:val="22"/>
              <w:szCs w:val="22"/>
            </w:rPr>
            <w:t>provides</w:t>
          </w:r>
          <w:r w:rsidR="000F12CC" w:rsidRPr="00347E38">
            <w:rPr>
              <w:rFonts w:asciiTheme="minorHAnsi" w:hAnsiTheme="minorHAnsi" w:cstheme="minorHAnsi"/>
              <w:sz w:val="22"/>
              <w:szCs w:val="22"/>
            </w:rPr>
            <w:t xml:space="preserve"> long-term capital without repayment obligations</w:t>
          </w:r>
          <w:r w:rsidR="00E86FDC" w:rsidRPr="00347E38">
            <w:rPr>
              <w:rFonts w:asciiTheme="minorHAnsi" w:hAnsiTheme="minorHAnsi" w:cstheme="minorHAnsi"/>
              <w:sz w:val="22"/>
              <w:szCs w:val="22"/>
            </w:rPr>
            <w:t xml:space="preserve"> and</w:t>
          </w:r>
          <w:r w:rsidR="000F12CC" w:rsidRPr="00347E38">
            <w:rPr>
              <w:rFonts w:asciiTheme="minorHAnsi" w:hAnsiTheme="minorHAnsi" w:cstheme="minorHAnsi"/>
              <w:sz w:val="22"/>
              <w:szCs w:val="22"/>
            </w:rPr>
            <w:t xml:space="preserve"> </w:t>
          </w:r>
          <w:r w:rsidR="000E675A" w:rsidRPr="00347E38">
            <w:rPr>
              <w:rFonts w:asciiTheme="minorHAnsi" w:hAnsiTheme="minorHAnsi" w:cstheme="minorHAnsi"/>
              <w:sz w:val="22"/>
              <w:szCs w:val="22"/>
            </w:rPr>
            <w:t xml:space="preserve">reducing insolvency risk, </w:t>
          </w:r>
          <w:r w:rsidR="00E86FDC" w:rsidRPr="00347E38">
            <w:rPr>
              <w:rFonts w:asciiTheme="minorHAnsi" w:hAnsiTheme="minorHAnsi" w:cstheme="minorHAnsi"/>
              <w:sz w:val="22"/>
              <w:szCs w:val="22"/>
            </w:rPr>
            <w:t xml:space="preserve">it may dilute </w:t>
          </w:r>
          <w:r w:rsidR="0071000E" w:rsidRPr="00347E38">
            <w:rPr>
              <w:rFonts w:asciiTheme="minorHAnsi" w:hAnsiTheme="minorHAnsi" w:cstheme="minorHAnsi"/>
              <w:sz w:val="22"/>
              <w:szCs w:val="22"/>
            </w:rPr>
            <w:t>existing</w:t>
          </w:r>
          <w:r w:rsidR="00E86FDC" w:rsidRPr="00347E38">
            <w:rPr>
              <w:rFonts w:asciiTheme="minorHAnsi" w:hAnsiTheme="minorHAnsi" w:cstheme="minorHAnsi"/>
              <w:sz w:val="22"/>
              <w:szCs w:val="22"/>
            </w:rPr>
            <w:t xml:space="preserve"> shareholders’ control and require higher expected returns, </w:t>
          </w:r>
          <w:r w:rsidR="0071000E" w:rsidRPr="00347E38">
            <w:rPr>
              <w:rFonts w:asciiTheme="minorHAnsi" w:hAnsiTheme="minorHAnsi" w:cstheme="minorHAnsi"/>
              <w:sz w:val="22"/>
              <w:szCs w:val="22"/>
            </w:rPr>
            <w:t xml:space="preserve">whereas debt financing retains ownership but increases fixed </w:t>
          </w:r>
          <w:r w:rsidR="00C739FE" w:rsidRPr="00347E38">
            <w:rPr>
              <w:rFonts w:asciiTheme="minorHAnsi" w:hAnsiTheme="minorHAnsi" w:cstheme="minorHAnsi"/>
              <w:sz w:val="22"/>
              <w:szCs w:val="22"/>
            </w:rPr>
            <w:t>obligations and leverage risk, (</w:t>
          </w:r>
          <w:r w:rsidR="00C739FE" w:rsidRPr="00347E38">
            <w:rPr>
              <w:rFonts w:asciiTheme="minorHAnsi" w:hAnsiTheme="minorHAnsi" w:cstheme="minorHAnsi"/>
              <w:sz w:val="22"/>
              <w:szCs w:val="22"/>
            </w:rPr>
            <w:t>Pike and Neale, 2009; Kester, Kim and Nofsinger, 2012).</w:t>
          </w:r>
        </w:p>
        <w:p w14:paraId="5C67928C" w14:textId="36A9F5AE" w:rsidR="00AA2A91" w:rsidRPr="00347E38" w:rsidRDefault="00AA2A91" w:rsidP="00EF3337">
          <w:pPr>
            <w:pStyle w:val="Heading1"/>
            <w:rPr>
              <w:rFonts w:asciiTheme="minorHAnsi" w:hAnsiTheme="minorHAnsi" w:cstheme="minorHAnsi"/>
            </w:rPr>
          </w:pPr>
          <w:bookmarkStart w:id="6" w:name="_Toc216779318"/>
          <w:r w:rsidRPr="00347E38">
            <w:rPr>
              <w:rFonts w:asciiTheme="minorHAnsi" w:hAnsiTheme="minorHAnsi" w:cstheme="minorHAnsi"/>
            </w:rPr>
            <w:lastRenderedPageBreak/>
            <w:t>Conclusion</w:t>
          </w:r>
          <w:bookmarkEnd w:id="6"/>
          <w:r w:rsidR="00D854A5" w:rsidRPr="00347E38">
            <w:rPr>
              <w:rFonts w:asciiTheme="minorHAnsi" w:hAnsiTheme="minorHAnsi" w:cstheme="minorHAnsi"/>
            </w:rPr>
            <w:t xml:space="preserve"> </w:t>
          </w:r>
        </w:p>
        <w:p w14:paraId="0C6DEB97" w14:textId="43FAC648" w:rsidR="00AA2A91" w:rsidRPr="00347E38" w:rsidRDefault="008F1B21" w:rsidP="00AA2A91">
          <w:pPr>
            <w:rPr>
              <w:rFonts w:asciiTheme="minorHAnsi" w:hAnsiTheme="minorHAnsi" w:cstheme="minorHAnsi"/>
              <w:sz w:val="22"/>
              <w:szCs w:val="22"/>
            </w:rPr>
          </w:pPr>
          <w:r w:rsidRPr="00347E38">
            <w:rPr>
              <w:rFonts w:asciiTheme="minorHAnsi" w:hAnsiTheme="minorHAnsi" w:cstheme="minorHAnsi"/>
              <w:sz w:val="22"/>
              <w:szCs w:val="22"/>
            </w:rPr>
            <w:t xml:space="preserve">This report has evaluated three potential investment options available to Westward Plc using discounted cash flow techniques. The NPV analysis demonstrates that all three projects are financially viable, with </w:t>
          </w:r>
          <w:r w:rsidR="00CA3DDE">
            <w:rPr>
              <w:rFonts w:asciiTheme="minorHAnsi" w:hAnsiTheme="minorHAnsi" w:cstheme="minorHAnsi"/>
              <w:sz w:val="22"/>
              <w:szCs w:val="22"/>
            </w:rPr>
            <w:t>O</w:t>
          </w:r>
          <w:r w:rsidRPr="00347E38">
            <w:rPr>
              <w:rFonts w:asciiTheme="minorHAnsi" w:hAnsiTheme="minorHAnsi" w:cstheme="minorHAnsi"/>
              <w:sz w:val="22"/>
              <w:szCs w:val="22"/>
            </w:rPr>
            <w:t xml:space="preserve">ption </w:t>
          </w:r>
          <w:r w:rsidR="00CA3DDE">
            <w:rPr>
              <w:rFonts w:asciiTheme="minorHAnsi" w:hAnsiTheme="minorHAnsi" w:cstheme="minorHAnsi"/>
              <w:sz w:val="22"/>
              <w:szCs w:val="22"/>
            </w:rPr>
            <w:t>B</w:t>
          </w:r>
          <w:r w:rsidRPr="00347E38">
            <w:rPr>
              <w:rFonts w:asciiTheme="minorHAnsi" w:hAnsiTheme="minorHAnsi" w:cstheme="minorHAnsi"/>
              <w:sz w:val="22"/>
              <w:szCs w:val="22"/>
            </w:rPr>
            <w:t xml:space="preserve"> generating the highest </w:t>
          </w:r>
          <w:r w:rsidR="006D5059">
            <w:rPr>
              <w:rFonts w:asciiTheme="minorHAnsi" w:hAnsiTheme="minorHAnsi" w:cstheme="minorHAnsi"/>
              <w:sz w:val="22"/>
              <w:szCs w:val="22"/>
            </w:rPr>
            <w:t xml:space="preserve">standalone </w:t>
          </w:r>
          <w:r w:rsidRPr="00347E38">
            <w:rPr>
              <w:rFonts w:asciiTheme="minorHAnsi" w:hAnsiTheme="minorHAnsi" w:cstheme="minorHAnsi"/>
              <w:sz w:val="22"/>
              <w:szCs w:val="22"/>
            </w:rPr>
            <w:t>net present value</w:t>
          </w:r>
          <w:r w:rsidR="006D5059">
            <w:rPr>
              <w:rFonts w:asciiTheme="minorHAnsi" w:hAnsiTheme="minorHAnsi" w:cstheme="minorHAnsi"/>
              <w:sz w:val="22"/>
              <w:szCs w:val="22"/>
            </w:rPr>
            <w:t>, making it</w:t>
          </w:r>
          <w:r w:rsidR="00421E72">
            <w:rPr>
              <w:rFonts w:asciiTheme="minorHAnsi" w:hAnsiTheme="minorHAnsi" w:cstheme="minorHAnsi"/>
              <w:sz w:val="22"/>
              <w:szCs w:val="22"/>
            </w:rPr>
            <w:t xml:space="preserve"> the most attractive single investment.</w:t>
          </w:r>
          <w:r w:rsidR="00054437">
            <w:rPr>
              <w:rFonts w:asciiTheme="minorHAnsi" w:hAnsiTheme="minorHAnsi" w:cstheme="minorHAnsi"/>
              <w:sz w:val="22"/>
              <w:szCs w:val="22"/>
            </w:rPr>
            <w:t xml:space="preserve"> </w:t>
          </w:r>
          <w:r w:rsidR="004038C2">
            <w:rPr>
              <w:rFonts w:asciiTheme="minorHAnsi" w:hAnsiTheme="minorHAnsi" w:cstheme="minorHAnsi"/>
              <w:sz w:val="22"/>
              <w:szCs w:val="22"/>
            </w:rPr>
            <w:t>Given limited investment funds</w:t>
          </w:r>
          <w:r w:rsidR="006712E6">
            <w:rPr>
              <w:rFonts w:asciiTheme="minorHAnsi" w:hAnsiTheme="minorHAnsi" w:cstheme="minorHAnsi"/>
              <w:sz w:val="22"/>
              <w:szCs w:val="22"/>
            </w:rPr>
            <w:t>, Option C also contributed significantly to the optimal investment</w:t>
          </w:r>
          <w:r w:rsidR="00F92C07">
            <w:rPr>
              <w:rFonts w:asciiTheme="minorHAnsi" w:hAnsiTheme="minorHAnsi" w:cstheme="minorHAnsi"/>
              <w:sz w:val="22"/>
              <w:szCs w:val="22"/>
            </w:rPr>
            <w:t xml:space="preserve"> portfolio alongside Options A and B, ensuring strategic growth while maximising total value under financial constraints</w:t>
          </w:r>
          <w:r w:rsidRPr="00347E38">
            <w:rPr>
              <w:rFonts w:asciiTheme="minorHAnsi" w:hAnsiTheme="minorHAnsi" w:cstheme="minorHAnsi"/>
              <w:sz w:val="22"/>
              <w:szCs w:val="22"/>
            </w:rPr>
            <w:t>.</w:t>
          </w:r>
          <w:r w:rsidR="00F92C07">
            <w:rPr>
              <w:rFonts w:asciiTheme="minorHAnsi" w:hAnsiTheme="minorHAnsi" w:cstheme="minorHAnsi"/>
              <w:sz w:val="22"/>
              <w:szCs w:val="22"/>
            </w:rPr>
            <w:t xml:space="preserve"> </w:t>
          </w:r>
          <w:r w:rsidRPr="00347E38">
            <w:rPr>
              <w:rFonts w:asciiTheme="minorHAnsi" w:hAnsiTheme="minorHAnsi" w:cstheme="minorHAnsi"/>
              <w:sz w:val="22"/>
              <w:szCs w:val="22"/>
            </w:rPr>
            <w:t>The IRR analysis further supports th</w:t>
          </w:r>
          <w:r w:rsidR="00080969">
            <w:rPr>
              <w:rFonts w:asciiTheme="minorHAnsi" w:hAnsiTheme="minorHAnsi" w:cstheme="minorHAnsi"/>
              <w:sz w:val="22"/>
              <w:szCs w:val="22"/>
            </w:rPr>
            <w:t>e</w:t>
          </w:r>
          <w:r w:rsidRPr="00347E38">
            <w:rPr>
              <w:rFonts w:asciiTheme="minorHAnsi" w:hAnsiTheme="minorHAnsi" w:cstheme="minorHAnsi"/>
              <w:sz w:val="22"/>
              <w:szCs w:val="22"/>
            </w:rPr>
            <w:t xml:space="preserve"> recommendation </w:t>
          </w:r>
          <w:r w:rsidR="00080969">
            <w:rPr>
              <w:rFonts w:asciiTheme="minorHAnsi" w:hAnsiTheme="minorHAnsi" w:cstheme="minorHAnsi"/>
              <w:sz w:val="22"/>
              <w:szCs w:val="22"/>
            </w:rPr>
            <w:t>of O</w:t>
          </w:r>
          <w:r w:rsidRPr="00347E38">
            <w:rPr>
              <w:rFonts w:asciiTheme="minorHAnsi" w:hAnsiTheme="minorHAnsi" w:cstheme="minorHAnsi"/>
              <w:sz w:val="22"/>
              <w:szCs w:val="22"/>
            </w:rPr>
            <w:t>ption C</w:t>
          </w:r>
          <w:r w:rsidR="005818A1">
            <w:rPr>
              <w:rFonts w:asciiTheme="minorHAnsi" w:hAnsiTheme="minorHAnsi" w:cstheme="minorHAnsi"/>
              <w:sz w:val="22"/>
              <w:szCs w:val="22"/>
            </w:rPr>
            <w:t xml:space="preserve">, indicating that it </w:t>
          </w:r>
          <w:r w:rsidRPr="00347E38">
            <w:rPr>
              <w:rFonts w:asciiTheme="minorHAnsi" w:hAnsiTheme="minorHAnsi" w:cstheme="minorHAnsi"/>
              <w:sz w:val="22"/>
              <w:szCs w:val="22"/>
            </w:rPr>
            <w:t>deliver</w:t>
          </w:r>
          <w:r w:rsidR="005818A1">
            <w:rPr>
              <w:rFonts w:asciiTheme="minorHAnsi" w:hAnsiTheme="minorHAnsi" w:cstheme="minorHAnsi"/>
              <w:sz w:val="22"/>
              <w:szCs w:val="22"/>
            </w:rPr>
            <w:t>s</w:t>
          </w:r>
          <w:r w:rsidRPr="00347E38">
            <w:rPr>
              <w:rFonts w:asciiTheme="minorHAnsi" w:hAnsiTheme="minorHAnsi" w:cstheme="minorHAnsi"/>
              <w:sz w:val="22"/>
              <w:szCs w:val="22"/>
            </w:rPr>
            <w:t xml:space="preserve"> returns well above the company’s cost of capital. However, the investment decision should not solely rely on financial metrics</w:t>
          </w:r>
          <w:r w:rsidR="00C533DA" w:rsidRPr="00347E38">
            <w:rPr>
              <w:rFonts w:asciiTheme="minorHAnsi" w:hAnsiTheme="minorHAnsi" w:cstheme="minorHAnsi"/>
              <w:sz w:val="22"/>
              <w:szCs w:val="22"/>
            </w:rPr>
            <w:t>. Strategic alignment, operational feasibility, market conditions and risk considerations must also be assessed to ensure long-term success. Subject t</w:t>
          </w:r>
          <w:r w:rsidR="00A56BAB" w:rsidRPr="00347E38">
            <w:rPr>
              <w:rFonts w:asciiTheme="minorHAnsi" w:hAnsiTheme="minorHAnsi" w:cstheme="minorHAnsi"/>
              <w:sz w:val="22"/>
              <w:szCs w:val="22"/>
            </w:rPr>
            <w:t xml:space="preserve">o these broader considerations, it is recommended that Westward Plc proceeds with Option C, supported by a balanced </w:t>
          </w:r>
          <w:r w:rsidR="002E02EB" w:rsidRPr="00347E38">
            <w:rPr>
              <w:rFonts w:asciiTheme="minorHAnsi" w:hAnsiTheme="minorHAnsi" w:cstheme="minorHAnsi"/>
              <w:sz w:val="22"/>
              <w:szCs w:val="22"/>
            </w:rPr>
            <w:t>financing</w:t>
          </w:r>
          <w:r w:rsidR="00A56BAB" w:rsidRPr="00347E38">
            <w:rPr>
              <w:rFonts w:asciiTheme="minorHAnsi" w:hAnsiTheme="minorHAnsi" w:cstheme="minorHAnsi"/>
              <w:sz w:val="22"/>
              <w:szCs w:val="22"/>
            </w:rPr>
            <w:t xml:space="preserve"> strategy</w:t>
          </w:r>
          <w:r w:rsidR="006A7D81" w:rsidRPr="00347E38">
            <w:rPr>
              <w:rFonts w:asciiTheme="minorHAnsi" w:hAnsiTheme="minorHAnsi" w:cstheme="minorHAnsi"/>
              <w:sz w:val="22"/>
              <w:szCs w:val="22"/>
            </w:rPr>
            <w:t xml:space="preserve"> that combines internal funds with prudent external borrowing. This approach will enable the company to pursue growth opportunities while maintaining</w:t>
          </w:r>
          <w:r w:rsidR="002E02EB" w:rsidRPr="00347E38">
            <w:rPr>
              <w:rFonts w:asciiTheme="minorHAnsi" w:hAnsiTheme="minorHAnsi" w:cstheme="minorHAnsi"/>
              <w:sz w:val="22"/>
              <w:szCs w:val="22"/>
            </w:rPr>
            <w:t xml:space="preserve"> financial stability and long-term value creation. </w:t>
          </w:r>
          <w:r w:rsidR="000803E4" w:rsidRPr="00347E38">
            <w:rPr>
              <w:rFonts w:asciiTheme="minorHAnsi" w:hAnsiTheme="minorHAnsi" w:cstheme="minorHAnsi"/>
              <w:sz w:val="22"/>
              <w:szCs w:val="22"/>
            </w:rPr>
            <w:t xml:space="preserve">Effective </w:t>
          </w:r>
          <w:r w:rsidR="004B7E25" w:rsidRPr="00347E38">
            <w:rPr>
              <w:rFonts w:asciiTheme="minorHAnsi" w:hAnsiTheme="minorHAnsi" w:cstheme="minorHAnsi"/>
              <w:sz w:val="22"/>
              <w:szCs w:val="22"/>
            </w:rPr>
            <w:t>management</w:t>
          </w:r>
          <w:r w:rsidR="000803E4" w:rsidRPr="00347E38">
            <w:rPr>
              <w:rFonts w:asciiTheme="minorHAnsi" w:hAnsiTheme="minorHAnsi" w:cstheme="minorHAnsi"/>
              <w:sz w:val="22"/>
              <w:szCs w:val="22"/>
            </w:rPr>
            <w:t xml:space="preserve"> of capital structure and financing decisions can significantly influence a company’s profitability and long-term financial stability, highlighting the importance of carefully balancing equity and debt levels, (Lazaridis</w:t>
          </w:r>
          <w:r w:rsidR="00994068" w:rsidRPr="00347E38">
            <w:rPr>
              <w:rFonts w:asciiTheme="minorHAnsi" w:hAnsiTheme="minorHAnsi" w:cstheme="minorHAnsi"/>
              <w:sz w:val="22"/>
              <w:szCs w:val="22"/>
            </w:rPr>
            <w:t xml:space="preserve"> and Tryfonidis, 2006).</w:t>
          </w:r>
        </w:p>
        <w:p w14:paraId="46D693BC" w14:textId="78FFA7F7" w:rsidR="00EB481B" w:rsidRPr="00347E38" w:rsidRDefault="00AD61A5" w:rsidP="00AA2A91">
          <w:pPr>
            <w:rPr>
              <w:rFonts w:asciiTheme="minorHAnsi" w:hAnsiTheme="minorHAnsi" w:cstheme="minorHAnsi"/>
              <w:sz w:val="22"/>
              <w:szCs w:val="22"/>
            </w:rPr>
          </w:pPr>
          <w:r w:rsidRPr="00347E38">
            <w:rPr>
              <w:rFonts w:asciiTheme="minorHAnsi" w:hAnsiTheme="minorHAnsi" w:cstheme="minorHAnsi"/>
              <w:sz w:val="22"/>
              <w:szCs w:val="22"/>
            </w:rPr>
            <w:t>T</w:t>
          </w:r>
          <w:r w:rsidR="00EB481B" w:rsidRPr="00347E38">
            <w:rPr>
              <w:rFonts w:asciiTheme="minorHAnsi" w:hAnsiTheme="minorHAnsi" w:cstheme="minorHAnsi"/>
              <w:sz w:val="22"/>
              <w:szCs w:val="22"/>
            </w:rPr>
            <w:t>he Board of Westward Plc must carefully conside</w:t>
          </w:r>
          <w:r w:rsidR="006736CA" w:rsidRPr="00347E38">
            <w:rPr>
              <w:rFonts w:asciiTheme="minorHAnsi" w:hAnsiTheme="minorHAnsi" w:cstheme="minorHAnsi"/>
              <w:sz w:val="22"/>
              <w:szCs w:val="22"/>
            </w:rPr>
            <w:t xml:space="preserve">r the </w:t>
          </w:r>
          <w:r w:rsidR="004B7E25" w:rsidRPr="00347E38">
            <w:rPr>
              <w:rFonts w:asciiTheme="minorHAnsi" w:hAnsiTheme="minorHAnsi" w:cstheme="minorHAnsi"/>
              <w:sz w:val="22"/>
              <w:szCs w:val="22"/>
            </w:rPr>
            <w:t>financing</w:t>
          </w:r>
          <w:r w:rsidR="006736CA" w:rsidRPr="00347E38">
            <w:rPr>
              <w:rFonts w:asciiTheme="minorHAnsi" w:hAnsiTheme="minorHAnsi" w:cstheme="minorHAnsi"/>
              <w:sz w:val="22"/>
              <w:szCs w:val="22"/>
            </w:rPr>
            <w:t xml:space="preserve"> strategy for the proposed investment programme to ensure both affordability and </w:t>
          </w:r>
          <w:r w:rsidR="002E6881" w:rsidRPr="00347E38">
            <w:rPr>
              <w:rFonts w:asciiTheme="minorHAnsi" w:hAnsiTheme="minorHAnsi" w:cstheme="minorHAnsi"/>
              <w:sz w:val="22"/>
              <w:szCs w:val="22"/>
            </w:rPr>
            <w:t xml:space="preserve">strategic flexibility. </w:t>
          </w:r>
          <w:r w:rsidR="002D1F08" w:rsidRPr="00347E38">
            <w:rPr>
              <w:rFonts w:asciiTheme="minorHAnsi" w:hAnsiTheme="minorHAnsi" w:cstheme="minorHAnsi"/>
              <w:sz w:val="22"/>
              <w:szCs w:val="22"/>
            </w:rPr>
            <w:t xml:space="preserve">The primary sources </w:t>
          </w:r>
          <w:r w:rsidR="00235490" w:rsidRPr="00347E38">
            <w:rPr>
              <w:rFonts w:asciiTheme="minorHAnsi" w:hAnsiTheme="minorHAnsi" w:cstheme="minorHAnsi"/>
              <w:sz w:val="22"/>
              <w:szCs w:val="22"/>
            </w:rPr>
            <w:t xml:space="preserve">of finance available </w:t>
          </w:r>
          <w:r w:rsidR="00F5240D" w:rsidRPr="00347E38">
            <w:rPr>
              <w:rFonts w:asciiTheme="minorHAnsi" w:hAnsiTheme="minorHAnsi" w:cstheme="minorHAnsi"/>
              <w:sz w:val="22"/>
              <w:szCs w:val="22"/>
            </w:rPr>
            <w:t>include equity financing, debt financing and retained earnings. Equity financing, such as issuing new shares, provides permanent capital and reduces financial risk because no fixed repayments are required. However, it can dilute existing shareholders’ ownership and may be more expensive in terms of cost of capital</w:t>
          </w:r>
          <w:r w:rsidR="006A2D62" w:rsidRPr="00347E38">
            <w:rPr>
              <w:rFonts w:asciiTheme="minorHAnsi" w:hAnsiTheme="minorHAnsi" w:cstheme="minorHAnsi"/>
              <w:sz w:val="22"/>
              <w:szCs w:val="22"/>
            </w:rPr>
            <w:t>, (Moles and Terry, 1997; Jensen, 1986)</w:t>
          </w:r>
          <w:r w:rsidR="003C5D32" w:rsidRPr="00347E38">
            <w:rPr>
              <w:rFonts w:asciiTheme="minorHAnsi" w:hAnsiTheme="minorHAnsi" w:cstheme="minorHAnsi"/>
              <w:sz w:val="22"/>
              <w:szCs w:val="22"/>
            </w:rPr>
            <w:t xml:space="preserve">. Debt financing, through bank loans or bonds, </w:t>
          </w:r>
          <w:r w:rsidR="00C27687" w:rsidRPr="00347E38">
            <w:rPr>
              <w:rFonts w:asciiTheme="minorHAnsi" w:hAnsiTheme="minorHAnsi" w:cstheme="minorHAnsi"/>
              <w:sz w:val="22"/>
              <w:szCs w:val="22"/>
            </w:rPr>
            <w:t xml:space="preserve">while preserving </w:t>
          </w:r>
          <w:r w:rsidR="00886E43" w:rsidRPr="00347E38">
            <w:rPr>
              <w:rFonts w:asciiTheme="minorHAnsi" w:hAnsiTheme="minorHAnsi" w:cstheme="minorHAnsi"/>
              <w:sz w:val="22"/>
              <w:szCs w:val="22"/>
            </w:rPr>
            <w:t xml:space="preserve">ownership and </w:t>
          </w:r>
          <w:r w:rsidR="006C5A9E" w:rsidRPr="00347E38">
            <w:rPr>
              <w:rFonts w:asciiTheme="minorHAnsi" w:hAnsiTheme="minorHAnsi" w:cstheme="minorHAnsi"/>
              <w:sz w:val="22"/>
              <w:szCs w:val="22"/>
            </w:rPr>
            <w:t>offering</w:t>
          </w:r>
          <w:r w:rsidR="00886E43" w:rsidRPr="00347E38">
            <w:rPr>
              <w:rFonts w:asciiTheme="minorHAnsi" w:hAnsiTheme="minorHAnsi" w:cstheme="minorHAnsi"/>
              <w:sz w:val="22"/>
              <w:szCs w:val="22"/>
            </w:rPr>
            <w:t xml:space="preserve"> tax </w:t>
          </w:r>
          <w:r w:rsidR="006C5A9E" w:rsidRPr="00347E38">
            <w:rPr>
              <w:rFonts w:asciiTheme="minorHAnsi" w:hAnsiTheme="minorHAnsi" w:cstheme="minorHAnsi"/>
              <w:sz w:val="22"/>
              <w:szCs w:val="22"/>
            </w:rPr>
            <w:t>advantages</w:t>
          </w:r>
          <w:r w:rsidR="00886E43" w:rsidRPr="00347E38">
            <w:rPr>
              <w:rFonts w:asciiTheme="minorHAnsi" w:hAnsiTheme="minorHAnsi" w:cstheme="minorHAnsi"/>
              <w:sz w:val="22"/>
              <w:szCs w:val="22"/>
            </w:rPr>
            <w:t xml:space="preserve"> from deductible interest, increases leverage risk and </w:t>
          </w:r>
          <w:r w:rsidR="006C5A9E" w:rsidRPr="00347E38">
            <w:rPr>
              <w:rFonts w:asciiTheme="minorHAnsi" w:hAnsiTheme="minorHAnsi" w:cstheme="minorHAnsi"/>
              <w:sz w:val="22"/>
              <w:szCs w:val="22"/>
            </w:rPr>
            <w:t>financial</w:t>
          </w:r>
          <w:r w:rsidR="00886E43" w:rsidRPr="00347E38">
            <w:rPr>
              <w:rFonts w:asciiTheme="minorHAnsi" w:hAnsiTheme="minorHAnsi" w:cstheme="minorHAnsi"/>
              <w:sz w:val="22"/>
              <w:szCs w:val="22"/>
            </w:rPr>
            <w:t xml:space="preserve"> repayment obligations, and can reduce financial flexibility during downturns, (</w:t>
          </w:r>
          <w:r w:rsidR="006C5A9E" w:rsidRPr="00347E38">
            <w:rPr>
              <w:rFonts w:asciiTheme="minorHAnsi" w:hAnsiTheme="minorHAnsi" w:cstheme="minorHAnsi"/>
              <w:sz w:val="22"/>
              <w:szCs w:val="22"/>
            </w:rPr>
            <w:t>Modigliani and Miller, 1958; Myers, 2001)</w:t>
          </w:r>
          <w:r w:rsidR="00026974" w:rsidRPr="00347E38">
            <w:rPr>
              <w:rFonts w:asciiTheme="minorHAnsi" w:hAnsiTheme="minorHAnsi" w:cstheme="minorHAnsi"/>
              <w:sz w:val="22"/>
              <w:szCs w:val="22"/>
            </w:rPr>
            <w:t xml:space="preserve">. Nevertheless, </w:t>
          </w:r>
          <w:r w:rsidR="00124A62" w:rsidRPr="00347E38">
            <w:rPr>
              <w:rFonts w:asciiTheme="minorHAnsi" w:hAnsiTheme="minorHAnsi" w:cstheme="minorHAnsi"/>
              <w:sz w:val="22"/>
              <w:szCs w:val="22"/>
            </w:rPr>
            <w:t>higher leverage increases financial risk and may constrain future cash flows due to mandatory interest and principal repayments. Retained earnings represent an internal and cost-effective source of funds</w:t>
          </w:r>
          <w:r w:rsidR="003D549A" w:rsidRPr="00347E38">
            <w:rPr>
              <w:rFonts w:asciiTheme="minorHAnsi" w:hAnsiTheme="minorHAnsi" w:cstheme="minorHAnsi"/>
              <w:sz w:val="22"/>
              <w:szCs w:val="22"/>
            </w:rPr>
            <w:t xml:space="preserve"> that does not involve additional obligations or dilution, but availability may be limited and using them could restrict reinvestment in other strategies areas.</w:t>
          </w:r>
          <w:r w:rsidR="006C5A9E" w:rsidRPr="00347E38">
            <w:rPr>
              <w:rFonts w:asciiTheme="minorHAnsi" w:hAnsiTheme="minorHAnsi" w:cstheme="minorHAnsi"/>
              <w:sz w:val="22"/>
              <w:szCs w:val="22"/>
            </w:rPr>
            <w:t xml:space="preserve"> The choice of financing method influen</w:t>
          </w:r>
          <w:r w:rsidR="00F45BC3" w:rsidRPr="00347E38">
            <w:rPr>
              <w:rFonts w:asciiTheme="minorHAnsi" w:hAnsiTheme="minorHAnsi" w:cstheme="minorHAnsi"/>
              <w:sz w:val="22"/>
              <w:szCs w:val="22"/>
            </w:rPr>
            <w:t>ces shareholder value, as higher leverage can impose greater risk on equity holders, while over-reliance on external equity can dilute earnings per share and shareholder control, (Rappaport</w:t>
          </w:r>
          <w:r w:rsidR="00C22AA8" w:rsidRPr="00347E38">
            <w:rPr>
              <w:rFonts w:asciiTheme="minorHAnsi" w:hAnsiTheme="minorHAnsi" w:cstheme="minorHAnsi"/>
              <w:sz w:val="22"/>
              <w:szCs w:val="22"/>
            </w:rPr>
            <w:t>, 1986).</w:t>
          </w:r>
        </w:p>
        <w:p w14:paraId="6925D6D2" w14:textId="3B8B2EB7" w:rsidR="003D549A" w:rsidRPr="00347E38" w:rsidRDefault="003D549A" w:rsidP="00AA2A91">
          <w:pPr>
            <w:rPr>
              <w:rFonts w:asciiTheme="minorHAnsi" w:hAnsiTheme="minorHAnsi" w:cstheme="minorHAnsi"/>
              <w:sz w:val="22"/>
              <w:szCs w:val="22"/>
            </w:rPr>
          </w:pPr>
          <w:r w:rsidRPr="00347E38">
            <w:rPr>
              <w:rFonts w:asciiTheme="minorHAnsi" w:hAnsiTheme="minorHAnsi" w:cstheme="minorHAnsi"/>
              <w:sz w:val="22"/>
              <w:szCs w:val="22"/>
            </w:rPr>
            <w:t xml:space="preserve">For Westward Plc, given that the total </w:t>
          </w:r>
          <w:r w:rsidR="00E3236D" w:rsidRPr="00347E38">
            <w:rPr>
              <w:rFonts w:asciiTheme="minorHAnsi" w:hAnsiTheme="minorHAnsi" w:cstheme="minorHAnsi"/>
              <w:sz w:val="22"/>
              <w:szCs w:val="22"/>
            </w:rPr>
            <w:t xml:space="preserve">required investment of </w:t>
          </w:r>
          <w:r w:rsidR="00897E8E" w:rsidRPr="00347E38">
            <w:rPr>
              <w:rFonts w:asciiTheme="minorHAnsi" w:hAnsiTheme="minorHAnsi" w:cstheme="minorHAnsi"/>
              <w:sz w:val="22"/>
              <w:szCs w:val="22"/>
            </w:rPr>
            <w:t>£2,500,000</w:t>
          </w:r>
          <w:r w:rsidR="0048029C" w:rsidRPr="00347E38">
            <w:rPr>
              <w:rFonts w:asciiTheme="minorHAnsi" w:hAnsiTheme="minorHAnsi" w:cstheme="minorHAnsi"/>
              <w:sz w:val="22"/>
              <w:szCs w:val="22"/>
            </w:rPr>
            <w:t xml:space="preserve"> across the </w:t>
          </w:r>
          <w:r w:rsidR="009A5578" w:rsidRPr="00347E38">
            <w:rPr>
              <w:rFonts w:asciiTheme="minorHAnsi" w:hAnsiTheme="minorHAnsi" w:cstheme="minorHAnsi"/>
              <w:sz w:val="22"/>
              <w:szCs w:val="22"/>
            </w:rPr>
            <w:t>preferred</w:t>
          </w:r>
          <w:r w:rsidR="0048029C" w:rsidRPr="00347E38">
            <w:rPr>
              <w:rFonts w:asciiTheme="minorHAnsi" w:hAnsiTheme="minorHAnsi" w:cstheme="minorHAnsi"/>
              <w:sz w:val="22"/>
              <w:szCs w:val="22"/>
            </w:rPr>
            <w:t xml:space="preserve"> projects is</w:t>
          </w:r>
          <w:r w:rsidR="009A5578" w:rsidRPr="00347E38">
            <w:rPr>
              <w:rFonts w:asciiTheme="minorHAnsi" w:hAnsiTheme="minorHAnsi" w:cstheme="minorHAnsi"/>
              <w:sz w:val="22"/>
              <w:szCs w:val="22"/>
            </w:rPr>
            <w:t xml:space="preserve"> substantial but not excessively high</w:t>
          </w:r>
          <w:r w:rsidR="001E7060" w:rsidRPr="00347E38">
            <w:rPr>
              <w:rFonts w:asciiTheme="minorHAnsi" w:hAnsiTheme="minorHAnsi" w:cstheme="minorHAnsi"/>
              <w:sz w:val="22"/>
              <w:szCs w:val="22"/>
            </w:rPr>
            <w:t xml:space="preserve">, a balanced financing mix is recommended. The company could finance the majority of the </w:t>
          </w:r>
          <w:r w:rsidR="00B0702B" w:rsidRPr="00347E38">
            <w:rPr>
              <w:rFonts w:asciiTheme="minorHAnsi" w:hAnsiTheme="minorHAnsi" w:cstheme="minorHAnsi"/>
              <w:sz w:val="22"/>
              <w:szCs w:val="22"/>
            </w:rPr>
            <w:t>programme</w:t>
          </w:r>
          <w:r w:rsidR="001E7060" w:rsidRPr="00347E38">
            <w:rPr>
              <w:rFonts w:asciiTheme="minorHAnsi" w:hAnsiTheme="minorHAnsi" w:cstheme="minorHAnsi"/>
              <w:sz w:val="22"/>
              <w:szCs w:val="22"/>
            </w:rPr>
            <w:t xml:space="preserve"> through retained earnings and internal cash reserves to minimise interest obligations, supplementing this with a moderate</w:t>
          </w:r>
          <w:r w:rsidR="00B0702B" w:rsidRPr="00347E38">
            <w:rPr>
              <w:rFonts w:asciiTheme="minorHAnsi" w:hAnsiTheme="minorHAnsi" w:cstheme="minorHAnsi"/>
              <w:sz w:val="22"/>
              <w:szCs w:val="22"/>
            </w:rPr>
            <w:t xml:space="preserve"> level of debt to preserve liquidity and take advantage of the interest tax shield. Equity issuance could be considered only if additional capital is required for strategic flexibility or to support potential unforeseen expansions. This approach would allow Westward Plc to maintain financial stability, limit risk exposure, and ensure the investment programme can be delivered efficiently, maximising value for shareholders while supporting long-term growth objectives.</w:t>
          </w:r>
        </w:p>
        <w:p w14:paraId="05E54DB2" w14:textId="21F511C3" w:rsidR="00EF6417" w:rsidRPr="00884534" w:rsidRDefault="00AD61A5" w:rsidP="00884534">
          <w:pPr>
            <w:rPr>
              <w:rFonts w:asciiTheme="minorHAnsi" w:hAnsiTheme="minorHAnsi" w:cstheme="minorHAnsi"/>
              <w:sz w:val="22"/>
              <w:szCs w:val="22"/>
            </w:rPr>
          </w:pPr>
          <w:r w:rsidRPr="00347E38">
            <w:rPr>
              <w:rFonts w:asciiTheme="minorHAnsi" w:hAnsiTheme="minorHAnsi" w:cstheme="minorHAnsi"/>
              <w:sz w:val="22"/>
              <w:szCs w:val="22"/>
            </w:rPr>
            <w:t xml:space="preserve">In conclusion, the financial </w:t>
          </w:r>
          <w:r w:rsidR="008D4872" w:rsidRPr="00347E38">
            <w:rPr>
              <w:rFonts w:asciiTheme="minorHAnsi" w:hAnsiTheme="minorHAnsi" w:cstheme="minorHAnsi"/>
              <w:sz w:val="22"/>
              <w:szCs w:val="22"/>
            </w:rPr>
            <w:t xml:space="preserve">and strategic </w:t>
          </w:r>
          <w:r w:rsidR="00320E40" w:rsidRPr="00347E38">
            <w:rPr>
              <w:rFonts w:asciiTheme="minorHAnsi" w:hAnsiTheme="minorHAnsi" w:cstheme="minorHAnsi"/>
              <w:sz w:val="22"/>
              <w:szCs w:val="22"/>
            </w:rPr>
            <w:t>analyses</w:t>
          </w:r>
          <w:r w:rsidR="008D4872" w:rsidRPr="00347E38">
            <w:rPr>
              <w:rFonts w:asciiTheme="minorHAnsi" w:hAnsiTheme="minorHAnsi" w:cstheme="minorHAnsi"/>
              <w:sz w:val="22"/>
              <w:szCs w:val="22"/>
            </w:rPr>
            <w:t xml:space="preserve"> undertaken throughout this report </w:t>
          </w:r>
          <w:r w:rsidR="004E2A91" w:rsidRPr="00347E38">
            <w:rPr>
              <w:rFonts w:asciiTheme="minorHAnsi" w:hAnsiTheme="minorHAnsi" w:cstheme="minorHAnsi"/>
              <w:sz w:val="22"/>
              <w:szCs w:val="22"/>
            </w:rPr>
            <w:t>underscore</w:t>
          </w:r>
          <w:r w:rsidR="008D4872" w:rsidRPr="00347E38">
            <w:rPr>
              <w:rFonts w:asciiTheme="minorHAnsi" w:hAnsiTheme="minorHAnsi" w:cstheme="minorHAnsi"/>
              <w:sz w:val="22"/>
              <w:szCs w:val="22"/>
            </w:rPr>
            <w:t xml:space="preserve"> that both</w:t>
          </w:r>
          <w:r w:rsidR="001A5450" w:rsidRPr="00347E38">
            <w:rPr>
              <w:rFonts w:asciiTheme="minorHAnsi" w:hAnsiTheme="minorHAnsi" w:cstheme="minorHAnsi"/>
              <w:sz w:val="22"/>
              <w:szCs w:val="22"/>
            </w:rPr>
            <w:t xml:space="preserve"> operational performance and investment appraisal are critical to </w:t>
          </w:r>
          <w:r w:rsidR="00EC28B1" w:rsidRPr="00347E38">
            <w:rPr>
              <w:rFonts w:asciiTheme="minorHAnsi" w:hAnsiTheme="minorHAnsi" w:cstheme="minorHAnsi"/>
              <w:sz w:val="22"/>
              <w:szCs w:val="22"/>
            </w:rPr>
            <w:t xml:space="preserve">sustaining organisational growth and </w:t>
          </w:r>
          <w:r w:rsidR="004E2A91" w:rsidRPr="00347E38">
            <w:rPr>
              <w:rFonts w:asciiTheme="minorHAnsi" w:hAnsiTheme="minorHAnsi" w:cstheme="minorHAnsi"/>
              <w:sz w:val="22"/>
              <w:szCs w:val="22"/>
            </w:rPr>
            <w:t xml:space="preserve">enhancing </w:t>
          </w:r>
          <w:r w:rsidR="00EC28B1" w:rsidRPr="00347E38">
            <w:rPr>
              <w:rFonts w:asciiTheme="minorHAnsi" w:hAnsiTheme="minorHAnsi" w:cstheme="minorHAnsi"/>
              <w:sz w:val="22"/>
              <w:szCs w:val="22"/>
            </w:rPr>
            <w:t xml:space="preserve">shareholder </w:t>
          </w:r>
          <w:r w:rsidR="00320E40" w:rsidRPr="00347E38">
            <w:rPr>
              <w:rFonts w:asciiTheme="minorHAnsi" w:hAnsiTheme="minorHAnsi" w:cstheme="minorHAnsi"/>
              <w:sz w:val="22"/>
              <w:szCs w:val="22"/>
            </w:rPr>
            <w:t>value</w:t>
          </w:r>
          <w:r w:rsidR="002747CD" w:rsidRPr="00347E38">
            <w:rPr>
              <w:rFonts w:asciiTheme="minorHAnsi" w:hAnsiTheme="minorHAnsi" w:cstheme="minorHAnsi"/>
              <w:sz w:val="22"/>
              <w:szCs w:val="22"/>
            </w:rPr>
            <w:t>, (Van Horne and Wachowicz, 2008)</w:t>
          </w:r>
          <w:r w:rsidR="00EC28B1" w:rsidRPr="00347E38">
            <w:rPr>
              <w:rFonts w:asciiTheme="minorHAnsi" w:hAnsiTheme="minorHAnsi" w:cstheme="minorHAnsi"/>
              <w:sz w:val="22"/>
              <w:szCs w:val="22"/>
            </w:rPr>
            <w:t>.</w:t>
          </w:r>
          <w:r w:rsidR="00D353C2" w:rsidRPr="00347E38">
            <w:rPr>
              <w:rFonts w:asciiTheme="minorHAnsi" w:hAnsiTheme="minorHAnsi" w:cstheme="minorHAnsi"/>
              <w:sz w:val="22"/>
              <w:szCs w:val="22"/>
            </w:rPr>
            <w:t xml:space="preserve"> Tesco’s strengthening profitability, liquidity and</w:t>
          </w:r>
          <w:r w:rsidR="000417D5" w:rsidRPr="00347E38">
            <w:rPr>
              <w:rFonts w:asciiTheme="minorHAnsi" w:hAnsiTheme="minorHAnsi" w:cstheme="minorHAnsi"/>
              <w:sz w:val="22"/>
              <w:szCs w:val="22"/>
            </w:rPr>
            <w:t xml:space="preserve"> efficiency</w:t>
          </w:r>
          <w:r w:rsidR="00D353C2" w:rsidRPr="00347E38">
            <w:rPr>
              <w:rFonts w:asciiTheme="minorHAnsi" w:hAnsiTheme="minorHAnsi" w:cstheme="minorHAnsi"/>
              <w:sz w:val="22"/>
              <w:szCs w:val="22"/>
            </w:rPr>
            <w:t xml:space="preserve"> ratios highlight </w:t>
          </w:r>
          <w:r w:rsidR="007F108C" w:rsidRPr="00347E38">
            <w:rPr>
              <w:rFonts w:asciiTheme="minorHAnsi" w:hAnsiTheme="minorHAnsi" w:cstheme="minorHAnsi"/>
              <w:sz w:val="22"/>
              <w:szCs w:val="22"/>
            </w:rPr>
            <w:t xml:space="preserve">the importance of </w:t>
          </w:r>
          <w:r w:rsidR="00D450E1">
            <w:rPr>
              <w:rFonts w:asciiTheme="minorHAnsi" w:hAnsiTheme="minorHAnsi" w:cstheme="minorHAnsi"/>
              <w:sz w:val="22"/>
              <w:szCs w:val="22"/>
            </w:rPr>
            <w:t>prudent</w:t>
          </w:r>
          <w:r w:rsidR="007F108C" w:rsidRPr="00347E38">
            <w:rPr>
              <w:rFonts w:asciiTheme="minorHAnsi" w:hAnsiTheme="minorHAnsi" w:cstheme="minorHAnsi"/>
              <w:sz w:val="22"/>
              <w:szCs w:val="22"/>
            </w:rPr>
            <w:t xml:space="preserve"> financial </w:t>
          </w:r>
          <w:r w:rsidR="00D450E1">
            <w:rPr>
              <w:rFonts w:asciiTheme="minorHAnsi" w:hAnsiTheme="minorHAnsi" w:cstheme="minorHAnsi"/>
              <w:sz w:val="22"/>
              <w:szCs w:val="22"/>
            </w:rPr>
            <w:t>oversight</w:t>
          </w:r>
          <w:r w:rsidR="007F108C" w:rsidRPr="00347E38">
            <w:rPr>
              <w:rFonts w:asciiTheme="minorHAnsi" w:hAnsiTheme="minorHAnsi" w:cstheme="minorHAnsi"/>
              <w:sz w:val="22"/>
              <w:szCs w:val="22"/>
            </w:rPr>
            <w:t xml:space="preserve">, while the Westward Plc investment appraisal illustrates how rigorous evaluation of risk, return and capital structure informs sound decision-making. </w:t>
          </w:r>
          <w:r w:rsidR="000C461E" w:rsidRPr="00347E38">
            <w:rPr>
              <w:rFonts w:asciiTheme="minorHAnsi" w:hAnsiTheme="minorHAnsi" w:cstheme="minorHAnsi"/>
              <w:sz w:val="22"/>
              <w:szCs w:val="22"/>
            </w:rPr>
            <w:t>Effective allocation of resources, combined with careful consideration of financing options, ensures that organisati</w:t>
          </w:r>
          <w:r w:rsidR="00E96FFC" w:rsidRPr="00347E38">
            <w:rPr>
              <w:rFonts w:asciiTheme="minorHAnsi" w:hAnsiTheme="minorHAnsi" w:cstheme="minorHAnsi"/>
              <w:sz w:val="22"/>
              <w:szCs w:val="22"/>
            </w:rPr>
            <w:t xml:space="preserve">ons can </w:t>
          </w:r>
          <w:r w:rsidR="00425A70" w:rsidRPr="00347E38">
            <w:rPr>
              <w:rFonts w:asciiTheme="minorHAnsi" w:hAnsiTheme="minorHAnsi" w:cstheme="minorHAnsi"/>
              <w:sz w:val="22"/>
              <w:szCs w:val="22"/>
            </w:rPr>
            <w:t>pursue</w:t>
          </w:r>
          <w:r w:rsidR="00E96FFC" w:rsidRPr="00347E38">
            <w:rPr>
              <w:rFonts w:asciiTheme="minorHAnsi" w:hAnsiTheme="minorHAnsi" w:cstheme="minorHAnsi"/>
              <w:sz w:val="22"/>
              <w:szCs w:val="22"/>
            </w:rPr>
            <w:t xml:space="preserve"> growth opportunities without compromising financial stability</w:t>
          </w:r>
          <w:r w:rsidR="00D22896" w:rsidRPr="00347E38">
            <w:rPr>
              <w:rFonts w:asciiTheme="minorHAnsi" w:hAnsiTheme="minorHAnsi" w:cstheme="minorHAnsi"/>
              <w:sz w:val="22"/>
              <w:szCs w:val="22"/>
            </w:rPr>
            <w:t>, (D</w:t>
          </w:r>
          <w:r w:rsidR="00F342A9" w:rsidRPr="00347E38">
            <w:rPr>
              <w:rFonts w:asciiTheme="minorHAnsi" w:hAnsiTheme="minorHAnsi" w:cstheme="minorHAnsi"/>
              <w:sz w:val="22"/>
              <w:szCs w:val="22"/>
            </w:rPr>
            <w:t>amodaran, 2010)</w:t>
          </w:r>
          <w:r w:rsidR="00E96FFC" w:rsidRPr="00347E38">
            <w:rPr>
              <w:rFonts w:asciiTheme="minorHAnsi" w:hAnsiTheme="minorHAnsi" w:cstheme="minorHAnsi"/>
              <w:sz w:val="22"/>
              <w:szCs w:val="22"/>
            </w:rPr>
            <w:t xml:space="preserve">. Ultimately, the integration of analytical techniques, strategic insight, </w:t>
          </w:r>
          <w:r w:rsidR="00425A70" w:rsidRPr="00347E38">
            <w:rPr>
              <w:rFonts w:asciiTheme="minorHAnsi" w:hAnsiTheme="minorHAnsi" w:cstheme="minorHAnsi"/>
              <w:sz w:val="22"/>
              <w:szCs w:val="22"/>
            </w:rPr>
            <w:t>and prudent</w:t>
          </w:r>
          <w:r w:rsidR="00E96FFC" w:rsidRPr="00347E38">
            <w:rPr>
              <w:rFonts w:asciiTheme="minorHAnsi" w:hAnsiTheme="minorHAnsi" w:cstheme="minorHAnsi"/>
              <w:sz w:val="22"/>
              <w:szCs w:val="22"/>
            </w:rPr>
            <w:t xml:space="preserve"> financial </w:t>
          </w:r>
          <w:r w:rsidR="002F4A40">
            <w:rPr>
              <w:rFonts w:asciiTheme="minorHAnsi" w:hAnsiTheme="minorHAnsi" w:cstheme="minorHAnsi"/>
              <w:sz w:val="22"/>
              <w:szCs w:val="22"/>
            </w:rPr>
            <w:t>management</w:t>
          </w:r>
          <w:r w:rsidR="00E96FFC" w:rsidRPr="00347E38">
            <w:rPr>
              <w:rFonts w:asciiTheme="minorHAnsi" w:hAnsiTheme="minorHAnsi" w:cstheme="minorHAnsi"/>
              <w:sz w:val="22"/>
              <w:szCs w:val="22"/>
            </w:rPr>
            <w:t xml:space="preserve"> provides a </w:t>
          </w:r>
          <w:r w:rsidR="00E96FFC" w:rsidRPr="00347E38">
            <w:rPr>
              <w:rFonts w:asciiTheme="minorHAnsi" w:hAnsiTheme="minorHAnsi" w:cstheme="minorHAnsi"/>
              <w:sz w:val="22"/>
              <w:szCs w:val="22"/>
            </w:rPr>
            <w:lastRenderedPageBreak/>
            <w:t xml:space="preserve">robust foundation for long-term competitiveness, organisational </w:t>
          </w:r>
          <w:r w:rsidR="00425A70" w:rsidRPr="00347E38">
            <w:rPr>
              <w:rFonts w:asciiTheme="minorHAnsi" w:hAnsiTheme="minorHAnsi" w:cstheme="minorHAnsi"/>
              <w:sz w:val="22"/>
              <w:szCs w:val="22"/>
            </w:rPr>
            <w:t>resilience, and value creation for stakeholders.</w:t>
          </w:r>
        </w:p>
        <w:p w14:paraId="128A9632" w14:textId="48E24A87" w:rsidR="00836F15" w:rsidRPr="00347E38" w:rsidRDefault="00321DC1" w:rsidP="00321DC1">
          <w:pPr>
            <w:pStyle w:val="Heading1"/>
            <w:rPr>
              <w:rFonts w:asciiTheme="minorHAnsi" w:hAnsiTheme="minorHAnsi" w:cstheme="minorHAnsi"/>
            </w:rPr>
          </w:pPr>
          <w:bookmarkStart w:id="7" w:name="_Toc216779319"/>
          <w:r w:rsidRPr="00347E38">
            <w:rPr>
              <w:rFonts w:asciiTheme="minorHAnsi" w:hAnsiTheme="minorHAnsi" w:cstheme="minorHAnsi"/>
            </w:rPr>
            <w:t>Appendix:</w:t>
          </w:r>
          <w:bookmarkEnd w:id="7"/>
          <w:r w:rsidR="00836F15" w:rsidRPr="00347E38">
            <w:rPr>
              <w:rFonts w:asciiTheme="minorHAnsi" w:hAnsiTheme="minorHAnsi" w:cstheme="minorHAnsi"/>
            </w:rPr>
            <w:t xml:space="preserve"> </w:t>
          </w:r>
        </w:p>
        <w:p w14:paraId="64FD5BAC" w14:textId="36062D0D" w:rsidR="00321DC1" w:rsidRPr="00347E38" w:rsidRDefault="00836F15" w:rsidP="00321DC1">
          <w:pPr>
            <w:pStyle w:val="Heading1"/>
            <w:rPr>
              <w:rFonts w:asciiTheme="minorHAnsi" w:hAnsiTheme="minorHAnsi" w:cstheme="minorHAnsi"/>
            </w:rPr>
          </w:pPr>
          <w:bookmarkStart w:id="8" w:name="_Toc216779320"/>
          <w:r w:rsidRPr="00347E38">
            <w:rPr>
              <w:rFonts w:asciiTheme="minorHAnsi" w:hAnsiTheme="minorHAnsi" w:cstheme="minorHAnsi"/>
            </w:rPr>
            <w:t xml:space="preserve">Part 1 </w:t>
          </w:r>
          <w:r w:rsidR="001B05A7" w:rsidRPr="00347E38">
            <w:rPr>
              <w:rFonts w:asciiTheme="minorHAnsi" w:hAnsiTheme="minorHAnsi" w:cstheme="minorHAnsi"/>
            </w:rPr>
            <w:t xml:space="preserve">- </w:t>
          </w:r>
          <w:r w:rsidR="00DC7178" w:rsidRPr="00347E38">
            <w:rPr>
              <w:rFonts w:asciiTheme="minorHAnsi" w:hAnsiTheme="minorHAnsi" w:cstheme="minorHAnsi"/>
            </w:rPr>
            <w:t>Tesco Ratio Analysis: Interpretation of 2023–2024 Financial Performance</w:t>
          </w:r>
          <w:bookmarkEnd w:id="8"/>
        </w:p>
        <w:p w14:paraId="6A07F352" w14:textId="77777777" w:rsidR="002E4FF4" w:rsidRPr="00347E38" w:rsidRDefault="002E4FF4" w:rsidP="00F40D79">
          <w:pPr>
            <w:rPr>
              <w:rFonts w:asciiTheme="minorHAnsi" w:hAnsiTheme="minorHAnsi" w:cstheme="minorHAnsi"/>
            </w:rPr>
          </w:pPr>
        </w:p>
        <w:p w14:paraId="31570C5D" w14:textId="12DAAC12" w:rsidR="00D95C83" w:rsidRPr="00347E38" w:rsidRDefault="00F40D79" w:rsidP="00F40D79">
          <w:pPr>
            <w:rPr>
              <w:rFonts w:asciiTheme="minorHAnsi" w:hAnsiTheme="minorHAnsi" w:cstheme="minorHAnsi"/>
            </w:rPr>
          </w:pPr>
          <w:r w:rsidRPr="00347E38">
            <w:rPr>
              <w:rFonts w:asciiTheme="minorHAnsi" w:hAnsiTheme="minorHAnsi" w:cstheme="minorHAnsi"/>
            </w:rPr>
            <w:t>Link to Tesco’s 2023</w:t>
          </w:r>
          <w:r w:rsidR="00FE279F" w:rsidRPr="00347E38">
            <w:rPr>
              <w:rFonts w:asciiTheme="minorHAnsi" w:hAnsiTheme="minorHAnsi" w:cstheme="minorHAnsi"/>
            </w:rPr>
            <w:t xml:space="preserve"> Annual Financial Statements - </w:t>
          </w:r>
          <w:hyperlink r:id="rId11" w:history="1">
            <w:r w:rsidR="00092027" w:rsidRPr="00347E38">
              <w:rPr>
                <w:rStyle w:val="Hyperlink"/>
                <w:rFonts w:asciiTheme="minorHAnsi" w:hAnsiTheme="minorHAnsi" w:cstheme="minorHAnsi"/>
              </w:rPr>
              <w:t>https://www.tescoplc.com/media/u1wlq2qf/tesco-plc-annual-report-2023.pdf</w:t>
            </w:r>
          </w:hyperlink>
          <w:r w:rsidR="00092027" w:rsidRPr="00347E38">
            <w:rPr>
              <w:rFonts w:asciiTheme="minorHAnsi" w:hAnsiTheme="minorHAnsi" w:cstheme="minorHAnsi"/>
            </w:rPr>
            <w:t xml:space="preserve"> </w:t>
          </w:r>
        </w:p>
        <w:p w14:paraId="68D4AEC3" w14:textId="2298112B" w:rsidR="00FE279F" w:rsidRPr="00347E38" w:rsidRDefault="00D95C83" w:rsidP="00F40D79">
          <w:pPr>
            <w:rPr>
              <w:rFonts w:asciiTheme="minorHAnsi" w:hAnsiTheme="minorHAnsi" w:cstheme="minorHAnsi"/>
            </w:rPr>
          </w:pPr>
          <w:r w:rsidRPr="00347E38">
            <w:rPr>
              <w:rFonts w:asciiTheme="minorHAnsi" w:hAnsiTheme="minorHAnsi" w:cstheme="minorHAnsi"/>
            </w:rPr>
            <w:t>Link to Tesco’s 202</w:t>
          </w:r>
          <w:r w:rsidR="008D480A" w:rsidRPr="00347E38">
            <w:rPr>
              <w:rFonts w:asciiTheme="minorHAnsi" w:hAnsiTheme="minorHAnsi" w:cstheme="minorHAnsi"/>
            </w:rPr>
            <w:t>4</w:t>
          </w:r>
          <w:r w:rsidRPr="00347E38">
            <w:rPr>
              <w:rFonts w:asciiTheme="minorHAnsi" w:hAnsiTheme="minorHAnsi" w:cstheme="minorHAnsi"/>
            </w:rPr>
            <w:t xml:space="preserve"> Annual Financial Statements -  </w:t>
          </w:r>
          <w:hyperlink r:id="rId12" w:history="1">
            <w:r w:rsidRPr="00347E38">
              <w:rPr>
                <w:rStyle w:val="Hyperlink"/>
                <w:rFonts w:asciiTheme="minorHAnsi" w:hAnsiTheme="minorHAnsi" w:cstheme="minorHAnsi"/>
              </w:rPr>
              <w:t>https://www.tescoplc.com/media/zgvhd0dn/tescos_ar24.pdf</w:t>
            </w:r>
          </w:hyperlink>
          <w:r w:rsidR="00FE279F" w:rsidRPr="00347E38">
            <w:rPr>
              <w:rFonts w:asciiTheme="minorHAnsi" w:hAnsiTheme="minorHAnsi" w:cstheme="minorHAnsi"/>
            </w:rPr>
            <w:t xml:space="preserve"> </w:t>
          </w:r>
        </w:p>
        <w:tbl>
          <w:tblPr>
            <w:tblW w:w="9026" w:type="dxa"/>
            <w:tblLook w:val="04A0" w:firstRow="1" w:lastRow="0" w:firstColumn="1" w:lastColumn="0" w:noHBand="0" w:noVBand="1"/>
          </w:tblPr>
          <w:tblGrid>
            <w:gridCol w:w="6930"/>
            <w:gridCol w:w="1048"/>
            <w:gridCol w:w="1048"/>
          </w:tblGrid>
          <w:tr w:rsidR="00321DC1" w:rsidRPr="00293259" w14:paraId="0E074C10" w14:textId="77777777" w:rsidTr="00EF6417">
            <w:trPr>
              <w:trHeight w:val="540"/>
            </w:trPr>
            <w:tc>
              <w:tcPr>
                <w:tcW w:w="6744" w:type="dxa"/>
                <w:tcBorders>
                  <w:top w:val="nil"/>
                  <w:left w:val="nil"/>
                  <w:bottom w:val="nil"/>
                  <w:right w:val="nil"/>
                </w:tcBorders>
                <w:shd w:val="clear" w:color="auto" w:fill="auto"/>
                <w:noWrap/>
                <w:vAlign w:val="bottom"/>
                <w:hideMark/>
              </w:tcPr>
              <w:p w14:paraId="3DE0410B" w14:textId="107F33C7" w:rsidR="00321DC1" w:rsidRPr="00347E38" w:rsidRDefault="00F36658" w:rsidP="00F36658">
                <w:pPr>
                  <w:rPr>
                    <w:rFonts w:asciiTheme="minorHAnsi" w:hAnsiTheme="minorHAnsi" w:cstheme="minorHAnsi"/>
                    <w:b/>
                    <w:bCs/>
                    <w:u w:val="single"/>
                  </w:rPr>
                </w:pPr>
                <w:r w:rsidRPr="00347E38">
                  <w:rPr>
                    <w:rFonts w:asciiTheme="minorHAnsi" w:hAnsiTheme="minorHAnsi" w:cstheme="minorHAnsi"/>
                    <w:b/>
                    <w:bCs/>
                    <w:u w:val="single"/>
                  </w:rPr>
                  <w:t xml:space="preserve">Appendix A: </w:t>
                </w:r>
                <w:r w:rsidR="00321DC1" w:rsidRPr="00347E38">
                  <w:rPr>
                    <w:rFonts w:asciiTheme="minorHAnsi" w:hAnsiTheme="minorHAnsi" w:cstheme="minorHAnsi"/>
                    <w:b/>
                    <w:bCs/>
                    <w:u w:val="single"/>
                  </w:rPr>
                  <w:t>TESCO DATA INPUT TABLE</w:t>
                </w:r>
              </w:p>
            </w:tc>
            <w:tc>
              <w:tcPr>
                <w:tcW w:w="1141" w:type="dxa"/>
                <w:tcBorders>
                  <w:top w:val="nil"/>
                  <w:left w:val="nil"/>
                  <w:bottom w:val="nil"/>
                  <w:right w:val="nil"/>
                </w:tcBorders>
                <w:shd w:val="clear" w:color="auto" w:fill="auto"/>
                <w:noWrap/>
                <w:vAlign w:val="bottom"/>
                <w:hideMark/>
              </w:tcPr>
              <w:p w14:paraId="5F2C077B" w14:textId="77777777" w:rsidR="00321DC1" w:rsidRPr="00293259" w:rsidRDefault="00321DC1" w:rsidP="00B413D9">
                <w:pPr>
                  <w:rPr>
                    <w:rFonts w:asciiTheme="minorHAnsi" w:hAnsiTheme="minorHAnsi" w:cstheme="minorHAnsi"/>
                    <w:b/>
                    <w:bCs/>
                    <w:color w:val="000000"/>
                    <w:sz w:val="40"/>
                    <w:szCs w:val="40"/>
                  </w:rPr>
                </w:pPr>
              </w:p>
            </w:tc>
            <w:tc>
              <w:tcPr>
                <w:tcW w:w="1141" w:type="dxa"/>
                <w:tcBorders>
                  <w:top w:val="nil"/>
                  <w:left w:val="nil"/>
                  <w:bottom w:val="nil"/>
                  <w:right w:val="nil"/>
                </w:tcBorders>
                <w:shd w:val="clear" w:color="auto" w:fill="auto"/>
                <w:noWrap/>
                <w:vAlign w:val="bottom"/>
                <w:hideMark/>
              </w:tcPr>
              <w:p w14:paraId="3727D446" w14:textId="77777777" w:rsidR="00321DC1" w:rsidRPr="00293259" w:rsidRDefault="00321DC1" w:rsidP="00B413D9">
                <w:pPr>
                  <w:rPr>
                    <w:rFonts w:asciiTheme="minorHAnsi" w:hAnsiTheme="minorHAnsi" w:cstheme="minorHAnsi"/>
                    <w:sz w:val="20"/>
                    <w:szCs w:val="20"/>
                  </w:rPr>
                </w:pPr>
              </w:p>
            </w:tc>
          </w:tr>
          <w:tr w:rsidR="00321DC1" w:rsidRPr="00293259" w14:paraId="4BA3CD20" w14:textId="77777777" w:rsidTr="00EF6417">
            <w:trPr>
              <w:trHeight w:val="320"/>
            </w:trPr>
            <w:tc>
              <w:tcPr>
                <w:tcW w:w="6744" w:type="dxa"/>
                <w:tcBorders>
                  <w:top w:val="nil"/>
                  <w:left w:val="nil"/>
                  <w:bottom w:val="nil"/>
                  <w:right w:val="nil"/>
                </w:tcBorders>
                <w:shd w:val="clear" w:color="auto" w:fill="auto"/>
                <w:noWrap/>
                <w:vAlign w:val="bottom"/>
                <w:hideMark/>
              </w:tcPr>
              <w:p w14:paraId="48FDB1FE" w14:textId="77777777" w:rsidR="00321DC1" w:rsidRPr="00347E38" w:rsidRDefault="00321DC1" w:rsidP="00F36658">
                <w:pPr>
                  <w:rPr>
                    <w:rFonts w:asciiTheme="minorHAnsi" w:hAnsiTheme="minorHAnsi" w:cstheme="minorHAnsi"/>
                    <w:sz w:val="20"/>
                    <w:szCs w:val="20"/>
                  </w:rPr>
                </w:pPr>
              </w:p>
            </w:tc>
            <w:tc>
              <w:tcPr>
                <w:tcW w:w="1141" w:type="dxa"/>
                <w:tcBorders>
                  <w:top w:val="nil"/>
                  <w:left w:val="nil"/>
                  <w:bottom w:val="nil"/>
                  <w:right w:val="nil"/>
                </w:tcBorders>
                <w:shd w:val="clear" w:color="auto" w:fill="auto"/>
                <w:noWrap/>
                <w:vAlign w:val="bottom"/>
                <w:hideMark/>
              </w:tcPr>
              <w:p w14:paraId="47A22F3F" w14:textId="77777777" w:rsidR="00321DC1" w:rsidRPr="00293259" w:rsidRDefault="00321DC1" w:rsidP="00B413D9">
                <w:pPr>
                  <w:rPr>
                    <w:rFonts w:asciiTheme="minorHAnsi" w:hAnsiTheme="minorHAnsi" w:cstheme="minorHAnsi"/>
                    <w:b/>
                    <w:bCs/>
                    <w:color w:val="000000"/>
                  </w:rPr>
                </w:pPr>
                <w:r w:rsidRPr="00293259">
                  <w:rPr>
                    <w:rFonts w:asciiTheme="minorHAnsi" w:hAnsiTheme="minorHAnsi" w:cstheme="minorHAnsi"/>
                    <w:b/>
                    <w:bCs/>
                    <w:color w:val="000000"/>
                  </w:rPr>
                  <w:t>£ - Million</w:t>
                </w:r>
              </w:p>
            </w:tc>
            <w:tc>
              <w:tcPr>
                <w:tcW w:w="1141" w:type="dxa"/>
                <w:tcBorders>
                  <w:top w:val="nil"/>
                  <w:left w:val="nil"/>
                  <w:bottom w:val="nil"/>
                  <w:right w:val="nil"/>
                </w:tcBorders>
                <w:shd w:val="clear" w:color="auto" w:fill="auto"/>
                <w:noWrap/>
                <w:vAlign w:val="bottom"/>
                <w:hideMark/>
              </w:tcPr>
              <w:p w14:paraId="33FB52CA" w14:textId="77777777" w:rsidR="00321DC1" w:rsidRPr="00293259" w:rsidRDefault="00321DC1" w:rsidP="00B413D9">
                <w:pPr>
                  <w:rPr>
                    <w:rFonts w:asciiTheme="minorHAnsi" w:hAnsiTheme="minorHAnsi" w:cstheme="minorHAnsi"/>
                    <w:b/>
                    <w:bCs/>
                    <w:color w:val="000000"/>
                  </w:rPr>
                </w:pPr>
                <w:r w:rsidRPr="00293259">
                  <w:rPr>
                    <w:rFonts w:asciiTheme="minorHAnsi" w:hAnsiTheme="minorHAnsi" w:cstheme="minorHAnsi"/>
                    <w:b/>
                    <w:bCs/>
                    <w:color w:val="000000"/>
                  </w:rPr>
                  <w:t>£ - Million</w:t>
                </w:r>
              </w:p>
            </w:tc>
          </w:tr>
          <w:tr w:rsidR="00321DC1" w:rsidRPr="00293259" w14:paraId="3A0029DC" w14:textId="77777777" w:rsidTr="00EF6417">
            <w:trPr>
              <w:trHeight w:val="320"/>
            </w:trPr>
            <w:tc>
              <w:tcPr>
                <w:tcW w:w="6744" w:type="dxa"/>
                <w:tcBorders>
                  <w:top w:val="nil"/>
                  <w:left w:val="nil"/>
                  <w:bottom w:val="nil"/>
                  <w:right w:val="nil"/>
                </w:tcBorders>
                <w:shd w:val="clear" w:color="auto" w:fill="auto"/>
                <w:noWrap/>
                <w:vAlign w:val="bottom"/>
                <w:hideMark/>
              </w:tcPr>
              <w:p w14:paraId="660111E0"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Metric</w:t>
                </w:r>
              </w:p>
            </w:tc>
            <w:tc>
              <w:tcPr>
                <w:tcW w:w="1141" w:type="dxa"/>
                <w:tcBorders>
                  <w:top w:val="nil"/>
                  <w:left w:val="nil"/>
                  <w:bottom w:val="nil"/>
                  <w:right w:val="nil"/>
                </w:tcBorders>
                <w:shd w:val="clear" w:color="auto" w:fill="auto"/>
                <w:noWrap/>
                <w:vAlign w:val="bottom"/>
                <w:hideMark/>
              </w:tcPr>
              <w:p w14:paraId="5217A2A1"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2023</w:t>
                </w:r>
              </w:p>
            </w:tc>
            <w:tc>
              <w:tcPr>
                <w:tcW w:w="1141" w:type="dxa"/>
                <w:tcBorders>
                  <w:top w:val="nil"/>
                  <w:left w:val="nil"/>
                  <w:bottom w:val="nil"/>
                  <w:right w:val="nil"/>
                </w:tcBorders>
                <w:shd w:val="clear" w:color="auto" w:fill="auto"/>
                <w:noWrap/>
                <w:vAlign w:val="bottom"/>
                <w:hideMark/>
              </w:tcPr>
              <w:p w14:paraId="6FC6D5AC"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2024</w:t>
                </w:r>
              </w:p>
            </w:tc>
          </w:tr>
          <w:tr w:rsidR="00321DC1" w:rsidRPr="00293259" w14:paraId="6CE497EA" w14:textId="77777777" w:rsidTr="00EF6417">
            <w:trPr>
              <w:trHeight w:val="320"/>
            </w:trPr>
            <w:tc>
              <w:tcPr>
                <w:tcW w:w="7885" w:type="dxa"/>
                <w:gridSpan w:val="2"/>
                <w:tcBorders>
                  <w:top w:val="nil"/>
                  <w:left w:val="nil"/>
                  <w:bottom w:val="nil"/>
                  <w:right w:val="nil"/>
                </w:tcBorders>
                <w:shd w:val="clear" w:color="auto" w:fill="auto"/>
                <w:noWrap/>
                <w:vAlign w:val="bottom"/>
                <w:hideMark/>
              </w:tcPr>
              <w:p w14:paraId="3352B8DC"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w:t>
                </w:r>
              </w:p>
            </w:tc>
            <w:tc>
              <w:tcPr>
                <w:tcW w:w="1141" w:type="dxa"/>
                <w:tcBorders>
                  <w:top w:val="nil"/>
                  <w:left w:val="nil"/>
                  <w:bottom w:val="nil"/>
                  <w:right w:val="nil"/>
                </w:tcBorders>
                <w:shd w:val="clear" w:color="auto" w:fill="auto"/>
                <w:noWrap/>
                <w:vAlign w:val="bottom"/>
                <w:hideMark/>
              </w:tcPr>
              <w:p w14:paraId="078AA4E5" w14:textId="77777777" w:rsidR="00321DC1" w:rsidRPr="00293259" w:rsidRDefault="00321DC1" w:rsidP="00B413D9">
                <w:pPr>
                  <w:rPr>
                    <w:rFonts w:asciiTheme="minorHAnsi" w:hAnsiTheme="minorHAnsi" w:cstheme="minorHAnsi"/>
                    <w:color w:val="000000"/>
                  </w:rPr>
                </w:pPr>
              </w:p>
            </w:tc>
          </w:tr>
          <w:tr w:rsidR="00321DC1" w:rsidRPr="00293259" w14:paraId="30F9559D" w14:textId="77777777" w:rsidTr="00EF6417">
            <w:trPr>
              <w:trHeight w:val="320"/>
            </w:trPr>
            <w:tc>
              <w:tcPr>
                <w:tcW w:w="6744" w:type="dxa"/>
                <w:tcBorders>
                  <w:top w:val="nil"/>
                  <w:left w:val="nil"/>
                  <w:bottom w:val="nil"/>
                  <w:right w:val="nil"/>
                </w:tcBorders>
                <w:shd w:val="clear" w:color="auto" w:fill="auto"/>
                <w:noWrap/>
                <w:vAlign w:val="bottom"/>
                <w:hideMark/>
              </w:tcPr>
              <w:p w14:paraId="18A4EB17"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Revenue (Sales)</w:t>
                </w:r>
              </w:p>
            </w:tc>
            <w:tc>
              <w:tcPr>
                <w:tcW w:w="1141" w:type="dxa"/>
                <w:tcBorders>
                  <w:top w:val="nil"/>
                  <w:left w:val="nil"/>
                  <w:bottom w:val="nil"/>
                  <w:right w:val="nil"/>
                </w:tcBorders>
                <w:shd w:val="clear" w:color="auto" w:fill="auto"/>
                <w:noWrap/>
                <w:vAlign w:val="bottom"/>
                <w:hideMark/>
              </w:tcPr>
              <w:p w14:paraId="09DB873C"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65,762</w:t>
                </w:r>
              </w:p>
            </w:tc>
            <w:tc>
              <w:tcPr>
                <w:tcW w:w="1141" w:type="dxa"/>
                <w:tcBorders>
                  <w:top w:val="nil"/>
                  <w:left w:val="nil"/>
                  <w:bottom w:val="nil"/>
                  <w:right w:val="nil"/>
                </w:tcBorders>
                <w:shd w:val="clear" w:color="auto" w:fill="auto"/>
                <w:noWrap/>
                <w:vAlign w:val="bottom"/>
                <w:hideMark/>
              </w:tcPr>
              <w:p w14:paraId="45DFACEA"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68,187</w:t>
                </w:r>
              </w:p>
            </w:tc>
          </w:tr>
          <w:tr w:rsidR="00321DC1" w:rsidRPr="00293259" w14:paraId="1F7115FE" w14:textId="77777777" w:rsidTr="00EF6417">
            <w:trPr>
              <w:trHeight w:val="320"/>
            </w:trPr>
            <w:tc>
              <w:tcPr>
                <w:tcW w:w="6744" w:type="dxa"/>
                <w:tcBorders>
                  <w:top w:val="nil"/>
                  <w:left w:val="nil"/>
                  <w:bottom w:val="nil"/>
                  <w:right w:val="nil"/>
                </w:tcBorders>
                <w:shd w:val="clear" w:color="auto" w:fill="auto"/>
                <w:noWrap/>
                <w:vAlign w:val="bottom"/>
                <w:hideMark/>
              </w:tcPr>
              <w:p w14:paraId="6856423F"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Cost of Sales</w:t>
                </w:r>
              </w:p>
            </w:tc>
            <w:tc>
              <w:tcPr>
                <w:tcW w:w="1141" w:type="dxa"/>
                <w:tcBorders>
                  <w:top w:val="nil"/>
                  <w:left w:val="nil"/>
                  <w:bottom w:val="nil"/>
                  <w:right w:val="nil"/>
                </w:tcBorders>
                <w:shd w:val="clear" w:color="auto" w:fill="auto"/>
                <w:noWrap/>
                <w:vAlign w:val="bottom"/>
                <w:hideMark/>
              </w:tcPr>
              <w:p w14:paraId="50385F66"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61,005</w:t>
                </w:r>
              </w:p>
            </w:tc>
            <w:tc>
              <w:tcPr>
                <w:tcW w:w="1141" w:type="dxa"/>
                <w:tcBorders>
                  <w:top w:val="nil"/>
                  <w:left w:val="nil"/>
                  <w:bottom w:val="nil"/>
                  <w:right w:val="nil"/>
                </w:tcBorders>
                <w:shd w:val="clear" w:color="auto" w:fill="auto"/>
                <w:noWrap/>
                <w:vAlign w:val="bottom"/>
                <w:hideMark/>
              </w:tcPr>
              <w:p w14:paraId="1DB0B734"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62,836</w:t>
                </w:r>
              </w:p>
            </w:tc>
          </w:tr>
          <w:tr w:rsidR="00321DC1" w:rsidRPr="00293259" w14:paraId="4EA61565" w14:textId="77777777" w:rsidTr="00EF6417">
            <w:trPr>
              <w:trHeight w:val="320"/>
            </w:trPr>
            <w:tc>
              <w:tcPr>
                <w:tcW w:w="6744" w:type="dxa"/>
                <w:tcBorders>
                  <w:top w:val="nil"/>
                  <w:left w:val="nil"/>
                  <w:bottom w:val="nil"/>
                  <w:right w:val="nil"/>
                </w:tcBorders>
                <w:shd w:val="clear" w:color="auto" w:fill="auto"/>
                <w:noWrap/>
                <w:vAlign w:val="bottom"/>
                <w:hideMark/>
              </w:tcPr>
              <w:p w14:paraId="50656B6B"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Gross Profit</w:t>
                </w:r>
              </w:p>
            </w:tc>
            <w:tc>
              <w:tcPr>
                <w:tcW w:w="1141" w:type="dxa"/>
                <w:tcBorders>
                  <w:top w:val="nil"/>
                  <w:left w:val="nil"/>
                  <w:bottom w:val="nil"/>
                  <w:right w:val="nil"/>
                </w:tcBorders>
                <w:shd w:val="clear" w:color="auto" w:fill="auto"/>
                <w:noWrap/>
                <w:vAlign w:val="bottom"/>
                <w:hideMark/>
              </w:tcPr>
              <w:p w14:paraId="5DD6BFE9"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4,690</w:t>
                </w:r>
              </w:p>
            </w:tc>
            <w:tc>
              <w:tcPr>
                <w:tcW w:w="1141" w:type="dxa"/>
                <w:tcBorders>
                  <w:top w:val="nil"/>
                  <w:left w:val="nil"/>
                  <w:bottom w:val="nil"/>
                  <w:right w:val="nil"/>
                </w:tcBorders>
                <w:shd w:val="clear" w:color="auto" w:fill="auto"/>
                <w:noWrap/>
                <w:vAlign w:val="bottom"/>
                <w:hideMark/>
              </w:tcPr>
              <w:p w14:paraId="128D37E5"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4,849</w:t>
                </w:r>
              </w:p>
            </w:tc>
          </w:tr>
          <w:tr w:rsidR="00321DC1" w:rsidRPr="00293259" w14:paraId="74CBCF4F" w14:textId="77777777" w:rsidTr="00EF6417">
            <w:trPr>
              <w:trHeight w:val="320"/>
            </w:trPr>
            <w:tc>
              <w:tcPr>
                <w:tcW w:w="6744" w:type="dxa"/>
                <w:tcBorders>
                  <w:top w:val="nil"/>
                  <w:left w:val="nil"/>
                  <w:bottom w:val="nil"/>
                  <w:right w:val="nil"/>
                </w:tcBorders>
                <w:shd w:val="clear" w:color="auto" w:fill="auto"/>
                <w:noWrap/>
                <w:vAlign w:val="bottom"/>
                <w:hideMark/>
              </w:tcPr>
              <w:p w14:paraId="548FAF4A"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Operating Profit (EBIT)</w:t>
                </w:r>
              </w:p>
            </w:tc>
            <w:tc>
              <w:tcPr>
                <w:tcW w:w="1141" w:type="dxa"/>
                <w:tcBorders>
                  <w:top w:val="nil"/>
                  <w:left w:val="nil"/>
                  <w:bottom w:val="nil"/>
                  <w:right w:val="nil"/>
                </w:tcBorders>
                <w:shd w:val="clear" w:color="auto" w:fill="auto"/>
                <w:noWrap/>
                <w:vAlign w:val="bottom"/>
                <w:hideMark/>
              </w:tcPr>
              <w:p w14:paraId="27447D6E"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2,630</w:t>
                </w:r>
              </w:p>
            </w:tc>
            <w:tc>
              <w:tcPr>
                <w:tcW w:w="1141" w:type="dxa"/>
                <w:tcBorders>
                  <w:top w:val="nil"/>
                  <w:left w:val="nil"/>
                  <w:bottom w:val="nil"/>
                  <w:right w:val="nil"/>
                </w:tcBorders>
                <w:shd w:val="clear" w:color="auto" w:fill="auto"/>
                <w:noWrap/>
                <w:vAlign w:val="bottom"/>
                <w:hideMark/>
              </w:tcPr>
              <w:p w14:paraId="098CACBF"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2,821</w:t>
                </w:r>
              </w:p>
            </w:tc>
          </w:tr>
          <w:tr w:rsidR="00321DC1" w:rsidRPr="00293259" w14:paraId="24D82857" w14:textId="77777777" w:rsidTr="00EF6417">
            <w:trPr>
              <w:trHeight w:val="320"/>
            </w:trPr>
            <w:tc>
              <w:tcPr>
                <w:tcW w:w="6744" w:type="dxa"/>
                <w:tcBorders>
                  <w:top w:val="nil"/>
                  <w:left w:val="nil"/>
                  <w:bottom w:val="nil"/>
                  <w:right w:val="nil"/>
                </w:tcBorders>
                <w:shd w:val="clear" w:color="auto" w:fill="auto"/>
                <w:noWrap/>
                <w:vAlign w:val="bottom"/>
                <w:hideMark/>
              </w:tcPr>
              <w:p w14:paraId="49DD052E"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Profit Before Tax</w:t>
                </w:r>
              </w:p>
            </w:tc>
            <w:tc>
              <w:tcPr>
                <w:tcW w:w="1141" w:type="dxa"/>
                <w:tcBorders>
                  <w:top w:val="nil"/>
                  <w:left w:val="nil"/>
                  <w:bottom w:val="nil"/>
                  <w:right w:val="nil"/>
                </w:tcBorders>
                <w:shd w:val="clear" w:color="auto" w:fill="auto"/>
                <w:noWrap/>
                <w:vAlign w:val="bottom"/>
                <w:hideMark/>
              </w:tcPr>
              <w:p w14:paraId="3F1C9CBD"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2,076</w:t>
                </w:r>
              </w:p>
            </w:tc>
            <w:tc>
              <w:tcPr>
                <w:tcW w:w="1141" w:type="dxa"/>
                <w:tcBorders>
                  <w:top w:val="nil"/>
                  <w:left w:val="nil"/>
                  <w:bottom w:val="nil"/>
                  <w:right w:val="nil"/>
                </w:tcBorders>
                <w:shd w:val="clear" w:color="auto" w:fill="auto"/>
                <w:noWrap/>
                <w:vAlign w:val="bottom"/>
                <w:hideMark/>
              </w:tcPr>
              <w:p w14:paraId="47B5CF22"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2,289</w:t>
                </w:r>
              </w:p>
            </w:tc>
          </w:tr>
          <w:tr w:rsidR="00321DC1" w:rsidRPr="00293259" w14:paraId="18C4B834" w14:textId="77777777" w:rsidTr="00EF6417">
            <w:trPr>
              <w:trHeight w:val="320"/>
            </w:trPr>
            <w:tc>
              <w:tcPr>
                <w:tcW w:w="6744" w:type="dxa"/>
                <w:tcBorders>
                  <w:top w:val="nil"/>
                  <w:left w:val="nil"/>
                  <w:bottom w:val="nil"/>
                  <w:right w:val="nil"/>
                </w:tcBorders>
                <w:shd w:val="clear" w:color="auto" w:fill="auto"/>
                <w:noWrap/>
                <w:vAlign w:val="bottom"/>
                <w:hideMark/>
              </w:tcPr>
              <w:p w14:paraId="1390550B"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Net Profit / Profit After Tax</w:t>
                </w:r>
              </w:p>
            </w:tc>
            <w:tc>
              <w:tcPr>
                <w:tcW w:w="1141" w:type="dxa"/>
                <w:tcBorders>
                  <w:top w:val="nil"/>
                  <w:left w:val="nil"/>
                  <w:bottom w:val="nil"/>
                  <w:right w:val="nil"/>
                </w:tcBorders>
                <w:shd w:val="clear" w:color="auto" w:fill="auto"/>
                <w:noWrap/>
                <w:vAlign w:val="bottom"/>
                <w:hideMark/>
              </w:tcPr>
              <w:p w14:paraId="231B4CC2"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737</w:t>
                </w:r>
              </w:p>
            </w:tc>
            <w:tc>
              <w:tcPr>
                <w:tcW w:w="1141" w:type="dxa"/>
                <w:tcBorders>
                  <w:top w:val="nil"/>
                  <w:left w:val="nil"/>
                  <w:bottom w:val="nil"/>
                  <w:right w:val="nil"/>
                </w:tcBorders>
                <w:shd w:val="clear" w:color="auto" w:fill="auto"/>
                <w:noWrap/>
                <w:vAlign w:val="bottom"/>
                <w:hideMark/>
              </w:tcPr>
              <w:p w14:paraId="695C6612"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1,764</w:t>
                </w:r>
              </w:p>
            </w:tc>
          </w:tr>
          <w:tr w:rsidR="00321DC1" w:rsidRPr="00293259" w14:paraId="5537B832" w14:textId="77777777" w:rsidTr="00EF6417">
            <w:trPr>
              <w:trHeight w:val="320"/>
            </w:trPr>
            <w:tc>
              <w:tcPr>
                <w:tcW w:w="7885" w:type="dxa"/>
                <w:gridSpan w:val="2"/>
                <w:tcBorders>
                  <w:top w:val="nil"/>
                  <w:left w:val="nil"/>
                  <w:bottom w:val="nil"/>
                  <w:right w:val="nil"/>
                </w:tcBorders>
                <w:shd w:val="clear" w:color="auto" w:fill="auto"/>
                <w:noWrap/>
                <w:vAlign w:val="bottom"/>
                <w:hideMark/>
              </w:tcPr>
              <w:p w14:paraId="4DDB5970"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w:t>
                </w:r>
              </w:p>
            </w:tc>
            <w:tc>
              <w:tcPr>
                <w:tcW w:w="1141" w:type="dxa"/>
                <w:tcBorders>
                  <w:top w:val="nil"/>
                  <w:left w:val="nil"/>
                  <w:bottom w:val="nil"/>
                  <w:right w:val="nil"/>
                </w:tcBorders>
                <w:shd w:val="clear" w:color="auto" w:fill="auto"/>
                <w:noWrap/>
                <w:vAlign w:val="bottom"/>
                <w:hideMark/>
              </w:tcPr>
              <w:p w14:paraId="73030084" w14:textId="77777777" w:rsidR="00321DC1" w:rsidRPr="00293259" w:rsidRDefault="00321DC1" w:rsidP="00B413D9">
                <w:pPr>
                  <w:rPr>
                    <w:rFonts w:asciiTheme="minorHAnsi" w:hAnsiTheme="minorHAnsi" w:cstheme="minorHAnsi"/>
                    <w:color w:val="000000"/>
                  </w:rPr>
                </w:pPr>
              </w:p>
            </w:tc>
          </w:tr>
          <w:tr w:rsidR="00321DC1" w:rsidRPr="00293259" w14:paraId="79939DC1" w14:textId="77777777" w:rsidTr="00EF6417">
            <w:trPr>
              <w:trHeight w:val="320"/>
            </w:trPr>
            <w:tc>
              <w:tcPr>
                <w:tcW w:w="6744" w:type="dxa"/>
                <w:tcBorders>
                  <w:top w:val="nil"/>
                  <w:left w:val="nil"/>
                  <w:bottom w:val="nil"/>
                  <w:right w:val="nil"/>
                </w:tcBorders>
                <w:shd w:val="clear" w:color="auto" w:fill="auto"/>
                <w:noWrap/>
                <w:vAlign w:val="bottom"/>
                <w:hideMark/>
              </w:tcPr>
              <w:p w14:paraId="55A233C0"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Current Assets</w:t>
                </w:r>
              </w:p>
            </w:tc>
            <w:tc>
              <w:tcPr>
                <w:tcW w:w="1141" w:type="dxa"/>
                <w:tcBorders>
                  <w:top w:val="nil"/>
                  <w:left w:val="nil"/>
                  <w:bottom w:val="nil"/>
                  <w:right w:val="nil"/>
                </w:tcBorders>
                <w:shd w:val="clear" w:color="auto" w:fill="auto"/>
                <w:noWrap/>
                <w:vAlign w:val="bottom"/>
                <w:hideMark/>
              </w:tcPr>
              <w:p w14:paraId="4AA82192"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12,725</w:t>
                </w:r>
              </w:p>
            </w:tc>
            <w:tc>
              <w:tcPr>
                <w:tcW w:w="1141" w:type="dxa"/>
                <w:tcBorders>
                  <w:top w:val="nil"/>
                  <w:left w:val="nil"/>
                  <w:bottom w:val="nil"/>
                  <w:right w:val="nil"/>
                </w:tcBorders>
                <w:shd w:val="clear" w:color="auto" w:fill="auto"/>
                <w:noWrap/>
                <w:vAlign w:val="bottom"/>
                <w:hideMark/>
              </w:tcPr>
              <w:p w14:paraId="2F1CA932"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16,606</w:t>
                </w:r>
              </w:p>
            </w:tc>
          </w:tr>
          <w:tr w:rsidR="00321DC1" w:rsidRPr="00293259" w14:paraId="2DE49C89" w14:textId="77777777" w:rsidTr="00EF6417">
            <w:trPr>
              <w:trHeight w:val="320"/>
            </w:trPr>
            <w:tc>
              <w:tcPr>
                <w:tcW w:w="6744" w:type="dxa"/>
                <w:tcBorders>
                  <w:top w:val="nil"/>
                  <w:left w:val="nil"/>
                  <w:bottom w:val="nil"/>
                  <w:right w:val="nil"/>
                </w:tcBorders>
                <w:shd w:val="clear" w:color="auto" w:fill="auto"/>
                <w:noWrap/>
                <w:vAlign w:val="bottom"/>
                <w:hideMark/>
              </w:tcPr>
              <w:p w14:paraId="2F17F6F7"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Inventory</w:t>
                </w:r>
              </w:p>
            </w:tc>
            <w:tc>
              <w:tcPr>
                <w:tcW w:w="1141" w:type="dxa"/>
                <w:tcBorders>
                  <w:top w:val="nil"/>
                  <w:left w:val="nil"/>
                  <w:bottom w:val="nil"/>
                  <w:right w:val="nil"/>
                </w:tcBorders>
                <w:shd w:val="clear" w:color="auto" w:fill="auto"/>
                <w:noWrap/>
                <w:vAlign w:val="bottom"/>
                <w:hideMark/>
              </w:tcPr>
              <w:p w14:paraId="456A3354"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2,510</w:t>
                </w:r>
              </w:p>
            </w:tc>
            <w:tc>
              <w:tcPr>
                <w:tcW w:w="1141" w:type="dxa"/>
                <w:tcBorders>
                  <w:top w:val="nil"/>
                  <w:left w:val="nil"/>
                  <w:bottom w:val="nil"/>
                  <w:right w:val="nil"/>
                </w:tcBorders>
                <w:shd w:val="clear" w:color="auto" w:fill="auto"/>
                <w:noWrap/>
                <w:vAlign w:val="bottom"/>
                <w:hideMark/>
              </w:tcPr>
              <w:p w14:paraId="163FEFF1"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2,635</w:t>
                </w:r>
              </w:p>
            </w:tc>
          </w:tr>
          <w:tr w:rsidR="00321DC1" w:rsidRPr="00293259" w14:paraId="2B88E884" w14:textId="77777777" w:rsidTr="00EF6417">
            <w:trPr>
              <w:trHeight w:val="320"/>
            </w:trPr>
            <w:tc>
              <w:tcPr>
                <w:tcW w:w="6744" w:type="dxa"/>
                <w:tcBorders>
                  <w:top w:val="nil"/>
                  <w:left w:val="nil"/>
                  <w:bottom w:val="nil"/>
                  <w:right w:val="nil"/>
                </w:tcBorders>
                <w:shd w:val="clear" w:color="auto" w:fill="auto"/>
                <w:noWrap/>
                <w:vAlign w:val="bottom"/>
                <w:hideMark/>
              </w:tcPr>
              <w:p w14:paraId="3655FF26"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Receivables</w:t>
                </w:r>
              </w:p>
            </w:tc>
            <w:tc>
              <w:tcPr>
                <w:tcW w:w="1141" w:type="dxa"/>
                <w:tcBorders>
                  <w:top w:val="nil"/>
                  <w:left w:val="nil"/>
                  <w:bottom w:val="nil"/>
                  <w:right w:val="nil"/>
                </w:tcBorders>
                <w:shd w:val="clear" w:color="auto" w:fill="auto"/>
                <w:noWrap/>
                <w:vAlign w:val="bottom"/>
                <w:hideMark/>
              </w:tcPr>
              <w:p w14:paraId="1C2A244E"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1,315</w:t>
                </w:r>
              </w:p>
            </w:tc>
            <w:tc>
              <w:tcPr>
                <w:tcW w:w="1141" w:type="dxa"/>
                <w:tcBorders>
                  <w:top w:val="nil"/>
                  <w:left w:val="nil"/>
                  <w:bottom w:val="nil"/>
                  <w:right w:val="nil"/>
                </w:tcBorders>
                <w:shd w:val="clear" w:color="auto" w:fill="auto"/>
                <w:noWrap/>
                <w:vAlign w:val="bottom"/>
                <w:hideMark/>
              </w:tcPr>
              <w:p w14:paraId="17BF9377"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1,349</w:t>
                </w:r>
              </w:p>
            </w:tc>
          </w:tr>
          <w:tr w:rsidR="00321DC1" w:rsidRPr="00293259" w14:paraId="1061110C" w14:textId="77777777" w:rsidTr="00EF6417">
            <w:trPr>
              <w:trHeight w:val="320"/>
            </w:trPr>
            <w:tc>
              <w:tcPr>
                <w:tcW w:w="6744" w:type="dxa"/>
                <w:tcBorders>
                  <w:top w:val="nil"/>
                  <w:left w:val="nil"/>
                  <w:bottom w:val="nil"/>
                  <w:right w:val="nil"/>
                </w:tcBorders>
                <w:shd w:val="clear" w:color="auto" w:fill="auto"/>
                <w:noWrap/>
                <w:vAlign w:val="bottom"/>
                <w:hideMark/>
              </w:tcPr>
              <w:p w14:paraId="3E4CD0D7"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Cash &amp; Cash Equivalents</w:t>
                </w:r>
              </w:p>
            </w:tc>
            <w:tc>
              <w:tcPr>
                <w:tcW w:w="1141" w:type="dxa"/>
                <w:tcBorders>
                  <w:top w:val="nil"/>
                  <w:left w:val="nil"/>
                  <w:bottom w:val="nil"/>
                  <w:right w:val="nil"/>
                </w:tcBorders>
                <w:shd w:val="clear" w:color="auto" w:fill="auto"/>
                <w:noWrap/>
                <w:vAlign w:val="bottom"/>
                <w:hideMark/>
              </w:tcPr>
              <w:p w14:paraId="23F4AD7C"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2,465</w:t>
                </w:r>
              </w:p>
            </w:tc>
            <w:tc>
              <w:tcPr>
                <w:tcW w:w="1141" w:type="dxa"/>
                <w:tcBorders>
                  <w:top w:val="nil"/>
                  <w:left w:val="nil"/>
                  <w:bottom w:val="nil"/>
                  <w:right w:val="nil"/>
                </w:tcBorders>
                <w:shd w:val="clear" w:color="auto" w:fill="auto"/>
                <w:noWrap/>
                <w:vAlign w:val="bottom"/>
                <w:hideMark/>
              </w:tcPr>
              <w:p w14:paraId="7CB03EAB" w14:textId="77777777" w:rsidR="00321DC1" w:rsidRPr="00293259" w:rsidRDefault="00321DC1" w:rsidP="00B413D9">
                <w:pPr>
                  <w:jc w:val="right"/>
                  <w:rPr>
                    <w:rFonts w:asciiTheme="minorHAnsi" w:hAnsiTheme="minorHAnsi" w:cstheme="minorHAnsi"/>
                    <w:color w:val="000000"/>
                  </w:rPr>
                </w:pPr>
                <w:r w:rsidRPr="00293259">
                  <w:rPr>
                    <w:rFonts w:asciiTheme="minorHAnsi" w:hAnsiTheme="minorHAnsi" w:cstheme="minorHAnsi"/>
                    <w:color w:val="000000"/>
                  </w:rPr>
                  <w:t>2,340</w:t>
                </w:r>
              </w:p>
            </w:tc>
          </w:tr>
          <w:tr w:rsidR="00321DC1" w:rsidRPr="00293259" w14:paraId="7ACD60DD" w14:textId="77777777" w:rsidTr="00EF6417">
            <w:trPr>
              <w:trHeight w:val="320"/>
            </w:trPr>
            <w:tc>
              <w:tcPr>
                <w:tcW w:w="6744" w:type="dxa"/>
                <w:tcBorders>
                  <w:top w:val="nil"/>
                  <w:left w:val="nil"/>
                  <w:bottom w:val="nil"/>
                  <w:right w:val="nil"/>
                </w:tcBorders>
                <w:shd w:val="clear" w:color="auto" w:fill="auto"/>
                <w:noWrap/>
                <w:vAlign w:val="bottom"/>
                <w:hideMark/>
              </w:tcPr>
              <w:p w14:paraId="76D7B4A0"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Current Liabilities</w:t>
                </w:r>
              </w:p>
            </w:tc>
            <w:tc>
              <w:tcPr>
                <w:tcW w:w="1141" w:type="dxa"/>
                <w:tcBorders>
                  <w:top w:val="nil"/>
                  <w:left w:val="nil"/>
                  <w:bottom w:val="nil"/>
                  <w:right w:val="nil"/>
                </w:tcBorders>
                <w:shd w:val="clear" w:color="auto" w:fill="auto"/>
                <w:noWrap/>
                <w:vAlign w:val="bottom"/>
                <w:hideMark/>
              </w:tcPr>
              <w:p w14:paraId="4C3951F7"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17,721</w:t>
                </w:r>
              </w:p>
            </w:tc>
            <w:tc>
              <w:tcPr>
                <w:tcW w:w="1141" w:type="dxa"/>
                <w:tcBorders>
                  <w:top w:val="nil"/>
                  <w:left w:val="nil"/>
                  <w:bottom w:val="nil"/>
                  <w:right w:val="nil"/>
                </w:tcBorders>
                <w:shd w:val="clear" w:color="auto" w:fill="auto"/>
                <w:noWrap/>
                <w:vAlign w:val="bottom"/>
                <w:hideMark/>
              </w:tcPr>
              <w:p w14:paraId="4E0A4387" w14:textId="2881769A"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20,472</w:t>
                </w:r>
              </w:p>
            </w:tc>
          </w:tr>
          <w:tr w:rsidR="00321DC1" w:rsidRPr="00293259" w14:paraId="459C0EDB" w14:textId="77777777" w:rsidTr="00EF6417">
            <w:trPr>
              <w:trHeight w:val="320"/>
            </w:trPr>
            <w:tc>
              <w:tcPr>
                <w:tcW w:w="6744" w:type="dxa"/>
                <w:tcBorders>
                  <w:top w:val="nil"/>
                  <w:left w:val="nil"/>
                  <w:bottom w:val="nil"/>
                  <w:right w:val="nil"/>
                </w:tcBorders>
                <w:shd w:val="clear" w:color="auto" w:fill="auto"/>
                <w:noWrap/>
                <w:vAlign w:val="bottom"/>
                <w:hideMark/>
              </w:tcPr>
              <w:p w14:paraId="340A01C9"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Trade Payables</w:t>
                </w:r>
              </w:p>
            </w:tc>
            <w:tc>
              <w:tcPr>
                <w:tcW w:w="1141" w:type="dxa"/>
                <w:tcBorders>
                  <w:top w:val="nil"/>
                  <w:left w:val="nil"/>
                  <w:bottom w:val="nil"/>
                  <w:right w:val="nil"/>
                </w:tcBorders>
                <w:shd w:val="clear" w:color="auto" w:fill="auto"/>
                <w:noWrap/>
                <w:vAlign w:val="bottom"/>
                <w:hideMark/>
              </w:tcPr>
              <w:p w14:paraId="7EF34D77"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9,818</w:t>
                </w:r>
              </w:p>
            </w:tc>
            <w:tc>
              <w:tcPr>
                <w:tcW w:w="1141" w:type="dxa"/>
                <w:tcBorders>
                  <w:top w:val="nil"/>
                  <w:left w:val="nil"/>
                  <w:bottom w:val="nil"/>
                  <w:right w:val="nil"/>
                </w:tcBorders>
                <w:shd w:val="clear" w:color="auto" w:fill="auto"/>
                <w:noWrap/>
                <w:vAlign w:val="bottom"/>
                <w:hideMark/>
              </w:tcPr>
              <w:p w14:paraId="56EFB914"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10,264</w:t>
                </w:r>
              </w:p>
            </w:tc>
          </w:tr>
          <w:tr w:rsidR="00321DC1" w:rsidRPr="00293259" w14:paraId="5991196E" w14:textId="77777777" w:rsidTr="00EF6417">
            <w:trPr>
              <w:trHeight w:val="320"/>
            </w:trPr>
            <w:tc>
              <w:tcPr>
                <w:tcW w:w="6744" w:type="dxa"/>
                <w:tcBorders>
                  <w:top w:val="nil"/>
                  <w:left w:val="nil"/>
                  <w:bottom w:val="nil"/>
                  <w:right w:val="nil"/>
                </w:tcBorders>
                <w:shd w:val="clear" w:color="auto" w:fill="auto"/>
                <w:noWrap/>
                <w:vAlign w:val="bottom"/>
                <w:hideMark/>
              </w:tcPr>
              <w:p w14:paraId="0EF2B231"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Short-Term Borrowings</w:t>
                </w:r>
              </w:p>
            </w:tc>
            <w:tc>
              <w:tcPr>
                <w:tcW w:w="1141" w:type="dxa"/>
                <w:tcBorders>
                  <w:top w:val="nil"/>
                  <w:left w:val="nil"/>
                  <w:bottom w:val="nil"/>
                  <w:right w:val="nil"/>
                </w:tcBorders>
                <w:shd w:val="clear" w:color="auto" w:fill="auto"/>
                <w:noWrap/>
                <w:vAlign w:val="bottom"/>
                <w:hideMark/>
              </w:tcPr>
              <w:p w14:paraId="0FAAB1FC"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5,581</w:t>
                </w:r>
              </w:p>
            </w:tc>
            <w:tc>
              <w:tcPr>
                <w:tcW w:w="1141" w:type="dxa"/>
                <w:tcBorders>
                  <w:top w:val="nil"/>
                  <w:left w:val="nil"/>
                  <w:bottom w:val="nil"/>
                  <w:right w:val="nil"/>
                </w:tcBorders>
                <w:shd w:val="clear" w:color="auto" w:fill="auto"/>
                <w:noWrap/>
                <w:vAlign w:val="bottom"/>
                <w:hideMark/>
              </w:tcPr>
              <w:p w14:paraId="227ABC28"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1,536</w:t>
                </w:r>
              </w:p>
            </w:tc>
          </w:tr>
          <w:tr w:rsidR="00321DC1" w:rsidRPr="00293259" w14:paraId="07346BDB" w14:textId="77777777" w:rsidTr="00EF6417">
            <w:trPr>
              <w:trHeight w:val="320"/>
            </w:trPr>
            <w:tc>
              <w:tcPr>
                <w:tcW w:w="7885" w:type="dxa"/>
                <w:gridSpan w:val="2"/>
                <w:tcBorders>
                  <w:top w:val="nil"/>
                  <w:left w:val="nil"/>
                  <w:bottom w:val="nil"/>
                  <w:right w:val="nil"/>
                </w:tcBorders>
                <w:shd w:val="clear" w:color="auto" w:fill="auto"/>
                <w:noWrap/>
                <w:vAlign w:val="bottom"/>
                <w:hideMark/>
              </w:tcPr>
              <w:p w14:paraId="2E897511"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w:t>
                </w:r>
              </w:p>
            </w:tc>
            <w:tc>
              <w:tcPr>
                <w:tcW w:w="1141" w:type="dxa"/>
                <w:tcBorders>
                  <w:top w:val="nil"/>
                  <w:left w:val="nil"/>
                  <w:bottom w:val="nil"/>
                  <w:right w:val="nil"/>
                </w:tcBorders>
                <w:shd w:val="clear" w:color="auto" w:fill="auto"/>
                <w:noWrap/>
                <w:vAlign w:val="bottom"/>
                <w:hideMark/>
              </w:tcPr>
              <w:p w14:paraId="6A5CDA6D" w14:textId="77777777" w:rsidR="00321DC1" w:rsidRPr="00293259" w:rsidRDefault="00321DC1" w:rsidP="00B413D9">
                <w:pPr>
                  <w:rPr>
                    <w:rFonts w:asciiTheme="minorHAnsi" w:hAnsiTheme="minorHAnsi" w:cstheme="minorHAnsi"/>
                    <w:color w:val="000000"/>
                  </w:rPr>
                </w:pPr>
              </w:p>
            </w:tc>
          </w:tr>
          <w:tr w:rsidR="00321DC1" w:rsidRPr="00293259" w14:paraId="14A0E6E5" w14:textId="77777777" w:rsidTr="00EF6417">
            <w:trPr>
              <w:trHeight w:val="320"/>
            </w:trPr>
            <w:tc>
              <w:tcPr>
                <w:tcW w:w="6744" w:type="dxa"/>
                <w:tcBorders>
                  <w:top w:val="nil"/>
                  <w:left w:val="nil"/>
                  <w:bottom w:val="nil"/>
                  <w:right w:val="nil"/>
                </w:tcBorders>
                <w:shd w:val="clear" w:color="auto" w:fill="auto"/>
                <w:noWrap/>
                <w:vAlign w:val="bottom"/>
                <w:hideMark/>
              </w:tcPr>
              <w:p w14:paraId="011A6563"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Total Assets</w:t>
                </w:r>
              </w:p>
            </w:tc>
            <w:tc>
              <w:tcPr>
                <w:tcW w:w="1141" w:type="dxa"/>
                <w:tcBorders>
                  <w:top w:val="nil"/>
                  <w:left w:val="nil"/>
                  <w:bottom w:val="nil"/>
                  <w:right w:val="nil"/>
                </w:tcBorders>
                <w:shd w:val="clear" w:color="auto" w:fill="auto"/>
                <w:noWrap/>
                <w:vAlign w:val="bottom"/>
                <w:hideMark/>
              </w:tcPr>
              <w:p w14:paraId="6CB03C9C"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45.87bn</w:t>
                </w:r>
              </w:p>
            </w:tc>
            <w:tc>
              <w:tcPr>
                <w:tcW w:w="1141" w:type="dxa"/>
                <w:tcBorders>
                  <w:top w:val="nil"/>
                  <w:left w:val="nil"/>
                  <w:bottom w:val="nil"/>
                  <w:right w:val="nil"/>
                </w:tcBorders>
                <w:shd w:val="clear" w:color="auto" w:fill="auto"/>
                <w:noWrap/>
                <w:vAlign w:val="bottom"/>
                <w:hideMark/>
              </w:tcPr>
              <w:p w14:paraId="40122EF9"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47.04bn</w:t>
                </w:r>
              </w:p>
            </w:tc>
          </w:tr>
          <w:tr w:rsidR="00321DC1" w:rsidRPr="00293259" w14:paraId="48B6E916" w14:textId="77777777" w:rsidTr="00EF6417">
            <w:trPr>
              <w:trHeight w:val="320"/>
            </w:trPr>
            <w:tc>
              <w:tcPr>
                <w:tcW w:w="6744" w:type="dxa"/>
                <w:tcBorders>
                  <w:top w:val="nil"/>
                  <w:left w:val="nil"/>
                  <w:bottom w:val="nil"/>
                  <w:right w:val="nil"/>
                </w:tcBorders>
                <w:shd w:val="clear" w:color="auto" w:fill="auto"/>
                <w:noWrap/>
                <w:vAlign w:val="bottom"/>
                <w:hideMark/>
              </w:tcPr>
              <w:p w14:paraId="7BC689E6"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Total Equity</w:t>
                </w:r>
              </w:p>
            </w:tc>
            <w:tc>
              <w:tcPr>
                <w:tcW w:w="1141" w:type="dxa"/>
                <w:tcBorders>
                  <w:top w:val="nil"/>
                  <w:left w:val="nil"/>
                  <w:bottom w:val="nil"/>
                  <w:right w:val="nil"/>
                </w:tcBorders>
                <w:shd w:val="clear" w:color="auto" w:fill="auto"/>
                <w:noWrap/>
                <w:vAlign w:val="bottom"/>
                <w:hideMark/>
              </w:tcPr>
              <w:p w14:paraId="0AA52AED"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12.23bn</w:t>
                </w:r>
              </w:p>
            </w:tc>
            <w:tc>
              <w:tcPr>
                <w:tcW w:w="1141" w:type="dxa"/>
                <w:tcBorders>
                  <w:top w:val="nil"/>
                  <w:left w:val="nil"/>
                  <w:bottom w:val="nil"/>
                  <w:right w:val="nil"/>
                </w:tcBorders>
                <w:shd w:val="clear" w:color="auto" w:fill="auto"/>
                <w:noWrap/>
                <w:vAlign w:val="bottom"/>
                <w:hideMark/>
              </w:tcPr>
              <w:p w14:paraId="7D6C8F00"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11.67bn</w:t>
                </w:r>
              </w:p>
            </w:tc>
          </w:tr>
          <w:tr w:rsidR="00321DC1" w:rsidRPr="00293259" w14:paraId="7B393555" w14:textId="77777777" w:rsidTr="00EF6417">
            <w:trPr>
              <w:trHeight w:val="320"/>
            </w:trPr>
            <w:tc>
              <w:tcPr>
                <w:tcW w:w="6744" w:type="dxa"/>
                <w:tcBorders>
                  <w:top w:val="nil"/>
                  <w:left w:val="nil"/>
                  <w:bottom w:val="nil"/>
                  <w:right w:val="nil"/>
                </w:tcBorders>
                <w:shd w:val="clear" w:color="auto" w:fill="auto"/>
                <w:noWrap/>
                <w:vAlign w:val="bottom"/>
                <w:hideMark/>
              </w:tcPr>
              <w:p w14:paraId="2C18D506" w14:textId="5784D1F0"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Total Debt / Borrowings (</w:t>
                </w:r>
                <w:proofErr w:type="gramStart"/>
                <w:r w:rsidR="00CD14A4" w:rsidRPr="00293259">
                  <w:rPr>
                    <w:rFonts w:asciiTheme="minorHAnsi" w:hAnsiTheme="minorHAnsi" w:cstheme="minorHAnsi"/>
                    <w:color w:val="000000"/>
                  </w:rPr>
                  <w:t xml:space="preserve">Total)  </w:t>
                </w:r>
                <w:r w:rsidRPr="00293259">
                  <w:rPr>
                    <w:rFonts w:asciiTheme="minorHAnsi" w:hAnsiTheme="minorHAnsi" w:cstheme="minorHAnsi"/>
                    <w:color w:val="000000"/>
                  </w:rPr>
                  <w:t xml:space="preserve"> </w:t>
                </w:r>
                <w:proofErr w:type="gramEnd"/>
                <w:r w:rsidRPr="00293259">
                  <w:rPr>
                    <w:rFonts w:asciiTheme="minorHAnsi" w:hAnsiTheme="minorHAnsi" w:cstheme="minorHAnsi"/>
                    <w:color w:val="000000"/>
                  </w:rPr>
                  <w:t xml:space="preserve">  </w:t>
                </w:r>
              </w:p>
            </w:tc>
            <w:tc>
              <w:tcPr>
                <w:tcW w:w="1141" w:type="dxa"/>
                <w:tcBorders>
                  <w:top w:val="nil"/>
                  <w:left w:val="nil"/>
                  <w:bottom w:val="nil"/>
                  <w:right w:val="nil"/>
                </w:tcBorders>
                <w:shd w:val="clear" w:color="auto" w:fill="auto"/>
                <w:noWrap/>
                <w:vAlign w:val="bottom"/>
                <w:hideMark/>
              </w:tcPr>
              <w:p w14:paraId="4FB10D76"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14bn</w:t>
                </w:r>
              </w:p>
            </w:tc>
            <w:tc>
              <w:tcPr>
                <w:tcW w:w="1141" w:type="dxa"/>
                <w:tcBorders>
                  <w:top w:val="nil"/>
                  <w:left w:val="nil"/>
                  <w:bottom w:val="nil"/>
                  <w:right w:val="nil"/>
                </w:tcBorders>
                <w:shd w:val="clear" w:color="auto" w:fill="auto"/>
                <w:noWrap/>
                <w:vAlign w:val="bottom"/>
                <w:hideMark/>
              </w:tcPr>
              <w:p w14:paraId="565E503E"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15bn</w:t>
                </w:r>
              </w:p>
            </w:tc>
          </w:tr>
          <w:tr w:rsidR="00321DC1" w:rsidRPr="00293259" w14:paraId="74AAD34F" w14:textId="77777777" w:rsidTr="00EF6417">
            <w:trPr>
              <w:trHeight w:val="320"/>
            </w:trPr>
            <w:tc>
              <w:tcPr>
                <w:tcW w:w="6744" w:type="dxa"/>
                <w:tcBorders>
                  <w:top w:val="nil"/>
                  <w:left w:val="nil"/>
                  <w:bottom w:val="nil"/>
                  <w:right w:val="nil"/>
                </w:tcBorders>
                <w:shd w:val="clear" w:color="auto" w:fill="auto"/>
                <w:noWrap/>
                <w:vAlign w:val="bottom"/>
                <w:hideMark/>
              </w:tcPr>
              <w:p w14:paraId="5CC003C6"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Interest Expense</w:t>
                </w:r>
              </w:p>
            </w:tc>
            <w:tc>
              <w:tcPr>
                <w:tcW w:w="1141" w:type="dxa"/>
                <w:tcBorders>
                  <w:top w:val="nil"/>
                  <w:left w:val="nil"/>
                  <w:bottom w:val="nil"/>
                  <w:right w:val="nil"/>
                </w:tcBorders>
                <w:shd w:val="clear" w:color="auto" w:fill="auto"/>
                <w:noWrap/>
                <w:vAlign w:val="bottom"/>
                <w:hideMark/>
              </w:tcPr>
              <w:p w14:paraId="4D5DB38C"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652</w:t>
                </w:r>
              </w:p>
            </w:tc>
            <w:tc>
              <w:tcPr>
                <w:tcW w:w="1141" w:type="dxa"/>
                <w:tcBorders>
                  <w:top w:val="nil"/>
                  <w:left w:val="nil"/>
                  <w:bottom w:val="nil"/>
                  <w:right w:val="nil"/>
                </w:tcBorders>
                <w:shd w:val="clear" w:color="auto" w:fill="auto"/>
                <w:noWrap/>
                <w:vAlign w:val="bottom"/>
                <w:hideMark/>
              </w:tcPr>
              <w:p w14:paraId="1EBDDBED"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824</w:t>
                </w:r>
              </w:p>
            </w:tc>
          </w:tr>
          <w:tr w:rsidR="00321DC1" w:rsidRPr="00293259" w14:paraId="487C36F1" w14:textId="77777777" w:rsidTr="00EF6417">
            <w:trPr>
              <w:trHeight w:val="320"/>
            </w:trPr>
            <w:tc>
              <w:tcPr>
                <w:tcW w:w="7885" w:type="dxa"/>
                <w:gridSpan w:val="2"/>
                <w:tcBorders>
                  <w:top w:val="nil"/>
                  <w:left w:val="nil"/>
                  <w:bottom w:val="nil"/>
                  <w:right w:val="nil"/>
                </w:tcBorders>
                <w:shd w:val="clear" w:color="auto" w:fill="auto"/>
                <w:noWrap/>
                <w:vAlign w:val="bottom"/>
                <w:hideMark/>
              </w:tcPr>
              <w:p w14:paraId="58797116"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w:t>
                </w:r>
              </w:p>
            </w:tc>
            <w:tc>
              <w:tcPr>
                <w:tcW w:w="1141" w:type="dxa"/>
                <w:tcBorders>
                  <w:top w:val="nil"/>
                  <w:left w:val="nil"/>
                  <w:bottom w:val="nil"/>
                  <w:right w:val="nil"/>
                </w:tcBorders>
                <w:shd w:val="clear" w:color="auto" w:fill="auto"/>
                <w:noWrap/>
                <w:vAlign w:val="bottom"/>
                <w:hideMark/>
              </w:tcPr>
              <w:p w14:paraId="45F44EB4" w14:textId="77777777" w:rsidR="00321DC1" w:rsidRPr="00293259" w:rsidRDefault="00321DC1" w:rsidP="00B413D9">
                <w:pPr>
                  <w:rPr>
                    <w:rFonts w:asciiTheme="minorHAnsi" w:hAnsiTheme="minorHAnsi" w:cstheme="minorHAnsi"/>
                    <w:color w:val="000000"/>
                  </w:rPr>
                </w:pPr>
              </w:p>
            </w:tc>
          </w:tr>
          <w:tr w:rsidR="00321DC1" w:rsidRPr="00293259" w14:paraId="4C22A964" w14:textId="77777777" w:rsidTr="00EF6417">
            <w:trPr>
              <w:trHeight w:val="320"/>
            </w:trPr>
            <w:tc>
              <w:tcPr>
                <w:tcW w:w="6744" w:type="dxa"/>
                <w:tcBorders>
                  <w:top w:val="nil"/>
                  <w:left w:val="nil"/>
                  <w:bottom w:val="nil"/>
                  <w:right w:val="nil"/>
                </w:tcBorders>
                <w:shd w:val="clear" w:color="auto" w:fill="auto"/>
                <w:noWrap/>
                <w:vAlign w:val="bottom"/>
                <w:hideMark/>
              </w:tcPr>
              <w:p w14:paraId="60549670"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Shares in Issue</w:t>
                </w:r>
              </w:p>
            </w:tc>
            <w:tc>
              <w:tcPr>
                <w:tcW w:w="1141" w:type="dxa"/>
                <w:tcBorders>
                  <w:top w:val="nil"/>
                  <w:left w:val="nil"/>
                  <w:bottom w:val="nil"/>
                  <w:right w:val="nil"/>
                </w:tcBorders>
                <w:shd w:val="clear" w:color="auto" w:fill="auto"/>
                <w:noWrap/>
                <w:vAlign w:val="bottom"/>
                <w:hideMark/>
              </w:tcPr>
              <w:p w14:paraId="281C2D31"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7.12bn</w:t>
                </w:r>
              </w:p>
            </w:tc>
            <w:tc>
              <w:tcPr>
                <w:tcW w:w="1141" w:type="dxa"/>
                <w:tcBorders>
                  <w:top w:val="nil"/>
                  <w:left w:val="nil"/>
                  <w:bottom w:val="nil"/>
                  <w:right w:val="nil"/>
                </w:tcBorders>
                <w:shd w:val="clear" w:color="auto" w:fill="auto"/>
                <w:noWrap/>
                <w:vAlign w:val="bottom"/>
                <w:hideMark/>
              </w:tcPr>
              <w:p w14:paraId="5BFE76DB"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7.06bn</w:t>
                </w:r>
              </w:p>
            </w:tc>
          </w:tr>
          <w:tr w:rsidR="00321DC1" w:rsidRPr="00293259" w14:paraId="2BD5BF89" w14:textId="77777777" w:rsidTr="00EF6417">
            <w:trPr>
              <w:trHeight w:val="320"/>
            </w:trPr>
            <w:tc>
              <w:tcPr>
                <w:tcW w:w="6744" w:type="dxa"/>
                <w:tcBorders>
                  <w:top w:val="nil"/>
                  <w:left w:val="nil"/>
                  <w:bottom w:val="nil"/>
                  <w:right w:val="nil"/>
                </w:tcBorders>
                <w:shd w:val="clear" w:color="auto" w:fill="auto"/>
                <w:noWrap/>
                <w:vAlign w:val="bottom"/>
                <w:hideMark/>
              </w:tcPr>
              <w:p w14:paraId="68C94881"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Share Price (year-end, pence)</w:t>
                </w:r>
              </w:p>
            </w:tc>
            <w:tc>
              <w:tcPr>
                <w:tcW w:w="1141" w:type="dxa"/>
                <w:tcBorders>
                  <w:top w:val="nil"/>
                  <w:left w:val="nil"/>
                  <w:bottom w:val="nil"/>
                  <w:right w:val="nil"/>
                </w:tcBorders>
                <w:shd w:val="clear" w:color="auto" w:fill="auto"/>
                <w:noWrap/>
                <w:vAlign w:val="bottom"/>
                <w:hideMark/>
              </w:tcPr>
              <w:p w14:paraId="0CEF5B47"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463p</w:t>
                </w:r>
              </w:p>
            </w:tc>
            <w:tc>
              <w:tcPr>
                <w:tcW w:w="1141" w:type="dxa"/>
                <w:tcBorders>
                  <w:top w:val="nil"/>
                  <w:left w:val="nil"/>
                  <w:bottom w:val="nil"/>
                  <w:right w:val="nil"/>
                </w:tcBorders>
                <w:shd w:val="clear" w:color="auto" w:fill="auto"/>
                <w:noWrap/>
                <w:vAlign w:val="bottom"/>
                <w:hideMark/>
              </w:tcPr>
              <w:p w14:paraId="558D612C"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195p</w:t>
                </w:r>
              </w:p>
            </w:tc>
          </w:tr>
          <w:tr w:rsidR="00321DC1" w:rsidRPr="00293259" w14:paraId="351A893F" w14:textId="77777777" w:rsidTr="00EF6417">
            <w:trPr>
              <w:trHeight w:val="320"/>
            </w:trPr>
            <w:tc>
              <w:tcPr>
                <w:tcW w:w="6744" w:type="dxa"/>
                <w:tcBorders>
                  <w:top w:val="nil"/>
                  <w:left w:val="nil"/>
                  <w:bottom w:val="nil"/>
                  <w:right w:val="nil"/>
                </w:tcBorders>
                <w:shd w:val="clear" w:color="auto" w:fill="auto"/>
                <w:noWrap/>
                <w:vAlign w:val="bottom"/>
                <w:hideMark/>
              </w:tcPr>
              <w:p w14:paraId="4221A97C" w14:textId="12D7DD30"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 xml:space="preserve">Dividend </w:t>
                </w:r>
                <w:r w:rsidR="00E91C1E">
                  <w:rPr>
                    <w:rFonts w:asciiTheme="minorHAnsi" w:hAnsiTheme="minorHAnsi" w:cstheme="minorHAnsi"/>
                    <w:color w:val="000000"/>
                  </w:rPr>
                  <w:t>P</w:t>
                </w:r>
                <w:r w:rsidRPr="00293259">
                  <w:rPr>
                    <w:rFonts w:asciiTheme="minorHAnsi" w:hAnsiTheme="minorHAnsi" w:cstheme="minorHAnsi"/>
                    <w:color w:val="000000"/>
                  </w:rPr>
                  <w:t>er Share (DPS)</w:t>
                </w:r>
              </w:p>
            </w:tc>
            <w:tc>
              <w:tcPr>
                <w:tcW w:w="1141" w:type="dxa"/>
                <w:tcBorders>
                  <w:top w:val="nil"/>
                  <w:left w:val="nil"/>
                  <w:bottom w:val="nil"/>
                  <w:right w:val="nil"/>
                </w:tcBorders>
                <w:shd w:val="clear" w:color="auto" w:fill="auto"/>
                <w:noWrap/>
                <w:vAlign w:val="bottom"/>
                <w:hideMark/>
              </w:tcPr>
              <w:p w14:paraId="206FD529"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10.9p</w:t>
                </w:r>
              </w:p>
            </w:tc>
            <w:tc>
              <w:tcPr>
                <w:tcW w:w="1141" w:type="dxa"/>
                <w:tcBorders>
                  <w:top w:val="nil"/>
                  <w:left w:val="nil"/>
                  <w:bottom w:val="nil"/>
                  <w:right w:val="nil"/>
                </w:tcBorders>
                <w:shd w:val="clear" w:color="auto" w:fill="auto"/>
                <w:noWrap/>
                <w:vAlign w:val="bottom"/>
                <w:hideMark/>
              </w:tcPr>
              <w:p w14:paraId="7D515AEF" w14:textId="77777777" w:rsidR="00321DC1" w:rsidRPr="00293259" w:rsidRDefault="00321DC1" w:rsidP="00B413D9">
                <w:pPr>
                  <w:rPr>
                    <w:rFonts w:asciiTheme="minorHAnsi" w:hAnsiTheme="minorHAnsi" w:cstheme="minorHAnsi"/>
                    <w:color w:val="000000"/>
                  </w:rPr>
                </w:pPr>
                <w:r w:rsidRPr="00293259">
                  <w:rPr>
                    <w:rFonts w:asciiTheme="minorHAnsi" w:hAnsiTheme="minorHAnsi" w:cstheme="minorHAnsi"/>
                    <w:color w:val="000000"/>
                  </w:rPr>
                  <w:t>12.1p</w:t>
                </w:r>
              </w:p>
            </w:tc>
          </w:tr>
          <w:tr w:rsidR="00321DC1" w:rsidRPr="00347E38" w14:paraId="129821C1" w14:textId="77777777" w:rsidTr="00EF6417">
            <w:trPr>
              <w:trHeight w:val="320"/>
            </w:trPr>
            <w:tc>
              <w:tcPr>
                <w:tcW w:w="6744" w:type="dxa"/>
                <w:tcBorders>
                  <w:top w:val="nil"/>
                  <w:left w:val="nil"/>
                  <w:bottom w:val="nil"/>
                  <w:right w:val="nil"/>
                </w:tcBorders>
                <w:shd w:val="clear" w:color="auto" w:fill="auto"/>
                <w:noWrap/>
                <w:vAlign w:val="bottom"/>
              </w:tcPr>
              <w:p w14:paraId="56100A7B" w14:textId="77777777" w:rsidR="00321DC1" w:rsidRPr="00347E38" w:rsidRDefault="00321DC1" w:rsidP="00B413D9">
                <w:pPr>
                  <w:rPr>
                    <w:rFonts w:asciiTheme="minorHAnsi" w:hAnsiTheme="minorHAnsi" w:cstheme="minorHAnsi"/>
                    <w:color w:val="000000"/>
                  </w:rPr>
                </w:pPr>
              </w:p>
              <w:tbl>
                <w:tblPr>
                  <w:tblW w:w="6894" w:type="dxa"/>
                  <w:tblLook w:val="04A0" w:firstRow="1" w:lastRow="0" w:firstColumn="1" w:lastColumn="0" w:noHBand="0" w:noVBand="1"/>
                </w:tblPr>
                <w:tblGrid>
                  <w:gridCol w:w="2370"/>
                  <w:gridCol w:w="1183"/>
                  <w:gridCol w:w="381"/>
                  <w:gridCol w:w="507"/>
                  <w:gridCol w:w="1227"/>
                  <w:gridCol w:w="860"/>
                </w:tblGrid>
                <w:tr w:rsidR="00046B01" w:rsidRPr="00347E38" w14:paraId="5C212699" w14:textId="77777777" w:rsidTr="004B2FE3">
                  <w:trPr>
                    <w:trHeight w:val="620"/>
                  </w:trPr>
                  <w:tc>
                    <w:tcPr>
                      <w:tcW w:w="4429" w:type="dxa"/>
                      <w:gridSpan w:val="3"/>
                      <w:tcBorders>
                        <w:top w:val="nil"/>
                        <w:left w:val="nil"/>
                        <w:bottom w:val="nil"/>
                        <w:right w:val="nil"/>
                      </w:tcBorders>
                      <w:shd w:val="clear" w:color="auto" w:fill="auto"/>
                      <w:noWrap/>
                      <w:vAlign w:val="bottom"/>
                      <w:hideMark/>
                    </w:tcPr>
                    <w:p w14:paraId="406EED4C" w14:textId="77777777" w:rsidR="00321DC1" w:rsidRPr="00347E38" w:rsidRDefault="00321DC1" w:rsidP="00B413D9">
                      <w:pPr>
                        <w:rPr>
                          <w:rFonts w:asciiTheme="minorHAnsi" w:hAnsiTheme="minorHAnsi" w:cstheme="minorHAnsi"/>
                          <w:b/>
                          <w:bCs/>
                          <w:color w:val="000000"/>
                          <w:sz w:val="36"/>
                          <w:szCs w:val="36"/>
                        </w:rPr>
                      </w:pPr>
                    </w:p>
                    <w:p w14:paraId="7A924390" w14:textId="1A429021" w:rsidR="00321DC1" w:rsidRPr="00347E38" w:rsidRDefault="00F36658" w:rsidP="00F36658">
                      <w:pPr>
                        <w:rPr>
                          <w:rFonts w:asciiTheme="minorHAnsi" w:hAnsiTheme="minorHAnsi" w:cstheme="minorHAnsi"/>
                          <w:b/>
                          <w:bCs/>
                          <w:u w:val="single"/>
                        </w:rPr>
                      </w:pPr>
                      <w:r w:rsidRPr="00347E38">
                        <w:rPr>
                          <w:rFonts w:asciiTheme="minorHAnsi" w:hAnsiTheme="minorHAnsi" w:cstheme="minorHAnsi"/>
                          <w:b/>
                          <w:bCs/>
                          <w:u w:val="single"/>
                        </w:rPr>
                        <w:lastRenderedPageBreak/>
                        <w:t xml:space="preserve">Appendix B: </w:t>
                      </w:r>
                      <w:r w:rsidR="00321DC1" w:rsidRPr="00347E38">
                        <w:rPr>
                          <w:rFonts w:asciiTheme="minorHAnsi" w:hAnsiTheme="minorHAnsi" w:cstheme="minorHAnsi"/>
                          <w:b/>
                          <w:bCs/>
                          <w:u w:val="single"/>
                        </w:rPr>
                        <w:t>TESCO KEY RATIOS SUMMARY TABLE</w:t>
                      </w:r>
                    </w:p>
                  </w:tc>
                  <w:tc>
                    <w:tcPr>
                      <w:tcW w:w="551" w:type="dxa"/>
                      <w:tcBorders>
                        <w:top w:val="nil"/>
                        <w:left w:val="nil"/>
                        <w:bottom w:val="nil"/>
                        <w:right w:val="nil"/>
                      </w:tcBorders>
                      <w:shd w:val="clear" w:color="auto" w:fill="auto"/>
                      <w:noWrap/>
                      <w:vAlign w:val="bottom"/>
                      <w:hideMark/>
                    </w:tcPr>
                    <w:p w14:paraId="5836EC0A" w14:textId="77777777" w:rsidR="00321DC1" w:rsidRPr="00347E38" w:rsidRDefault="00321DC1" w:rsidP="00B413D9">
                      <w:pPr>
                        <w:rPr>
                          <w:rFonts w:asciiTheme="minorHAnsi" w:hAnsiTheme="minorHAnsi" w:cstheme="minorHAnsi"/>
                          <w:b/>
                          <w:bCs/>
                          <w:color w:val="000000"/>
                          <w:sz w:val="36"/>
                          <w:szCs w:val="36"/>
                        </w:rPr>
                      </w:pPr>
                    </w:p>
                  </w:tc>
                  <w:tc>
                    <w:tcPr>
                      <w:tcW w:w="957" w:type="dxa"/>
                      <w:tcBorders>
                        <w:top w:val="nil"/>
                        <w:left w:val="nil"/>
                        <w:bottom w:val="nil"/>
                        <w:right w:val="nil"/>
                      </w:tcBorders>
                      <w:shd w:val="clear" w:color="auto" w:fill="auto"/>
                      <w:noWrap/>
                      <w:vAlign w:val="bottom"/>
                      <w:hideMark/>
                    </w:tcPr>
                    <w:p w14:paraId="4E0A17B8" w14:textId="77777777" w:rsidR="00321DC1" w:rsidRPr="00347E38" w:rsidRDefault="00321DC1" w:rsidP="00B413D9">
                      <w:pPr>
                        <w:rPr>
                          <w:rFonts w:asciiTheme="minorHAnsi" w:hAnsiTheme="minorHAnsi" w:cstheme="minorHAnsi"/>
                          <w:sz w:val="20"/>
                          <w:szCs w:val="20"/>
                        </w:rPr>
                      </w:pPr>
                    </w:p>
                  </w:tc>
                  <w:tc>
                    <w:tcPr>
                      <w:tcW w:w="957" w:type="dxa"/>
                      <w:tcBorders>
                        <w:top w:val="nil"/>
                        <w:left w:val="nil"/>
                        <w:bottom w:val="nil"/>
                        <w:right w:val="nil"/>
                      </w:tcBorders>
                      <w:shd w:val="clear" w:color="auto" w:fill="auto"/>
                      <w:noWrap/>
                      <w:vAlign w:val="bottom"/>
                      <w:hideMark/>
                    </w:tcPr>
                    <w:p w14:paraId="743CD0BF" w14:textId="77777777" w:rsidR="00321DC1" w:rsidRPr="00347E38" w:rsidRDefault="00321DC1" w:rsidP="00B413D9">
                      <w:pPr>
                        <w:rPr>
                          <w:rFonts w:asciiTheme="minorHAnsi" w:hAnsiTheme="minorHAnsi" w:cstheme="minorHAnsi"/>
                          <w:sz w:val="20"/>
                          <w:szCs w:val="20"/>
                        </w:rPr>
                      </w:pPr>
                    </w:p>
                  </w:tc>
                </w:tr>
                <w:tr w:rsidR="00046B01" w:rsidRPr="00347E38" w14:paraId="3420F841" w14:textId="77777777" w:rsidTr="00B413D9">
                  <w:trPr>
                    <w:trHeight w:val="320"/>
                  </w:trPr>
                  <w:tc>
                    <w:tcPr>
                      <w:tcW w:w="2694" w:type="dxa"/>
                      <w:tcBorders>
                        <w:top w:val="nil"/>
                        <w:left w:val="nil"/>
                        <w:bottom w:val="nil"/>
                        <w:right w:val="nil"/>
                      </w:tcBorders>
                      <w:shd w:val="clear" w:color="auto" w:fill="auto"/>
                      <w:noWrap/>
                      <w:vAlign w:val="bottom"/>
                      <w:hideMark/>
                    </w:tcPr>
                    <w:p w14:paraId="7ED2951E" w14:textId="77777777" w:rsidR="00321DC1" w:rsidRPr="00347E38" w:rsidRDefault="00321DC1" w:rsidP="00B413D9">
                      <w:pPr>
                        <w:rPr>
                          <w:rFonts w:asciiTheme="minorHAnsi" w:hAnsiTheme="minorHAnsi" w:cstheme="minorHAnsi"/>
                          <w:sz w:val="20"/>
                          <w:szCs w:val="20"/>
                        </w:rPr>
                      </w:pPr>
                    </w:p>
                  </w:tc>
                  <w:tc>
                    <w:tcPr>
                      <w:tcW w:w="1329" w:type="dxa"/>
                      <w:tcBorders>
                        <w:top w:val="nil"/>
                        <w:left w:val="nil"/>
                        <w:bottom w:val="nil"/>
                        <w:right w:val="nil"/>
                      </w:tcBorders>
                      <w:shd w:val="clear" w:color="auto" w:fill="auto"/>
                      <w:noWrap/>
                      <w:vAlign w:val="bottom"/>
                      <w:hideMark/>
                    </w:tcPr>
                    <w:p w14:paraId="6FAFA26C" w14:textId="77777777" w:rsidR="00321DC1" w:rsidRPr="00347E38" w:rsidRDefault="00321DC1" w:rsidP="00B413D9">
                      <w:pPr>
                        <w:rPr>
                          <w:rFonts w:asciiTheme="minorHAnsi" w:hAnsiTheme="minorHAnsi" w:cstheme="minorHAnsi"/>
                          <w:sz w:val="20"/>
                          <w:szCs w:val="20"/>
                        </w:rPr>
                      </w:pPr>
                    </w:p>
                  </w:tc>
                  <w:tc>
                    <w:tcPr>
                      <w:tcW w:w="957" w:type="dxa"/>
                      <w:gridSpan w:val="2"/>
                      <w:tcBorders>
                        <w:top w:val="nil"/>
                        <w:left w:val="nil"/>
                        <w:bottom w:val="nil"/>
                        <w:right w:val="nil"/>
                      </w:tcBorders>
                      <w:shd w:val="clear" w:color="auto" w:fill="auto"/>
                      <w:noWrap/>
                      <w:vAlign w:val="bottom"/>
                      <w:hideMark/>
                    </w:tcPr>
                    <w:p w14:paraId="3FF6F31C" w14:textId="77777777" w:rsidR="00321DC1" w:rsidRPr="00347E38" w:rsidRDefault="00321DC1" w:rsidP="00B413D9">
                      <w:pPr>
                        <w:rPr>
                          <w:rFonts w:asciiTheme="minorHAnsi" w:hAnsiTheme="minorHAnsi" w:cstheme="minorHAnsi"/>
                          <w:sz w:val="20"/>
                          <w:szCs w:val="20"/>
                        </w:rPr>
                      </w:pPr>
                    </w:p>
                  </w:tc>
                  <w:tc>
                    <w:tcPr>
                      <w:tcW w:w="957" w:type="dxa"/>
                      <w:tcBorders>
                        <w:top w:val="nil"/>
                        <w:left w:val="nil"/>
                        <w:bottom w:val="nil"/>
                        <w:right w:val="nil"/>
                      </w:tcBorders>
                      <w:shd w:val="clear" w:color="auto" w:fill="auto"/>
                      <w:noWrap/>
                      <w:vAlign w:val="bottom"/>
                      <w:hideMark/>
                    </w:tcPr>
                    <w:p w14:paraId="7FD945F8" w14:textId="77777777" w:rsidR="00321DC1" w:rsidRPr="00347E38" w:rsidRDefault="00321DC1" w:rsidP="00B413D9">
                      <w:pPr>
                        <w:rPr>
                          <w:rFonts w:asciiTheme="minorHAnsi" w:hAnsiTheme="minorHAnsi" w:cstheme="minorHAnsi"/>
                          <w:sz w:val="20"/>
                          <w:szCs w:val="20"/>
                        </w:rPr>
                      </w:pPr>
                    </w:p>
                  </w:tc>
                  <w:tc>
                    <w:tcPr>
                      <w:tcW w:w="957" w:type="dxa"/>
                      <w:tcBorders>
                        <w:top w:val="nil"/>
                        <w:left w:val="nil"/>
                        <w:bottom w:val="nil"/>
                        <w:right w:val="nil"/>
                      </w:tcBorders>
                      <w:shd w:val="clear" w:color="auto" w:fill="auto"/>
                      <w:noWrap/>
                      <w:vAlign w:val="bottom"/>
                      <w:hideMark/>
                    </w:tcPr>
                    <w:p w14:paraId="4D5E4244" w14:textId="77777777" w:rsidR="00321DC1" w:rsidRPr="00347E38" w:rsidRDefault="00321DC1" w:rsidP="00B413D9">
                      <w:pPr>
                        <w:rPr>
                          <w:rFonts w:asciiTheme="minorHAnsi" w:hAnsiTheme="minorHAnsi" w:cstheme="minorHAnsi"/>
                          <w:sz w:val="20"/>
                          <w:szCs w:val="20"/>
                        </w:rPr>
                      </w:pPr>
                    </w:p>
                  </w:tc>
                </w:tr>
                <w:tr w:rsidR="00046B01" w:rsidRPr="00347E38" w14:paraId="60F5A0B1" w14:textId="77777777" w:rsidTr="00046B01">
                  <w:trPr>
                    <w:trHeight w:val="320"/>
                  </w:trPr>
                  <w:tc>
                    <w:tcPr>
                      <w:tcW w:w="2694" w:type="dxa"/>
                      <w:tcBorders>
                        <w:top w:val="nil"/>
                        <w:left w:val="nil"/>
                        <w:bottom w:val="nil"/>
                        <w:right w:val="nil"/>
                      </w:tcBorders>
                      <w:shd w:val="clear" w:color="auto" w:fill="auto"/>
                      <w:noWrap/>
                      <w:vAlign w:val="bottom"/>
                      <w:hideMark/>
                    </w:tcPr>
                    <w:p w14:paraId="6FE0AF60"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Ratio</w:t>
                      </w:r>
                    </w:p>
                  </w:tc>
                  <w:tc>
                    <w:tcPr>
                      <w:tcW w:w="1329" w:type="dxa"/>
                      <w:tcBorders>
                        <w:top w:val="nil"/>
                        <w:left w:val="nil"/>
                        <w:bottom w:val="nil"/>
                        <w:right w:val="nil"/>
                      </w:tcBorders>
                      <w:shd w:val="clear" w:color="auto" w:fill="auto"/>
                      <w:noWrap/>
                      <w:vAlign w:val="bottom"/>
                      <w:hideMark/>
                    </w:tcPr>
                    <w:p w14:paraId="19B4E6F2"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2023</w:t>
                      </w:r>
                    </w:p>
                  </w:tc>
                  <w:tc>
                    <w:tcPr>
                      <w:tcW w:w="957" w:type="dxa"/>
                      <w:gridSpan w:val="2"/>
                      <w:tcBorders>
                        <w:top w:val="nil"/>
                        <w:left w:val="nil"/>
                        <w:bottom w:val="nil"/>
                        <w:right w:val="nil"/>
                      </w:tcBorders>
                      <w:shd w:val="clear" w:color="auto" w:fill="auto"/>
                      <w:noWrap/>
                      <w:vAlign w:val="bottom"/>
                      <w:hideMark/>
                    </w:tcPr>
                    <w:p w14:paraId="4C0C8923"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2024</w:t>
                      </w:r>
                    </w:p>
                  </w:tc>
                  <w:tc>
                    <w:tcPr>
                      <w:tcW w:w="957" w:type="dxa"/>
                      <w:tcBorders>
                        <w:top w:val="nil"/>
                        <w:left w:val="nil"/>
                        <w:bottom w:val="nil"/>
                        <w:right w:val="nil"/>
                      </w:tcBorders>
                      <w:shd w:val="clear" w:color="auto" w:fill="auto"/>
                      <w:noWrap/>
                      <w:vAlign w:val="center"/>
                      <w:hideMark/>
                    </w:tcPr>
                    <w:p w14:paraId="23EE9F16" w14:textId="7CB5D020" w:rsidR="00065861" w:rsidRDefault="00065861" w:rsidP="00046B01">
                      <w:pPr>
                        <w:jc w:val="right"/>
                        <w:rPr>
                          <w:rFonts w:asciiTheme="minorHAnsi" w:hAnsiTheme="minorHAnsi" w:cstheme="minorHAnsi"/>
                          <w:color w:val="000000"/>
                        </w:rPr>
                      </w:pPr>
                    </w:p>
                    <w:p w14:paraId="17F5D889" w14:textId="6E5080CB" w:rsidR="00321DC1" w:rsidRPr="00347E38" w:rsidRDefault="00321DC1" w:rsidP="00046B01">
                      <w:pPr>
                        <w:jc w:val="right"/>
                        <w:rPr>
                          <w:rFonts w:asciiTheme="minorHAnsi" w:hAnsiTheme="minorHAnsi" w:cstheme="minorHAnsi"/>
                          <w:color w:val="000000"/>
                        </w:rPr>
                      </w:pPr>
                      <w:r w:rsidRPr="00347E38">
                        <w:rPr>
                          <w:rFonts w:asciiTheme="minorHAnsi" w:hAnsiTheme="minorHAnsi" w:cstheme="minorHAnsi"/>
                          <w:color w:val="000000"/>
                        </w:rPr>
                        <w:t>Chan</w:t>
                      </w:r>
                      <w:r w:rsidR="00FA6D10">
                        <w:rPr>
                          <w:rFonts w:asciiTheme="minorHAnsi" w:hAnsiTheme="minorHAnsi" w:cstheme="minorHAnsi"/>
                          <w:color w:val="000000"/>
                        </w:rPr>
                        <w:t>g</w:t>
                      </w:r>
                      <w:r w:rsidRPr="00347E38">
                        <w:rPr>
                          <w:rFonts w:asciiTheme="minorHAnsi" w:hAnsiTheme="minorHAnsi" w:cstheme="minorHAnsi"/>
                          <w:color w:val="000000"/>
                        </w:rPr>
                        <w:t>e↑↓</w:t>
                      </w:r>
                    </w:p>
                  </w:tc>
                  <w:tc>
                    <w:tcPr>
                      <w:tcW w:w="957" w:type="dxa"/>
                      <w:tcBorders>
                        <w:top w:val="nil"/>
                        <w:left w:val="nil"/>
                        <w:bottom w:val="nil"/>
                        <w:right w:val="nil"/>
                      </w:tcBorders>
                      <w:shd w:val="clear" w:color="auto" w:fill="auto"/>
                      <w:noWrap/>
                      <w:vAlign w:val="bottom"/>
                      <w:hideMark/>
                    </w:tcPr>
                    <w:p w14:paraId="4D80CAEC" w14:textId="77777777" w:rsidR="00321DC1" w:rsidRPr="00347E38" w:rsidRDefault="00321DC1" w:rsidP="00B413D9">
                      <w:pPr>
                        <w:rPr>
                          <w:rFonts w:asciiTheme="minorHAnsi" w:hAnsiTheme="minorHAnsi" w:cstheme="minorHAnsi"/>
                          <w:color w:val="000000"/>
                        </w:rPr>
                      </w:pPr>
                    </w:p>
                  </w:tc>
                </w:tr>
                <w:tr w:rsidR="00321DC1" w:rsidRPr="00347E38" w14:paraId="105FEA36" w14:textId="77777777" w:rsidTr="00B413D9">
                  <w:trPr>
                    <w:trHeight w:val="320"/>
                  </w:trPr>
                  <w:tc>
                    <w:tcPr>
                      <w:tcW w:w="4023" w:type="dxa"/>
                      <w:gridSpan w:val="2"/>
                      <w:tcBorders>
                        <w:top w:val="nil"/>
                        <w:left w:val="nil"/>
                        <w:bottom w:val="nil"/>
                        <w:right w:val="nil"/>
                      </w:tcBorders>
                      <w:shd w:val="clear" w:color="auto" w:fill="auto"/>
                      <w:noWrap/>
                      <w:vAlign w:val="bottom"/>
                      <w:hideMark/>
                    </w:tcPr>
                    <w:p w14:paraId="4A2281CA" w14:textId="75E3FC5D"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w:t>
                      </w:r>
                    </w:p>
                  </w:tc>
                  <w:tc>
                    <w:tcPr>
                      <w:tcW w:w="957" w:type="dxa"/>
                      <w:gridSpan w:val="2"/>
                      <w:tcBorders>
                        <w:top w:val="nil"/>
                        <w:left w:val="nil"/>
                        <w:bottom w:val="nil"/>
                        <w:right w:val="nil"/>
                      </w:tcBorders>
                      <w:shd w:val="clear" w:color="auto" w:fill="auto"/>
                      <w:noWrap/>
                      <w:vAlign w:val="bottom"/>
                      <w:hideMark/>
                    </w:tcPr>
                    <w:p w14:paraId="28D9F3E8" w14:textId="77777777" w:rsidR="00321DC1" w:rsidRPr="00347E38" w:rsidRDefault="00321DC1" w:rsidP="00B413D9">
                      <w:pPr>
                        <w:rPr>
                          <w:rFonts w:asciiTheme="minorHAnsi" w:hAnsiTheme="minorHAnsi" w:cstheme="minorHAnsi"/>
                          <w:color w:val="000000"/>
                        </w:rPr>
                      </w:pPr>
                    </w:p>
                  </w:tc>
                  <w:tc>
                    <w:tcPr>
                      <w:tcW w:w="957" w:type="dxa"/>
                      <w:tcBorders>
                        <w:top w:val="nil"/>
                        <w:left w:val="nil"/>
                        <w:bottom w:val="nil"/>
                        <w:right w:val="nil"/>
                      </w:tcBorders>
                      <w:shd w:val="clear" w:color="auto" w:fill="auto"/>
                      <w:noWrap/>
                      <w:vAlign w:val="bottom"/>
                      <w:hideMark/>
                    </w:tcPr>
                    <w:p w14:paraId="4C6ED6BC" w14:textId="77777777" w:rsidR="00321DC1" w:rsidRPr="00347E38" w:rsidRDefault="00321DC1" w:rsidP="00B413D9">
                      <w:pPr>
                        <w:rPr>
                          <w:rFonts w:asciiTheme="minorHAnsi" w:hAnsiTheme="minorHAnsi" w:cstheme="minorHAnsi"/>
                          <w:sz w:val="20"/>
                          <w:szCs w:val="20"/>
                        </w:rPr>
                      </w:pPr>
                    </w:p>
                  </w:tc>
                  <w:tc>
                    <w:tcPr>
                      <w:tcW w:w="957" w:type="dxa"/>
                      <w:tcBorders>
                        <w:top w:val="nil"/>
                        <w:left w:val="nil"/>
                        <w:bottom w:val="nil"/>
                        <w:right w:val="nil"/>
                      </w:tcBorders>
                      <w:shd w:val="clear" w:color="auto" w:fill="auto"/>
                      <w:noWrap/>
                      <w:vAlign w:val="bottom"/>
                      <w:hideMark/>
                    </w:tcPr>
                    <w:p w14:paraId="5330C0C3" w14:textId="77777777" w:rsidR="00321DC1" w:rsidRPr="00347E38" w:rsidRDefault="00321DC1" w:rsidP="00B413D9">
                      <w:pPr>
                        <w:rPr>
                          <w:rFonts w:asciiTheme="minorHAnsi" w:hAnsiTheme="minorHAnsi" w:cstheme="minorHAnsi"/>
                          <w:sz w:val="20"/>
                          <w:szCs w:val="20"/>
                        </w:rPr>
                      </w:pPr>
                    </w:p>
                  </w:tc>
                </w:tr>
                <w:tr w:rsidR="00046B01" w:rsidRPr="00347E38" w14:paraId="127BD8B7" w14:textId="77777777" w:rsidTr="00B413D9">
                  <w:trPr>
                    <w:trHeight w:val="320"/>
                  </w:trPr>
                  <w:tc>
                    <w:tcPr>
                      <w:tcW w:w="2694" w:type="dxa"/>
                      <w:tcBorders>
                        <w:top w:val="nil"/>
                        <w:left w:val="nil"/>
                        <w:bottom w:val="nil"/>
                        <w:right w:val="nil"/>
                      </w:tcBorders>
                      <w:shd w:val="clear" w:color="auto" w:fill="auto"/>
                      <w:noWrap/>
                      <w:vAlign w:val="bottom"/>
                      <w:hideMark/>
                    </w:tcPr>
                    <w:p w14:paraId="4AA8C646"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Gross Profit Margin</w:t>
                      </w:r>
                    </w:p>
                  </w:tc>
                  <w:tc>
                    <w:tcPr>
                      <w:tcW w:w="1329" w:type="dxa"/>
                      <w:tcBorders>
                        <w:top w:val="nil"/>
                        <w:left w:val="nil"/>
                        <w:bottom w:val="nil"/>
                        <w:right w:val="nil"/>
                      </w:tcBorders>
                      <w:shd w:val="clear" w:color="auto" w:fill="auto"/>
                      <w:noWrap/>
                      <w:vAlign w:val="bottom"/>
                      <w:hideMark/>
                    </w:tcPr>
                    <w:p w14:paraId="47CB4F29"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7.13%</w:t>
                      </w:r>
                    </w:p>
                  </w:tc>
                  <w:tc>
                    <w:tcPr>
                      <w:tcW w:w="957" w:type="dxa"/>
                      <w:gridSpan w:val="2"/>
                      <w:tcBorders>
                        <w:top w:val="nil"/>
                        <w:left w:val="nil"/>
                        <w:bottom w:val="nil"/>
                        <w:right w:val="nil"/>
                      </w:tcBorders>
                      <w:shd w:val="clear" w:color="auto" w:fill="auto"/>
                      <w:noWrap/>
                      <w:vAlign w:val="bottom"/>
                      <w:hideMark/>
                    </w:tcPr>
                    <w:p w14:paraId="5DA8A8AA"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7.11%</w:t>
                      </w:r>
                    </w:p>
                  </w:tc>
                  <w:tc>
                    <w:tcPr>
                      <w:tcW w:w="1914" w:type="dxa"/>
                      <w:gridSpan w:val="2"/>
                      <w:tcBorders>
                        <w:top w:val="nil"/>
                        <w:left w:val="nil"/>
                        <w:bottom w:val="nil"/>
                        <w:right w:val="nil"/>
                      </w:tcBorders>
                      <w:shd w:val="clear" w:color="auto" w:fill="auto"/>
                      <w:noWrap/>
                      <w:vAlign w:val="bottom"/>
                      <w:hideMark/>
                    </w:tcPr>
                    <w:p w14:paraId="2A5B7A9E"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Slight decrease</w:t>
                      </w:r>
                    </w:p>
                  </w:tc>
                </w:tr>
                <w:tr w:rsidR="00046B01" w:rsidRPr="00347E38" w14:paraId="17370A23" w14:textId="77777777" w:rsidTr="00B413D9">
                  <w:trPr>
                    <w:trHeight w:val="320"/>
                  </w:trPr>
                  <w:tc>
                    <w:tcPr>
                      <w:tcW w:w="2694" w:type="dxa"/>
                      <w:tcBorders>
                        <w:top w:val="nil"/>
                        <w:left w:val="nil"/>
                        <w:bottom w:val="nil"/>
                        <w:right w:val="nil"/>
                      </w:tcBorders>
                      <w:shd w:val="clear" w:color="auto" w:fill="auto"/>
                      <w:noWrap/>
                      <w:vAlign w:val="bottom"/>
                      <w:hideMark/>
                    </w:tcPr>
                    <w:p w14:paraId="3435ABBD"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Operating Profit Margin</w:t>
                      </w:r>
                    </w:p>
                  </w:tc>
                  <w:tc>
                    <w:tcPr>
                      <w:tcW w:w="1329" w:type="dxa"/>
                      <w:tcBorders>
                        <w:top w:val="nil"/>
                        <w:left w:val="nil"/>
                        <w:bottom w:val="nil"/>
                        <w:right w:val="nil"/>
                      </w:tcBorders>
                      <w:shd w:val="clear" w:color="auto" w:fill="auto"/>
                      <w:noWrap/>
                      <w:vAlign w:val="bottom"/>
                      <w:hideMark/>
                    </w:tcPr>
                    <w:p w14:paraId="0A0A418A"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4.00%</w:t>
                      </w:r>
                    </w:p>
                  </w:tc>
                  <w:tc>
                    <w:tcPr>
                      <w:tcW w:w="957" w:type="dxa"/>
                      <w:gridSpan w:val="2"/>
                      <w:tcBorders>
                        <w:top w:val="nil"/>
                        <w:left w:val="nil"/>
                        <w:bottom w:val="nil"/>
                        <w:right w:val="nil"/>
                      </w:tcBorders>
                      <w:shd w:val="clear" w:color="auto" w:fill="auto"/>
                      <w:noWrap/>
                      <w:vAlign w:val="bottom"/>
                      <w:hideMark/>
                    </w:tcPr>
                    <w:p w14:paraId="4680F05F"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4.14%</w:t>
                      </w:r>
                    </w:p>
                  </w:tc>
                  <w:tc>
                    <w:tcPr>
                      <w:tcW w:w="1914" w:type="dxa"/>
                      <w:gridSpan w:val="2"/>
                      <w:tcBorders>
                        <w:top w:val="nil"/>
                        <w:left w:val="nil"/>
                        <w:bottom w:val="nil"/>
                        <w:right w:val="nil"/>
                      </w:tcBorders>
                      <w:shd w:val="clear" w:color="auto" w:fill="auto"/>
                      <w:noWrap/>
                      <w:vAlign w:val="bottom"/>
                      <w:hideMark/>
                    </w:tcPr>
                    <w:p w14:paraId="5B9250EA"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Improvement</w:t>
                      </w:r>
                    </w:p>
                  </w:tc>
                </w:tr>
                <w:tr w:rsidR="00046B01" w:rsidRPr="00347E38" w14:paraId="0574DCD1" w14:textId="77777777" w:rsidTr="00B413D9">
                  <w:trPr>
                    <w:trHeight w:val="320"/>
                  </w:trPr>
                  <w:tc>
                    <w:tcPr>
                      <w:tcW w:w="2694" w:type="dxa"/>
                      <w:tcBorders>
                        <w:top w:val="nil"/>
                        <w:left w:val="nil"/>
                        <w:bottom w:val="nil"/>
                        <w:right w:val="nil"/>
                      </w:tcBorders>
                      <w:shd w:val="clear" w:color="auto" w:fill="auto"/>
                      <w:noWrap/>
                      <w:vAlign w:val="bottom"/>
                      <w:hideMark/>
                    </w:tcPr>
                    <w:p w14:paraId="358C8E1F"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Net Profit Margin</w:t>
                      </w:r>
                    </w:p>
                  </w:tc>
                  <w:tc>
                    <w:tcPr>
                      <w:tcW w:w="1329" w:type="dxa"/>
                      <w:tcBorders>
                        <w:top w:val="nil"/>
                        <w:left w:val="nil"/>
                        <w:bottom w:val="nil"/>
                        <w:right w:val="nil"/>
                      </w:tcBorders>
                      <w:shd w:val="clear" w:color="auto" w:fill="auto"/>
                      <w:noWrap/>
                      <w:vAlign w:val="bottom"/>
                      <w:hideMark/>
                    </w:tcPr>
                    <w:p w14:paraId="6C3517F2"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1.12%</w:t>
                      </w:r>
                    </w:p>
                  </w:tc>
                  <w:tc>
                    <w:tcPr>
                      <w:tcW w:w="957" w:type="dxa"/>
                      <w:gridSpan w:val="2"/>
                      <w:tcBorders>
                        <w:top w:val="nil"/>
                        <w:left w:val="nil"/>
                        <w:bottom w:val="nil"/>
                        <w:right w:val="nil"/>
                      </w:tcBorders>
                      <w:shd w:val="clear" w:color="auto" w:fill="auto"/>
                      <w:noWrap/>
                      <w:vAlign w:val="bottom"/>
                      <w:hideMark/>
                    </w:tcPr>
                    <w:p w14:paraId="4BE49334"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2.59%</w:t>
                      </w:r>
                    </w:p>
                  </w:tc>
                  <w:tc>
                    <w:tcPr>
                      <w:tcW w:w="1914" w:type="dxa"/>
                      <w:gridSpan w:val="2"/>
                      <w:tcBorders>
                        <w:top w:val="nil"/>
                        <w:left w:val="nil"/>
                        <w:bottom w:val="nil"/>
                        <w:right w:val="nil"/>
                      </w:tcBorders>
                      <w:shd w:val="clear" w:color="auto" w:fill="auto"/>
                      <w:noWrap/>
                      <w:vAlign w:val="bottom"/>
                      <w:hideMark/>
                    </w:tcPr>
                    <w:p w14:paraId="1AF00823"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Strong improvement</w:t>
                      </w:r>
                    </w:p>
                  </w:tc>
                </w:tr>
                <w:tr w:rsidR="00046B01" w:rsidRPr="00347E38" w14:paraId="5F0F1617" w14:textId="77777777" w:rsidTr="00B413D9">
                  <w:trPr>
                    <w:trHeight w:val="320"/>
                  </w:trPr>
                  <w:tc>
                    <w:tcPr>
                      <w:tcW w:w="2694" w:type="dxa"/>
                      <w:tcBorders>
                        <w:top w:val="nil"/>
                        <w:left w:val="nil"/>
                        <w:bottom w:val="nil"/>
                        <w:right w:val="nil"/>
                      </w:tcBorders>
                      <w:shd w:val="clear" w:color="auto" w:fill="auto"/>
                      <w:noWrap/>
                      <w:vAlign w:val="bottom"/>
                      <w:hideMark/>
                    </w:tcPr>
                    <w:p w14:paraId="6F47F6F2"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ROA</w:t>
                      </w:r>
                    </w:p>
                  </w:tc>
                  <w:tc>
                    <w:tcPr>
                      <w:tcW w:w="1329" w:type="dxa"/>
                      <w:tcBorders>
                        <w:top w:val="nil"/>
                        <w:left w:val="nil"/>
                        <w:bottom w:val="nil"/>
                        <w:right w:val="nil"/>
                      </w:tcBorders>
                      <w:shd w:val="clear" w:color="auto" w:fill="auto"/>
                      <w:noWrap/>
                      <w:vAlign w:val="bottom"/>
                      <w:hideMark/>
                    </w:tcPr>
                    <w:p w14:paraId="36D98485"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1.61%</w:t>
                      </w:r>
                    </w:p>
                  </w:tc>
                  <w:tc>
                    <w:tcPr>
                      <w:tcW w:w="957" w:type="dxa"/>
                      <w:gridSpan w:val="2"/>
                      <w:tcBorders>
                        <w:top w:val="nil"/>
                        <w:left w:val="nil"/>
                        <w:bottom w:val="nil"/>
                        <w:right w:val="nil"/>
                      </w:tcBorders>
                      <w:shd w:val="clear" w:color="auto" w:fill="auto"/>
                      <w:noWrap/>
                      <w:vAlign w:val="bottom"/>
                      <w:hideMark/>
                    </w:tcPr>
                    <w:p w14:paraId="51BDBDA7"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3.75%</w:t>
                      </w:r>
                    </w:p>
                  </w:tc>
                  <w:tc>
                    <w:tcPr>
                      <w:tcW w:w="1914" w:type="dxa"/>
                      <w:gridSpan w:val="2"/>
                      <w:tcBorders>
                        <w:top w:val="nil"/>
                        <w:left w:val="nil"/>
                        <w:bottom w:val="nil"/>
                        <w:right w:val="nil"/>
                      </w:tcBorders>
                      <w:shd w:val="clear" w:color="auto" w:fill="auto"/>
                      <w:noWrap/>
                      <w:vAlign w:val="bottom"/>
                      <w:hideMark/>
                    </w:tcPr>
                    <w:p w14:paraId="7721999D"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Significant improvement</w:t>
                      </w:r>
                    </w:p>
                  </w:tc>
                </w:tr>
                <w:tr w:rsidR="00046B01" w:rsidRPr="00347E38" w14:paraId="7B6B4E84" w14:textId="77777777" w:rsidTr="00B413D9">
                  <w:trPr>
                    <w:trHeight w:val="320"/>
                  </w:trPr>
                  <w:tc>
                    <w:tcPr>
                      <w:tcW w:w="2694" w:type="dxa"/>
                      <w:tcBorders>
                        <w:top w:val="nil"/>
                        <w:left w:val="nil"/>
                        <w:bottom w:val="nil"/>
                        <w:right w:val="nil"/>
                      </w:tcBorders>
                      <w:shd w:val="clear" w:color="auto" w:fill="auto"/>
                      <w:noWrap/>
                      <w:vAlign w:val="bottom"/>
                      <w:hideMark/>
                    </w:tcPr>
                    <w:p w14:paraId="60CF6C83"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ROE</w:t>
                      </w:r>
                    </w:p>
                  </w:tc>
                  <w:tc>
                    <w:tcPr>
                      <w:tcW w:w="1329" w:type="dxa"/>
                      <w:tcBorders>
                        <w:top w:val="nil"/>
                        <w:left w:val="nil"/>
                        <w:bottom w:val="nil"/>
                        <w:right w:val="nil"/>
                      </w:tcBorders>
                      <w:shd w:val="clear" w:color="auto" w:fill="auto"/>
                      <w:noWrap/>
                      <w:vAlign w:val="bottom"/>
                      <w:hideMark/>
                    </w:tcPr>
                    <w:p w14:paraId="1082B69C"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6.03%</w:t>
                      </w:r>
                    </w:p>
                  </w:tc>
                  <w:tc>
                    <w:tcPr>
                      <w:tcW w:w="957" w:type="dxa"/>
                      <w:gridSpan w:val="2"/>
                      <w:tcBorders>
                        <w:top w:val="nil"/>
                        <w:left w:val="nil"/>
                        <w:bottom w:val="nil"/>
                        <w:right w:val="nil"/>
                      </w:tcBorders>
                      <w:shd w:val="clear" w:color="auto" w:fill="auto"/>
                      <w:noWrap/>
                      <w:vAlign w:val="bottom"/>
                      <w:hideMark/>
                    </w:tcPr>
                    <w:p w14:paraId="01A42A0F"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15.12%</w:t>
                      </w:r>
                    </w:p>
                  </w:tc>
                  <w:tc>
                    <w:tcPr>
                      <w:tcW w:w="1914" w:type="dxa"/>
                      <w:gridSpan w:val="2"/>
                      <w:tcBorders>
                        <w:top w:val="nil"/>
                        <w:left w:val="nil"/>
                        <w:bottom w:val="nil"/>
                        <w:right w:val="nil"/>
                      </w:tcBorders>
                      <w:shd w:val="clear" w:color="auto" w:fill="auto"/>
                      <w:noWrap/>
                      <w:vAlign w:val="bottom"/>
                      <w:hideMark/>
                    </w:tcPr>
                    <w:p w14:paraId="11EE3B72"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Major improvement</w:t>
                      </w:r>
                    </w:p>
                  </w:tc>
                </w:tr>
                <w:tr w:rsidR="00321DC1" w:rsidRPr="00347E38" w14:paraId="615C5C12" w14:textId="77777777" w:rsidTr="00B413D9">
                  <w:trPr>
                    <w:trHeight w:val="320"/>
                  </w:trPr>
                  <w:tc>
                    <w:tcPr>
                      <w:tcW w:w="4023" w:type="dxa"/>
                      <w:gridSpan w:val="2"/>
                      <w:tcBorders>
                        <w:top w:val="nil"/>
                        <w:left w:val="nil"/>
                        <w:bottom w:val="nil"/>
                        <w:right w:val="nil"/>
                      </w:tcBorders>
                      <w:shd w:val="clear" w:color="auto" w:fill="auto"/>
                      <w:noWrap/>
                      <w:vAlign w:val="bottom"/>
                      <w:hideMark/>
                    </w:tcPr>
                    <w:p w14:paraId="5EB01BF2" w14:textId="59AA7D43"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w:t>
                      </w:r>
                    </w:p>
                  </w:tc>
                  <w:tc>
                    <w:tcPr>
                      <w:tcW w:w="957" w:type="dxa"/>
                      <w:gridSpan w:val="2"/>
                      <w:tcBorders>
                        <w:top w:val="nil"/>
                        <w:left w:val="nil"/>
                        <w:bottom w:val="nil"/>
                        <w:right w:val="nil"/>
                      </w:tcBorders>
                      <w:shd w:val="clear" w:color="auto" w:fill="auto"/>
                      <w:noWrap/>
                      <w:vAlign w:val="bottom"/>
                      <w:hideMark/>
                    </w:tcPr>
                    <w:p w14:paraId="252CEA0F" w14:textId="77777777" w:rsidR="00321DC1" w:rsidRPr="00347E38" w:rsidRDefault="00321DC1" w:rsidP="00B413D9">
                      <w:pPr>
                        <w:rPr>
                          <w:rFonts w:asciiTheme="minorHAnsi" w:hAnsiTheme="minorHAnsi" w:cstheme="minorHAnsi"/>
                          <w:color w:val="000000"/>
                        </w:rPr>
                      </w:pPr>
                    </w:p>
                  </w:tc>
                  <w:tc>
                    <w:tcPr>
                      <w:tcW w:w="957" w:type="dxa"/>
                      <w:tcBorders>
                        <w:top w:val="nil"/>
                        <w:left w:val="nil"/>
                        <w:bottom w:val="nil"/>
                        <w:right w:val="nil"/>
                      </w:tcBorders>
                      <w:shd w:val="clear" w:color="auto" w:fill="auto"/>
                      <w:noWrap/>
                      <w:vAlign w:val="bottom"/>
                      <w:hideMark/>
                    </w:tcPr>
                    <w:p w14:paraId="471BFE71" w14:textId="77777777" w:rsidR="00321DC1" w:rsidRPr="00347E38" w:rsidRDefault="00321DC1" w:rsidP="00B413D9">
                      <w:pPr>
                        <w:rPr>
                          <w:rFonts w:asciiTheme="minorHAnsi" w:hAnsiTheme="minorHAnsi" w:cstheme="minorHAnsi"/>
                          <w:sz w:val="20"/>
                          <w:szCs w:val="20"/>
                        </w:rPr>
                      </w:pPr>
                    </w:p>
                  </w:tc>
                  <w:tc>
                    <w:tcPr>
                      <w:tcW w:w="957" w:type="dxa"/>
                      <w:tcBorders>
                        <w:top w:val="nil"/>
                        <w:left w:val="nil"/>
                        <w:bottom w:val="nil"/>
                        <w:right w:val="nil"/>
                      </w:tcBorders>
                      <w:shd w:val="clear" w:color="auto" w:fill="auto"/>
                      <w:noWrap/>
                      <w:vAlign w:val="bottom"/>
                      <w:hideMark/>
                    </w:tcPr>
                    <w:p w14:paraId="17FD0959" w14:textId="77777777" w:rsidR="00321DC1" w:rsidRPr="00347E38" w:rsidRDefault="00321DC1" w:rsidP="00B413D9">
                      <w:pPr>
                        <w:rPr>
                          <w:rFonts w:asciiTheme="minorHAnsi" w:hAnsiTheme="minorHAnsi" w:cstheme="minorHAnsi"/>
                          <w:sz w:val="20"/>
                          <w:szCs w:val="20"/>
                        </w:rPr>
                      </w:pPr>
                    </w:p>
                  </w:tc>
                </w:tr>
                <w:tr w:rsidR="00046B01" w:rsidRPr="00347E38" w14:paraId="78173114" w14:textId="77777777" w:rsidTr="00B413D9">
                  <w:trPr>
                    <w:trHeight w:val="320"/>
                  </w:trPr>
                  <w:tc>
                    <w:tcPr>
                      <w:tcW w:w="2694" w:type="dxa"/>
                      <w:tcBorders>
                        <w:top w:val="nil"/>
                        <w:left w:val="nil"/>
                        <w:bottom w:val="nil"/>
                        <w:right w:val="nil"/>
                      </w:tcBorders>
                      <w:shd w:val="clear" w:color="auto" w:fill="auto"/>
                      <w:noWrap/>
                      <w:vAlign w:val="bottom"/>
                      <w:hideMark/>
                    </w:tcPr>
                    <w:p w14:paraId="2F44F5FB"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Current Ratio</w:t>
                      </w:r>
                    </w:p>
                  </w:tc>
                  <w:tc>
                    <w:tcPr>
                      <w:tcW w:w="1329" w:type="dxa"/>
                      <w:tcBorders>
                        <w:top w:val="nil"/>
                        <w:left w:val="nil"/>
                        <w:bottom w:val="nil"/>
                        <w:right w:val="nil"/>
                      </w:tcBorders>
                      <w:shd w:val="clear" w:color="auto" w:fill="auto"/>
                      <w:noWrap/>
                      <w:vAlign w:val="bottom"/>
                      <w:hideMark/>
                    </w:tcPr>
                    <w:p w14:paraId="039D770D"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0.72</w:t>
                      </w:r>
                    </w:p>
                  </w:tc>
                  <w:tc>
                    <w:tcPr>
                      <w:tcW w:w="957" w:type="dxa"/>
                      <w:gridSpan w:val="2"/>
                      <w:tcBorders>
                        <w:top w:val="nil"/>
                        <w:left w:val="nil"/>
                        <w:bottom w:val="nil"/>
                        <w:right w:val="nil"/>
                      </w:tcBorders>
                      <w:shd w:val="clear" w:color="auto" w:fill="auto"/>
                      <w:noWrap/>
                      <w:vAlign w:val="bottom"/>
                      <w:hideMark/>
                    </w:tcPr>
                    <w:p w14:paraId="4AECF188"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1.24</w:t>
                      </w:r>
                    </w:p>
                  </w:tc>
                  <w:tc>
                    <w:tcPr>
                      <w:tcW w:w="1914" w:type="dxa"/>
                      <w:gridSpan w:val="2"/>
                      <w:tcBorders>
                        <w:top w:val="nil"/>
                        <w:left w:val="nil"/>
                        <w:bottom w:val="nil"/>
                        <w:right w:val="nil"/>
                      </w:tcBorders>
                      <w:shd w:val="clear" w:color="auto" w:fill="auto"/>
                      <w:noWrap/>
                      <w:vAlign w:val="bottom"/>
                      <w:hideMark/>
                    </w:tcPr>
                    <w:p w14:paraId="7EFAD701"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Improved liquidity</w:t>
                      </w:r>
                    </w:p>
                  </w:tc>
                </w:tr>
                <w:tr w:rsidR="00046B01" w:rsidRPr="00347E38" w14:paraId="52A3CC66" w14:textId="77777777" w:rsidTr="00B413D9">
                  <w:trPr>
                    <w:trHeight w:val="320"/>
                  </w:trPr>
                  <w:tc>
                    <w:tcPr>
                      <w:tcW w:w="2694" w:type="dxa"/>
                      <w:tcBorders>
                        <w:top w:val="nil"/>
                        <w:left w:val="nil"/>
                        <w:bottom w:val="nil"/>
                        <w:right w:val="nil"/>
                      </w:tcBorders>
                      <w:shd w:val="clear" w:color="auto" w:fill="auto"/>
                      <w:noWrap/>
                      <w:vAlign w:val="bottom"/>
                      <w:hideMark/>
                    </w:tcPr>
                    <w:p w14:paraId="2CC2C5E0"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Quick Ratio</w:t>
                      </w:r>
                    </w:p>
                  </w:tc>
                  <w:tc>
                    <w:tcPr>
                      <w:tcW w:w="1329" w:type="dxa"/>
                      <w:tcBorders>
                        <w:top w:val="nil"/>
                        <w:left w:val="nil"/>
                        <w:bottom w:val="nil"/>
                        <w:right w:val="nil"/>
                      </w:tcBorders>
                      <w:shd w:val="clear" w:color="auto" w:fill="auto"/>
                      <w:noWrap/>
                      <w:vAlign w:val="bottom"/>
                      <w:hideMark/>
                    </w:tcPr>
                    <w:p w14:paraId="472DF4B9"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0.58</w:t>
                      </w:r>
                    </w:p>
                  </w:tc>
                  <w:tc>
                    <w:tcPr>
                      <w:tcW w:w="957" w:type="dxa"/>
                      <w:gridSpan w:val="2"/>
                      <w:tcBorders>
                        <w:top w:val="nil"/>
                        <w:left w:val="nil"/>
                        <w:bottom w:val="nil"/>
                        <w:right w:val="nil"/>
                      </w:tcBorders>
                      <w:shd w:val="clear" w:color="auto" w:fill="auto"/>
                      <w:noWrap/>
                      <w:vAlign w:val="bottom"/>
                      <w:hideMark/>
                    </w:tcPr>
                    <w:p w14:paraId="49122896"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1.05</w:t>
                      </w:r>
                    </w:p>
                  </w:tc>
                  <w:tc>
                    <w:tcPr>
                      <w:tcW w:w="1914" w:type="dxa"/>
                      <w:gridSpan w:val="2"/>
                      <w:tcBorders>
                        <w:top w:val="nil"/>
                        <w:left w:val="nil"/>
                        <w:bottom w:val="nil"/>
                        <w:right w:val="nil"/>
                      </w:tcBorders>
                      <w:shd w:val="clear" w:color="auto" w:fill="auto"/>
                      <w:noWrap/>
                      <w:vAlign w:val="bottom"/>
                      <w:hideMark/>
                    </w:tcPr>
                    <w:p w14:paraId="58ABD1FD"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Improved liquidity</w:t>
                      </w:r>
                    </w:p>
                  </w:tc>
                </w:tr>
                <w:tr w:rsidR="00321DC1" w:rsidRPr="00347E38" w14:paraId="529A073B" w14:textId="77777777" w:rsidTr="00B413D9">
                  <w:trPr>
                    <w:trHeight w:val="320"/>
                  </w:trPr>
                  <w:tc>
                    <w:tcPr>
                      <w:tcW w:w="4023" w:type="dxa"/>
                      <w:gridSpan w:val="2"/>
                      <w:tcBorders>
                        <w:top w:val="nil"/>
                        <w:left w:val="nil"/>
                        <w:bottom w:val="nil"/>
                        <w:right w:val="nil"/>
                      </w:tcBorders>
                      <w:shd w:val="clear" w:color="auto" w:fill="auto"/>
                      <w:noWrap/>
                      <w:vAlign w:val="bottom"/>
                      <w:hideMark/>
                    </w:tcPr>
                    <w:p w14:paraId="70E537B3" w14:textId="5FF1946D"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w:t>
                      </w:r>
                    </w:p>
                  </w:tc>
                  <w:tc>
                    <w:tcPr>
                      <w:tcW w:w="957" w:type="dxa"/>
                      <w:gridSpan w:val="2"/>
                      <w:tcBorders>
                        <w:top w:val="nil"/>
                        <w:left w:val="nil"/>
                        <w:bottom w:val="nil"/>
                        <w:right w:val="nil"/>
                      </w:tcBorders>
                      <w:shd w:val="clear" w:color="auto" w:fill="auto"/>
                      <w:noWrap/>
                      <w:vAlign w:val="bottom"/>
                      <w:hideMark/>
                    </w:tcPr>
                    <w:p w14:paraId="2496B548" w14:textId="77777777" w:rsidR="00321DC1" w:rsidRPr="00347E38" w:rsidRDefault="00321DC1" w:rsidP="00B413D9">
                      <w:pPr>
                        <w:rPr>
                          <w:rFonts w:asciiTheme="minorHAnsi" w:hAnsiTheme="minorHAnsi" w:cstheme="minorHAnsi"/>
                          <w:color w:val="000000"/>
                        </w:rPr>
                      </w:pPr>
                    </w:p>
                  </w:tc>
                  <w:tc>
                    <w:tcPr>
                      <w:tcW w:w="957" w:type="dxa"/>
                      <w:tcBorders>
                        <w:top w:val="nil"/>
                        <w:left w:val="nil"/>
                        <w:bottom w:val="nil"/>
                        <w:right w:val="nil"/>
                      </w:tcBorders>
                      <w:shd w:val="clear" w:color="auto" w:fill="auto"/>
                      <w:noWrap/>
                      <w:vAlign w:val="bottom"/>
                      <w:hideMark/>
                    </w:tcPr>
                    <w:p w14:paraId="44B54A2C" w14:textId="77777777" w:rsidR="00321DC1" w:rsidRPr="00347E38" w:rsidRDefault="00321DC1" w:rsidP="00B413D9">
                      <w:pPr>
                        <w:rPr>
                          <w:rFonts w:asciiTheme="minorHAnsi" w:hAnsiTheme="minorHAnsi" w:cstheme="minorHAnsi"/>
                          <w:sz w:val="20"/>
                          <w:szCs w:val="20"/>
                        </w:rPr>
                      </w:pPr>
                    </w:p>
                  </w:tc>
                  <w:tc>
                    <w:tcPr>
                      <w:tcW w:w="957" w:type="dxa"/>
                      <w:tcBorders>
                        <w:top w:val="nil"/>
                        <w:left w:val="nil"/>
                        <w:bottom w:val="nil"/>
                        <w:right w:val="nil"/>
                      </w:tcBorders>
                      <w:shd w:val="clear" w:color="auto" w:fill="auto"/>
                      <w:noWrap/>
                      <w:vAlign w:val="bottom"/>
                      <w:hideMark/>
                    </w:tcPr>
                    <w:p w14:paraId="79EB4A9B" w14:textId="77777777" w:rsidR="00321DC1" w:rsidRPr="00347E38" w:rsidRDefault="00321DC1" w:rsidP="00B413D9">
                      <w:pPr>
                        <w:rPr>
                          <w:rFonts w:asciiTheme="minorHAnsi" w:hAnsiTheme="minorHAnsi" w:cstheme="minorHAnsi"/>
                          <w:sz w:val="20"/>
                          <w:szCs w:val="20"/>
                        </w:rPr>
                      </w:pPr>
                    </w:p>
                  </w:tc>
                </w:tr>
                <w:tr w:rsidR="00046B01" w:rsidRPr="00347E38" w14:paraId="5C340C17" w14:textId="77777777" w:rsidTr="00B413D9">
                  <w:trPr>
                    <w:trHeight w:val="320"/>
                  </w:trPr>
                  <w:tc>
                    <w:tcPr>
                      <w:tcW w:w="2694" w:type="dxa"/>
                      <w:tcBorders>
                        <w:top w:val="nil"/>
                        <w:left w:val="nil"/>
                        <w:bottom w:val="nil"/>
                        <w:right w:val="nil"/>
                      </w:tcBorders>
                      <w:shd w:val="clear" w:color="auto" w:fill="auto"/>
                      <w:noWrap/>
                      <w:vAlign w:val="bottom"/>
                      <w:hideMark/>
                    </w:tcPr>
                    <w:p w14:paraId="7A144410"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Asset Turnover</w:t>
                      </w:r>
                    </w:p>
                  </w:tc>
                  <w:tc>
                    <w:tcPr>
                      <w:tcW w:w="1329" w:type="dxa"/>
                      <w:tcBorders>
                        <w:top w:val="nil"/>
                        <w:left w:val="nil"/>
                        <w:bottom w:val="nil"/>
                        <w:right w:val="nil"/>
                      </w:tcBorders>
                      <w:shd w:val="clear" w:color="auto" w:fill="auto"/>
                      <w:noWrap/>
                      <w:vAlign w:val="bottom"/>
                      <w:hideMark/>
                    </w:tcPr>
                    <w:p w14:paraId="76840DA6"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1.43</w:t>
                      </w:r>
                    </w:p>
                  </w:tc>
                  <w:tc>
                    <w:tcPr>
                      <w:tcW w:w="957" w:type="dxa"/>
                      <w:gridSpan w:val="2"/>
                      <w:tcBorders>
                        <w:top w:val="nil"/>
                        <w:left w:val="nil"/>
                        <w:bottom w:val="nil"/>
                        <w:right w:val="nil"/>
                      </w:tcBorders>
                      <w:shd w:val="clear" w:color="auto" w:fill="auto"/>
                      <w:noWrap/>
                      <w:vAlign w:val="bottom"/>
                      <w:hideMark/>
                    </w:tcPr>
                    <w:p w14:paraId="430C9277"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1.45</w:t>
                      </w:r>
                    </w:p>
                  </w:tc>
                  <w:tc>
                    <w:tcPr>
                      <w:tcW w:w="1914" w:type="dxa"/>
                      <w:gridSpan w:val="2"/>
                      <w:tcBorders>
                        <w:top w:val="nil"/>
                        <w:left w:val="nil"/>
                        <w:bottom w:val="nil"/>
                        <w:right w:val="nil"/>
                      </w:tcBorders>
                      <w:shd w:val="clear" w:color="auto" w:fill="auto"/>
                      <w:noWrap/>
                      <w:vAlign w:val="bottom"/>
                      <w:hideMark/>
                    </w:tcPr>
                    <w:p w14:paraId="545BAE21"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Small improvement</w:t>
                      </w:r>
                    </w:p>
                  </w:tc>
                </w:tr>
                <w:tr w:rsidR="00046B01" w:rsidRPr="00347E38" w14:paraId="3BAB2474" w14:textId="77777777" w:rsidTr="00B413D9">
                  <w:trPr>
                    <w:trHeight w:val="320"/>
                  </w:trPr>
                  <w:tc>
                    <w:tcPr>
                      <w:tcW w:w="2694" w:type="dxa"/>
                      <w:tcBorders>
                        <w:top w:val="nil"/>
                        <w:left w:val="nil"/>
                        <w:bottom w:val="nil"/>
                        <w:right w:val="nil"/>
                      </w:tcBorders>
                      <w:shd w:val="clear" w:color="auto" w:fill="auto"/>
                      <w:noWrap/>
                      <w:vAlign w:val="bottom"/>
                      <w:hideMark/>
                    </w:tcPr>
                    <w:p w14:paraId="53C0C1F8"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Inventory Turnover</w:t>
                      </w:r>
                    </w:p>
                  </w:tc>
                  <w:tc>
                    <w:tcPr>
                      <w:tcW w:w="1329" w:type="dxa"/>
                      <w:tcBorders>
                        <w:top w:val="nil"/>
                        <w:left w:val="nil"/>
                        <w:bottom w:val="nil"/>
                        <w:right w:val="nil"/>
                      </w:tcBorders>
                      <w:shd w:val="clear" w:color="auto" w:fill="auto"/>
                      <w:noWrap/>
                      <w:vAlign w:val="bottom"/>
                      <w:hideMark/>
                    </w:tcPr>
                    <w:p w14:paraId="24DE2B5A"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24.3</w:t>
                      </w:r>
                    </w:p>
                  </w:tc>
                  <w:tc>
                    <w:tcPr>
                      <w:tcW w:w="957" w:type="dxa"/>
                      <w:gridSpan w:val="2"/>
                      <w:tcBorders>
                        <w:top w:val="nil"/>
                        <w:left w:val="nil"/>
                        <w:bottom w:val="nil"/>
                        <w:right w:val="nil"/>
                      </w:tcBorders>
                      <w:shd w:val="clear" w:color="auto" w:fill="auto"/>
                      <w:noWrap/>
                      <w:vAlign w:val="bottom"/>
                      <w:hideMark/>
                    </w:tcPr>
                    <w:p w14:paraId="7A31D084"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23.86</w:t>
                      </w:r>
                    </w:p>
                  </w:tc>
                  <w:tc>
                    <w:tcPr>
                      <w:tcW w:w="1914" w:type="dxa"/>
                      <w:gridSpan w:val="2"/>
                      <w:tcBorders>
                        <w:top w:val="nil"/>
                        <w:left w:val="nil"/>
                        <w:bottom w:val="nil"/>
                        <w:right w:val="nil"/>
                      </w:tcBorders>
                      <w:shd w:val="clear" w:color="auto" w:fill="auto"/>
                      <w:noWrap/>
                      <w:vAlign w:val="bottom"/>
                      <w:hideMark/>
                    </w:tcPr>
                    <w:p w14:paraId="64195A54"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Slight decrease</w:t>
                      </w:r>
                    </w:p>
                  </w:tc>
                </w:tr>
                <w:tr w:rsidR="00046B01" w:rsidRPr="00347E38" w14:paraId="280EF705" w14:textId="77777777" w:rsidTr="00B413D9">
                  <w:trPr>
                    <w:trHeight w:val="320"/>
                  </w:trPr>
                  <w:tc>
                    <w:tcPr>
                      <w:tcW w:w="2694" w:type="dxa"/>
                      <w:tcBorders>
                        <w:top w:val="nil"/>
                        <w:left w:val="nil"/>
                        <w:bottom w:val="nil"/>
                        <w:right w:val="nil"/>
                      </w:tcBorders>
                      <w:shd w:val="clear" w:color="auto" w:fill="auto"/>
                      <w:noWrap/>
                      <w:vAlign w:val="bottom"/>
                      <w:hideMark/>
                    </w:tcPr>
                    <w:p w14:paraId="0E220367" w14:textId="77777777" w:rsidR="00C65ED0" w:rsidRDefault="00C65ED0" w:rsidP="00B413D9">
                      <w:pPr>
                        <w:rPr>
                          <w:rFonts w:asciiTheme="minorHAnsi" w:hAnsiTheme="minorHAnsi" w:cstheme="minorHAnsi"/>
                          <w:color w:val="000000"/>
                        </w:rPr>
                      </w:pPr>
                    </w:p>
                    <w:p w14:paraId="12B53F7F" w14:textId="77777777" w:rsidR="00C65ED0" w:rsidRDefault="00C65ED0" w:rsidP="00B413D9">
                      <w:pPr>
                        <w:rPr>
                          <w:rFonts w:asciiTheme="minorHAnsi" w:hAnsiTheme="minorHAnsi" w:cstheme="minorHAnsi"/>
                          <w:color w:val="000000"/>
                        </w:rPr>
                      </w:pPr>
                    </w:p>
                    <w:p w14:paraId="2FA24B1C" w14:textId="49E93579"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Receivables Days</w:t>
                      </w:r>
                    </w:p>
                  </w:tc>
                  <w:tc>
                    <w:tcPr>
                      <w:tcW w:w="1329" w:type="dxa"/>
                      <w:tcBorders>
                        <w:top w:val="nil"/>
                        <w:left w:val="nil"/>
                        <w:bottom w:val="nil"/>
                        <w:right w:val="nil"/>
                      </w:tcBorders>
                      <w:shd w:val="clear" w:color="auto" w:fill="auto"/>
                      <w:noWrap/>
                      <w:vAlign w:val="bottom"/>
                      <w:hideMark/>
                    </w:tcPr>
                    <w:p w14:paraId="00284A44"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7.30 days</w:t>
                      </w:r>
                    </w:p>
                  </w:tc>
                  <w:tc>
                    <w:tcPr>
                      <w:tcW w:w="957" w:type="dxa"/>
                      <w:gridSpan w:val="2"/>
                      <w:tcBorders>
                        <w:top w:val="nil"/>
                        <w:left w:val="nil"/>
                        <w:bottom w:val="nil"/>
                        <w:right w:val="nil"/>
                      </w:tcBorders>
                      <w:shd w:val="clear" w:color="auto" w:fill="auto"/>
                      <w:noWrap/>
                      <w:vAlign w:val="bottom"/>
                      <w:hideMark/>
                    </w:tcPr>
                    <w:p w14:paraId="24B5C50F"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7.22 days</w:t>
                      </w:r>
                    </w:p>
                  </w:tc>
                  <w:tc>
                    <w:tcPr>
                      <w:tcW w:w="1914" w:type="dxa"/>
                      <w:gridSpan w:val="2"/>
                      <w:tcBorders>
                        <w:top w:val="nil"/>
                        <w:left w:val="nil"/>
                        <w:bottom w:val="nil"/>
                        <w:right w:val="nil"/>
                      </w:tcBorders>
                      <w:shd w:val="clear" w:color="auto" w:fill="auto"/>
                      <w:noWrap/>
                      <w:vAlign w:val="bottom"/>
                      <w:hideMark/>
                    </w:tcPr>
                    <w:p w14:paraId="6C558652"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Slight improvement</w:t>
                      </w:r>
                    </w:p>
                  </w:tc>
                </w:tr>
                <w:tr w:rsidR="00046B01" w:rsidRPr="00347E38" w14:paraId="50C8AD5E" w14:textId="77777777" w:rsidTr="00B413D9">
                  <w:trPr>
                    <w:trHeight w:val="320"/>
                  </w:trPr>
                  <w:tc>
                    <w:tcPr>
                      <w:tcW w:w="2694" w:type="dxa"/>
                      <w:tcBorders>
                        <w:top w:val="nil"/>
                        <w:left w:val="nil"/>
                        <w:bottom w:val="nil"/>
                        <w:right w:val="nil"/>
                      </w:tcBorders>
                      <w:shd w:val="clear" w:color="auto" w:fill="auto"/>
                      <w:noWrap/>
                      <w:vAlign w:val="bottom"/>
                      <w:hideMark/>
                    </w:tcPr>
                    <w:p w14:paraId="6E334E67" w14:textId="77777777" w:rsidR="00B73A73" w:rsidRDefault="00B73A73" w:rsidP="00B413D9">
                      <w:pPr>
                        <w:rPr>
                          <w:rFonts w:asciiTheme="minorHAnsi" w:hAnsiTheme="minorHAnsi" w:cstheme="minorHAnsi"/>
                          <w:color w:val="000000"/>
                        </w:rPr>
                      </w:pPr>
                    </w:p>
                    <w:p w14:paraId="46415164" w14:textId="77777777" w:rsidR="00B73A73" w:rsidRDefault="00B73A73" w:rsidP="00B413D9">
                      <w:pPr>
                        <w:rPr>
                          <w:rFonts w:asciiTheme="minorHAnsi" w:hAnsiTheme="minorHAnsi" w:cstheme="minorHAnsi"/>
                          <w:color w:val="000000"/>
                        </w:rPr>
                      </w:pPr>
                    </w:p>
                    <w:p w14:paraId="61273EA0" w14:textId="4153C88B"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Payables Days</w:t>
                      </w:r>
                    </w:p>
                  </w:tc>
                  <w:tc>
                    <w:tcPr>
                      <w:tcW w:w="1329" w:type="dxa"/>
                      <w:tcBorders>
                        <w:top w:val="nil"/>
                        <w:left w:val="nil"/>
                        <w:bottom w:val="nil"/>
                        <w:right w:val="nil"/>
                      </w:tcBorders>
                      <w:shd w:val="clear" w:color="auto" w:fill="auto"/>
                      <w:noWrap/>
                      <w:vAlign w:val="bottom"/>
                      <w:hideMark/>
                    </w:tcPr>
                    <w:p w14:paraId="399A68BA"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58.73 days</w:t>
                      </w:r>
                    </w:p>
                  </w:tc>
                  <w:tc>
                    <w:tcPr>
                      <w:tcW w:w="957" w:type="dxa"/>
                      <w:gridSpan w:val="2"/>
                      <w:tcBorders>
                        <w:top w:val="nil"/>
                        <w:left w:val="nil"/>
                        <w:bottom w:val="nil"/>
                        <w:right w:val="nil"/>
                      </w:tcBorders>
                      <w:shd w:val="clear" w:color="auto" w:fill="auto"/>
                      <w:noWrap/>
                      <w:vAlign w:val="bottom"/>
                      <w:hideMark/>
                    </w:tcPr>
                    <w:p w14:paraId="73B070EC"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59.66 days</w:t>
                      </w:r>
                    </w:p>
                  </w:tc>
                  <w:tc>
                    <w:tcPr>
                      <w:tcW w:w="1914" w:type="dxa"/>
                      <w:gridSpan w:val="2"/>
                      <w:tcBorders>
                        <w:top w:val="nil"/>
                        <w:left w:val="nil"/>
                        <w:bottom w:val="nil"/>
                        <w:right w:val="nil"/>
                      </w:tcBorders>
                      <w:shd w:val="clear" w:color="auto" w:fill="auto"/>
                      <w:noWrap/>
                      <w:vAlign w:val="bottom"/>
                      <w:hideMark/>
                    </w:tcPr>
                    <w:p w14:paraId="52E90744"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Slight increase</w:t>
                      </w:r>
                    </w:p>
                  </w:tc>
                </w:tr>
                <w:tr w:rsidR="00321DC1" w:rsidRPr="00347E38" w14:paraId="53619703" w14:textId="77777777" w:rsidTr="00B413D9">
                  <w:trPr>
                    <w:trHeight w:val="320"/>
                  </w:trPr>
                  <w:tc>
                    <w:tcPr>
                      <w:tcW w:w="4023" w:type="dxa"/>
                      <w:gridSpan w:val="2"/>
                      <w:tcBorders>
                        <w:top w:val="nil"/>
                        <w:left w:val="nil"/>
                        <w:bottom w:val="nil"/>
                        <w:right w:val="nil"/>
                      </w:tcBorders>
                      <w:shd w:val="clear" w:color="auto" w:fill="auto"/>
                      <w:noWrap/>
                      <w:vAlign w:val="bottom"/>
                      <w:hideMark/>
                    </w:tcPr>
                    <w:p w14:paraId="3DAFDE0B" w14:textId="65AB5576"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w:t>
                      </w:r>
                    </w:p>
                  </w:tc>
                  <w:tc>
                    <w:tcPr>
                      <w:tcW w:w="957" w:type="dxa"/>
                      <w:gridSpan w:val="2"/>
                      <w:tcBorders>
                        <w:top w:val="nil"/>
                        <w:left w:val="nil"/>
                        <w:bottom w:val="nil"/>
                        <w:right w:val="nil"/>
                      </w:tcBorders>
                      <w:shd w:val="clear" w:color="auto" w:fill="auto"/>
                      <w:noWrap/>
                      <w:vAlign w:val="bottom"/>
                      <w:hideMark/>
                    </w:tcPr>
                    <w:p w14:paraId="1EE61F3E" w14:textId="77777777" w:rsidR="00321DC1" w:rsidRPr="00347E38" w:rsidRDefault="00321DC1" w:rsidP="00B413D9">
                      <w:pPr>
                        <w:rPr>
                          <w:rFonts w:asciiTheme="minorHAnsi" w:hAnsiTheme="minorHAnsi" w:cstheme="minorHAnsi"/>
                          <w:color w:val="000000"/>
                        </w:rPr>
                      </w:pPr>
                    </w:p>
                  </w:tc>
                  <w:tc>
                    <w:tcPr>
                      <w:tcW w:w="957" w:type="dxa"/>
                      <w:tcBorders>
                        <w:top w:val="nil"/>
                        <w:left w:val="nil"/>
                        <w:bottom w:val="nil"/>
                        <w:right w:val="nil"/>
                      </w:tcBorders>
                      <w:shd w:val="clear" w:color="auto" w:fill="auto"/>
                      <w:noWrap/>
                      <w:vAlign w:val="bottom"/>
                      <w:hideMark/>
                    </w:tcPr>
                    <w:p w14:paraId="7D495FCB" w14:textId="77777777" w:rsidR="00321DC1" w:rsidRPr="00347E38" w:rsidRDefault="00321DC1" w:rsidP="00B413D9">
                      <w:pPr>
                        <w:rPr>
                          <w:rFonts w:asciiTheme="minorHAnsi" w:hAnsiTheme="minorHAnsi" w:cstheme="minorHAnsi"/>
                          <w:sz w:val="20"/>
                          <w:szCs w:val="20"/>
                        </w:rPr>
                      </w:pPr>
                    </w:p>
                  </w:tc>
                  <w:tc>
                    <w:tcPr>
                      <w:tcW w:w="957" w:type="dxa"/>
                      <w:tcBorders>
                        <w:top w:val="nil"/>
                        <w:left w:val="nil"/>
                        <w:bottom w:val="nil"/>
                        <w:right w:val="nil"/>
                      </w:tcBorders>
                      <w:shd w:val="clear" w:color="auto" w:fill="auto"/>
                      <w:noWrap/>
                      <w:vAlign w:val="bottom"/>
                      <w:hideMark/>
                    </w:tcPr>
                    <w:p w14:paraId="02ECD986" w14:textId="77777777" w:rsidR="00321DC1" w:rsidRPr="00347E38" w:rsidRDefault="00321DC1" w:rsidP="00B413D9">
                      <w:pPr>
                        <w:rPr>
                          <w:rFonts w:asciiTheme="minorHAnsi" w:hAnsiTheme="minorHAnsi" w:cstheme="minorHAnsi"/>
                          <w:sz w:val="20"/>
                          <w:szCs w:val="20"/>
                        </w:rPr>
                      </w:pPr>
                    </w:p>
                  </w:tc>
                </w:tr>
                <w:tr w:rsidR="00046B01" w:rsidRPr="00347E38" w14:paraId="7B1692F4" w14:textId="77777777" w:rsidTr="00B413D9">
                  <w:trPr>
                    <w:trHeight w:val="320"/>
                  </w:trPr>
                  <w:tc>
                    <w:tcPr>
                      <w:tcW w:w="2694" w:type="dxa"/>
                      <w:tcBorders>
                        <w:top w:val="nil"/>
                        <w:left w:val="nil"/>
                        <w:bottom w:val="nil"/>
                        <w:right w:val="nil"/>
                      </w:tcBorders>
                      <w:shd w:val="clear" w:color="auto" w:fill="auto"/>
                      <w:noWrap/>
                      <w:vAlign w:val="bottom"/>
                      <w:hideMark/>
                    </w:tcPr>
                    <w:p w14:paraId="61EB23CF"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Debt-to-Equity</w:t>
                      </w:r>
                    </w:p>
                  </w:tc>
                  <w:tc>
                    <w:tcPr>
                      <w:tcW w:w="1329" w:type="dxa"/>
                      <w:tcBorders>
                        <w:top w:val="nil"/>
                        <w:left w:val="nil"/>
                        <w:bottom w:val="nil"/>
                        <w:right w:val="nil"/>
                      </w:tcBorders>
                      <w:shd w:val="clear" w:color="auto" w:fill="auto"/>
                      <w:noWrap/>
                      <w:vAlign w:val="bottom"/>
                      <w:hideMark/>
                    </w:tcPr>
                    <w:p w14:paraId="14C9A540"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1.14</w:t>
                      </w:r>
                    </w:p>
                  </w:tc>
                  <w:tc>
                    <w:tcPr>
                      <w:tcW w:w="957" w:type="dxa"/>
                      <w:gridSpan w:val="2"/>
                      <w:tcBorders>
                        <w:top w:val="nil"/>
                        <w:left w:val="nil"/>
                        <w:bottom w:val="nil"/>
                        <w:right w:val="nil"/>
                      </w:tcBorders>
                      <w:shd w:val="clear" w:color="auto" w:fill="auto"/>
                      <w:noWrap/>
                      <w:vAlign w:val="bottom"/>
                      <w:hideMark/>
                    </w:tcPr>
                    <w:p w14:paraId="16D5550E"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1.29</w:t>
                      </w:r>
                    </w:p>
                  </w:tc>
                  <w:tc>
                    <w:tcPr>
                      <w:tcW w:w="1914" w:type="dxa"/>
                      <w:gridSpan w:val="2"/>
                      <w:tcBorders>
                        <w:top w:val="nil"/>
                        <w:left w:val="nil"/>
                        <w:bottom w:val="nil"/>
                        <w:right w:val="nil"/>
                      </w:tcBorders>
                      <w:shd w:val="clear" w:color="auto" w:fill="auto"/>
                      <w:noWrap/>
                      <w:vAlign w:val="bottom"/>
                      <w:hideMark/>
                    </w:tcPr>
                    <w:p w14:paraId="7C4B1900"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Higher gearing</w:t>
                      </w:r>
                    </w:p>
                    <w:p w14:paraId="112CB488" w14:textId="77777777" w:rsidR="00F36658" w:rsidRPr="00347E38" w:rsidRDefault="00F36658" w:rsidP="00B413D9">
                      <w:pPr>
                        <w:rPr>
                          <w:rFonts w:asciiTheme="minorHAnsi" w:hAnsiTheme="minorHAnsi" w:cstheme="minorHAnsi"/>
                          <w:color w:val="000000"/>
                        </w:rPr>
                      </w:pPr>
                    </w:p>
                  </w:tc>
                </w:tr>
                <w:tr w:rsidR="00046B01" w:rsidRPr="00347E38" w14:paraId="488EC9AD" w14:textId="77777777" w:rsidTr="00B413D9">
                  <w:trPr>
                    <w:trHeight w:val="320"/>
                  </w:trPr>
                  <w:tc>
                    <w:tcPr>
                      <w:tcW w:w="2694" w:type="dxa"/>
                      <w:tcBorders>
                        <w:top w:val="nil"/>
                        <w:left w:val="nil"/>
                        <w:bottom w:val="nil"/>
                        <w:right w:val="nil"/>
                      </w:tcBorders>
                      <w:shd w:val="clear" w:color="auto" w:fill="auto"/>
                      <w:noWrap/>
                      <w:vAlign w:val="bottom"/>
                      <w:hideMark/>
                    </w:tcPr>
                    <w:p w14:paraId="2C109AC5"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Debt Ratio</w:t>
                      </w:r>
                    </w:p>
                  </w:tc>
                  <w:tc>
                    <w:tcPr>
                      <w:tcW w:w="1329" w:type="dxa"/>
                      <w:tcBorders>
                        <w:top w:val="nil"/>
                        <w:left w:val="nil"/>
                        <w:bottom w:val="nil"/>
                        <w:right w:val="nil"/>
                      </w:tcBorders>
                      <w:shd w:val="clear" w:color="auto" w:fill="auto"/>
                      <w:noWrap/>
                      <w:vAlign w:val="bottom"/>
                      <w:hideMark/>
                    </w:tcPr>
                    <w:p w14:paraId="140E4246"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0.31</w:t>
                      </w:r>
                    </w:p>
                  </w:tc>
                  <w:tc>
                    <w:tcPr>
                      <w:tcW w:w="957" w:type="dxa"/>
                      <w:gridSpan w:val="2"/>
                      <w:tcBorders>
                        <w:top w:val="nil"/>
                        <w:left w:val="nil"/>
                        <w:bottom w:val="nil"/>
                        <w:right w:val="nil"/>
                      </w:tcBorders>
                      <w:shd w:val="clear" w:color="auto" w:fill="auto"/>
                      <w:noWrap/>
                      <w:vAlign w:val="bottom"/>
                      <w:hideMark/>
                    </w:tcPr>
                    <w:p w14:paraId="02112E95"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0.32</w:t>
                      </w:r>
                    </w:p>
                  </w:tc>
                  <w:tc>
                    <w:tcPr>
                      <w:tcW w:w="1914" w:type="dxa"/>
                      <w:gridSpan w:val="2"/>
                      <w:tcBorders>
                        <w:top w:val="nil"/>
                        <w:left w:val="nil"/>
                        <w:bottom w:val="nil"/>
                        <w:right w:val="nil"/>
                      </w:tcBorders>
                      <w:shd w:val="clear" w:color="auto" w:fill="auto"/>
                      <w:noWrap/>
                      <w:vAlign w:val="bottom"/>
                      <w:hideMark/>
                    </w:tcPr>
                    <w:p w14:paraId="6834B19D"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Slight increase</w:t>
                      </w:r>
                    </w:p>
                  </w:tc>
                </w:tr>
                <w:tr w:rsidR="00046B01" w:rsidRPr="00347E38" w14:paraId="3E78A9F4" w14:textId="77777777" w:rsidTr="00B413D9">
                  <w:trPr>
                    <w:trHeight w:val="320"/>
                  </w:trPr>
                  <w:tc>
                    <w:tcPr>
                      <w:tcW w:w="2694" w:type="dxa"/>
                      <w:tcBorders>
                        <w:top w:val="nil"/>
                        <w:left w:val="nil"/>
                        <w:bottom w:val="nil"/>
                        <w:right w:val="nil"/>
                      </w:tcBorders>
                      <w:shd w:val="clear" w:color="auto" w:fill="auto"/>
                      <w:noWrap/>
                      <w:vAlign w:val="bottom"/>
                      <w:hideMark/>
                    </w:tcPr>
                    <w:p w14:paraId="28DBC312"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Interest Cover</w:t>
                      </w:r>
                    </w:p>
                  </w:tc>
                  <w:tc>
                    <w:tcPr>
                      <w:tcW w:w="1329" w:type="dxa"/>
                      <w:tcBorders>
                        <w:top w:val="nil"/>
                        <w:left w:val="nil"/>
                        <w:bottom w:val="nil"/>
                        <w:right w:val="nil"/>
                      </w:tcBorders>
                      <w:shd w:val="clear" w:color="auto" w:fill="auto"/>
                      <w:noWrap/>
                      <w:vAlign w:val="bottom"/>
                      <w:hideMark/>
                    </w:tcPr>
                    <w:p w14:paraId="11D75F7C"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4.03</w:t>
                      </w:r>
                    </w:p>
                  </w:tc>
                  <w:tc>
                    <w:tcPr>
                      <w:tcW w:w="957" w:type="dxa"/>
                      <w:gridSpan w:val="2"/>
                      <w:tcBorders>
                        <w:top w:val="nil"/>
                        <w:left w:val="nil"/>
                        <w:bottom w:val="nil"/>
                        <w:right w:val="nil"/>
                      </w:tcBorders>
                      <w:shd w:val="clear" w:color="auto" w:fill="auto"/>
                      <w:noWrap/>
                      <w:vAlign w:val="bottom"/>
                      <w:hideMark/>
                    </w:tcPr>
                    <w:p w14:paraId="0E76D8A3"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3.42</w:t>
                      </w:r>
                    </w:p>
                  </w:tc>
                  <w:tc>
                    <w:tcPr>
                      <w:tcW w:w="1914" w:type="dxa"/>
                      <w:gridSpan w:val="2"/>
                      <w:tcBorders>
                        <w:top w:val="nil"/>
                        <w:left w:val="nil"/>
                        <w:bottom w:val="nil"/>
                        <w:right w:val="nil"/>
                      </w:tcBorders>
                      <w:shd w:val="clear" w:color="auto" w:fill="auto"/>
                      <w:noWrap/>
                      <w:vAlign w:val="bottom"/>
                      <w:hideMark/>
                    </w:tcPr>
                    <w:p w14:paraId="0061AEB9"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Weaker cover</w:t>
                      </w:r>
                    </w:p>
                  </w:tc>
                </w:tr>
                <w:tr w:rsidR="00321DC1" w:rsidRPr="00347E38" w14:paraId="347095E0" w14:textId="77777777" w:rsidTr="00B413D9">
                  <w:trPr>
                    <w:trHeight w:val="320"/>
                  </w:trPr>
                  <w:tc>
                    <w:tcPr>
                      <w:tcW w:w="4023" w:type="dxa"/>
                      <w:gridSpan w:val="2"/>
                      <w:tcBorders>
                        <w:top w:val="nil"/>
                        <w:left w:val="nil"/>
                        <w:bottom w:val="nil"/>
                        <w:right w:val="nil"/>
                      </w:tcBorders>
                      <w:shd w:val="clear" w:color="auto" w:fill="auto"/>
                      <w:noWrap/>
                      <w:vAlign w:val="bottom"/>
                      <w:hideMark/>
                    </w:tcPr>
                    <w:p w14:paraId="361CB8B4" w14:textId="3A514F71"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w:t>
                      </w:r>
                    </w:p>
                  </w:tc>
                  <w:tc>
                    <w:tcPr>
                      <w:tcW w:w="957" w:type="dxa"/>
                      <w:gridSpan w:val="2"/>
                      <w:tcBorders>
                        <w:top w:val="nil"/>
                        <w:left w:val="nil"/>
                        <w:bottom w:val="nil"/>
                        <w:right w:val="nil"/>
                      </w:tcBorders>
                      <w:shd w:val="clear" w:color="auto" w:fill="auto"/>
                      <w:noWrap/>
                      <w:vAlign w:val="bottom"/>
                      <w:hideMark/>
                    </w:tcPr>
                    <w:p w14:paraId="06E6A90F" w14:textId="77777777" w:rsidR="00321DC1" w:rsidRPr="00347E38" w:rsidRDefault="00321DC1" w:rsidP="00B413D9">
                      <w:pPr>
                        <w:rPr>
                          <w:rFonts w:asciiTheme="minorHAnsi" w:hAnsiTheme="minorHAnsi" w:cstheme="minorHAnsi"/>
                          <w:color w:val="000000"/>
                        </w:rPr>
                      </w:pPr>
                    </w:p>
                  </w:tc>
                  <w:tc>
                    <w:tcPr>
                      <w:tcW w:w="957" w:type="dxa"/>
                      <w:tcBorders>
                        <w:top w:val="nil"/>
                        <w:left w:val="nil"/>
                        <w:bottom w:val="nil"/>
                        <w:right w:val="nil"/>
                      </w:tcBorders>
                      <w:shd w:val="clear" w:color="auto" w:fill="auto"/>
                      <w:noWrap/>
                      <w:vAlign w:val="bottom"/>
                      <w:hideMark/>
                    </w:tcPr>
                    <w:p w14:paraId="59F06BDB" w14:textId="77777777" w:rsidR="00321DC1" w:rsidRPr="00347E38" w:rsidRDefault="00321DC1" w:rsidP="00B413D9">
                      <w:pPr>
                        <w:rPr>
                          <w:rFonts w:asciiTheme="minorHAnsi" w:hAnsiTheme="minorHAnsi" w:cstheme="minorHAnsi"/>
                          <w:sz w:val="20"/>
                          <w:szCs w:val="20"/>
                        </w:rPr>
                      </w:pPr>
                    </w:p>
                  </w:tc>
                  <w:tc>
                    <w:tcPr>
                      <w:tcW w:w="957" w:type="dxa"/>
                      <w:tcBorders>
                        <w:top w:val="nil"/>
                        <w:left w:val="nil"/>
                        <w:bottom w:val="nil"/>
                        <w:right w:val="nil"/>
                      </w:tcBorders>
                      <w:shd w:val="clear" w:color="auto" w:fill="auto"/>
                      <w:noWrap/>
                      <w:vAlign w:val="bottom"/>
                      <w:hideMark/>
                    </w:tcPr>
                    <w:p w14:paraId="77668E5E" w14:textId="77777777" w:rsidR="00321DC1" w:rsidRPr="00347E38" w:rsidRDefault="00321DC1" w:rsidP="00B413D9">
                      <w:pPr>
                        <w:rPr>
                          <w:rFonts w:asciiTheme="minorHAnsi" w:hAnsiTheme="minorHAnsi" w:cstheme="minorHAnsi"/>
                          <w:sz w:val="20"/>
                          <w:szCs w:val="20"/>
                        </w:rPr>
                      </w:pPr>
                    </w:p>
                  </w:tc>
                </w:tr>
                <w:tr w:rsidR="00046B01" w:rsidRPr="00347E38" w14:paraId="56340BC3" w14:textId="77777777" w:rsidTr="00B413D9">
                  <w:trPr>
                    <w:trHeight w:val="320"/>
                  </w:trPr>
                  <w:tc>
                    <w:tcPr>
                      <w:tcW w:w="2694" w:type="dxa"/>
                      <w:tcBorders>
                        <w:top w:val="nil"/>
                        <w:left w:val="nil"/>
                        <w:bottom w:val="nil"/>
                        <w:right w:val="nil"/>
                      </w:tcBorders>
                      <w:shd w:val="clear" w:color="auto" w:fill="auto"/>
                      <w:noWrap/>
                      <w:vAlign w:val="bottom"/>
                      <w:hideMark/>
                    </w:tcPr>
                    <w:p w14:paraId="5E32713D"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EPS</w:t>
                      </w:r>
                    </w:p>
                  </w:tc>
                  <w:tc>
                    <w:tcPr>
                      <w:tcW w:w="1329" w:type="dxa"/>
                      <w:tcBorders>
                        <w:top w:val="nil"/>
                        <w:left w:val="nil"/>
                        <w:bottom w:val="nil"/>
                        <w:right w:val="nil"/>
                      </w:tcBorders>
                      <w:shd w:val="clear" w:color="auto" w:fill="auto"/>
                      <w:noWrap/>
                      <w:vAlign w:val="bottom"/>
                      <w:hideMark/>
                    </w:tcPr>
                    <w:p w14:paraId="502F1A35"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 xml:space="preserve">£0.10 </w:t>
                      </w:r>
                    </w:p>
                  </w:tc>
                  <w:tc>
                    <w:tcPr>
                      <w:tcW w:w="957" w:type="dxa"/>
                      <w:gridSpan w:val="2"/>
                      <w:tcBorders>
                        <w:top w:val="nil"/>
                        <w:left w:val="nil"/>
                        <w:bottom w:val="nil"/>
                        <w:right w:val="nil"/>
                      </w:tcBorders>
                      <w:shd w:val="clear" w:color="auto" w:fill="auto"/>
                      <w:noWrap/>
                      <w:vAlign w:val="bottom"/>
                      <w:hideMark/>
                    </w:tcPr>
                    <w:p w14:paraId="3A0D566B"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 xml:space="preserve">£1.25 </w:t>
                      </w:r>
                    </w:p>
                  </w:tc>
                  <w:tc>
                    <w:tcPr>
                      <w:tcW w:w="1914" w:type="dxa"/>
                      <w:gridSpan w:val="2"/>
                      <w:tcBorders>
                        <w:top w:val="nil"/>
                        <w:left w:val="nil"/>
                        <w:bottom w:val="nil"/>
                        <w:right w:val="nil"/>
                      </w:tcBorders>
                      <w:shd w:val="clear" w:color="auto" w:fill="auto"/>
                      <w:noWrap/>
                      <w:vAlign w:val="bottom"/>
                      <w:hideMark/>
                    </w:tcPr>
                    <w:p w14:paraId="2CB927AE"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Very large increase</w:t>
                      </w:r>
                    </w:p>
                  </w:tc>
                </w:tr>
                <w:tr w:rsidR="00046B01" w:rsidRPr="00347E38" w14:paraId="3192E862" w14:textId="77777777" w:rsidTr="00B413D9">
                  <w:trPr>
                    <w:trHeight w:val="320"/>
                  </w:trPr>
                  <w:tc>
                    <w:tcPr>
                      <w:tcW w:w="2694" w:type="dxa"/>
                      <w:tcBorders>
                        <w:top w:val="nil"/>
                        <w:left w:val="nil"/>
                        <w:bottom w:val="nil"/>
                        <w:right w:val="nil"/>
                      </w:tcBorders>
                      <w:shd w:val="clear" w:color="auto" w:fill="auto"/>
                      <w:noWrap/>
                      <w:vAlign w:val="bottom"/>
                      <w:hideMark/>
                    </w:tcPr>
                    <w:p w14:paraId="25B4119B"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P/E Ratio</w:t>
                      </w:r>
                    </w:p>
                  </w:tc>
                  <w:tc>
                    <w:tcPr>
                      <w:tcW w:w="1329" w:type="dxa"/>
                      <w:tcBorders>
                        <w:top w:val="nil"/>
                        <w:left w:val="nil"/>
                        <w:bottom w:val="nil"/>
                        <w:right w:val="nil"/>
                      </w:tcBorders>
                      <w:shd w:val="clear" w:color="auto" w:fill="auto"/>
                      <w:noWrap/>
                      <w:vAlign w:val="bottom"/>
                      <w:hideMark/>
                    </w:tcPr>
                    <w:p w14:paraId="08143204" w14:textId="0CCD0E29"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44</w:t>
                      </w:r>
                      <w:r w:rsidR="007A4755">
                        <w:rPr>
                          <w:rFonts w:asciiTheme="minorHAnsi" w:hAnsiTheme="minorHAnsi" w:cstheme="minorHAnsi"/>
                          <w:color w:val="000000"/>
                        </w:rPr>
                        <w:t>.</w:t>
                      </w:r>
                      <w:r w:rsidRPr="00347E38">
                        <w:rPr>
                          <w:rFonts w:asciiTheme="minorHAnsi" w:hAnsiTheme="minorHAnsi" w:cstheme="minorHAnsi"/>
                          <w:color w:val="000000"/>
                        </w:rPr>
                        <w:t>7</w:t>
                      </w:r>
                    </w:p>
                  </w:tc>
                  <w:tc>
                    <w:tcPr>
                      <w:tcW w:w="957" w:type="dxa"/>
                      <w:gridSpan w:val="2"/>
                      <w:tcBorders>
                        <w:top w:val="nil"/>
                        <w:left w:val="nil"/>
                        <w:bottom w:val="nil"/>
                        <w:right w:val="nil"/>
                      </w:tcBorders>
                      <w:shd w:val="clear" w:color="auto" w:fill="auto"/>
                      <w:noWrap/>
                      <w:vAlign w:val="bottom"/>
                      <w:hideMark/>
                    </w:tcPr>
                    <w:p w14:paraId="09CF7A9B" w14:textId="37A3AB5B"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7</w:t>
                      </w:r>
                      <w:r w:rsidR="006E4DC9">
                        <w:rPr>
                          <w:rFonts w:asciiTheme="minorHAnsi" w:hAnsiTheme="minorHAnsi" w:cstheme="minorHAnsi"/>
                          <w:color w:val="000000"/>
                        </w:rPr>
                        <w:t>.8</w:t>
                      </w:r>
                    </w:p>
                  </w:tc>
                  <w:tc>
                    <w:tcPr>
                      <w:tcW w:w="1914" w:type="dxa"/>
                      <w:gridSpan w:val="2"/>
                      <w:tcBorders>
                        <w:top w:val="nil"/>
                        <w:left w:val="nil"/>
                        <w:bottom w:val="nil"/>
                        <w:right w:val="nil"/>
                      </w:tcBorders>
                      <w:shd w:val="clear" w:color="auto" w:fill="auto"/>
                      <w:noWrap/>
                      <w:vAlign w:val="bottom"/>
                      <w:hideMark/>
                    </w:tcPr>
                    <w:p w14:paraId="779F33CB"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Significant fall</w:t>
                      </w:r>
                    </w:p>
                  </w:tc>
                </w:tr>
                <w:tr w:rsidR="00046B01" w:rsidRPr="00347E38" w14:paraId="20A87A2A" w14:textId="77777777" w:rsidTr="00B413D9">
                  <w:trPr>
                    <w:trHeight w:val="320"/>
                  </w:trPr>
                  <w:tc>
                    <w:tcPr>
                      <w:tcW w:w="2694" w:type="dxa"/>
                      <w:tcBorders>
                        <w:top w:val="nil"/>
                        <w:left w:val="nil"/>
                        <w:bottom w:val="nil"/>
                        <w:right w:val="nil"/>
                      </w:tcBorders>
                      <w:shd w:val="clear" w:color="auto" w:fill="auto"/>
                      <w:noWrap/>
                      <w:vAlign w:val="bottom"/>
                      <w:hideMark/>
                    </w:tcPr>
                    <w:p w14:paraId="6BE9D82F"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Dividend Yield</w:t>
                      </w:r>
                    </w:p>
                  </w:tc>
                  <w:tc>
                    <w:tcPr>
                      <w:tcW w:w="1329" w:type="dxa"/>
                      <w:tcBorders>
                        <w:top w:val="nil"/>
                        <w:left w:val="nil"/>
                        <w:bottom w:val="nil"/>
                        <w:right w:val="nil"/>
                      </w:tcBorders>
                      <w:shd w:val="clear" w:color="auto" w:fill="auto"/>
                      <w:noWrap/>
                      <w:vAlign w:val="bottom"/>
                      <w:hideMark/>
                    </w:tcPr>
                    <w:p w14:paraId="05176216"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2.35%</w:t>
                      </w:r>
                    </w:p>
                  </w:tc>
                  <w:tc>
                    <w:tcPr>
                      <w:tcW w:w="957" w:type="dxa"/>
                      <w:gridSpan w:val="2"/>
                      <w:tcBorders>
                        <w:top w:val="nil"/>
                        <w:left w:val="nil"/>
                        <w:bottom w:val="nil"/>
                        <w:right w:val="nil"/>
                      </w:tcBorders>
                      <w:shd w:val="clear" w:color="auto" w:fill="auto"/>
                      <w:noWrap/>
                      <w:vAlign w:val="bottom"/>
                      <w:hideMark/>
                    </w:tcPr>
                    <w:p w14:paraId="6D1AA5C1"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2.21%</w:t>
                      </w:r>
                    </w:p>
                  </w:tc>
                  <w:tc>
                    <w:tcPr>
                      <w:tcW w:w="1914" w:type="dxa"/>
                      <w:gridSpan w:val="2"/>
                      <w:tcBorders>
                        <w:top w:val="nil"/>
                        <w:left w:val="nil"/>
                        <w:bottom w:val="nil"/>
                        <w:right w:val="nil"/>
                      </w:tcBorders>
                      <w:shd w:val="clear" w:color="auto" w:fill="auto"/>
                      <w:noWrap/>
                      <w:vAlign w:val="bottom"/>
                      <w:hideMark/>
                    </w:tcPr>
                    <w:p w14:paraId="3255CD0F"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Slight decrease</w:t>
                      </w:r>
                    </w:p>
                  </w:tc>
                </w:tr>
                <w:tr w:rsidR="00046B01" w:rsidRPr="00347E38" w14:paraId="7ACBFD87" w14:textId="77777777" w:rsidTr="00B413D9">
                  <w:trPr>
                    <w:trHeight w:val="320"/>
                  </w:trPr>
                  <w:tc>
                    <w:tcPr>
                      <w:tcW w:w="2694" w:type="dxa"/>
                      <w:tcBorders>
                        <w:top w:val="nil"/>
                        <w:left w:val="nil"/>
                        <w:bottom w:val="nil"/>
                        <w:right w:val="nil"/>
                      </w:tcBorders>
                      <w:shd w:val="clear" w:color="auto" w:fill="auto"/>
                      <w:noWrap/>
                      <w:vAlign w:val="bottom"/>
                      <w:hideMark/>
                    </w:tcPr>
                    <w:p w14:paraId="7A635C32"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Dividend Cover</w:t>
                      </w:r>
                    </w:p>
                  </w:tc>
                  <w:tc>
                    <w:tcPr>
                      <w:tcW w:w="1329" w:type="dxa"/>
                      <w:tcBorders>
                        <w:top w:val="nil"/>
                        <w:left w:val="nil"/>
                        <w:bottom w:val="nil"/>
                        <w:right w:val="nil"/>
                      </w:tcBorders>
                      <w:shd w:val="clear" w:color="auto" w:fill="auto"/>
                      <w:noWrap/>
                      <w:vAlign w:val="bottom"/>
                      <w:hideMark/>
                    </w:tcPr>
                    <w:p w14:paraId="50D4DA2E"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0.95</w:t>
                      </w:r>
                    </w:p>
                  </w:tc>
                  <w:tc>
                    <w:tcPr>
                      <w:tcW w:w="957" w:type="dxa"/>
                      <w:gridSpan w:val="2"/>
                      <w:tcBorders>
                        <w:top w:val="nil"/>
                        <w:left w:val="nil"/>
                        <w:bottom w:val="nil"/>
                        <w:right w:val="nil"/>
                      </w:tcBorders>
                      <w:shd w:val="clear" w:color="auto" w:fill="auto"/>
                      <w:noWrap/>
                      <w:vAlign w:val="bottom"/>
                      <w:hideMark/>
                    </w:tcPr>
                    <w:p w14:paraId="10C305D5" w14:textId="77777777" w:rsidR="00321DC1" w:rsidRPr="00347E38" w:rsidRDefault="00321DC1" w:rsidP="00B413D9">
                      <w:pPr>
                        <w:jc w:val="right"/>
                        <w:rPr>
                          <w:rFonts w:asciiTheme="minorHAnsi" w:hAnsiTheme="minorHAnsi" w:cstheme="minorHAnsi"/>
                          <w:color w:val="000000"/>
                        </w:rPr>
                      </w:pPr>
                      <w:r w:rsidRPr="00347E38">
                        <w:rPr>
                          <w:rFonts w:asciiTheme="minorHAnsi" w:hAnsiTheme="minorHAnsi" w:cstheme="minorHAnsi"/>
                          <w:color w:val="000000"/>
                        </w:rPr>
                        <w:t>2.06</w:t>
                      </w:r>
                    </w:p>
                  </w:tc>
                  <w:tc>
                    <w:tcPr>
                      <w:tcW w:w="1914" w:type="dxa"/>
                      <w:gridSpan w:val="2"/>
                      <w:tcBorders>
                        <w:top w:val="nil"/>
                        <w:left w:val="nil"/>
                        <w:bottom w:val="nil"/>
                        <w:right w:val="nil"/>
                      </w:tcBorders>
                      <w:shd w:val="clear" w:color="auto" w:fill="auto"/>
                      <w:noWrap/>
                      <w:vAlign w:val="bottom"/>
                      <w:hideMark/>
                    </w:tcPr>
                    <w:p w14:paraId="24C37E2B" w14:textId="77777777" w:rsidR="00321DC1" w:rsidRPr="00347E38" w:rsidRDefault="00321DC1" w:rsidP="00B413D9">
                      <w:pPr>
                        <w:rPr>
                          <w:rFonts w:asciiTheme="minorHAnsi" w:hAnsiTheme="minorHAnsi" w:cstheme="minorHAnsi"/>
                          <w:color w:val="000000"/>
                        </w:rPr>
                      </w:pPr>
                      <w:r w:rsidRPr="00347E38">
                        <w:rPr>
                          <w:rFonts w:asciiTheme="minorHAnsi" w:hAnsiTheme="minorHAnsi" w:cstheme="minorHAnsi"/>
                          <w:color w:val="000000"/>
                        </w:rPr>
                        <w:t>↑ Strong improvement</w:t>
                      </w:r>
                    </w:p>
                  </w:tc>
                </w:tr>
              </w:tbl>
              <w:p w14:paraId="7ECA0FF0" w14:textId="77777777" w:rsidR="00321DC1" w:rsidRPr="00347E38" w:rsidRDefault="00321DC1" w:rsidP="00B413D9">
                <w:pPr>
                  <w:rPr>
                    <w:rFonts w:asciiTheme="minorHAnsi" w:hAnsiTheme="minorHAnsi" w:cstheme="minorHAnsi"/>
                    <w:color w:val="000000"/>
                  </w:rPr>
                </w:pPr>
              </w:p>
            </w:tc>
            <w:tc>
              <w:tcPr>
                <w:tcW w:w="1141" w:type="dxa"/>
                <w:tcBorders>
                  <w:top w:val="nil"/>
                  <w:left w:val="nil"/>
                  <w:bottom w:val="nil"/>
                  <w:right w:val="nil"/>
                </w:tcBorders>
                <w:shd w:val="clear" w:color="auto" w:fill="auto"/>
                <w:noWrap/>
                <w:vAlign w:val="bottom"/>
              </w:tcPr>
              <w:p w14:paraId="28D2599C" w14:textId="77777777" w:rsidR="00321DC1" w:rsidRPr="00347E38" w:rsidRDefault="00321DC1" w:rsidP="00B413D9">
                <w:pPr>
                  <w:rPr>
                    <w:rFonts w:asciiTheme="minorHAnsi" w:hAnsiTheme="minorHAnsi" w:cstheme="minorHAnsi"/>
                    <w:color w:val="000000"/>
                  </w:rPr>
                </w:pPr>
              </w:p>
            </w:tc>
            <w:tc>
              <w:tcPr>
                <w:tcW w:w="1141" w:type="dxa"/>
                <w:tcBorders>
                  <w:top w:val="nil"/>
                  <w:left w:val="nil"/>
                  <w:bottom w:val="nil"/>
                  <w:right w:val="nil"/>
                </w:tcBorders>
                <w:shd w:val="clear" w:color="auto" w:fill="auto"/>
                <w:noWrap/>
                <w:vAlign w:val="bottom"/>
              </w:tcPr>
              <w:p w14:paraId="28C46D0C" w14:textId="77777777" w:rsidR="00321DC1" w:rsidRPr="00347E38" w:rsidRDefault="00321DC1" w:rsidP="00B413D9">
                <w:pPr>
                  <w:rPr>
                    <w:rFonts w:asciiTheme="minorHAnsi" w:hAnsiTheme="minorHAnsi" w:cstheme="minorHAnsi"/>
                    <w:color w:val="000000"/>
                  </w:rPr>
                </w:pPr>
              </w:p>
            </w:tc>
          </w:tr>
        </w:tbl>
        <w:tbl>
          <w:tblPr>
            <w:tblpPr w:leftFromText="180" w:rightFromText="180" w:vertAnchor="page" w:horzAnchor="page" w:tblpX="1" w:tblpY="1"/>
            <w:tblW w:w="14219" w:type="dxa"/>
            <w:tblLook w:val="04A0" w:firstRow="1" w:lastRow="0" w:firstColumn="1" w:lastColumn="0" w:noHBand="0" w:noVBand="1"/>
          </w:tblPr>
          <w:tblGrid>
            <w:gridCol w:w="3779"/>
            <w:gridCol w:w="1980"/>
            <w:gridCol w:w="2080"/>
            <w:gridCol w:w="6380"/>
          </w:tblGrid>
          <w:tr w:rsidR="00EF6417" w:rsidRPr="00347E38" w14:paraId="4FFBC1AA"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3B24DA3F" w14:textId="77777777" w:rsidR="000925C0" w:rsidRPr="000925C0" w:rsidRDefault="00EF6417" w:rsidP="00EF6417">
                <w:pPr>
                  <w:rPr>
                    <w:rFonts w:asciiTheme="minorHAnsi" w:hAnsiTheme="minorHAnsi" w:cstheme="minorHAnsi"/>
                  </w:rPr>
                </w:pPr>
                <w:r w:rsidRPr="000925C0">
                  <w:rPr>
                    <w:rFonts w:asciiTheme="minorHAnsi" w:hAnsiTheme="minorHAnsi" w:cstheme="minorHAnsi"/>
                    <w:b/>
                    <w:bCs/>
                    <w:u w:val="single"/>
                  </w:rPr>
                  <w:lastRenderedPageBreak/>
                  <w:t>Appendix C:</w:t>
                </w:r>
                <w:r w:rsidR="000925C0" w:rsidRPr="000925C0">
                  <w:rPr>
                    <w:rFonts w:asciiTheme="minorHAnsi" w:hAnsiTheme="minorHAnsi" w:cstheme="minorHAnsi"/>
                    <w:b/>
                    <w:bCs/>
                    <w:u w:val="single"/>
                  </w:rPr>
                  <w:t xml:space="preserve"> Tesco Financial Ratios vs Industry Benchmarks</w:t>
                </w:r>
              </w:p>
            </w:tc>
            <w:tc>
              <w:tcPr>
                <w:tcW w:w="1980" w:type="dxa"/>
                <w:tcBorders>
                  <w:top w:val="nil"/>
                  <w:left w:val="nil"/>
                  <w:bottom w:val="single" w:sz="4" w:space="0" w:color="auto"/>
                  <w:right w:val="single" w:sz="4" w:space="0" w:color="auto"/>
                </w:tcBorders>
                <w:shd w:val="clear" w:color="auto" w:fill="auto"/>
                <w:noWrap/>
                <w:vAlign w:val="bottom"/>
                <w:hideMark/>
              </w:tcPr>
              <w:p w14:paraId="0FD56D5E"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 </w:t>
                </w:r>
              </w:p>
            </w:tc>
            <w:tc>
              <w:tcPr>
                <w:tcW w:w="2080" w:type="dxa"/>
                <w:tcBorders>
                  <w:top w:val="nil"/>
                  <w:left w:val="nil"/>
                  <w:bottom w:val="single" w:sz="4" w:space="0" w:color="auto"/>
                  <w:right w:val="single" w:sz="4" w:space="0" w:color="auto"/>
                </w:tcBorders>
                <w:shd w:val="clear" w:color="auto" w:fill="auto"/>
                <w:noWrap/>
                <w:vAlign w:val="bottom"/>
                <w:hideMark/>
              </w:tcPr>
              <w:p w14:paraId="09D177C2"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 </w:t>
                </w:r>
              </w:p>
            </w:tc>
            <w:tc>
              <w:tcPr>
                <w:tcW w:w="6380" w:type="dxa"/>
                <w:tcBorders>
                  <w:top w:val="nil"/>
                  <w:left w:val="nil"/>
                  <w:bottom w:val="single" w:sz="4" w:space="0" w:color="auto"/>
                  <w:right w:val="single" w:sz="4" w:space="0" w:color="auto"/>
                </w:tcBorders>
                <w:shd w:val="clear" w:color="auto" w:fill="auto"/>
                <w:noWrap/>
                <w:vAlign w:val="bottom"/>
                <w:hideMark/>
              </w:tcPr>
              <w:p w14:paraId="43EC0154"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 </w:t>
                </w:r>
              </w:p>
            </w:tc>
          </w:tr>
          <w:tr w:rsidR="00EF6417" w:rsidRPr="00347E38" w14:paraId="64D120D8"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084181E9"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Ratio</w:t>
                </w:r>
              </w:p>
            </w:tc>
            <w:tc>
              <w:tcPr>
                <w:tcW w:w="1980" w:type="dxa"/>
                <w:tcBorders>
                  <w:top w:val="nil"/>
                  <w:left w:val="nil"/>
                  <w:bottom w:val="single" w:sz="4" w:space="0" w:color="auto"/>
                  <w:right w:val="single" w:sz="4" w:space="0" w:color="auto"/>
                </w:tcBorders>
                <w:shd w:val="clear" w:color="auto" w:fill="auto"/>
                <w:noWrap/>
                <w:vAlign w:val="bottom"/>
                <w:hideMark/>
              </w:tcPr>
              <w:p w14:paraId="54217161"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Tesco 2024</w:t>
                </w:r>
              </w:p>
            </w:tc>
            <w:tc>
              <w:tcPr>
                <w:tcW w:w="2080" w:type="dxa"/>
                <w:tcBorders>
                  <w:top w:val="nil"/>
                  <w:left w:val="nil"/>
                  <w:bottom w:val="single" w:sz="4" w:space="0" w:color="auto"/>
                  <w:right w:val="single" w:sz="4" w:space="0" w:color="auto"/>
                </w:tcBorders>
                <w:shd w:val="clear" w:color="auto" w:fill="auto"/>
                <w:noWrap/>
                <w:vAlign w:val="bottom"/>
                <w:hideMark/>
              </w:tcPr>
              <w:p w14:paraId="220776C0"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Benchmark</w:t>
                </w:r>
              </w:p>
            </w:tc>
            <w:tc>
              <w:tcPr>
                <w:tcW w:w="6380" w:type="dxa"/>
                <w:tcBorders>
                  <w:top w:val="nil"/>
                  <w:left w:val="nil"/>
                  <w:bottom w:val="single" w:sz="4" w:space="0" w:color="auto"/>
                  <w:right w:val="single" w:sz="4" w:space="0" w:color="auto"/>
                </w:tcBorders>
                <w:shd w:val="clear" w:color="auto" w:fill="auto"/>
                <w:noWrap/>
                <w:vAlign w:val="bottom"/>
                <w:hideMark/>
              </w:tcPr>
              <w:p w14:paraId="1363556E"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Assessment</w:t>
                </w:r>
              </w:p>
            </w:tc>
          </w:tr>
          <w:tr w:rsidR="00EF6417" w:rsidRPr="00347E38" w14:paraId="4695A934"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45E5EE09"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Gross Profit Margin</w:t>
                </w:r>
              </w:p>
            </w:tc>
            <w:tc>
              <w:tcPr>
                <w:tcW w:w="1980" w:type="dxa"/>
                <w:tcBorders>
                  <w:top w:val="nil"/>
                  <w:left w:val="nil"/>
                  <w:bottom w:val="single" w:sz="4" w:space="0" w:color="auto"/>
                  <w:right w:val="single" w:sz="4" w:space="0" w:color="auto"/>
                </w:tcBorders>
                <w:shd w:val="clear" w:color="auto" w:fill="auto"/>
                <w:noWrap/>
                <w:vAlign w:val="bottom"/>
                <w:hideMark/>
              </w:tcPr>
              <w:p w14:paraId="20E9BADE"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7.11%</w:t>
                </w:r>
              </w:p>
            </w:tc>
            <w:tc>
              <w:tcPr>
                <w:tcW w:w="2080" w:type="dxa"/>
                <w:tcBorders>
                  <w:top w:val="nil"/>
                  <w:left w:val="nil"/>
                  <w:bottom w:val="single" w:sz="4" w:space="0" w:color="auto"/>
                  <w:right w:val="single" w:sz="4" w:space="0" w:color="auto"/>
                </w:tcBorders>
                <w:shd w:val="clear" w:color="auto" w:fill="auto"/>
                <w:noWrap/>
                <w:vAlign w:val="bottom"/>
                <w:hideMark/>
              </w:tcPr>
              <w:p w14:paraId="41B2AA32"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8–12%</w:t>
                </w:r>
              </w:p>
            </w:tc>
            <w:tc>
              <w:tcPr>
                <w:tcW w:w="6380" w:type="dxa"/>
                <w:tcBorders>
                  <w:top w:val="nil"/>
                  <w:left w:val="nil"/>
                  <w:bottom w:val="single" w:sz="4" w:space="0" w:color="auto"/>
                  <w:right w:val="single" w:sz="4" w:space="0" w:color="auto"/>
                </w:tcBorders>
                <w:shd w:val="clear" w:color="auto" w:fill="auto"/>
                <w:noWrap/>
                <w:vAlign w:val="bottom"/>
                <w:hideMark/>
              </w:tcPr>
              <w:p w14:paraId="7E3807F1"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Slightly below benchmark</w:t>
                </w:r>
              </w:p>
            </w:tc>
          </w:tr>
          <w:tr w:rsidR="00EF6417" w:rsidRPr="00347E38" w14:paraId="0B0B5FF5"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76890515"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Operating Profit Margin</w:t>
                </w:r>
              </w:p>
            </w:tc>
            <w:tc>
              <w:tcPr>
                <w:tcW w:w="1980" w:type="dxa"/>
                <w:tcBorders>
                  <w:top w:val="nil"/>
                  <w:left w:val="nil"/>
                  <w:bottom w:val="single" w:sz="4" w:space="0" w:color="auto"/>
                  <w:right w:val="single" w:sz="4" w:space="0" w:color="auto"/>
                </w:tcBorders>
                <w:shd w:val="clear" w:color="auto" w:fill="auto"/>
                <w:noWrap/>
                <w:vAlign w:val="bottom"/>
                <w:hideMark/>
              </w:tcPr>
              <w:p w14:paraId="0194E4A1"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4.14%</w:t>
                </w:r>
              </w:p>
            </w:tc>
            <w:tc>
              <w:tcPr>
                <w:tcW w:w="2080" w:type="dxa"/>
                <w:tcBorders>
                  <w:top w:val="nil"/>
                  <w:left w:val="nil"/>
                  <w:bottom w:val="single" w:sz="4" w:space="0" w:color="auto"/>
                  <w:right w:val="single" w:sz="4" w:space="0" w:color="auto"/>
                </w:tcBorders>
                <w:shd w:val="clear" w:color="auto" w:fill="auto"/>
                <w:noWrap/>
                <w:vAlign w:val="bottom"/>
                <w:hideMark/>
              </w:tcPr>
              <w:p w14:paraId="48139A7A"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3–5%</w:t>
                </w:r>
              </w:p>
            </w:tc>
            <w:tc>
              <w:tcPr>
                <w:tcW w:w="6380" w:type="dxa"/>
                <w:tcBorders>
                  <w:top w:val="nil"/>
                  <w:left w:val="nil"/>
                  <w:bottom w:val="single" w:sz="4" w:space="0" w:color="auto"/>
                  <w:right w:val="single" w:sz="4" w:space="0" w:color="auto"/>
                </w:tcBorders>
                <w:shd w:val="clear" w:color="auto" w:fill="auto"/>
                <w:noWrap/>
                <w:vAlign w:val="bottom"/>
                <w:hideMark/>
              </w:tcPr>
              <w:p w14:paraId="331A17AF"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Within/above benchmark</w:t>
                </w:r>
              </w:p>
            </w:tc>
          </w:tr>
          <w:tr w:rsidR="00EF6417" w:rsidRPr="00347E38" w14:paraId="5CFA9431"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4E6CE324"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Net Profit Margin</w:t>
                </w:r>
              </w:p>
            </w:tc>
            <w:tc>
              <w:tcPr>
                <w:tcW w:w="1980" w:type="dxa"/>
                <w:tcBorders>
                  <w:top w:val="nil"/>
                  <w:left w:val="nil"/>
                  <w:bottom w:val="single" w:sz="4" w:space="0" w:color="auto"/>
                  <w:right w:val="single" w:sz="4" w:space="0" w:color="auto"/>
                </w:tcBorders>
                <w:shd w:val="clear" w:color="auto" w:fill="auto"/>
                <w:noWrap/>
                <w:vAlign w:val="bottom"/>
                <w:hideMark/>
              </w:tcPr>
              <w:p w14:paraId="4252AB34"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2.59%</w:t>
                </w:r>
              </w:p>
            </w:tc>
            <w:tc>
              <w:tcPr>
                <w:tcW w:w="2080" w:type="dxa"/>
                <w:tcBorders>
                  <w:top w:val="nil"/>
                  <w:left w:val="nil"/>
                  <w:bottom w:val="single" w:sz="4" w:space="0" w:color="auto"/>
                  <w:right w:val="single" w:sz="4" w:space="0" w:color="auto"/>
                </w:tcBorders>
                <w:shd w:val="clear" w:color="auto" w:fill="auto"/>
                <w:noWrap/>
                <w:vAlign w:val="bottom"/>
                <w:hideMark/>
              </w:tcPr>
              <w:p w14:paraId="787EBC89"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1.5–3%</w:t>
                </w:r>
              </w:p>
            </w:tc>
            <w:tc>
              <w:tcPr>
                <w:tcW w:w="6380" w:type="dxa"/>
                <w:tcBorders>
                  <w:top w:val="nil"/>
                  <w:left w:val="nil"/>
                  <w:bottom w:val="single" w:sz="4" w:space="0" w:color="auto"/>
                  <w:right w:val="single" w:sz="4" w:space="0" w:color="auto"/>
                </w:tcBorders>
                <w:shd w:val="clear" w:color="auto" w:fill="auto"/>
                <w:noWrap/>
                <w:vAlign w:val="bottom"/>
                <w:hideMark/>
              </w:tcPr>
              <w:p w14:paraId="3113BB06"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Strong performance</w:t>
                </w:r>
              </w:p>
            </w:tc>
          </w:tr>
          <w:tr w:rsidR="00EF6417" w:rsidRPr="00347E38" w14:paraId="055C1822"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141412CA"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ROA</w:t>
                </w:r>
              </w:p>
            </w:tc>
            <w:tc>
              <w:tcPr>
                <w:tcW w:w="1980" w:type="dxa"/>
                <w:tcBorders>
                  <w:top w:val="nil"/>
                  <w:left w:val="nil"/>
                  <w:bottom w:val="single" w:sz="4" w:space="0" w:color="auto"/>
                  <w:right w:val="single" w:sz="4" w:space="0" w:color="auto"/>
                </w:tcBorders>
                <w:shd w:val="clear" w:color="auto" w:fill="auto"/>
                <w:noWrap/>
                <w:vAlign w:val="bottom"/>
                <w:hideMark/>
              </w:tcPr>
              <w:p w14:paraId="612193F1"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3.75%</w:t>
                </w:r>
              </w:p>
            </w:tc>
            <w:tc>
              <w:tcPr>
                <w:tcW w:w="2080" w:type="dxa"/>
                <w:tcBorders>
                  <w:top w:val="nil"/>
                  <w:left w:val="nil"/>
                  <w:bottom w:val="single" w:sz="4" w:space="0" w:color="auto"/>
                  <w:right w:val="single" w:sz="4" w:space="0" w:color="auto"/>
                </w:tcBorders>
                <w:shd w:val="clear" w:color="auto" w:fill="auto"/>
                <w:noWrap/>
                <w:vAlign w:val="bottom"/>
                <w:hideMark/>
              </w:tcPr>
              <w:p w14:paraId="6035661B"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5–10%</w:t>
                </w:r>
              </w:p>
            </w:tc>
            <w:tc>
              <w:tcPr>
                <w:tcW w:w="6380" w:type="dxa"/>
                <w:tcBorders>
                  <w:top w:val="nil"/>
                  <w:left w:val="nil"/>
                  <w:bottom w:val="single" w:sz="4" w:space="0" w:color="auto"/>
                  <w:right w:val="single" w:sz="4" w:space="0" w:color="auto"/>
                </w:tcBorders>
                <w:shd w:val="clear" w:color="auto" w:fill="auto"/>
                <w:noWrap/>
                <w:vAlign w:val="bottom"/>
                <w:hideMark/>
              </w:tcPr>
              <w:p w14:paraId="7B9B06AD"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Below benchmark</w:t>
                </w:r>
              </w:p>
            </w:tc>
          </w:tr>
          <w:tr w:rsidR="00EF6417" w:rsidRPr="00347E38" w14:paraId="1FC05AB1"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39167870"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ROE</w:t>
                </w:r>
              </w:p>
            </w:tc>
            <w:tc>
              <w:tcPr>
                <w:tcW w:w="1980" w:type="dxa"/>
                <w:tcBorders>
                  <w:top w:val="nil"/>
                  <w:left w:val="nil"/>
                  <w:bottom w:val="single" w:sz="4" w:space="0" w:color="auto"/>
                  <w:right w:val="single" w:sz="4" w:space="0" w:color="auto"/>
                </w:tcBorders>
                <w:shd w:val="clear" w:color="auto" w:fill="auto"/>
                <w:noWrap/>
                <w:vAlign w:val="bottom"/>
                <w:hideMark/>
              </w:tcPr>
              <w:p w14:paraId="2E174159"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15.12%</w:t>
                </w:r>
              </w:p>
            </w:tc>
            <w:tc>
              <w:tcPr>
                <w:tcW w:w="2080" w:type="dxa"/>
                <w:tcBorders>
                  <w:top w:val="nil"/>
                  <w:left w:val="nil"/>
                  <w:bottom w:val="single" w:sz="4" w:space="0" w:color="auto"/>
                  <w:right w:val="single" w:sz="4" w:space="0" w:color="auto"/>
                </w:tcBorders>
                <w:shd w:val="clear" w:color="auto" w:fill="auto"/>
                <w:noWrap/>
                <w:vAlign w:val="bottom"/>
                <w:hideMark/>
              </w:tcPr>
              <w:p w14:paraId="4D32B2F2"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15–20%</w:t>
                </w:r>
              </w:p>
            </w:tc>
            <w:tc>
              <w:tcPr>
                <w:tcW w:w="6380" w:type="dxa"/>
                <w:tcBorders>
                  <w:top w:val="nil"/>
                  <w:left w:val="nil"/>
                  <w:bottom w:val="single" w:sz="4" w:space="0" w:color="auto"/>
                  <w:right w:val="single" w:sz="4" w:space="0" w:color="auto"/>
                </w:tcBorders>
                <w:shd w:val="clear" w:color="auto" w:fill="auto"/>
                <w:noWrap/>
                <w:vAlign w:val="bottom"/>
                <w:hideMark/>
              </w:tcPr>
              <w:p w14:paraId="2D07CFEC"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At lower end of benchmark</w:t>
                </w:r>
              </w:p>
            </w:tc>
          </w:tr>
          <w:tr w:rsidR="00EF6417" w:rsidRPr="00347E38" w14:paraId="5EFD2AED"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3163F67E"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Current Ratio</w:t>
                </w:r>
              </w:p>
            </w:tc>
            <w:tc>
              <w:tcPr>
                <w:tcW w:w="1980" w:type="dxa"/>
                <w:tcBorders>
                  <w:top w:val="nil"/>
                  <w:left w:val="nil"/>
                  <w:bottom w:val="single" w:sz="4" w:space="0" w:color="auto"/>
                  <w:right w:val="single" w:sz="4" w:space="0" w:color="auto"/>
                </w:tcBorders>
                <w:shd w:val="clear" w:color="auto" w:fill="auto"/>
                <w:noWrap/>
                <w:vAlign w:val="bottom"/>
                <w:hideMark/>
              </w:tcPr>
              <w:p w14:paraId="62F41078"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1.24</w:t>
                </w:r>
              </w:p>
            </w:tc>
            <w:tc>
              <w:tcPr>
                <w:tcW w:w="2080" w:type="dxa"/>
                <w:tcBorders>
                  <w:top w:val="nil"/>
                  <w:left w:val="nil"/>
                  <w:bottom w:val="single" w:sz="4" w:space="0" w:color="auto"/>
                  <w:right w:val="single" w:sz="4" w:space="0" w:color="auto"/>
                </w:tcBorders>
                <w:shd w:val="clear" w:color="auto" w:fill="auto"/>
                <w:noWrap/>
                <w:vAlign w:val="bottom"/>
                <w:hideMark/>
              </w:tcPr>
              <w:p w14:paraId="4828BD7C"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1.0–1.2</w:t>
                </w:r>
              </w:p>
            </w:tc>
            <w:tc>
              <w:tcPr>
                <w:tcW w:w="6380" w:type="dxa"/>
                <w:tcBorders>
                  <w:top w:val="nil"/>
                  <w:left w:val="nil"/>
                  <w:bottom w:val="single" w:sz="4" w:space="0" w:color="auto"/>
                  <w:right w:val="single" w:sz="4" w:space="0" w:color="auto"/>
                </w:tcBorders>
                <w:shd w:val="clear" w:color="auto" w:fill="auto"/>
                <w:noWrap/>
                <w:vAlign w:val="bottom"/>
                <w:hideMark/>
              </w:tcPr>
              <w:p w14:paraId="5DFA1B7B"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Strong liquidity</w:t>
                </w:r>
              </w:p>
            </w:tc>
          </w:tr>
          <w:tr w:rsidR="00EF6417" w:rsidRPr="00347E38" w14:paraId="6D7AE05D"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3164BFDB"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Quick Ratio</w:t>
                </w:r>
              </w:p>
            </w:tc>
            <w:tc>
              <w:tcPr>
                <w:tcW w:w="1980" w:type="dxa"/>
                <w:tcBorders>
                  <w:top w:val="nil"/>
                  <w:left w:val="nil"/>
                  <w:bottom w:val="single" w:sz="4" w:space="0" w:color="auto"/>
                  <w:right w:val="single" w:sz="4" w:space="0" w:color="auto"/>
                </w:tcBorders>
                <w:shd w:val="clear" w:color="auto" w:fill="auto"/>
                <w:noWrap/>
                <w:vAlign w:val="bottom"/>
                <w:hideMark/>
              </w:tcPr>
              <w:p w14:paraId="012114C5"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1.05</w:t>
                </w:r>
              </w:p>
            </w:tc>
            <w:tc>
              <w:tcPr>
                <w:tcW w:w="2080" w:type="dxa"/>
                <w:tcBorders>
                  <w:top w:val="nil"/>
                  <w:left w:val="nil"/>
                  <w:bottom w:val="single" w:sz="4" w:space="0" w:color="auto"/>
                  <w:right w:val="single" w:sz="4" w:space="0" w:color="auto"/>
                </w:tcBorders>
                <w:shd w:val="clear" w:color="auto" w:fill="auto"/>
                <w:noWrap/>
                <w:vAlign w:val="bottom"/>
                <w:hideMark/>
              </w:tcPr>
              <w:p w14:paraId="6D2685BB"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0.5–1.0</w:t>
                </w:r>
              </w:p>
            </w:tc>
            <w:tc>
              <w:tcPr>
                <w:tcW w:w="6380" w:type="dxa"/>
                <w:tcBorders>
                  <w:top w:val="nil"/>
                  <w:left w:val="nil"/>
                  <w:bottom w:val="single" w:sz="4" w:space="0" w:color="auto"/>
                  <w:right w:val="single" w:sz="4" w:space="0" w:color="auto"/>
                </w:tcBorders>
                <w:shd w:val="clear" w:color="auto" w:fill="auto"/>
                <w:noWrap/>
                <w:vAlign w:val="bottom"/>
                <w:hideMark/>
              </w:tcPr>
              <w:p w14:paraId="79E551AA"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Strong liquidity</w:t>
                </w:r>
              </w:p>
            </w:tc>
          </w:tr>
          <w:tr w:rsidR="00EF6417" w:rsidRPr="00347E38" w14:paraId="11BA968E"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1DFE487F"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Asset Turnover</w:t>
                </w:r>
              </w:p>
            </w:tc>
            <w:tc>
              <w:tcPr>
                <w:tcW w:w="1980" w:type="dxa"/>
                <w:tcBorders>
                  <w:top w:val="nil"/>
                  <w:left w:val="nil"/>
                  <w:bottom w:val="single" w:sz="4" w:space="0" w:color="auto"/>
                  <w:right w:val="single" w:sz="4" w:space="0" w:color="auto"/>
                </w:tcBorders>
                <w:shd w:val="clear" w:color="auto" w:fill="auto"/>
                <w:noWrap/>
                <w:vAlign w:val="bottom"/>
                <w:hideMark/>
              </w:tcPr>
              <w:p w14:paraId="3F2FFB97"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1.45</w:t>
                </w:r>
              </w:p>
            </w:tc>
            <w:tc>
              <w:tcPr>
                <w:tcW w:w="2080" w:type="dxa"/>
                <w:tcBorders>
                  <w:top w:val="nil"/>
                  <w:left w:val="nil"/>
                  <w:bottom w:val="single" w:sz="4" w:space="0" w:color="auto"/>
                  <w:right w:val="single" w:sz="4" w:space="0" w:color="auto"/>
                </w:tcBorders>
                <w:shd w:val="clear" w:color="auto" w:fill="auto"/>
                <w:noWrap/>
                <w:vAlign w:val="bottom"/>
                <w:hideMark/>
              </w:tcPr>
              <w:p w14:paraId="2ED3A653"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1.2–1.5</w:t>
                </w:r>
              </w:p>
            </w:tc>
            <w:tc>
              <w:tcPr>
                <w:tcW w:w="6380" w:type="dxa"/>
                <w:tcBorders>
                  <w:top w:val="nil"/>
                  <w:left w:val="nil"/>
                  <w:bottom w:val="single" w:sz="4" w:space="0" w:color="auto"/>
                  <w:right w:val="single" w:sz="4" w:space="0" w:color="auto"/>
                </w:tcBorders>
                <w:shd w:val="clear" w:color="auto" w:fill="auto"/>
                <w:noWrap/>
                <w:vAlign w:val="bottom"/>
                <w:hideMark/>
              </w:tcPr>
              <w:p w14:paraId="08A08929"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Good efficiency</w:t>
                </w:r>
              </w:p>
            </w:tc>
          </w:tr>
          <w:tr w:rsidR="00EF6417" w:rsidRPr="00347E38" w14:paraId="2BE9A178"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3E2E82F4"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Inventory Turnover</w:t>
                </w:r>
              </w:p>
            </w:tc>
            <w:tc>
              <w:tcPr>
                <w:tcW w:w="1980" w:type="dxa"/>
                <w:tcBorders>
                  <w:top w:val="nil"/>
                  <w:left w:val="nil"/>
                  <w:bottom w:val="single" w:sz="4" w:space="0" w:color="auto"/>
                  <w:right w:val="single" w:sz="4" w:space="0" w:color="auto"/>
                </w:tcBorders>
                <w:shd w:val="clear" w:color="auto" w:fill="auto"/>
                <w:noWrap/>
                <w:vAlign w:val="bottom"/>
                <w:hideMark/>
              </w:tcPr>
              <w:p w14:paraId="19629B6A"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23.86</w:t>
                </w:r>
              </w:p>
            </w:tc>
            <w:tc>
              <w:tcPr>
                <w:tcW w:w="2080" w:type="dxa"/>
                <w:tcBorders>
                  <w:top w:val="nil"/>
                  <w:left w:val="nil"/>
                  <w:bottom w:val="single" w:sz="4" w:space="0" w:color="auto"/>
                  <w:right w:val="single" w:sz="4" w:space="0" w:color="auto"/>
                </w:tcBorders>
                <w:shd w:val="clear" w:color="auto" w:fill="auto"/>
                <w:noWrap/>
                <w:vAlign w:val="bottom"/>
                <w:hideMark/>
              </w:tcPr>
              <w:p w14:paraId="76F10400"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20–25</w:t>
                </w:r>
              </w:p>
            </w:tc>
            <w:tc>
              <w:tcPr>
                <w:tcW w:w="6380" w:type="dxa"/>
                <w:tcBorders>
                  <w:top w:val="nil"/>
                  <w:left w:val="nil"/>
                  <w:bottom w:val="single" w:sz="4" w:space="0" w:color="auto"/>
                  <w:right w:val="single" w:sz="4" w:space="0" w:color="auto"/>
                </w:tcBorders>
                <w:shd w:val="clear" w:color="auto" w:fill="auto"/>
                <w:noWrap/>
                <w:vAlign w:val="bottom"/>
                <w:hideMark/>
              </w:tcPr>
              <w:p w14:paraId="173373AE"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Within benchmark</w:t>
                </w:r>
              </w:p>
            </w:tc>
          </w:tr>
          <w:tr w:rsidR="00EF6417" w:rsidRPr="00347E38" w14:paraId="2FB6603E"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3CE44878"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Receivables Days</w:t>
                </w:r>
              </w:p>
            </w:tc>
            <w:tc>
              <w:tcPr>
                <w:tcW w:w="1980" w:type="dxa"/>
                <w:tcBorders>
                  <w:top w:val="nil"/>
                  <w:left w:val="nil"/>
                  <w:bottom w:val="single" w:sz="4" w:space="0" w:color="auto"/>
                  <w:right w:val="single" w:sz="4" w:space="0" w:color="auto"/>
                </w:tcBorders>
                <w:shd w:val="clear" w:color="auto" w:fill="auto"/>
                <w:noWrap/>
                <w:vAlign w:val="bottom"/>
                <w:hideMark/>
              </w:tcPr>
              <w:p w14:paraId="1CBCEF33"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7.22 days</w:t>
                </w:r>
              </w:p>
            </w:tc>
            <w:tc>
              <w:tcPr>
                <w:tcW w:w="2080" w:type="dxa"/>
                <w:tcBorders>
                  <w:top w:val="nil"/>
                  <w:left w:val="nil"/>
                  <w:bottom w:val="single" w:sz="4" w:space="0" w:color="auto"/>
                  <w:right w:val="single" w:sz="4" w:space="0" w:color="auto"/>
                </w:tcBorders>
                <w:shd w:val="clear" w:color="auto" w:fill="auto"/>
                <w:noWrap/>
                <w:vAlign w:val="bottom"/>
                <w:hideMark/>
              </w:tcPr>
              <w:p w14:paraId="17313592"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5–15 days</w:t>
                </w:r>
              </w:p>
            </w:tc>
            <w:tc>
              <w:tcPr>
                <w:tcW w:w="6380" w:type="dxa"/>
                <w:tcBorders>
                  <w:top w:val="nil"/>
                  <w:left w:val="nil"/>
                  <w:bottom w:val="single" w:sz="4" w:space="0" w:color="auto"/>
                  <w:right w:val="single" w:sz="4" w:space="0" w:color="auto"/>
                </w:tcBorders>
                <w:shd w:val="clear" w:color="auto" w:fill="auto"/>
                <w:noWrap/>
                <w:vAlign w:val="bottom"/>
                <w:hideMark/>
              </w:tcPr>
              <w:p w14:paraId="55E0E4CD"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Within benchmark</w:t>
                </w:r>
              </w:p>
            </w:tc>
          </w:tr>
          <w:tr w:rsidR="00EF6417" w:rsidRPr="00347E38" w14:paraId="71D2B9F1"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02970737"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Payables Days</w:t>
                </w:r>
              </w:p>
            </w:tc>
            <w:tc>
              <w:tcPr>
                <w:tcW w:w="1980" w:type="dxa"/>
                <w:tcBorders>
                  <w:top w:val="nil"/>
                  <w:left w:val="nil"/>
                  <w:bottom w:val="single" w:sz="4" w:space="0" w:color="auto"/>
                  <w:right w:val="single" w:sz="4" w:space="0" w:color="auto"/>
                </w:tcBorders>
                <w:shd w:val="clear" w:color="auto" w:fill="auto"/>
                <w:noWrap/>
                <w:vAlign w:val="bottom"/>
                <w:hideMark/>
              </w:tcPr>
              <w:p w14:paraId="76FC708A"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59.66 days</w:t>
                </w:r>
              </w:p>
            </w:tc>
            <w:tc>
              <w:tcPr>
                <w:tcW w:w="2080" w:type="dxa"/>
                <w:tcBorders>
                  <w:top w:val="nil"/>
                  <w:left w:val="nil"/>
                  <w:bottom w:val="single" w:sz="4" w:space="0" w:color="auto"/>
                  <w:right w:val="single" w:sz="4" w:space="0" w:color="auto"/>
                </w:tcBorders>
                <w:shd w:val="clear" w:color="auto" w:fill="auto"/>
                <w:noWrap/>
                <w:vAlign w:val="bottom"/>
                <w:hideMark/>
              </w:tcPr>
              <w:p w14:paraId="4D765ABE"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30–60 days</w:t>
                </w:r>
              </w:p>
            </w:tc>
            <w:tc>
              <w:tcPr>
                <w:tcW w:w="6380" w:type="dxa"/>
                <w:tcBorders>
                  <w:top w:val="nil"/>
                  <w:left w:val="nil"/>
                  <w:bottom w:val="single" w:sz="4" w:space="0" w:color="auto"/>
                  <w:right w:val="single" w:sz="4" w:space="0" w:color="auto"/>
                </w:tcBorders>
                <w:shd w:val="clear" w:color="auto" w:fill="auto"/>
                <w:noWrap/>
                <w:vAlign w:val="bottom"/>
                <w:hideMark/>
              </w:tcPr>
              <w:p w14:paraId="5083F820"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Upper end but acceptable</w:t>
                </w:r>
              </w:p>
            </w:tc>
          </w:tr>
          <w:tr w:rsidR="00EF6417" w:rsidRPr="00347E38" w14:paraId="3700C7C6"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3C3435FB"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Debt-to-Equity</w:t>
                </w:r>
              </w:p>
            </w:tc>
            <w:tc>
              <w:tcPr>
                <w:tcW w:w="1980" w:type="dxa"/>
                <w:tcBorders>
                  <w:top w:val="nil"/>
                  <w:left w:val="nil"/>
                  <w:bottom w:val="single" w:sz="4" w:space="0" w:color="auto"/>
                  <w:right w:val="single" w:sz="4" w:space="0" w:color="auto"/>
                </w:tcBorders>
                <w:shd w:val="clear" w:color="auto" w:fill="auto"/>
                <w:noWrap/>
                <w:vAlign w:val="bottom"/>
                <w:hideMark/>
              </w:tcPr>
              <w:p w14:paraId="3A07B986"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1.29</w:t>
                </w:r>
              </w:p>
            </w:tc>
            <w:tc>
              <w:tcPr>
                <w:tcW w:w="2080" w:type="dxa"/>
                <w:tcBorders>
                  <w:top w:val="nil"/>
                  <w:left w:val="nil"/>
                  <w:bottom w:val="single" w:sz="4" w:space="0" w:color="auto"/>
                  <w:right w:val="single" w:sz="4" w:space="0" w:color="auto"/>
                </w:tcBorders>
                <w:shd w:val="clear" w:color="auto" w:fill="auto"/>
                <w:noWrap/>
                <w:vAlign w:val="bottom"/>
                <w:hideMark/>
              </w:tcPr>
              <w:p w14:paraId="55650D44"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1.0–1.5</w:t>
                </w:r>
              </w:p>
            </w:tc>
            <w:tc>
              <w:tcPr>
                <w:tcW w:w="6380" w:type="dxa"/>
                <w:tcBorders>
                  <w:top w:val="nil"/>
                  <w:left w:val="nil"/>
                  <w:bottom w:val="single" w:sz="4" w:space="0" w:color="auto"/>
                  <w:right w:val="single" w:sz="4" w:space="0" w:color="auto"/>
                </w:tcBorders>
                <w:shd w:val="clear" w:color="auto" w:fill="auto"/>
                <w:noWrap/>
                <w:vAlign w:val="bottom"/>
                <w:hideMark/>
              </w:tcPr>
              <w:p w14:paraId="20BABD66"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Acceptable but rising</w:t>
                </w:r>
              </w:p>
            </w:tc>
          </w:tr>
          <w:tr w:rsidR="00EF6417" w:rsidRPr="00347E38" w14:paraId="0B828428"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33FCC8FA"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Debt Ratio</w:t>
                </w:r>
              </w:p>
            </w:tc>
            <w:tc>
              <w:tcPr>
                <w:tcW w:w="1980" w:type="dxa"/>
                <w:tcBorders>
                  <w:top w:val="nil"/>
                  <w:left w:val="nil"/>
                  <w:bottom w:val="single" w:sz="4" w:space="0" w:color="auto"/>
                  <w:right w:val="single" w:sz="4" w:space="0" w:color="auto"/>
                </w:tcBorders>
                <w:shd w:val="clear" w:color="auto" w:fill="auto"/>
                <w:noWrap/>
                <w:vAlign w:val="bottom"/>
                <w:hideMark/>
              </w:tcPr>
              <w:p w14:paraId="03B6F4B1"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0.32</w:t>
                </w:r>
              </w:p>
            </w:tc>
            <w:tc>
              <w:tcPr>
                <w:tcW w:w="2080" w:type="dxa"/>
                <w:tcBorders>
                  <w:top w:val="nil"/>
                  <w:left w:val="nil"/>
                  <w:bottom w:val="single" w:sz="4" w:space="0" w:color="auto"/>
                  <w:right w:val="single" w:sz="4" w:space="0" w:color="auto"/>
                </w:tcBorders>
                <w:shd w:val="clear" w:color="auto" w:fill="auto"/>
                <w:noWrap/>
                <w:vAlign w:val="bottom"/>
                <w:hideMark/>
              </w:tcPr>
              <w:p w14:paraId="1CD5E3EC"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0.3–0.5</w:t>
                </w:r>
              </w:p>
            </w:tc>
            <w:tc>
              <w:tcPr>
                <w:tcW w:w="6380" w:type="dxa"/>
                <w:tcBorders>
                  <w:top w:val="nil"/>
                  <w:left w:val="nil"/>
                  <w:bottom w:val="single" w:sz="4" w:space="0" w:color="auto"/>
                  <w:right w:val="single" w:sz="4" w:space="0" w:color="auto"/>
                </w:tcBorders>
                <w:shd w:val="clear" w:color="auto" w:fill="auto"/>
                <w:noWrap/>
                <w:vAlign w:val="bottom"/>
                <w:hideMark/>
              </w:tcPr>
              <w:p w14:paraId="5495A25C"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Healthy leverage</w:t>
                </w:r>
              </w:p>
            </w:tc>
          </w:tr>
          <w:tr w:rsidR="00EF6417" w:rsidRPr="00347E38" w14:paraId="04712B6E"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2914B91E"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Interest Cover</w:t>
                </w:r>
              </w:p>
            </w:tc>
            <w:tc>
              <w:tcPr>
                <w:tcW w:w="1980" w:type="dxa"/>
                <w:tcBorders>
                  <w:top w:val="nil"/>
                  <w:left w:val="nil"/>
                  <w:bottom w:val="single" w:sz="4" w:space="0" w:color="auto"/>
                  <w:right w:val="single" w:sz="4" w:space="0" w:color="auto"/>
                </w:tcBorders>
                <w:shd w:val="clear" w:color="auto" w:fill="auto"/>
                <w:noWrap/>
                <w:vAlign w:val="bottom"/>
                <w:hideMark/>
              </w:tcPr>
              <w:p w14:paraId="1B0E6B6C"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3.42</w:t>
                </w:r>
              </w:p>
            </w:tc>
            <w:tc>
              <w:tcPr>
                <w:tcW w:w="2080" w:type="dxa"/>
                <w:tcBorders>
                  <w:top w:val="nil"/>
                  <w:left w:val="nil"/>
                  <w:bottom w:val="single" w:sz="4" w:space="0" w:color="auto"/>
                  <w:right w:val="single" w:sz="4" w:space="0" w:color="auto"/>
                </w:tcBorders>
                <w:shd w:val="clear" w:color="auto" w:fill="auto"/>
                <w:noWrap/>
                <w:vAlign w:val="bottom"/>
                <w:hideMark/>
              </w:tcPr>
              <w:p w14:paraId="133BD891"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4–6</w:t>
                </w:r>
              </w:p>
            </w:tc>
            <w:tc>
              <w:tcPr>
                <w:tcW w:w="6380" w:type="dxa"/>
                <w:tcBorders>
                  <w:top w:val="nil"/>
                  <w:left w:val="nil"/>
                  <w:bottom w:val="single" w:sz="4" w:space="0" w:color="auto"/>
                  <w:right w:val="single" w:sz="4" w:space="0" w:color="auto"/>
                </w:tcBorders>
                <w:shd w:val="clear" w:color="auto" w:fill="auto"/>
                <w:noWrap/>
                <w:vAlign w:val="bottom"/>
                <w:hideMark/>
              </w:tcPr>
              <w:p w14:paraId="79EFED57"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Weaker cover</w:t>
                </w:r>
              </w:p>
            </w:tc>
          </w:tr>
          <w:tr w:rsidR="00EF6417" w:rsidRPr="00347E38" w14:paraId="4D4B40E2"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049BC201"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EPS</w:t>
                </w:r>
              </w:p>
            </w:tc>
            <w:tc>
              <w:tcPr>
                <w:tcW w:w="1980" w:type="dxa"/>
                <w:tcBorders>
                  <w:top w:val="nil"/>
                  <w:left w:val="nil"/>
                  <w:bottom w:val="single" w:sz="4" w:space="0" w:color="auto"/>
                  <w:right w:val="single" w:sz="4" w:space="0" w:color="auto"/>
                </w:tcBorders>
                <w:shd w:val="clear" w:color="auto" w:fill="auto"/>
                <w:noWrap/>
                <w:vAlign w:val="bottom"/>
                <w:hideMark/>
              </w:tcPr>
              <w:p w14:paraId="666E45D3"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 xml:space="preserve">£1.25 </w:t>
                </w:r>
              </w:p>
            </w:tc>
            <w:tc>
              <w:tcPr>
                <w:tcW w:w="2080" w:type="dxa"/>
                <w:tcBorders>
                  <w:top w:val="nil"/>
                  <w:left w:val="nil"/>
                  <w:bottom w:val="single" w:sz="4" w:space="0" w:color="auto"/>
                  <w:right w:val="single" w:sz="4" w:space="0" w:color="auto"/>
                </w:tcBorders>
                <w:shd w:val="clear" w:color="auto" w:fill="auto"/>
                <w:noWrap/>
                <w:vAlign w:val="bottom"/>
                <w:hideMark/>
              </w:tcPr>
              <w:p w14:paraId="2F79A8F6"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Varies</w:t>
                </w:r>
              </w:p>
            </w:tc>
            <w:tc>
              <w:tcPr>
                <w:tcW w:w="6380" w:type="dxa"/>
                <w:tcBorders>
                  <w:top w:val="nil"/>
                  <w:left w:val="nil"/>
                  <w:bottom w:val="single" w:sz="4" w:space="0" w:color="auto"/>
                  <w:right w:val="single" w:sz="4" w:space="0" w:color="auto"/>
                </w:tcBorders>
                <w:shd w:val="clear" w:color="auto" w:fill="auto"/>
                <w:noWrap/>
                <w:vAlign w:val="bottom"/>
                <w:hideMark/>
              </w:tcPr>
              <w:p w14:paraId="6953C220"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Strong improvement</w:t>
                </w:r>
              </w:p>
            </w:tc>
          </w:tr>
          <w:tr w:rsidR="00EF6417" w:rsidRPr="00347E38" w14:paraId="530E0A72"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5B04F039"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P/E Ratio</w:t>
                </w:r>
              </w:p>
            </w:tc>
            <w:tc>
              <w:tcPr>
                <w:tcW w:w="1980" w:type="dxa"/>
                <w:tcBorders>
                  <w:top w:val="nil"/>
                  <w:left w:val="nil"/>
                  <w:bottom w:val="single" w:sz="4" w:space="0" w:color="auto"/>
                  <w:right w:val="single" w:sz="4" w:space="0" w:color="auto"/>
                </w:tcBorders>
                <w:shd w:val="clear" w:color="auto" w:fill="auto"/>
                <w:noWrap/>
                <w:vAlign w:val="bottom"/>
                <w:hideMark/>
              </w:tcPr>
              <w:p w14:paraId="6780978B"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780</w:t>
                </w:r>
              </w:p>
            </w:tc>
            <w:tc>
              <w:tcPr>
                <w:tcW w:w="2080" w:type="dxa"/>
                <w:tcBorders>
                  <w:top w:val="nil"/>
                  <w:left w:val="nil"/>
                  <w:bottom w:val="single" w:sz="4" w:space="0" w:color="auto"/>
                  <w:right w:val="single" w:sz="4" w:space="0" w:color="auto"/>
                </w:tcBorders>
                <w:shd w:val="clear" w:color="auto" w:fill="auto"/>
                <w:noWrap/>
                <w:vAlign w:val="bottom"/>
                <w:hideMark/>
              </w:tcPr>
              <w:p w14:paraId="4B428B5C"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10–20</w:t>
                </w:r>
              </w:p>
            </w:tc>
            <w:tc>
              <w:tcPr>
                <w:tcW w:w="6380" w:type="dxa"/>
                <w:tcBorders>
                  <w:top w:val="nil"/>
                  <w:left w:val="nil"/>
                  <w:bottom w:val="single" w:sz="4" w:space="0" w:color="auto"/>
                  <w:right w:val="single" w:sz="4" w:space="0" w:color="auto"/>
                </w:tcBorders>
                <w:shd w:val="clear" w:color="auto" w:fill="auto"/>
                <w:noWrap/>
                <w:vAlign w:val="bottom"/>
                <w:hideMark/>
              </w:tcPr>
              <w:p w14:paraId="52E9166C"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Not meaningful due to EPS swing</w:t>
                </w:r>
              </w:p>
            </w:tc>
          </w:tr>
          <w:tr w:rsidR="00EF6417" w:rsidRPr="00347E38" w14:paraId="6A711841"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5CB38FC1"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Dividend Yield</w:t>
                </w:r>
              </w:p>
            </w:tc>
            <w:tc>
              <w:tcPr>
                <w:tcW w:w="1980" w:type="dxa"/>
                <w:tcBorders>
                  <w:top w:val="nil"/>
                  <w:left w:val="nil"/>
                  <w:bottom w:val="single" w:sz="4" w:space="0" w:color="auto"/>
                  <w:right w:val="single" w:sz="4" w:space="0" w:color="auto"/>
                </w:tcBorders>
                <w:shd w:val="clear" w:color="auto" w:fill="auto"/>
                <w:noWrap/>
                <w:vAlign w:val="bottom"/>
                <w:hideMark/>
              </w:tcPr>
              <w:p w14:paraId="6F9EBEDE"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2.21%</w:t>
                </w:r>
              </w:p>
            </w:tc>
            <w:tc>
              <w:tcPr>
                <w:tcW w:w="2080" w:type="dxa"/>
                <w:tcBorders>
                  <w:top w:val="nil"/>
                  <w:left w:val="nil"/>
                  <w:bottom w:val="single" w:sz="4" w:space="0" w:color="auto"/>
                  <w:right w:val="single" w:sz="4" w:space="0" w:color="auto"/>
                </w:tcBorders>
                <w:shd w:val="clear" w:color="auto" w:fill="auto"/>
                <w:noWrap/>
                <w:vAlign w:val="bottom"/>
                <w:hideMark/>
              </w:tcPr>
              <w:p w14:paraId="380D5019"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2–4%</w:t>
                </w:r>
              </w:p>
            </w:tc>
            <w:tc>
              <w:tcPr>
                <w:tcW w:w="6380" w:type="dxa"/>
                <w:tcBorders>
                  <w:top w:val="nil"/>
                  <w:left w:val="nil"/>
                  <w:bottom w:val="single" w:sz="4" w:space="0" w:color="auto"/>
                  <w:right w:val="single" w:sz="4" w:space="0" w:color="auto"/>
                </w:tcBorders>
                <w:shd w:val="clear" w:color="auto" w:fill="auto"/>
                <w:noWrap/>
                <w:vAlign w:val="bottom"/>
                <w:hideMark/>
              </w:tcPr>
              <w:p w14:paraId="71C695E3"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Within benchmark</w:t>
                </w:r>
              </w:p>
            </w:tc>
          </w:tr>
          <w:tr w:rsidR="00EF6417" w:rsidRPr="00347E38" w14:paraId="657EA00F" w14:textId="77777777" w:rsidTr="00EF6417">
            <w:trPr>
              <w:trHeight w:val="320"/>
            </w:trPr>
            <w:tc>
              <w:tcPr>
                <w:tcW w:w="3779" w:type="dxa"/>
                <w:tcBorders>
                  <w:top w:val="nil"/>
                  <w:left w:val="single" w:sz="4" w:space="0" w:color="auto"/>
                  <w:bottom w:val="single" w:sz="4" w:space="0" w:color="auto"/>
                  <w:right w:val="single" w:sz="4" w:space="0" w:color="auto"/>
                </w:tcBorders>
                <w:shd w:val="clear" w:color="auto" w:fill="auto"/>
                <w:noWrap/>
                <w:vAlign w:val="bottom"/>
                <w:hideMark/>
              </w:tcPr>
              <w:p w14:paraId="0FBC59F2" w14:textId="77777777" w:rsidR="00EF6417" w:rsidRPr="000925C0" w:rsidRDefault="00EF6417" w:rsidP="00EF6417">
                <w:pPr>
                  <w:spacing w:after="160" w:line="259" w:lineRule="auto"/>
                  <w:rPr>
                    <w:rFonts w:asciiTheme="minorHAnsi" w:hAnsiTheme="minorHAnsi" w:cstheme="minorHAnsi"/>
                    <w:b/>
                    <w:bCs/>
                  </w:rPr>
                </w:pPr>
                <w:r w:rsidRPr="000925C0">
                  <w:rPr>
                    <w:rFonts w:asciiTheme="minorHAnsi" w:hAnsiTheme="minorHAnsi" w:cstheme="minorHAnsi"/>
                    <w:b/>
                    <w:bCs/>
                  </w:rPr>
                  <w:t>Dividend Cover</w:t>
                </w:r>
              </w:p>
            </w:tc>
            <w:tc>
              <w:tcPr>
                <w:tcW w:w="1980" w:type="dxa"/>
                <w:tcBorders>
                  <w:top w:val="nil"/>
                  <w:left w:val="nil"/>
                  <w:bottom w:val="single" w:sz="4" w:space="0" w:color="auto"/>
                  <w:right w:val="single" w:sz="4" w:space="0" w:color="auto"/>
                </w:tcBorders>
                <w:shd w:val="clear" w:color="auto" w:fill="auto"/>
                <w:noWrap/>
                <w:vAlign w:val="bottom"/>
                <w:hideMark/>
              </w:tcPr>
              <w:p w14:paraId="47D354B5"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2.06</w:t>
                </w:r>
              </w:p>
            </w:tc>
            <w:tc>
              <w:tcPr>
                <w:tcW w:w="2080" w:type="dxa"/>
                <w:tcBorders>
                  <w:top w:val="nil"/>
                  <w:left w:val="nil"/>
                  <w:bottom w:val="single" w:sz="4" w:space="0" w:color="auto"/>
                  <w:right w:val="single" w:sz="4" w:space="0" w:color="auto"/>
                </w:tcBorders>
                <w:shd w:val="clear" w:color="auto" w:fill="auto"/>
                <w:noWrap/>
                <w:vAlign w:val="bottom"/>
                <w:hideMark/>
              </w:tcPr>
              <w:p w14:paraId="11657BA6"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2.0–2.5</w:t>
                </w:r>
              </w:p>
            </w:tc>
            <w:tc>
              <w:tcPr>
                <w:tcW w:w="6380" w:type="dxa"/>
                <w:tcBorders>
                  <w:top w:val="nil"/>
                  <w:left w:val="nil"/>
                  <w:bottom w:val="single" w:sz="4" w:space="0" w:color="auto"/>
                  <w:right w:val="single" w:sz="4" w:space="0" w:color="auto"/>
                </w:tcBorders>
                <w:shd w:val="clear" w:color="auto" w:fill="auto"/>
                <w:noWrap/>
                <w:vAlign w:val="bottom"/>
                <w:hideMark/>
              </w:tcPr>
              <w:p w14:paraId="7D454540" w14:textId="77777777" w:rsidR="00EF6417" w:rsidRPr="000925C0" w:rsidRDefault="00EF6417" w:rsidP="00EF6417">
                <w:pPr>
                  <w:spacing w:after="160" w:line="259" w:lineRule="auto"/>
                  <w:rPr>
                    <w:rFonts w:asciiTheme="minorHAnsi" w:hAnsiTheme="minorHAnsi" w:cstheme="minorHAnsi"/>
                  </w:rPr>
                </w:pPr>
                <w:r w:rsidRPr="000925C0">
                  <w:rPr>
                    <w:rFonts w:asciiTheme="minorHAnsi" w:hAnsiTheme="minorHAnsi" w:cstheme="minorHAnsi"/>
                  </w:rPr>
                  <w:t>Strong cover</w:t>
                </w:r>
              </w:p>
            </w:tc>
          </w:tr>
        </w:tbl>
        <w:p w14:paraId="7153AC06" w14:textId="77777777" w:rsidR="00321DC1" w:rsidRPr="00347E38" w:rsidRDefault="00321DC1" w:rsidP="00321DC1">
          <w:pPr>
            <w:ind w:firstLine="720"/>
            <w:rPr>
              <w:rFonts w:asciiTheme="minorHAnsi" w:hAnsiTheme="minorHAnsi" w:cstheme="minorHAnsi"/>
            </w:rPr>
          </w:pPr>
        </w:p>
        <w:p w14:paraId="4A80F968" w14:textId="77777777" w:rsidR="00A151CD" w:rsidRPr="00347E38" w:rsidRDefault="00A151CD" w:rsidP="00913E4A">
          <w:pPr>
            <w:rPr>
              <w:rFonts w:asciiTheme="minorHAnsi" w:hAnsiTheme="minorHAnsi" w:cstheme="minorHAnsi"/>
            </w:rPr>
          </w:pPr>
        </w:p>
        <w:p w14:paraId="50EFD4D3" w14:textId="77777777" w:rsidR="004E2A91" w:rsidRPr="00347E38" w:rsidRDefault="004E2A91" w:rsidP="004E2A91">
          <w:pPr>
            <w:rPr>
              <w:rFonts w:asciiTheme="minorHAnsi" w:hAnsiTheme="minorHAnsi" w:cstheme="minorHAnsi"/>
            </w:rPr>
          </w:pPr>
        </w:p>
        <w:p w14:paraId="1BC48A21" w14:textId="77777777" w:rsidR="004E2A91" w:rsidRPr="00347E38" w:rsidRDefault="004E2A91" w:rsidP="004E2A91">
          <w:pPr>
            <w:rPr>
              <w:rFonts w:asciiTheme="minorHAnsi" w:hAnsiTheme="minorHAnsi" w:cstheme="minorHAnsi"/>
              <w:b/>
              <w:bCs/>
              <w:u w:val="single"/>
            </w:rPr>
          </w:pPr>
          <w:r w:rsidRPr="00347E38">
            <w:rPr>
              <w:rFonts w:asciiTheme="minorHAnsi" w:hAnsiTheme="minorHAnsi" w:cstheme="minorHAnsi"/>
              <w:b/>
              <w:bCs/>
              <w:u w:val="single"/>
            </w:rPr>
            <w:t>Appendix D: FULL RATIO CALCULATIONS FOR TESCO (2023 &amp; 2024)</w:t>
          </w:r>
        </w:p>
        <w:p w14:paraId="2E58FE7E" w14:textId="02A6B850" w:rsidR="00A151CD" w:rsidRPr="00347E38" w:rsidRDefault="00A151CD" w:rsidP="000925C0">
          <w:pPr>
            <w:rPr>
              <w:rFonts w:asciiTheme="minorHAnsi" w:hAnsiTheme="minorHAnsi" w:cstheme="minorHAnsi"/>
              <w:b/>
              <w:bCs/>
              <w:u w:val="single"/>
            </w:rPr>
          </w:pPr>
        </w:p>
        <w:tbl>
          <w:tblPr>
            <w:tblW w:w="8756" w:type="dxa"/>
            <w:tblLook w:val="04A0" w:firstRow="1" w:lastRow="0" w:firstColumn="1" w:lastColumn="0" w:noHBand="0" w:noVBand="1"/>
          </w:tblPr>
          <w:tblGrid>
            <w:gridCol w:w="6156"/>
            <w:gridCol w:w="1300"/>
            <w:gridCol w:w="1300"/>
          </w:tblGrid>
          <w:tr w:rsidR="00D50B4B" w:rsidRPr="00D50B4B" w14:paraId="7842F502" w14:textId="77777777" w:rsidTr="00D3189B">
            <w:trPr>
              <w:trHeight w:val="320"/>
            </w:trPr>
            <w:tc>
              <w:tcPr>
                <w:tcW w:w="61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FC295E" w14:textId="77777777" w:rsidR="00D50B4B" w:rsidRPr="00D50B4B" w:rsidRDefault="00D50B4B" w:rsidP="00D50B4B">
                <w:pPr>
                  <w:rPr>
                    <w:rFonts w:asciiTheme="minorHAnsi" w:hAnsiTheme="minorHAnsi" w:cstheme="minorHAnsi"/>
                    <w:i/>
                    <w:iCs/>
                    <w:color w:val="000000"/>
                  </w:rPr>
                </w:pPr>
                <w:r w:rsidRPr="00D50B4B">
                  <w:rPr>
                    <w:rFonts w:asciiTheme="minorHAnsi" w:hAnsiTheme="minorHAnsi" w:cstheme="minorHAnsi"/>
                    <w:i/>
                    <w:iCs/>
                    <w:color w:val="000000"/>
                  </w:rPr>
                  <w:t>(All values in £ millions unless stated otherwise)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1CBF581"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8964788"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216E4244"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3BBE4E4E"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0ECED47D"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2FBA8432"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06E7648C"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1DF0E4DA"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3D8830E0"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2CC7C543"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30B89735" w14:textId="77777777" w:rsidTr="00D3189B">
            <w:trPr>
              <w:trHeight w:val="44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7609141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5554B043" w14:textId="77777777" w:rsidR="00D50B4B" w:rsidRPr="00D50B4B" w:rsidRDefault="00D50B4B" w:rsidP="00D50B4B">
                <w:pPr>
                  <w:jc w:val="right"/>
                  <w:rPr>
                    <w:rFonts w:asciiTheme="minorHAnsi" w:hAnsiTheme="minorHAnsi" w:cstheme="minorHAnsi"/>
                    <w:b/>
                    <w:bCs/>
                    <w:color w:val="000000"/>
                    <w:sz w:val="32"/>
                    <w:szCs w:val="32"/>
                  </w:rPr>
                </w:pPr>
                <w:r w:rsidRPr="00D50B4B">
                  <w:rPr>
                    <w:rFonts w:asciiTheme="minorHAnsi" w:hAnsiTheme="minorHAnsi" w:cstheme="minorHAnsi"/>
                    <w:b/>
                    <w:bCs/>
                    <w:color w:val="000000"/>
                    <w:sz w:val="32"/>
                    <w:szCs w:val="32"/>
                  </w:rPr>
                  <w:t>2023</w:t>
                </w:r>
              </w:p>
            </w:tc>
            <w:tc>
              <w:tcPr>
                <w:tcW w:w="1300" w:type="dxa"/>
                <w:tcBorders>
                  <w:top w:val="nil"/>
                  <w:left w:val="nil"/>
                  <w:bottom w:val="single" w:sz="4" w:space="0" w:color="auto"/>
                  <w:right w:val="single" w:sz="4" w:space="0" w:color="auto"/>
                </w:tcBorders>
                <w:shd w:val="clear" w:color="auto" w:fill="auto"/>
                <w:noWrap/>
                <w:vAlign w:val="bottom"/>
                <w:hideMark/>
              </w:tcPr>
              <w:p w14:paraId="2CFAE890" w14:textId="77777777" w:rsidR="00D50B4B" w:rsidRPr="00D50B4B" w:rsidRDefault="00D50B4B" w:rsidP="00D50B4B">
                <w:pPr>
                  <w:jc w:val="right"/>
                  <w:rPr>
                    <w:rFonts w:asciiTheme="minorHAnsi" w:hAnsiTheme="minorHAnsi" w:cstheme="minorHAnsi"/>
                    <w:b/>
                    <w:bCs/>
                    <w:color w:val="000000"/>
                    <w:sz w:val="32"/>
                    <w:szCs w:val="32"/>
                  </w:rPr>
                </w:pPr>
                <w:r w:rsidRPr="00D50B4B">
                  <w:rPr>
                    <w:rFonts w:asciiTheme="minorHAnsi" w:hAnsiTheme="minorHAnsi" w:cstheme="minorHAnsi"/>
                    <w:b/>
                    <w:bCs/>
                    <w:color w:val="000000"/>
                    <w:sz w:val="32"/>
                    <w:szCs w:val="32"/>
                  </w:rPr>
                  <w:t>2024</w:t>
                </w:r>
              </w:p>
            </w:tc>
          </w:tr>
          <w:tr w:rsidR="00D50B4B" w:rsidRPr="00D50B4B" w14:paraId="074F4225" w14:textId="77777777" w:rsidTr="00D3189B">
            <w:trPr>
              <w:trHeight w:val="48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348D9D41" w14:textId="77777777" w:rsidR="00D50B4B" w:rsidRPr="00D50B4B" w:rsidRDefault="00D50B4B" w:rsidP="00D50B4B">
                <w:pPr>
                  <w:rPr>
                    <w:rFonts w:asciiTheme="minorHAnsi" w:hAnsiTheme="minorHAnsi" w:cstheme="minorHAnsi"/>
                    <w:b/>
                    <w:bCs/>
                    <w:color w:val="000000"/>
                    <w:sz w:val="36"/>
                    <w:szCs w:val="36"/>
                  </w:rPr>
                </w:pPr>
                <w:r w:rsidRPr="00D50B4B">
                  <w:rPr>
                    <w:rFonts w:asciiTheme="minorHAnsi" w:hAnsiTheme="minorHAnsi" w:cstheme="minorHAnsi"/>
                    <w:b/>
                    <w:bCs/>
                    <w:color w:val="000000"/>
                    <w:sz w:val="36"/>
                    <w:szCs w:val="36"/>
                  </w:rPr>
                  <w:t>1. Profitability Ratios</w:t>
                </w:r>
              </w:p>
            </w:tc>
            <w:tc>
              <w:tcPr>
                <w:tcW w:w="1300" w:type="dxa"/>
                <w:tcBorders>
                  <w:top w:val="nil"/>
                  <w:left w:val="nil"/>
                  <w:bottom w:val="single" w:sz="4" w:space="0" w:color="auto"/>
                  <w:right w:val="single" w:sz="4" w:space="0" w:color="auto"/>
                </w:tcBorders>
                <w:shd w:val="clear" w:color="auto" w:fill="auto"/>
                <w:noWrap/>
                <w:vAlign w:val="bottom"/>
                <w:hideMark/>
              </w:tcPr>
              <w:p w14:paraId="37D687A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3C1EDE9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2A968073"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06A94AC1"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1.1 Gross Profit Margin = Gross Profit / Revenue</w:t>
                </w:r>
              </w:p>
            </w:tc>
            <w:tc>
              <w:tcPr>
                <w:tcW w:w="1300" w:type="dxa"/>
                <w:tcBorders>
                  <w:top w:val="nil"/>
                  <w:left w:val="nil"/>
                  <w:bottom w:val="single" w:sz="4" w:space="0" w:color="auto"/>
                  <w:right w:val="single" w:sz="4" w:space="0" w:color="auto"/>
                </w:tcBorders>
                <w:shd w:val="clear" w:color="auto" w:fill="auto"/>
                <w:noWrap/>
                <w:vAlign w:val="bottom"/>
                <w:hideMark/>
              </w:tcPr>
              <w:p w14:paraId="27A58244"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13832E5E"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7F752174"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6ACA8D5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4,690 / 65,762 = 0.0713)</w:t>
                </w:r>
              </w:p>
            </w:tc>
            <w:tc>
              <w:tcPr>
                <w:tcW w:w="1300" w:type="dxa"/>
                <w:tcBorders>
                  <w:top w:val="nil"/>
                  <w:left w:val="nil"/>
                  <w:bottom w:val="single" w:sz="4" w:space="0" w:color="auto"/>
                  <w:right w:val="single" w:sz="4" w:space="0" w:color="auto"/>
                </w:tcBorders>
                <w:shd w:val="clear" w:color="auto" w:fill="auto"/>
                <w:noWrap/>
                <w:vAlign w:val="bottom"/>
                <w:hideMark/>
              </w:tcPr>
              <w:p w14:paraId="779E6E4B"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7.13%</w:t>
                </w:r>
              </w:p>
            </w:tc>
            <w:tc>
              <w:tcPr>
                <w:tcW w:w="1300" w:type="dxa"/>
                <w:tcBorders>
                  <w:top w:val="nil"/>
                  <w:left w:val="nil"/>
                  <w:bottom w:val="single" w:sz="4" w:space="0" w:color="auto"/>
                  <w:right w:val="single" w:sz="4" w:space="0" w:color="auto"/>
                </w:tcBorders>
                <w:shd w:val="clear" w:color="auto" w:fill="auto"/>
                <w:noWrap/>
                <w:vAlign w:val="bottom"/>
                <w:hideMark/>
              </w:tcPr>
              <w:p w14:paraId="13FA2BF5"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039EBF33"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4B915BF9"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4,849 / 68,187 = 0.711</w:t>
                </w:r>
              </w:p>
            </w:tc>
            <w:tc>
              <w:tcPr>
                <w:tcW w:w="1300" w:type="dxa"/>
                <w:tcBorders>
                  <w:top w:val="nil"/>
                  <w:left w:val="nil"/>
                  <w:bottom w:val="single" w:sz="4" w:space="0" w:color="auto"/>
                  <w:right w:val="single" w:sz="4" w:space="0" w:color="auto"/>
                </w:tcBorders>
                <w:shd w:val="clear" w:color="auto" w:fill="auto"/>
                <w:noWrap/>
                <w:vAlign w:val="bottom"/>
                <w:hideMark/>
              </w:tcPr>
              <w:p w14:paraId="22822A76"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76A3C3E2"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7.11%</w:t>
                </w:r>
              </w:p>
            </w:tc>
          </w:tr>
          <w:tr w:rsidR="00D50B4B" w:rsidRPr="00D50B4B" w14:paraId="7ED41249"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7C19B202" w14:textId="77777777" w:rsidR="00D50B4B" w:rsidRPr="00D50B4B" w:rsidRDefault="00D50B4B" w:rsidP="00D50B4B">
                <w:pPr>
                  <w:rPr>
                    <w:rFonts w:asciiTheme="minorHAnsi" w:hAnsiTheme="minorHAnsi" w:cstheme="minorHAnsi"/>
                    <w:b/>
                    <w:bCs/>
                    <w:color w:val="000000"/>
                  </w:rPr>
                </w:pPr>
                <w:r w:rsidRPr="00D50B4B">
                  <w:rPr>
                    <w:rFonts w:asciiTheme="minorHAnsi" w:hAnsiTheme="minorHAnsi" w:cstheme="minorHAnsi"/>
                    <w:b/>
                    <w:bCs/>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00CEF68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1ED57AC8"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7607A6E4"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28CE78BD"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1.2 Operating Profit Margin = EBIT / Revenue</w:t>
                </w:r>
              </w:p>
            </w:tc>
            <w:tc>
              <w:tcPr>
                <w:tcW w:w="1300" w:type="dxa"/>
                <w:tcBorders>
                  <w:top w:val="nil"/>
                  <w:left w:val="nil"/>
                  <w:bottom w:val="single" w:sz="4" w:space="0" w:color="auto"/>
                  <w:right w:val="single" w:sz="4" w:space="0" w:color="auto"/>
                </w:tcBorders>
                <w:shd w:val="clear" w:color="auto" w:fill="auto"/>
                <w:noWrap/>
                <w:vAlign w:val="bottom"/>
                <w:hideMark/>
              </w:tcPr>
              <w:p w14:paraId="13FAB046"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13491718"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25958F0B"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1E9A7B5B"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2,630 / 65,762 = 0.0399)</w:t>
                </w:r>
              </w:p>
            </w:tc>
            <w:tc>
              <w:tcPr>
                <w:tcW w:w="1300" w:type="dxa"/>
                <w:tcBorders>
                  <w:top w:val="nil"/>
                  <w:left w:val="nil"/>
                  <w:bottom w:val="single" w:sz="4" w:space="0" w:color="auto"/>
                  <w:right w:val="single" w:sz="4" w:space="0" w:color="auto"/>
                </w:tcBorders>
                <w:shd w:val="clear" w:color="auto" w:fill="auto"/>
                <w:noWrap/>
                <w:vAlign w:val="bottom"/>
                <w:hideMark/>
              </w:tcPr>
              <w:p w14:paraId="277B1592"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4.00%</w:t>
                </w:r>
              </w:p>
            </w:tc>
            <w:tc>
              <w:tcPr>
                <w:tcW w:w="1300" w:type="dxa"/>
                <w:tcBorders>
                  <w:top w:val="nil"/>
                  <w:left w:val="nil"/>
                  <w:bottom w:val="single" w:sz="4" w:space="0" w:color="auto"/>
                  <w:right w:val="single" w:sz="4" w:space="0" w:color="auto"/>
                </w:tcBorders>
                <w:shd w:val="clear" w:color="auto" w:fill="auto"/>
                <w:noWrap/>
                <w:vAlign w:val="bottom"/>
                <w:hideMark/>
              </w:tcPr>
              <w:p w14:paraId="37F74EC4"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6ADE638C"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759D6AAA"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lastRenderedPageBreak/>
                  <w:t>(= 2.821 / 68,187 = 0.414)</w:t>
                </w:r>
              </w:p>
            </w:tc>
            <w:tc>
              <w:tcPr>
                <w:tcW w:w="1300" w:type="dxa"/>
                <w:tcBorders>
                  <w:top w:val="nil"/>
                  <w:left w:val="nil"/>
                  <w:bottom w:val="single" w:sz="4" w:space="0" w:color="auto"/>
                  <w:right w:val="single" w:sz="4" w:space="0" w:color="auto"/>
                </w:tcBorders>
                <w:shd w:val="clear" w:color="auto" w:fill="auto"/>
                <w:noWrap/>
                <w:vAlign w:val="bottom"/>
                <w:hideMark/>
              </w:tcPr>
              <w:p w14:paraId="3311FB83"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53EA9EE4"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4.14%</w:t>
                </w:r>
              </w:p>
            </w:tc>
          </w:tr>
          <w:tr w:rsidR="00D50B4B" w:rsidRPr="00D50B4B" w14:paraId="084D8F17"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709DE014"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73AA4098"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657D059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5801B59A"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22770F2B"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1.3 Net Profit Margin = Net Profit / Revenue</w:t>
                </w:r>
              </w:p>
            </w:tc>
            <w:tc>
              <w:tcPr>
                <w:tcW w:w="1300" w:type="dxa"/>
                <w:tcBorders>
                  <w:top w:val="nil"/>
                  <w:left w:val="nil"/>
                  <w:bottom w:val="single" w:sz="4" w:space="0" w:color="auto"/>
                  <w:right w:val="single" w:sz="4" w:space="0" w:color="auto"/>
                </w:tcBorders>
                <w:shd w:val="clear" w:color="auto" w:fill="auto"/>
                <w:noWrap/>
                <w:vAlign w:val="bottom"/>
                <w:hideMark/>
              </w:tcPr>
              <w:p w14:paraId="4C8DA5BC"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711BF13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26451F01"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54A0C111"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737 / 65,762 = 0.0112)</w:t>
                </w:r>
              </w:p>
            </w:tc>
            <w:tc>
              <w:tcPr>
                <w:tcW w:w="1300" w:type="dxa"/>
                <w:tcBorders>
                  <w:top w:val="nil"/>
                  <w:left w:val="nil"/>
                  <w:bottom w:val="single" w:sz="4" w:space="0" w:color="auto"/>
                  <w:right w:val="single" w:sz="4" w:space="0" w:color="auto"/>
                </w:tcBorders>
                <w:shd w:val="clear" w:color="auto" w:fill="auto"/>
                <w:noWrap/>
                <w:vAlign w:val="bottom"/>
                <w:hideMark/>
              </w:tcPr>
              <w:p w14:paraId="361B8723"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1.12%</w:t>
                </w:r>
              </w:p>
            </w:tc>
            <w:tc>
              <w:tcPr>
                <w:tcW w:w="1300" w:type="dxa"/>
                <w:tcBorders>
                  <w:top w:val="nil"/>
                  <w:left w:val="nil"/>
                  <w:bottom w:val="single" w:sz="4" w:space="0" w:color="auto"/>
                  <w:right w:val="single" w:sz="4" w:space="0" w:color="auto"/>
                </w:tcBorders>
                <w:shd w:val="clear" w:color="auto" w:fill="auto"/>
                <w:noWrap/>
                <w:vAlign w:val="bottom"/>
                <w:hideMark/>
              </w:tcPr>
              <w:p w14:paraId="591C1B03"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017F5C23"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44C325D5"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1,764 / 68,187 = 0.0259)</w:t>
                </w:r>
              </w:p>
            </w:tc>
            <w:tc>
              <w:tcPr>
                <w:tcW w:w="1300" w:type="dxa"/>
                <w:tcBorders>
                  <w:top w:val="nil"/>
                  <w:left w:val="nil"/>
                  <w:bottom w:val="single" w:sz="4" w:space="0" w:color="auto"/>
                  <w:right w:val="single" w:sz="4" w:space="0" w:color="auto"/>
                </w:tcBorders>
                <w:shd w:val="clear" w:color="auto" w:fill="auto"/>
                <w:noWrap/>
                <w:vAlign w:val="bottom"/>
                <w:hideMark/>
              </w:tcPr>
              <w:p w14:paraId="0D8F2643"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47BB8F90"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2.59%</w:t>
                </w:r>
              </w:p>
            </w:tc>
          </w:tr>
          <w:tr w:rsidR="00D50B4B" w:rsidRPr="00D50B4B" w14:paraId="3F6A2EED"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0DFE4F82"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703CE8D2"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6BBCA74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61ABA427"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679715BC"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1.4 Return On Assets (ROA) = Net Profit / Total Assets </w:t>
                </w:r>
              </w:p>
            </w:tc>
            <w:tc>
              <w:tcPr>
                <w:tcW w:w="1300" w:type="dxa"/>
                <w:tcBorders>
                  <w:top w:val="nil"/>
                  <w:left w:val="nil"/>
                  <w:bottom w:val="single" w:sz="4" w:space="0" w:color="auto"/>
                  <w:right w:val="single" w:sz="4" w:space="0" w:color="auto"/>
                </w:tcBorders>
                <w:shd w:val="clear" w:color="auto" w:fill="auto"/>
                <w:noWrap/>
                <w:vAlign w:val="bottom"/>
                <w:hideMark/>
              </w:tcPr>
              <w:p w14:paraId="2A29ACC2"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1BD551B1"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69F41652"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10C5567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737 / 45,870 = 0.0161)</w:t>
                </w:r>
              </w:p>
            </w:tc>
            <w:tc>
              <w:tcPr>
                <w:tcW w:w="1300" w:type="dxa"/>
                <w:tcBorders>
                  <w:top w:val="nil"/>
                  <w:left w:val="nil"/>
                  <w:bottom w:val="single" w:sz="4" w:space="0" w:color="auto"/>
                  <w:right w:val="single" w:sz="4" w:space="0" w:color="auto"/>
                </w:tcBorders>
                <w:shd w:val="clear" w:color="auto" w:fill="auto"/>
                <w:noWrap/>
                <w:vAlign w:val="bottom"/>
                <w:hideMark/>
              </w:tcPr>
              <w:p w14:paraId="7D93EFF1"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1.61%</w:t>
                </w:r>
              </w:p>
            </w:tc>
            <w:tc>
              <w:tcPr>
                <w:tcW w:w="1300" w:type="dxa"/>
                <w:tcBorders>
                  <w:top w:val="nil"/>
                  <w:left w:val="nil"/>
                  <w:bottom w:val="single" w:sz="4" w:space="0" w:color="auto"/>
                  <w:right w:val="single" w:sz="4" w:space="0" w:color="auto"/>
                </w:tcBorders>
                <w:shd w:val="clear" w:color="auto" w:fill="auto"/>
                <w:noWrap/>
                <w:vAlign w:val="bottom"/>
                <w:hideMark/>
              </w:tcPr>
              <w:p w14:paraId="2F68FE64"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75D2FC05"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54093961"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1,764 / 47,040 = 0.0375)</w:t>
                </w:r>
              </w:p>
            </w:tc>
            <w:tc>
              <w:tcPr>
                <w:tcW w:w="1300" w:type="dxa"/>
                <w:tcBorders>
                  <w:top w:val="nil"/>
                  <w:left w:val="nil"/>
                  <w:bottom w:val="single" w:sz="4" w:space="0" w:color="auto"/>
                  <w:right w:val="single" w:sz="4" w:space="0" w:color="auto"/>
                </w:tcBorders>
                <w:shd w:val="clear" w:color="auto" w:fill="auto"/>
                <w:noWrap/>
                <w:vAlign w:val="bottom"/>
                <w:hideMark/>
              </w:tcPr>
              <w:p w14:paraId="00EB262B"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5823F0A0"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3.75%</w:t>
                </w:r>
              </w:p>
            </w:tc>
          </w:tr>
          <w:tr w:rsidR="00D50B4B" w:rsidRPr="00D50B4B" w14:paraId="02DC1828"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3A1B4593"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4348F8A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61793B12"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216615E2"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50975840"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1.5 Return On Equity (ROE) = Net Profit / Total Equity</w:t>
                </w:r>
              </w:p>
            </w:tc>
            <w:tc>
              <w:tcPr>
                <w:tcW w:w="1300" w:type="dxa"/>
                <w:tcBorders>
                  <w:top w:val="nil"/>
                  <w:left w:val="nil"/>
                  <w:bottom w:val="single" w:sz="4" w:space="0" w:color="auto"/>
                  <w:right w:val="single" w:sz="4" w:space="0" w:color="auto"/>
                </w:tcBorders>
                <w:shd w:val="clear" w:color="auto" w:fill="auto"/>
                <w:noWrap/>
                <w:vAlign w:val="bottom"/>
                <w:hideMark/>
              </w:tcPr>
              <w:p w14:paraId="59215F0D"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7048515B"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5831A312"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6462424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737 / 12,230 = 0.0603)</w:t>
                </w:r>
              </w:p>
            </w:tc>
            <w:tc>
              <w:tcPr>
                <w:tcW w:w="1300" w:type="dxa"/>
                <w:tcBorders>
                  <w:top w:val="nil"/>
                  <w:left w:val="nil"/>
                  <w:bottom w:val="single" w:sz="4" w:space="0" w:color="auto"/>
                  <w:right w:val="single" w:sz="4" w:space="0" w:color="auto"/>
                </w:tcBorders>
                <w:shd w:val="clear" w:color="auto" w:fill="auto"/>
                <w:noWrap/>
                <w:vAlign w:val="bottom"/>
                <w:hideMark/>
              </w:tcPr>
              <w:p w14:paraId="2896CE48"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6.03%</w:t>
                </w:r>
              </w:p>
            </w:tc>
            <w:tc>
              <w:tcPr>
                <w:tcW w:w="1300" w:type="dxa"/>
                <w:tcBorders>
                  <w:top w:val="nil"/>
                  <w:left w:val="nil"/>
                  <w:bottom w:val="single" w:sz="4" w:space="0" w:color="auto"/>
                  <w:right w:val="single" w:sz="4" w:space="0" w:color="auto"/>
                </w:tcBorders>
                <w:shd w:val="clear" w:color="auto" w:fill="auto"/>
                <w:noWrap/>
                <w:vAlign w:val="bottom"/>
                <w:hideMark/>
              </w:tcPr>
              <w:p w14:paraId="3C74641E"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7475F066"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0349D105"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1,764 / 11,665 = 0.1512)</w:t>
                </w:r>
              </w:p>
            </w:tc>
            <w:tc>
              <w:tcPr>
                <w:tcW w:w="1300" w:type="dxa"/>
                <w:tcBorders>
                  <w:top w:val="nil"/>
                  <w:left w:val="nil"/>
                  <w:bottom w:val="single" w:sz="4" w:space="0" w:color="auto"/>
                  <w:right w:val="single" w:sz="4" w:space="0" w:color="auto"/>
                </w:tcBorders>
                <w:shd w:val="clear" w:color="auto" w:fill="auto"/>
                <w:noWrap/>
                <w:vAlign w:val="bottom"/>
                <w:hideMark/>
              </w:tcPr>
              <w:p w14:paraId="41E45A5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706BD922"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15.12%</w:t>
                </w:r>
              </w:p>
            </w:tc>
          </w:tr>
          <w:tr w:rsidR="00D50B4B" w:rsidRPr="00D50B4B" w14:paraId="5D64F39D"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6B946D6A"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38367F28"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1DB900EB"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2157C708" w14:textId="77777777" w:rsidTr="00D3189B">
            <w:trPr>
              <w:trHeight w:val="48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04E2A960" w14:textId="77777777" w:rsidR="00D50B4B" w:rsidRPr="00D50B4B" w:rsidRDefault="00D50B4B" w:rsidP="00D50B4B">
                <w:pPr>
                  <w:rPr>
                    <w:rFonts w:asciiTheme="minorHAnsi" w:hAnsiTheme="minorHAnsi" w:cstheme="minorHAnsi"/>
                    <w:b/>
                    <w:bCs/>
                    <w:color w:val="000000"/>
                    <w:sz w:val="36"/>
                    <w:szCs w:val="36"/>
                  </w:rPr>
                </w:pPr>
                <w:r w:rsidRPr="00D50B4B">
                  <w:rPr>
                    <w:rFonts w:asciiTheme="minorHAnsi" w:hAnsiTheme="minorHAnsi" w:cstheme="minorHAnsi"/>
                    <w:b/>
                    <w:bCs/>
                    <w:color w:val="000000"/>
                    <w:sz w:val="36"/>
                    <w:szCs w:val="36"/>
                  </w:rPr>
                  <w:t>2. Liquidity Ratios</w:t>
                </w:r>
              </w:p>
            </w:tc>
            <w:tc>
              <w:tcPr>
                <w:tcW w:w="1300" w:type="dxa"/>
                <w:tcBorders>
                  <w:top w:val="nil"/>
                  <w:left w:val="nil"/>
                  <w:bottom w:val="single" w:sz="4" w:space="0" w:color="auto"/>
                  <w:right w:val="single" w:sz="4" w:space="0" w:color="auto"/>
                </w:tcBorders>
                <w:shd w:val="clear" w:color="auto" w:fill="auto"/>
                <w:noWrap/>
                <w:vAlign w:val="bottom"/>
                <w:hideMark/>
              </w:tcPr>
              <w:p w14:paraId="06888B7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3F5B0190"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5F8F9551"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3F7B4FF4"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2.1 Current Ratio = Current Assets / Current Liabilities</w:t>
                </w:r>
              </w:p>
            </w:tc>
            <w:tc>
              <w:tcPr>
                <w:tcW w:w="1300" w:type="dxa"/>
                <w:tcBorders>
                  <w:top w:val="nil"/>
                  <w:left w:val="nil"/>
                  <w:bottom w:val="single" w:sz="4" w:space="0" w:color="auto"/>
                  <w:right w:val="single" w:sz="4" w:space="0" w:color="auto"/>
                </w:tcBorders>
                <w:shd w:val="clear" w:color="auto" w:fill="auto"/>
                <w:noWrap/>
                <w:vAlign w:val="bottom"/>
                <w:hideMark/>
              </w:tcPr>
              <w:p w14:paraId="78B71981"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235A7036"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1DE4E871"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22602C21"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12,725 / 17,721 = 0.72)</w:t>
                </w:r>
              </w:p>
            </w:tc>
            <w:tc>
              <w:tcPr>
                <w:tcW w:w="1300" w:type="dxa"/>
                <w:tcBorders>
                  <w:top w:val="nil"/>
                  <w:left w:val="nil"/>
                  <w:bottom w:val="single" w:sz="4" w:space="0" w:color="auto"/>
                  <w:right w:val="single" w:sz="4" w:space="0" w:color="auto"/>
                </w:tcBorders>
                <w:shd w:val="clear" w:color="auto" w:fill="auto"/>
                <w:noWrap/>
                <w:vAlign w:val="bottom"/>
                <w:hideMark/>
              </w:tcPr>
              <w:p w14:paraId="5E89B073"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0.72</w:t>
                </w:r>
              </w:p>
            </w:tc>
            <w:tc>
              <w:tcPr>
                <w:tcW w:w="1300" w:type="dxa"/>
                <w:tcBorders>
                  <w:top w:val="nil"/>
                  <w:left w:val="nil"/>
                  <w:bottom w:val="single" w:sz="4" w:space="0" w:color="auto"/>
                  <w:right w:val="single" w:sz="4" w:space="0" w:color="auto"/>
                </w:tcBorders>
                <w:shd w:val="clear" w:color="auto" w:fill="auto"/>
                <w:noWrap/>
                <w:vAlign w:val="bottom"/>
                <w:hideMark/>
              </w:tcPr>
              <w:p w14:paraId="63430A09"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19807BB5"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71B6037A" w14:textId="4D9A4918"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 16,606 / </w:t>
                </w:r>
                <w:r w:rsidR="00B30F7C">
                  <w:rPr>
                    <w:rFonts w:asciiTheme="minorHAnsi" w:hAnsiTheme="minorHAnsi" w:cstheme="minorHAnsi"/>
                    <w:color w:val="000000"/>
                  </w:rPr>
                  <w:t>20,472</w:t>
                </w:r>
                <w:r w:rsidRPr="00D50B4B">
                  <w:rPr>
                    <w:rFonts w:asciiTheme="minorHAnsi" w:hAnsiTheme="minorHAnsi" w:cstheme="minorHAnsi"/>
                    <w:color w:val="000000"/>
                  </w:rPr>
                  <w:t xml:space="preserve"> = </w:t>
                </w:r>
                <w:r w:rsidR="00F31C27">
                  <w:rPr>
                    <w:rFonts w:asciiTheme="minorHAnsi" w:hAnsiTheme="minorHAnsi" w:cstheme="minorHAnsi"/>
                    <w:color w:val="000000"/>
                  </w:rPr>
                  <w:t>0.81</w:t>
                </w:r>
                <w:r w:rsidRPr="00D50B4B">
                  <w:rPr>
                    <w:rFonts w:asciiTheme="minorHAnsi" w:hAnsiTheme="minorHAnsi" w:cstheme="minorHAnsi"/>
                    <w:color w:val="000000"/>
                  </w:rPr>
                  <w:t>)</w:t>
                </w:r>
              </w:p>
            </w:tc>
            <w:tc>
              <w:tcPr>
                <w:tcW w:w="1300" w:type="dxa"/>
                <w:tcBorders>
                  <w:top w:val="nil"/>
                  <w:left w:val="nil"/>
                  <w:bottom w:val="single" w:sz="4" w:space="0" w:color="auto"/>
                  <w:right w:val="single" w:sz="4" w:space="0" w:color="auto"/>
                </w:tcBorders>
                <w:shd w:val="clear" w:color="auto" w:fill="auto"/>
                <w:noWrap/>
                <w:vAlign w:val="bottom"/>
                <w:hideMark/>
              </w:tcPr>
              <w:p w14:paraId="6EB043A6"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7B201988" w14:textId="3EF112CF" w:rsidR="00D50B4B" w:rsidRPr="00D50B4B" w:rsidRDefault="00F31C27" w:rsidP="00D50B4B">
                <w:pPr>
                  <w:jc w:val="right"/>
                  <w:rPr>
                    <w:rFonts w:asciiTheme="minorHAnsi" w:hAnsiTheme="minorHAnsi" w:cstheme="minorHAnsi"/>
                    <w:color w:val="000000"/>
                  </w:rPr>
                </w:pPr>
                <w:r>
                  <w:rPr>
                    <w:rFonts w:asciiTheme="minorHAnsi" w:hAnsiTheme="minorHAnsi" w:cstheme="minorHAnsi"/>
                    <w:color w:val="000000"/>
                  </w:rPr>
                  <w:t>0.81</w:t>
                </w:r>
              </w:p>
            </w:tc>
          </w:tr>
          <w:tr w:rsidR="00D50B4B" w:rsidRPr="00D50B4B" w14:paraId="29736D5A"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7116879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085DD9CC"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13792454"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3FE1B3C9"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4C36F06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2.2 Quick Ratio = (Current Assets - Inventory) / Current Liabilities </w:t>
                </w:r>
              </w:p>
            </w:tc>
            <w:tc>
              <w:tcPr>
                <w:tcW w:w="1300" w:type="dxa"/>
                <w:tcBorders>
                  <w:top w:val="nil"/>
                  <w:left w:val="nil"/>
                  <w:bottom w:val="single" w:sz="4" w:space="0" w:color="auto"/>
                  <w:right w:val="single" w:sz="4" w:space="0" w:color="auto"/>
                </w:tcBorders>
                <w:shd w:val="clear" w:color="auto" w:fill="auto"/>
                <w:noWrap/>
                <w:vAlign w:val="bottom"/>
                <w:hideMark/>
              </w:tcPr>
              <w:p w14:paraId="72B2AAE3"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4B52BB21"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4F3A0D17"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50BAF4D8"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 = (12,725 - 2,510) / 17,721 = 10,215 / 17,721 </w:t>
                </w:r>
              </w:p>
            </w:tc>
            <w:tc>
              <w:tcPr>
                <w:tcW w:w="1300" w:type="dxa"/>
                <w:tcBorders>
                  <w:top w:val="nil"/>
                  <w:left w:val="nil"/>
                  <w:bottom w:val="single" w:sz="4" w:space="0" w:color="auto"/>
                  <w:right w:val="single" w:sz="4" w:space="0" w:color="auto"/>
                </w:tcBorders>
                <w:shd w:val="clear" w:color="auto" w:fill="auto"/>
                <w:noWrap/>
                <w:vAlign w:val="bottom"/>
                <w:hideMark/>
              </w:tcPr>
              <w:p w14:paraId="2F4FDF9B"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0.58</w:t>
                </w:r>
              </w:p>
            </w:tc>
            <w:tc>
              <w:tcPr>
                <w:tcW w:w="1300" w:type="dxa"/>
                <w:tcBorders>
                  <w:top w:val="nil"/>
                  <w:left w:val="nil"/>
                  <w:bottom w:val="single" w:sz="4" w:space="0" w:color="auto"/>
                  <w:right w:val="single" w:sz="4" w:space="0" w:color="auto"/>
                </w:tcBorders>
                <w:shd w:val="clear" w:color="auto" w:fill="auto"/>
                <w:noWrap/>
                <w:vAlign w:val="bottom"/>
                <w:hideMark/>
              </w:tcPr>
              <w:p w14:paraId="26420EA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3E3BCE42"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01150A12" w14:textId="7790AB0D"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 = (16,606 - 2,635) / </w:t>
                </w:r>
                <w:r w:rsidR="00AD6993">
                  <w:rPr>
                    <w:rFonts w:asciiTheme="minorHAnsi" w:hAnsiTheme="minorHAnsi" w:cstheme="minorHAnsi"/>
                    <w:color w:val="000000"/>
                  </w:rPr>
                  <w:t>20,472</w:t>
                </w:r>
                <w:r w:rsidRPr="00D50B4B">
                  <w:rPr>
                    <w:rFonts w:asciiTheme="minorHAnsi" w:hAnsiTheme="minorHAnsi" w:cstheme="minorHAnsi"/>
                    <w:color w:val="000000"/>
                  </w:rPr>
                  <w:t xml:space="preserve"> = 13,971 / </w:t>
                </w:r>
                <w:r w:rsidR="00AD6993">
                  <w:rPr>
                    <w:rFonts w:asciiTheme="minorHAnsi" w:hAnsiTheme="minorHAnsi" w:cstheme="minorHAnsi"/>
                    <w:color w:val="000000"/>
                  </w:rPr>
                  <w:t>20,472</w:t>
                </w:r>
              </w:p>
            </w:tc>
            <w:tc>
              <w:tcPr>
                <w:tcW w:w="1300" w:type="dxa"/>
                <w:tcBorders>
                  <w:top w:val="nil"/>
                  <w:left w:val="nil"/>
                  <w:bottom w:val="single" w:sz="4" w:space="0" w:color="auto"/>
                  <w:right w:val="single" w:sz="4" w:space="0" w:color="auto"/>
                </w:tcBorders>
                <w:shd w:val="clear" w:color="auto" w:fill="auto"/>
                <w:noWrap/>
                <w:vAlign w:val="bottom"/>
                <w:hideMark/>
              </w:tcPr>
              <w:p w14:paraId="1F2FF86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0E5A6E07" w14:textId="7B4F2560" w:rsidR="00D50B4B" w:rsidRPr="00D50B4B" w:rsidRDefault="00A27B19" w:rsidP="00D50B4B">
                <w:pPr>
                  <w:jc w:val="right"/>
                  <w:rPr>
                    <w:rFonts w:asciiTheme="minorHAnsi" w:hAnsiTheme="minorHAnsi" w:cstheme="minorHAnsi"/>
                    <w:color w:val="000000"/>
                  </w:rPr>
                </w:pPr>
                <w:r>
                  <w:rPr>
                    <w:rFonts w:asciiTheme="minorHAnsi" w:hAnsiTheme="minorHAnsi" w:cstheme="minorHAnsi"/>
                    <w:color w:val="000000"/>
                  </w:rPr>
                  <w:t>0.</w:t>
                </w:r>
                <w:r w:rsidR="00565BA2">
                  <w:rPr>
                    <w:rFonts w:asciiTheme="minorHAnsi" w:hAnsiTheme="minorHAnsi" w:cstheme="minorHAnsi"/>
                    <w:color w:val="000000"/>
                  </w:rPr>
                  <w:t>68</w:t>
                </w:r>
              </w:p>
            </w:tc>
          </w:tr>
          <w:tr w:rsidR="00D50B4B" w:rsidRPr="00D50B4B" w14:paraId="47D34898"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176495A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08CDF778"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609B7B3A"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5CD8393E" w14:textId="77777777" w:rsidTr="00D3189B">
            <w:trPr>
              <w:trHeight w:val="48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0F94D7F9" w14:textId="77777777" w:rsidR="00D50B4B" w:rsidRPr="00D50B4B" w:rsidRDefault="00D50B4B" w:rsidP="00D50B4B">
                <w:pPr>
                  <w:rPr>
                    <w:rFonts w:asciiTheme="minorHAnsi" w:hAnsiTheme="minorHAnsi" w:cstheme="minorHAnsi"/>
                    <w:b/>
                    <w:bCs/>
                    <w:color w:val="000000"/>
                    <w:sz w:val="36"/>
                    <w:szCs w:val="36"/>
                  </w:rPr>
                </w:pPr>
                <w:r w:rsidRPr="00D50B4B">
                  <w:rPr>
                    <w:rFonts w:asciiTheme="minorHAnsi" w:hAnsiTheme="minorHAnsi" w:cstheme="minorHAnsi"/>
                    <w:b/>
                    <w:bCs/>
                    <w:color w:val="000000"/>
                    <w:sz w:val="36"/>
                    <w:szCs w:val="36"/>
                  </w:rPr>
                  <w:t>3. Efficiency Ratios</w:t>
                </w:r>
              </w:p>
            </w:tc>
            <w:tc>
              <w:tcPr>
                <w:tcW w:w="1300" w:type="dxa"/>
                <w:tcBorders>
                  <w:top w:val="nil"/>
                  <w:left w:val="nil"/>
                  <w:bottom w:val="single" w:sz="4" w:space="0" w:color="auto"/>
                  <w:right w:val="single" w:sz="4" w:space="0" w:color="auto"/>
                </w:tcBorders>
                <w:shd w:val="clear" w:color="auto" w:fill="auto"/>
                <w:noWrap/>
                <w:vAlign w:val="bottom"/>
                <w:hideMark/>
              </w:tcPr>
              <w:p w14:paraId="5C2E1C62"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7003CCE4"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562C0889"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6E18E772"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3.1 Asset Turnover = Revenue / Total Assets</w:t>
                </w:r>
              </w:p>
            </w:tc>
            <w:tc>
              <w:tcPr>
                <w:tcW w:w="1300" w:type="dxa"/>
                <w:tcBorders>
                  <w:top w:val="nil"/>
                  <w:left w:val="nil"/>
                  <w:bottom w:val="single" w:sz="4" w:space="0" w:color="auto"/>
                  <w:right w:val="single" w:sz="4" w:space="0" w:color="auto"/>
                </w:tcBorders>
                <w:shd w:val="clear" w:color="auto" w:fill="auto"/>
                <w:noWrap/>
                <w:vAlign w:val="bottom"/>
                <w:hideMark/>
              </w:tcPr>
              <w:p w14:paraId="4C73FE25"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18E9A35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4010B294"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725057FE"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 = 65,762 / 45,870 </w:t>
                </w:r>
              </w:p>
            </w:tc>
            <w:tc>
              <w:tcPr>
                <w:tcW w:w="1300" w:type="dxa"/>
                <w:tcBorders>
                  <w:top w:val="nil"/>
                  <w:left w:val="nil"/>
                  <w:bottom w:val="single" w:sz="4" w:space="0" w:color="auto"/>
                  <w:right w:val="single" w:sz="4" w:space="0" w:color="auto"/>
                </w:tcBorders>
                <w:shd w:val="clear" w:color="auto" w:fill="auto"/>
                <w:noWrap/>
                <w:vAlign w:val="bottom"/>
                <w:hideMark/>
              </w:tcPr>
              <w:p w14:paraId="0F4C9E84"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1.43</w:t>
                </w:r>
              </w:p>
            </w:tc>
            <w:tc>
              <w:tcPr>
                <w:tcW w:w="1300" w:type="dxa"/>
                <w:tcBorders>
                  <w:top w:val="nil"/>
                  <w:left w:val="nil"/>
                  <w:bottom w:val="single" w:sz="4" w:space="0" w:color="auto"/>
                  <w:right w:val="single" w:sz="4" w:space="0" w:color="auto"/>
                </w:tcBorders>
                <w:shd w:val="clear" w:color="auto" w:fill="auto"/>
                <w:noWrap/>
                <w:vAlign w:val="bottom"/>
                <w:hideMark/>
              </w:tcPr>
              <w:p w14:paraId="0969EF5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16FF0C71"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5B9FB1E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 = 68,187 / 47,040</w:t>
                </w:r>
              </w:p>
            </w:tc>
            <w:tc>
              <w:tcPr>
                <w:tcW w:w="1300" w:type="dxa"/>
                <w:tcBorders>
                  <w:top w:val="nil"/>
                  <w:left w:val="nil"/>
                  <w:bottom w:val="single" w:sz="4" w:space="0" w:color="auto"/>
                  <w:right w:val="single" w:sz="4" w:space="0" w:color="auto"/>
                </w:tcBorders>
                <w:shd w:val="clear" w:color="auto" w:fill="auto"/>
                <w:noWrap/>
                <w:vAlign w:val="bottom"/>
                <w:hideMark/>
              </w:tcPr>
              <w:p w14:paraId="1878D87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6F151622"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1.45</w:t>
                </w:r>
              </w:p>
            </w:tc>
          </w:tr>
          <w:tr w:rsidR="00D50B4B" w:rsidRPr="00D50B4B" w14:paraId="729747CF"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518D08B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2A944121"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14935101"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3E26FEEA"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30AAD619"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3.2 Inventory Turnover = Cost Of Sales / Inventory </w:t>
                </w:r>
              </w:p>
            </w:tc>
            <w:tc>
              <w:tcPr>
                <w:tcW w:w="1300" w:type="dxa"/>
                <w:tcBorders>
                  <w:top w:val="nil"/>
                  <w:left w:val="nil"/>
                  <w:bottom w:val="single" w:sz="4" w:space="0" w:color="auto"/>
                  <w:right w:val="single" w:sz="4" w:space="0" w:color="auto"/>
                </w:tcBorders>
                <w:shd w:val="clear" w:color="auto" w:fill="auto"/>
                <w:noWrap/>
                <w:vAlign w:val="bottom"/>
                <w:hideMark/>
              </w:tcPr>
              <w:p w14:paraId="24E4475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6491884E"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0482050A"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790E2408"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 = 61,005 / 2,510 </w:t>
                </w:r>
              </w:p>
            </w:tc>
            <w:tc>
              <w:tcPr>
                <w:tcW w:w="1300" w:type="dxa"/>
                <w:tcBorders>
                  <w:top w:val="nil"/>
                  <w:left w:val="nil"/>
                  <w:bottom w:val="single" w:sz="4" w:space="0" w:color="auto"/>
                  <w:right w:val="single" w:sz="4" w:space="0" w:color="auto"/>
                </w:tcBorders>
                <w:shd w:val="clear" w:color="auto" w:fill="auto"/>
                <w:noWrap/>
                <w:vAlign w:val="bottom"/>
                <w:hideMark/>
              </w:tcPr>
              <w:p w14:paraId="2E893C9F"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24.3</w:t>
                </w:r>
              </w:p>
            </w:tc>
            <w:tc>
              <w:tcPr>
                <w:tcW w:w="1300" w:type="dxa"/>
                <w:tcBorders>
                  <w:top w:val="nil"/>
                  <w:left w:val="nil"/>
                  <w:bottom w:val="single" w:sz="4" w:space="0" w:color="auto"/>
                  <w:right w:val="single" w:sz="4" w:space="0" w:color="auto"/>
                </w:tcBorders>
                <w:shd w:val="clear" w:color="auto" w:fill="auto"/>
                <w:noWrap/>
                <w:vAlign w:val="bottom"/>
                <w:hideMark/>
              </w:tcPr>
              <w:p w14:paraId="61E76106"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7B9AE742"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0B080CA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 = 62,838 / 2,635 </w:t>
                </w:r>
              </w:p>
            </w:tc>
            <w:tc>
              <w:tcPr>
                <w:tcW w:w="1300" w:type="dxa"/>
                <w:tcBorders>
                  <w:top w:val="nil"/>
                  <w:left w:val="nil"/>
                  <w:bottom w:val="single" w:sz="4" w:space="0" w:color="auto"/>
                  <w:right w:val="single" w:sz="4" w:space="0" w:color="auto"/>
                </w:tcBorders>
                <w:shd w:val="clear" w:color="auto" w:fill="auto"/>
                <w:noWrap/>
                <w:vAlign w:val="bottom"/>
                <w:hideMark/>
              </w:tcPr>
              <w:p w14:paraId="4EDA291A"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22679A65"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23.86</w:t>
                </w:r>
              </w:p>
            </w:tc>
          </w:tr>
          <w:tr w:rsidR="00D50B4B" w:rsidRPr="00D50B4B" w14:paraId="201E9E55"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00A6D5A0"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1B5E1E5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04BEA07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0259C8CD"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51ACDB56" w14:textId="12CC45E0"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3.3 </w:t>
                </w:r>
                <w:r w:rsidR="00D35F6A" w:rsidRPr="00D50B4B">
                  <w:rPr>
                    <w:rFonts w:asciiTheme="minorHAnsi" w:hAnsiTheme="minorHAnsi" w:cstheme="minorHAnsi"/>
                    <w:color w:val="000000"/>
                  </w:rPr>
                  <w:t>Receivables</w:t>
                </w:r>
                <w:r w:rsidRPr="00D50B4B">
                  <w:rPr>
                    <w:rFonts w:asciiTheme="minorHAnsi" w:hAnsiTheme="minorHAnsi" w:cstheme="minorHAnsi"/>
                    <w:color w:val="000000"/>
                  </w:rPr>
                  <w:t xml:space="preserve"> Days = (</w:t>
                </w:r>
                <w:r w:rsidR="00D35F6A" w:rsidRPr="00D50B4B">
                  <w:rPr>
                    <w:rFonts w:asciiTheme="minorHAnsi" w:hAnsiTheme="minorHAnsi" w:cstheme="minorHAnsi"/>
                    <w:color w:val="000000"/>
                  </w:rPr>
                  <w:t>Receivables</w:t>
                </w:r>
                <w:r w:rsidRPr="00D50B4B">
                  <w:rPr>
                    <w:rFonts w:asciiTheme="minorHAnsi" w:hAnsiTheme="minorHAnsi" w:cstheme="minorHAnsi"/>
                    <w:color w:val="000000"/>
                  </w:rPr>
                  <w:t xml:space="preserve"> / Revenue) x 365</w:t>
                </w:r>
              </w:p>
            </w:tc>
            <w:tc>
              <w:tcPr>
                <w:tcW w:w="1300" w:type="dxa"/>
                <w:tcBorders>
                  <w:top w:val="nil"/>
                  <w:left w:val="nil"/>
                  <w:bottom w:val="single" w:sz="4" w:space="0" w:color="auto"/>
                  <w:right w:val="single" w:sz="4" w:space="0" w:color="auto"/>
                </w:tcBorders>
                <w:shd w:val="clear" w:color="auto" w:fill="auto"/>
                <w:noWrap/>
                <w:vAlign w:val="bottom"/>
                <w:hideMark/>
              </w:tcPr>
              <w:p w14:paraId="6F675A21"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6AF98B16"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0E482D37"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4979130D"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 = (1,315 / 65,762) x 365 = 0.0200 x 365 </w:t>
                </w:r>
              </w:p>
            </w:tc>
            <w:tc>
              <w:tcPr>
                <w:tcW w:w="1300" w:type="dxa"/>
                <w:tcBorders>
                  <w:top w:val="nil"/>
                  <w:left w:val="nil"/>
                  <w:bottom w:val="single" w:sz="4" w:space="0" w:color="auto"/>
                  <w:right w:val="single" w:sz="4" w:space="0" w:color="auto"/>
                </w:tcBorders>
                <w:shd w:val="clear" w:color="auto" w:fill="auto"/>
                <w:noWrap/>
                <w:vAlign w:val="bottom"/>
                <w:hideMark/>
              </w:tcPr>
              <w:p w14:paraId="44DCA481"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7.30 days </w:t>
                </w:r>
              </w:p>
            </w:tc>
            <w:tc>
              <w:tcPr>
                <w:tcW w:w="1300" w:type="dxa"/>
                <w:tcBorders>
                  <w:top w:val="nil"/>
                  <w:left w:val="nil"/>
                  <w:bottom w:val="single" w:sz="4" w:space="0" w:color="auto"/>
                  <w:right w:val="single" w:sz="4" w:space="0" w:color="auto"/>
                </w:tcBorders>
                <w:shd w:val="clear" w:color="auto" w:fill="auto"/>
                <w:noWrap/>
                <w:vAlign w:val="bottom"/>
                <w:hideMark/>
              </w:tcPr>
              <w:p w14:paraId="5F9FBDFB"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706D058A"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01FB4118" w14:textId="63E8B4D4"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 = (1,349 / 6</w:t>
                </w:r>
                <w:r w:rsidR="00497402">
                  <w:rPr>
                    <w:rFonts w:asciiTheme="minorHAnsi" w:hAnsiTheme="minorHAnsi" w:cstheme="minorHAnsi"/>
                    <w:color w:val="000000"/>
                  </w:rPr>
                  <w:t>8,187</w:t>
                </w:r>
                <w:r w:rsidRPr="00D50B4B">
                  <w:rPr>
                    <w:rFonts w:asciiTheme="minorHAnsi" w:hAnsiTheme="minorHAnsi" w:cstheme="minorHAnsi"/>
                    <w:color w:val="000000"/>
                  </w:rPr>
                  <w:t>) x 365 = 0.0198 x 365</w:t>
                </w:r>
              </w:p>
            </w:tc>
            <w:tc>
              <w:tcPr>
                <w:tcW w:w="1300" w:type="dxa"/>
                <w:tcBorders>
                  <w:top w:val="nil"/>
                  <w:left w:val="nil"/>
                  <w:bottom w:val="single" w:sz="4" w:space="0" w:color="auto"/>
                  <w:right w:val="single" w:sz="4" w:space="0" w:color="auto"/>
                </w:tcBorders>
                <w:shd w:val="clear" w:color="auto" w:fill="auto"/>
                <w:noWrap/>
                <w:vAlign w:val="bottom"/>
                <w:hideMark/>
              </w:tcPr>
              <w:p w14:paraId="1EFCEC58"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6803AF68"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7.22 days </w:t>
                </w:r>
              </w:p>
            </w:tc>
          </w:tr>
          <w:tr w:rsidR="00D50B4B" w:rsidRPr="00D50B4B" w14:paraId="4188A4CA" w14:textId="77777777" w:rsidTr="00D3189B">
            <w:trPr>
              <w:trHeight w:val="38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217A7A64" w14:textId="77777777" w:rsidR="00D50B4B" w:rsidRPr="00D50B4B" w:rsidRDefault="00D50B4B" w:rsidP="00D50B4B">
                <w:pPr>
                  <w:rPr>
                    <w:rFonts w:asciiTheme="minorHAnsi" w:hAnsiTheme="minorHAnsi" w:cstheme="minorHAnsi"/>
                    <w:b/>
                    <w:bCs/>
                    <w:color w:val="000000"/>
                    <w:sz w:val="27"/>
                    <w:szCs w:val="27"/>
                  </w:rPr>
                </w:pPr>
                <w:r w:rsidRPr="00D50B4B">
                  <w:rPr>
                    <w:rFonts w:asciiTheme="minorHAnsi" w:hAnsiTheme="minorHAnsi" w:cstheme="minorHAnsi"/>
                    <w:b/>
                    <w:bCs/>
                    <w:color w:val="000000"/>
                    <w:sz w:val="27"/>
                    <w:szCs w:val="27"/>
                  </w:rPr>
                  <w:t> </w:t>
                </w:r>
              </w:p>
            </w:tc>
            <w:tc>
              <w:tcPr>
                <w:tcW w:w="1300" w:type="dxa"/>
                <w:tcBorders>
                  <w:top w:val="nil"/>
                  <w:left w:val="nil"/>
                  <w:bottom w:val="single" w:sz="4" w:space="0" w:color="auto"/>
                  <w:right w:val="single" w:sz="4" w:space="0" w:color="auto"/>
                </w:tcBorders>
                <w:shd w:val="clear" w:color="auto" w:fill="auto"/>
                <w:noWrap/>
                <w:vAlign w:val="bottom"/>
                <w:hideMark/>
              </w:tcPr>
              <w:p w14:paraId="72B62086"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500A987C"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785254B0"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3226A7C2"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3.4 Payables Days = (Payables / Cost Of Sales) x 365</w:t>
                </w:r>
              </w:p>
            </w:tc>
            <w:tc>
              <w:tcPr>
                <w:tcW w:w="1300" w:type="dxa"/>
                <w:tcBorders>
                  <w:top w:val="nil"/>
                  <w:left w:val="nil"/>
                  <w:bottom w:val="single" w:sz="4" w:space="0" w:color="auto"/>
                  <w:right w:val="single" w:sz="4" w:space="0" w:color="auto"/>
                </w:tcBorders>
                <w:shd w:val="clear" w:color="auto" w:fill="auto"/>
                <w:noWrap/>
                <w:vAlign w:val="bottom"/>
                <w:hideMark/>
              </w:tcPr>
              <w:p w14:paraId="0FFE972B"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34FA105B"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498D1ED9"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0987D7C8"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 = (9,818 / 61,005) x 365 = 0.161 x 365</w:t>
                </w:r>
              </w:p>
            </w:tc>
            <w:tc>
              <w:tcPr>
                <w:tcW w:w="1300" w:type="dxa"/>
                <w:tcBorders>
                  <w:top w:val="nil"/>
                  <w:left w:val="nil"/>
                  <w:bottom w:val="single" w:sz="4" w:space="0" w:color="auto"/>
                  <w:right w:val="single" w:sz="4" w:space="0" w:color="auto"/>
                </w:tcBorders>
                <w:shd w:val="clear" w:color="auto" w:fill="auto"/>
                <w:noWrap/>
                <w:vAlign w:val="bottom"/>
                <w:hideMark/>
              </w:tcPr>
              <w:p w14:paraId="3B6DC01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58.73 days </w:t>
                </w:r>
              </w:p>
            </w:tc>
            <w:tc>
              <w:tcPr>
                <w:tcW w:w="1300" w:type="dxa"/>
                <w:tcBorders>
                  <w:top w:val="nil"/>
                  <w:left w:val="nil"/>
                  <w:bottom w:val="single" w:sz="4" w:space="0" w:color="auto"/>
                  <w:right w:val="single" w:sz="4" w:space="0" w:color="auto"/>
                </w:tcBorders>
                <w:shd w:val="clear" w:color="auto" w:fill="auto"/>
                <w:noWrap/>
                <w:vAlign w:val="bottom"/>
                <w:hideMark/>
              </w:tcPr>
              <w:p w14:paraId="7C6F012D"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09AEDC41"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45E53C4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 = (10,264 / 62,836) x 365 = 0.163 x 365</w:t>
                </w:r>
              </w:p>
            </w:tc>
            <w:tc>
              <w:tcPr>
                <w:tcW w:w="1300" w:type="dxa"/>
                <w:tcBorders>
                  <w:top w:val="nil"/>
                  <w:left w:val="nil"/>
                  <w:bottom w:val="single" w:sz="4" w:space="0" w:color="auto"/>
                  <w:right w:val="single" w:sz="4" w:space="0" w:color="auto"/>
                </w:tcBorders>
                <w:shd w:val="clear" w:color="auto" w:fill="auto"/>
                <w:noWrap/>
                <w:vAlign w:val="bottom"/>
                <w:hideMark/>
              </w:tcPr>
              <w:p w14:paraId="06465AA5"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5410202A"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59.66 days</w:t>
                </w:r>
              </w:p>
            </w:tc>
          </w:tr>
          <w:tr w:rsidR="00D50B4B" w:rsidRPr="00D50B4B" w14:paraId="61143C20"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144459CC"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1D3592B8"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2B4A6BB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701430AD" w14:textId="77777777" w:rsidTr="00D3189B">
            <w:trPr>
              <w:trHeight w:val="48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60538B3D" w14:textId="77777777" w:rsidR="00D50B4B" w:rsidRPr="00D50B4B" w:rsidRDefault="00D50B4B" w:rsidP="00D50B4B">
                <w:pPr>
                  <w:rPr>
                    <w:rFonts w:asciiTheme="minorHAnsi" w:hAnsiTheme="minorHAnsi" w:cstheme="minorHAnsi"/>
                    <w:b/>
                    <w:bCs/>
                    <w:color w:val="000000"/>
                    <w:sz w:val="36"/>
                    <w:szCs w:val="36"/>
                  </w:rPr>
                </w:pPr>
                <w:r w:rsidRPr="00D50B4B">
                  <w:rPr>
                    <w:rFonts w:asciiTheme="minorHAnsi" w:hAnsiTheme="minorHAnsi" w:cstheme="minorHAnsi"/>
                    <w:b/>
                    <w:bCs/>
                    <w:color w:val="000000"/>
                    <w:sz w:val="36"/>
                    <w:szCs w:val="36"/>
                  </w:rPr>
                  <w:lastRenderedPageBreak/>
                  <w:t>4. Gearing / Leverage Ratios</w:t>
                </w:r>
              </w:p>
            </w:tc>
            <w:tc>
              <w:tcPr>
                <w:tcW w:w="1300" w:type="dxa"/>
                <w:tcBorders>
                  <w:top w:val="nil"/>
                  <w:left w:val="nil"/>
                  <w:bottom w:val="single" w:sz="4" w:space="0" w:color="auto"/>
                  <w:right w:val="single" w:sz="4" w:space="0" w:color="auto"/>
                </w:tcBorders>
                <w:shd w:val="clear" w:color="auto" w:fill="auto"/>
                <w:noWrap/>
                <w:vAlign w:val="bottom"/>
                <w:hideMark/>
              </w:tcPr>
              <w:p w14:paraId="0011876B"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3B84C8B2"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6EE40182"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519C466C"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4.1 Debt-to-Equity = Total Debt / Total Equity</w:t>
                </w:r>
              </w:p>
            </w:tc>
            <w:tc>
              <w:tcPr>
                <w:tcW w:w="1300" w:type="dxa"/>
                <w:tcBorders>
                  <w:top w:val="nil"/>
                  <w:left w:val="nil"/>
                  <w:bottom w:val="single" w:sz="4" w:space="0" w:color="auto"/>
                  <w:right w:val="single" w:sz="4" w:space="0" w:color="auto"/>
                </w:tcBorders>
                <w:shd w:val="clear" w:color="auto" w:fill="auto"/>
                <w:noWrap/>
                <w:vAlign w:val="bottom"/>
                <w:hideMark/>
              </w:tcPr>
              <w:p w14:paraId="73467486"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70F129F8"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48244DF1"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3C1AC02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14,000 / 12,230)</w:t>
                </w:r>
              </w:p>
            </w:tc>
            <w:tc>
              <w:tcPr>
                <w:tcW w:w="1300" w:type="dxa"/>
                <w:tcBorders>
                  <w:top w:val="nil"/>
                  <w:left w:val="nil"/>
                  <w:bottom w:val="single" w:sz="4" w:space="0" w:color="auto"/>
                  <w:right w:val="single" w:sz="4" w:space="0" w:color="auto"/>
                </w:tcBorders>
                <w:shd w:val="clear" w:color="auto" w:fill="auto"/>
                <w:noWrap/>
                <w:vAlign w:val="bottom"/>
                <w:hideMark/>
              </w:tcPr>
              <w:p w14:paraId="694A6F9B"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1.14</w:t>
                </w:r>
              </w:p>
            </w:tc>
            <w:tc>
              <w:tcPr>
                <w:tcW w:w="1300" w:type="dxa"/>
                <w:tcBorders>
                  <w:top w:val="nil"/>
                  <w:left w:val="nil"/>
                  <w:bottom w:val="single" w:sz="4" w:space="0" w:color="auto"/>
                  <w:right w:val="single" w:sz="4" w:space="0" w:color="auto"/>
                </w:tcBorders>
                <w:shd w:val="clear" w:color="auto" w:fill="auto"/>
                <w:noWrap/>
                <w:vAlign w:val="bottom"/>
                <w:hideMark/>
              </w:tcPr>
              <w:p w14:paraId="67A88C89"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612BC57F"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33CEFF2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(=15,000 / 11,665)</w:t>
                </w:r>
              </w:p>
            </w:tc>
            <w:tc>
              <w:tcPr>
                <w:tcW w:w="1300" w:type="dxa"/>
                <w:tcBorders>
                  <w:top w:val="nil"/>
                  <w:left w:val="nil"/>
                  <w:bottom w:val="single" w:sz="4" w:space="0" w:color="auto"/>
                  <w:right w:val="single" w:sz="4" w:space="0" w:color="auto"/>
                </w:tcBorders>
                <w:shd w:val="clear" w:color="auto" w:fill="auto"/>
                <w:noWrap/>
                <w:vAlign w:val="bottom"/>
                <w:hideMark/>
              </w:tcPr>
              <w:p w14:paraId="271F4486"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75949BD9"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1.29</w:t>
                </w:r>
              </w:p>
            </w:tc>
          </w:tr>
          <w:tr w:rsidR="00D50B4B" w:rsidRPr="00D50B4B" w14:paraId="727523A9"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6744881A"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4B264E06"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178C0A55"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1693A81F"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12E600DC"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4.2 Debt Ratio = Total Debt / Total Assets</w:t>
                </w:r>
              </w:p>
            </w:tc>
            <w:tc>
              <w:tcPr>
                <w:tcW w:w="1300" w:type="dxa"/>
                <w:tcBorders>
                  <w:top w:val="nil"/>
                  <w:left w:val="nil"/>
                  <w:bottom w:val="single" w:sz="4" w:space="0" w:color="auto"/>
                  <w:right w:val="single" w:sz="4" w:space="0" w:color="auto"/>
                </w:tcBorders>
                <w:shd w:val="clear" w:color="auto" w:fill="auto"/>
                <w:noWrap/>
                <w:vAlign w:val="bottom"/>
                <w:hideMark/>
              </w:tcPr>
              <w:p w14:paraId="1CBBB225"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67ADEE16"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0EB3331C"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39A576D8"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14,000 / 45,870)</w:t>
                </w:r>
              </w:p>
            </w:tc>
            <w:tc>
              <w:tcPr>
                <w:tcW w:w="1300" w:type="dxa"/>
                <w:tcBorders>
                  <w:top w:val="nil"/>
                  <w:left w:val="nil"/>
                  <w:bottom w:val="single" w:sz="4" w:space="0" w:color="auto"/>
                  <w:right w:val="single" w:sz="4" w:space="0" w:color="auto"/>
                </w:tcBorders>
                <w:shd w:val="clear" w:color="auto" w:fill="auto"/>
                <w:noWrap/>
                <w:vAlign w:val="bottom"/>
                <w:hideMark/>
              </w:tcPr>
              <w:p w14:paraId="1BCCFE2F"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0.31</w:t>
                </w:r>
              </w:p>
            </w:tc>
            <w:tc>
              <w:tcPr>
                <w:tcW w:w="1300" w:type="dxa"/>
                <w:tcBorders>
                  <w:top w:val="nil"/>
                  <w:left w:val="nil"/>
                  <w:bottom w:val="single" w:sz="4" w:space="0" w:color="auto"/>
                  <w:right w:val="single" w:sz="4" w:space="0" w:color="auto"/>
                </w:tcBorders>
                <w:shd w:val="clear" w:color="auto" w:fill="auto"/>
                <w:noWrap/>
                <w:vAlign w:val="bottom"/>
                <w:hideMark/>
              </w:tcPr>
              <w:p w14:paraId="22401004"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3FEBB43A"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0BBC81DB"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15,000 / 47,040)</w:t>
                </w:r>
              </w:p>
            </w:tc>
            <w:tc>
              <w:tcPr>
                <w:tcW w:w="1300" w:type="dxa"/>
                <w:tcBorders>
                  <w:top w:val="nil"/>
                  <w:left w:val="nil"/>
                  <w:bottom w:val="single" w:sz="4" w:space="0" w:color="auto"/>
                  <w:right w:val="single" w:sz="4" w:space="0" w:color="auto"/>
                </w:tcBorders>
                <w:shd w:val="clear" w:color="auto" w:fill="auto"/>
                <w:noWrap/>
                <w:vAlign w:val="bottom"/>
                <w:hideMark/>
              </w:tcPr>
              <w:p w14:paraId="59CE6960"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5EAD7844"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0.32</w:t>
                </w:r>
              </w:p>
            </w:tc>
          </w:tr>
          <w:tr w:rsidR="00D50B4B" w:rsidRPr="00D50B4B" w14:paraId="59407A43"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506DE1A5"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22766936"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33AEF02B"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3F581E21"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199F319C"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4.3 Interest Cover = EBIT / Interest Expense</w:t>
                </w:r>
              </w:p>
            </w:tc>
            <w:tc>
              <w:tcPr>
                <w:tcW w:w="1300" w:type="dxa"/>
                <w:tcBorders>
                  <w:top w:val="nil"/>
                  <w:left w:val="nil"/>
                  <w:bottom w:val="single" w:sz="4" w:space="0" w:color="auto"/>
                  <w:right w:val="single" w:sz="4" w:space="0" w:color="auto"/>
                </w:tcBorders>
                <w:shd w:val="clear" w:color="auto" w:fill="auto"/>
                <w:noWrap/>
                <w:vAlign w:val="bottom"/>
                <w:hideMark/>
              </w:tcPr>
              <w:p w14:paraId="0B3EFC46"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0A60D1AA"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27FB9CDF"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3288BAB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2,630 / 652)</w:t>
                </w:r>
              </w:p>
            </w:tc>
            <w:tc>
              <w:tcPr>
                <w:tcW w:w="1300" w:type="dxa"/>
                <w:tcBorders>
                  <w:top w:val="nil"/>
                  <w:left w:val="nil"/>
                  <w:bottom w:val="single" w:sz="4" w:space="0" w:color="auto"/>
                  <w:right w:val="single" w:sz="4" w:space="0" w:color="auto"/>
                </w:tcBorders>
                <w:shd w:val="clear" w:color="auto" w:fill="auto"/>
                <w:noWrap/>
                <w:vAlign w:val="bottom"/>
                <w:hideMark/>
              </w:tcPr>
              <w:p w14:paraId="4270F44C"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4.03</w:t>
                </w:r>
              </w:p>
            </w:tc>
            <w:tc>
              <w:tcPr>
                <w:tcW w:w="1300" w:type="dxa"/>
                <w:tcBorders>
                  <w:top w:val="nil"/>
                  <w:left w:val="nil"/>
                  <w:bottom w:val="single" w:sz="4" w:space="0" w:color="auto"/>
                  <w:right w:val="single" w:sz="4" w:space="0" w:color="auto"/>
                </w:tcBorders>
                <w:shd w:val="clear" w:color="auto" w:fill="auto"/>
                <w:noWrap/>
                <w:vAlign w:val="bottom"/>
                <w:hideMark/>
              </w:tcPr>
              <w:p w14:paraId="0258E952"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2EC18E15"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7ABDE5A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2,821 / 824)</w:t>
                </w:r>
              </w:p>
            </w:tc>
            <w:tc>
              <w:tcPr>
                <w:tcW w:w="1300" w:type="dxa"/>
                <w:tcBorders>
                  <w:top w:val="nil"/>
                  <w:left w:val="nil"/>
                  <w:bottom w:val="single" w:sz="4" w:space="0" w:color="auto"/>
                  <w:right w:val="single" w:sz="4" w:space="0" w:color="auto"/>
                </w:tcBorders>
                <w:shd w:val="clear" w:color="auto" w:fill="auto"/>
                <w:noWrap/>
                <w:vAlign w:val="bottom"/>
                <w:hideMark/>
              </w:tcPr>
              <w:p w14:paraId="62217723"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38E470A0"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3.42</w:t>
                </w:r>
              </w:p>
            </w:tc>
          </w:tr>
          <w:tr w:rsidR="00D50B4B" w:rsidRPr="00D50B4B" w14:paraId="499AFF2A"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52747AF1"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599D5C0C"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04E112CD"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3FF35979" w14:textId="77777777" w:rsidTr="00D3189B">
            <w:trPr>
              <w:trHeight w:val="48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5A3BCD0A" w14:textId="77777777" w:rsidR="00D50B4B" w:rsidRPr="00D50B4B" w:rsidRDefault="00D50B4B" w:rsidP="00D50B4B">
                <w:pPr>
                  <w:rPr>
                    <w:rFonts w:asciiTheme="minorHAnsi" w:hAnsiTheme="minorHAnsi" w:cstheme="minorHAnsi"/>
                    <w:b/>
                    <w:bCs/>
                    <w:color w:val="000000"/>
                    <w:sz w:val="36"/>
                    <w:szCs w:val="36"/>
                  </w:rPr>
                </w:pPr>
                <w:r w:rsidRPr="00D50B4B">
                  <w:rPr>
                    <w:rFonts w:asciiTheme="minorHAnsi" w:hAnsiTheme="minorHAnsi" w:cstheme="minorHAnsi"/>
                    <w:b/>
                    <w:bCs/>
                    <w:color w:val="000000"/>
                    <w:sz w:val="36"/>
                    <w:szCs w:val="36"/>
                  </w:rPr>
                  <w:t>5. Investor Ratios (£)</w:t>
                </w:r>
              </w:p>
            </w:tc>
            <w:tc>
              <w:tcPr>
                <w:tcW w:w="1300" w:type="dxa"/>
                <w:tcBorders>
                  <w:top w:val="nil"/>
                  <w:left w:val="nil"/>
                  <w:bottom w:val="single" w:sz="4" w:space="0" w:color="auto"/>
                  <w:right w:val="single" w:sz="4" w:space="0" w:color="auto"/>
                </w:tcBorders>
                <w:shd w:val="clear" w:color="auto" w:fill="auto"/>
                <w:noWrap/>
                <w:vAlign w:val="bottom"/>
                <w:hideMark/>
              </w:tcPr>
              <w:p w14:paraId="4335F038"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074D6A4A"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1B21E362"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75BC4075"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5.1 Earnings Per Share (EPS) = Net Profit / Shares In Issue </w:t>
                </w:r>
              </w:p>
            </w:tc>
            <w:tc>
              <w:tcPr>
                <w:tcW w:w="1300" w:type="dxa"/>
                <w:tcBorders>
                  <w:top w:val="nil"/>
                  <w:left w:val="nil"/>
                  <w:bottom w:val="single" w:sz="4" w:space="0" w:color="auto"/>
                  <w:right w:val="single" w:sz="4" w:space="0" w:color="auto"/>
                </w:tcBorders>
                <w:shd w:val="clear" w:color="auto" w:fill="auto"/>
                <w:noWrap/>
                <w:vAlign w:val="bottom"/>
                <w:hideMark/>
              </w:tcPr>
              <w:p w14:paraId="5201CFF9"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2A946CE2"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45F880E7"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7E1CF2CD"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Shares = 7.12bn - 7,120m = 737 / 7,120 </w:t>
                </w:r>
              </w:p>
            </w:tc>
            <w:tc>
              <w:tcPr>
                <w:tcW w:w="1300" w:type="dxa"/>
                <w:tcBorders>
                  <w:top w:val="nil"/>
                  <w:left w:val="nil"/>
                  <w:bottom w:val="single" w:sz="4" w:space="0" w:color="auto"/>
                  <w:right w:val="single" w:sz="4" w:space="0" w:color="auto"/>
                </w:tcBorders>
                <w:shd w:val="clear" w:color="auto" w:fill="auto"/>
                <w:noWrap/>
                <w:vAlign w:val="bottom"/>
                <w:hideMark/>
              </w:tcPr>
              <w:p w14:paraId="379B9843"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0.1035</w:t>
                </w:r>
              </w:p>
            </w:tc>
            <w:tc>
              <w:tcPr>
                <w:tcW w:w="1300" w:type="dxa"/>
                <w:tcBorders>
                  <w:top w:val="nil"/>
                  <w:left w:val="nil"/>
                  <w:bottom w:val="single" w:sz="4" w:space="0" w:color="auto"/>
                  <w:right w:val="single" w:sz="4" w:space="0" w:color="auto"/>
                </w:tcBorders>
                <w:shd w:val="clear" w:color="auto" w:fill="auto"/>
                <w:noWrap/>
                <w:vAlign w:val="bottom"/>
                <w:hideMark/>
              </w:tcPr>
              <w:p w14:paraId="672D0A7E"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19CF25C0"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697604CB"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Shares = 7.06bn - 7,060m = 1,764 / 7,060</w:t>
                </w:r>
              </w:p>
            </w:tc>
            <w:tc>
              <w:tcPr>
                <w:tcW w:w="1300" w:type="dxa"/>
                <w:tcBorders>
                  <w:top w:val="nil"/>
                  <w:left w:val="nil"/>
                  <w:bottom w:val="single" w:sz="4" w:space="0" w:color="auto"/>
                  <w:right w:val="single" w:sz="4" w:space="0" w:color="auto"/>
                </w:tcBorders>
                <w:shd w:val="clear" w:color="auto" w:fill="auto"/>
                <w:noWrap/>
                <w:vAlign w:val="bottom"/>
                <w:hideMark/>
              </w:tcPr>
              <w:p w14:paraId="6FA2C8A5"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52F8472B"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0.2499</w:t>
                </w:r>
              </w:p>
            </w:tc>
          </w:tr>
          <w:tr w:rsidR="00D50B4B" w:rsidRPr="00D50B4B" w14:paraId="665ABE4F" w14:textId="77777777" w:rsidTr="00D3189B">
            <w:trPr>
              <w:trHeight w:val="38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3AE7E428" w14:textId="77777777" w:rsidR="00D50B4B" w:rsidRPr="00D50B4B" w:rsidRDefault="00D50B4B" w:rsidP="00D50B4B">
                <w:pPr>
                  <w:rPr>
                    <w:rFonts w:asciiTheme="minorHAnsi" w:hAnsiTheme="minorHAnsi" w:cstheme="minorHAnsi"/>
                    <w:b/>
                    <w:bCs/>
                    <w:color w:val="000000"/>
                    <w:sz w:val="27"/>
                    <w:szCs w:val="27"/>
                  </w:rPr>
                </w:pPr>
                <w:r w:rsidRPr="00D50B4B">
                  <w:rPr>
                    <w:rFonts w:asciiTheme="minorHAnsi" w:hAnsiTheme="minorHAnsi" w:cstheme="minorHAnsi"/>
                    <w:b/>
                    <w:bCs/>
                    <w:color w:val="000000"/>
                    <w:sz w:val="27"/>
                    <w:szCs w:val="27"/>
                  </w:rPr>
                  <w:t> </w:t>
                </w:r>
              </w:p>
            </w:tc>
            <w:tc>
              <w:tcPr>
                <w:tcW w:w="1300" w:type="dxa"/>
                <w:tcBorders>
                  <w:top w:val="nil"/>
                  <w:left w:val="nil"/>
                  <w:bottom w:val="single" w:sz="4" w:space="0" w:color="auto"/>
                  <w:right w:val="single" w:sz="4" w:space="0" w:color="auto"/>
                </w:tcBorders>
                <w:shd w:val="clear" w:color="auto" w:fill="auto"/>
                <w:noWrap/>
                <w:vAlign w:val="bottom"/>
                <w:hideMark/>
              </w:tcPr>
              <w:p w14:paraId="6D28AF3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4CD6C545"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67489364"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4243B929"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5.2 Price-to-Earnings (P/E) = Share Price / EPS</w:t>
                </w:r>
              </w:p>
            </w:tc>
            <w:tc>
              <w:tcPr>
                <w:tcW w:w="1300" w:type="dxa"/>
                <w:tcBorders>
                  <w:top w:val="nil"/>
                  <w:left w:val="nil"/>
                  <w:bottom w:val="single" w:sz="4" w:space="0" w:color="auto"/>
                  <w:right w:val="single" w:sz="4" w:space="0" w:color="auto"/>
                </w:tcBorders>
                <w:shd w:val="clear" w:color="auto" w:fill="auto"/>
                <w:noWrap/>
                <w:vAlign w:val="bottom"/>
                <w:hideMark/>
              </w:tcPr>
              <w:p w14:paraId="3B23394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51593B66"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50F76109"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664B4D46"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4.63 / 0.1035)</w:t>
                </w:r>
              </w:p>
            </w:tc>
            <w:tc>
              <w:tcPr>
                <w:tcW w:w="1300" w:type="dxa"/>
                <w:tcBorders>
                  <w:top w:val="nil"/>
                  <w:left w:val="nil"/>
                  <w:bottom w:val="single" w:sz="4" w:space="0" w:color="auto"/>
                  <w:right w:val="single" w:sz="4" w:space="0" w:color="auto"/>
                </w:tcBorders>
                <w:shd w:val="clear" w:color="auto" w:fill="auto"/>
                <w:noWrap/>
                <w:vAlign w:val="bottom"/>
                <w:hideMark/>
              </w:tcPr>
              <w:p w14:paraId="71E0707C"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44.7</w:t>
                </w:r>
              </w:p>
            </w:tc>
            <w:tc>
              <w:tcPr>
                <w:tcW w:w="1300" w:type="dxa"/>
                <w:tcBorders>
                  <w:top w:val="nil"/>
                  <w:left w:val="nil"/>
                  <w:bottom w:val="single" w:sz="4" w:space="0" w:color="auto"/>
                  <w:right w:val="single" w:sz="4" w:space="0" w:color="auto"/>
                </w:tcBorders>
                <w:shd w:val="clear" w:color="auto" w:fill="auto"/>
                <w:noWrap/>
                <w:vAlign w:val="bottom"/>
                <w:hideMark/>
              </w:tcPr>
              <w:p w14:paraId="4A484121"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78A6B166"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3D526C23"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1.95 / 0.2499)</w:t>
                </w:r>
              </w:p>
            </w:tc>
            <w:tc>
              <w:tcPr>
                <w:tcW w:w="1300" w:type="dxa"/>
                <w:tcBorders>
                  <w:top w:val="nil"/>
                  <w:left w:val="nil"/>
                  <w:bottom w:val="single" w:sz="4" w:space="0" w:color="auto"/>
                  <w:right w:val="single" w:sz="4" w:space="0" w:color="auto"/>
                </w:tcBorders>
                <w:shd w:val="clear" w:color="auto" w:fill="auto"/>
                <w:noWrap/>
                <w:vAlign w:val="bottom"/>
                <w:hideMark/>
              </w:tcPr>
              <w:p w14:paraId="1E0B5AB3"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34A352A7"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7.8</w:t>
                </w:r>
              </w:p>
            </w:tc>
          </w:tr>
          <w:tr w:rsidR="00D50B4B" w:rsidRPr="00D50B4B" w14:paraId="520D36C7"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2DF08300"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7EDE74E2"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3736F2CB"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354E4595"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5FFB52B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5.3 Dividend Yield = DPS / Share Price</w:t>
                </w:r>
              </w:p>
            </w:tc>
            <w:tc>
              <w:tcPr>
                <w:tcW w:w="1300" w:type="dxa"/>
                <w:tcBorders>
                  <w:top w:val="nil"/>
                  <w:left w:val="nil"/>
                  <w:bottom w:val="single" w:sz="4" w:space="0" w:color="auto"/>
                  <w:right w:val="single" w:sz="4" w:space="0" w:color="auto"/>
                </w:tcBorders>
                <w:shd w:val="clear" w:color="auto" w:fill="auto"/>
                <w:noWrap/>
                <w:vAlign w:val="bottom"/>
                <w:hideMark/>
              </w:tcPr>
              <w:p w14:paraId="47A25D27"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3ADC6CF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00786E5B"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16D041E5"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10.9 / 463 = 0.0235)</w:t>
                </w:r>
              </w:p>
            </w:tc>
            <w:tc>
              <w:tcPr>
                <w:tcW w:w="1300" w:type="dxa"/>
                <w:tcBorders>
                  <w:top w:val="nil"/>
                  <w:left w:val="nil"/>
                  <w:bottom w:val="single" w:sz="4" w:space="0" w:color="auto"/>
                  <w:right w:val="single" w:sz="4" w:space="0" w:color="auto"/>
                </w:tcBorders>
                <w:shd w:val="clear" w:color="auto" w:fill="auto"/>
                <w:noWrap/>
                <w:vAlign w:val="bottom"/>
                <w:hideMark/>
              </w:tcPr>
              <w:p w14:paraId="4E7C9CB9"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2.35%</w:t>
                </w:r>
              </w:p>
            </w:tc>
            <w:tc>
              <w:tcPr>
                <w:tcW w:w="1300" w:type="dxa"/>
                <w:tcBorders>
                  <w:top w:val="nil"/>
                  <w:left w:val="nil"/>
                  <w:bottom w:val="single" w:sz="4" w:space="0" w:color="auto"/>
                  <w:right w:val="single" w:sz="4" w:space="0" w:color="auto"/>
                </w:tcBorders>
                <w:shd w:val="clear" w:color="auto" w:fill="auto"/>
                <w:noWrap/>
                <w:vAlign w:val="bottom"/>
                <w:hideMark/>
              </w:tcPr>
              <w:p w14:paraId="1D953755"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219073F0"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272E4E8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12.1 / 195 = 0.0621)</w:t>
                </w:r>
              </w:p>
            </w:tc>
            <w:tc>
              <w:tcPr>
                <w:tcW w:w="1300" w:type="dxa"/>
                <w:tcBorders>
                  <w:top w:val="nil"/>
                  <w:left w:val="nil"/>
                  <w:bottom w:val="single" w:sz="4" w:space="0" w:color="auto"/>
                  <w:right w:val="single" w:sz="4" w:space="0" w:color="auto"/>
                </w:tcBorders>
                <w:shd w:val="clear" w:color="auto" w:fill="auto"/>
                <w:noWrap/>
                <w:vAlign w:val="bottom"/>
                <w:hideMark/>
              </w:tcPr>
              <w:p w14:paraId="368891F4"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3053FFFE"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6.21%</w:t>
                </w:r>
              </w:p>
            </w:tc>
          </w:tr>
          <w:tr w:rsidR="00D50B4B" w:rsidRPr="00D50B4B" w14:paraId="67238264"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3DBC8EA9"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05B9C662"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42FC610A"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192B5F98"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584E1449"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xml:space="preserve">5.4 Dividend Cover = EPS / DPS </w:t>
                </w:r>
              </w:p>
            </w:tc>
            <w:tc>
              <w:tcPr>
                <w:tcW w:w="1300" w:type="dxa"/>
                <w:tcBorders>
                  <w:top w:val="nil"/>
                  <w:left w:val="nil"/>
                  <w:bottom w:val="single" w:sz="4" w:space="0" w:color="auto"/>
                  <w:right w:val="single" w:sz="4" w:space="0" w:color="auto"/>
                </w:tcBorders>
                <w:shd w:val="clear" w:color="auto" w:fill="auto"/>
                <w:noWrap/>
                <w:vAlign w:val="bottom"/>
                <w:hideMark/>
              </w:tcPr>
              <w:p w14:paraId="466D2C2E"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6544BD9F"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4832ECB4"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2FFF1419"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0.1035 / 0.109)</w:t>
                </w:r>
              </w:p>
            </w:tc>
            <w:tc>
              <w:tcPr>
                <w:tcW w:w="1300" w:type="dxa"/>
                <w:tcBorders>
                  <w:top w:val="nil"/>
                  <w:left w:val="nil"/>
                  <w:bottom w:val="single" w:sz="4" w:space="0" w:color="auto"/>
                  <w:right w:val="single" w:sz="4" w:space="0" w:color="auto"/>
                </w:tcBorders>
                <w:shd w:val="clear" w:color="auto" w:fill="auto"/>
                <w:noWrap/>
                <w:vAlign w:val="bottom"/>
                <w:hideMark/>
              </w:tcPr>
              <w:p w14:paraId="67B2E0AA"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0.95</w:t>
                </w:r>
              </w:p>
            </w:tc>
            <w:tc>
              <w:tcPr>
                <w:tcW w:w="1300" w:type="dxa"/>
                <w:tcBorders>
                  <w:top w:val="nil"/>
                  <w:left w:val="nil"/>
                  <w:bottom w:val="single" w:sz="4" w:space="0" w:color="auto"/>
                  <w:right w:val="single" w:sz="4" w:space="0" w:color="auto"/>
                </w:tcBorders>
                <w:shd w:val="clear" w:color="auto" w:fill="auto"/>
                <w:noWrap/>
                <w:vAlign w:val="bottom"/>
                <w:hideMark/>
              </w:tcPr>
              <w:p w14:paraId="5461D4F0"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r>
          <w:tr w:rsidR="00D50B4B" w:rsidRPr="00D50B4B" w14:paraId="0073E305" w14:textId="77777777" w:rsidTr="00D3189B">
            <w:trPr>
              <w:trHeight w:val="320"/>
            </w:trPr>
            <w:tc>
              <w:tcPr>
                <w:tcW w:w="6156" w:type="dxa"/>
                <w:tcBorders>
                  <w:top w:val="nil"/>
                  <w:left w:val="single" w:sz="4" w:space="0" w:color="auto"/>
                  <w:bottom w:val="single" w:sz="4" w:space="0" w:color="auto"/>
                  <w:right w:val="single" w:sz="4" w:space="0" w:color="auto"/>
                </w:tcBorders>
                <w:shd w:val="clear" w:color="auto" w:fill="auto"/>
                <w:noWrap/>
                <w:vAlign w:val="bottom"/>
                <w:hideMark/>
              </w:tcPr>
              <w:p w14:paraId="64AF9659"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0.2499 / 0.121)</w:t>
                </w:r>
              </w:p>
            </w:tc>
            <w:tc>
              <w:tcPr>
                <w:tcW w:w="1300" w:type="dxa"/>
                <w:tcBorders>
                  <w:top w:val="nil"/>
                  <w:left w:val="nil"/>
                  <w:bottom w:val="single" w:sz="4" w:space="0" w:color="auto"/>
                  <w:right w:val="single" w:sz="4" w:space="0" w:color="auto"/>
                </w:tcBorders>
                <w:shd w:val="clear" w:color="auto" w:fill="auto"/>
                <w:noWrap/>
                <w:vAlign w:val="bottom"/>
                <w:hideMark/>
              </w:tcPr>
              <w:p w14:paraId="3F27AFD2" w14:textId="77777777" w:rsidR="00D50B4B" w:rsidRPr="00D50B4B" w:rsidRDefault="00D50B4B" w:rsidP="00D50B4B">
                <w:pPr>
                  <w:rPr>
                    <w:rFonts w:asciiTheme="minorHAnsi" w:hAnsiTheme="minorHAnsi" w:cstheme="minorHAnsi"/>
                    <w:color w:val="000000"/>
                  </w:rPr>
                </w:pPr>
                <w:r w:rsidRPr="00D50B4B">
                  <w:rPr>
                    <w:rFonts w:asciiTheme="minorHAnsi" w:hAnsiTheme="minorHAnsi" w:cstheme="minorHAnsi"/>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14:paraId="7090DCCF" w14:textId="77777777" w:rsidR="00D50B4B" w:rsidRPr="00D50B4B" w:rsidRDefault="00D50B4B" w:rsidP="00D50B4B">
                <w:pPr>
                  <w:jc w:val="right"/>
                  <w:rPr>
                    <w:rFonts w:asciiTheme="minorHAnsi" w:hAnsiTheme="minorHAnsi" w:cstheme="minorHAnsi"/>
                    <w:color w:val="000000"/>
                  </w:rPr>
                </w:pPr>
                <w:r w:rsidRPr="00D50B4B">
                  <w:rPr>
                    <w:rFonts w:asciiTheme="minorHAnsi" w:hAnsiTheme="minorHAnsi" w:cstheme="minorHAnsi"/>
                    <w:color w:val="000000"/>
                  </w:rPr>
                  <w:t>2.06</w:t>
                </w:r>
              </w:p>
            </w:tc>
          </w:tr>
        </w:tbl>
        <w:p w14:paraId="6C296384" w14:textId="77777777" w:rsidR="0076653B" w:rsidRDefault="0076653B" w:rsidP="00EA6D9B">
          <w:pPr>
            <w:rPr>
              <w:rFonts w:asciiTheme="minorHAnsi" w:hAnsiTheme="minorHAnsi" w:cstheme="minorHAnsi"/>
              <w:b/>
              <w:bCs/>
              <w:u w:val="single"/>
            </w:rPr>
          </w:pPr>
        </w:p>
        <w:p w14:paraId="3AA88C51" w14:textId="4457822A" w:rsidR="00EA6D9B" w:rsidRPr="00347E38" w:rsidRDefault="00C73B99" w:rsidP="00EA6D9B">
          <w:pPr>
            <w:rPr>
              <w:rFonts w:asciiTheme="minorHAnsi" w:hAnsiTheme="minorHAnsi" w:cstheme="minorHAnsi"/>
              <w:b/>
              <w:bCs/>
              <w:u w:val="single"/>
            </w:rPr>
          </w:pPr>
          <w:r w:rsidRPr="00347E38">
            <w:rPr>
              <w:rFonts w:asciiTheme="minorHAnsi" w:hAnsiTheme="minorHAnsi" w:cstheme="minorHAnsi"/>
              <w:b/>
              <w:bCs/>
              <w:u w:val="single"/>
            </w:rPr>
            <w:t xml:space="preserve">KEY Information </w:t>
          </w:r>
          <w:r w:rsidR="001A28CA" w:rsidRPr="00347E38">
            <w:rPr>
              <w:rFonts w:asciiTheme="minorHAnsi" w:hAnsiTheme="minorHAnsi" w:cstheme="minorHAnsi"/>
              <w:b/>
              <w:bCs/>
              <w:u w:val="single"/>
            </w:rPr>
            <w:t>To Add:</w:t>
          </w:r>
        </w:p>
        <w:tbl>
          <w:tblPr>
            <w:tblW w:w="6944" w:type="dxa"/>
            <w:tblLook w:val="04A0" w:firstRow="1" w:lastRow="0" w:firstColumn="1" w:lastColumn="0" w:noHBand="0" w:noVBand="1"/>
          </w:tblPr>
          <w:tblGrid>
            <w:gridCol w:w="6944"/>
          </w:tblGrid>
          <w:tr w:rsidR="001A28CA" w:rsidRPr="00347E38" w14:paraId="79E746DF" w14:textId="77777777" w:rsidTr="00C73B99">
            <w:trPr>
              <w:trHeight w:val="320"/>
            </w:trPr>
            <w:tc>
              <w:tcPr>
                <w:tcW w:w="69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115B46" w14:textId="77777777" w:rsidR="001A28CA" w:rsidRPr="001A28CA" w:rsidRDefault="001A28CA" w:rsidP="00B413D9">
                <w:pPr>
                  <w:rPr>
                    <w:rFonts w:asciiTheme="minorHAnsi" w:hAnsiTheme="minorHAnsi" w:cstheme="minorHAnsi"/>
                    <w:color w:val="000000"/>
                  </w:rPr>
                </w:pPr>
                <w:r w:rsidRPr="001A28CA">
                  <w:rPr>
                    <w:rFonts w:asciiTheme="minorHAnsi" w:hAnsiTheme="minorHAnsi" w:cstheme="minorHAnsi"/>
                    <w:color w:val="000000"/>
                  </w:rPr>
                  <w:t>2023 share price: 463p → £4.63</w:t>
                </w:r>
              </w:p>
            </w:tc>
          </w:tr>
          <w:tr w:rsidR="001A28CA" w:rsidRPr="00347E38" w14:paraId="0C4079F1" w14:textId="77777777" w:rsidTr="00C73B99">
            <w:trPr>
              <w:trHeight w:val="320"/>
            </w:trPr>
            <w:tc>
              <w:tcPr>
                <w:tcW w:w="6944" w:type="dxa"/>
                <w:tcBorders>
                  <w:top w:val="nil"/>
                  <w:left w:val="single" w:sz="4" w:space="0" w:color="auto"/>
                  <w:bottom w:val="single" w:sz="4" w:space="0" w:color="auto"/>
                  <w:right w:val="single" w:sz="4" w:space="0" w:color="auto"/>
                </w:tcBorders>
                <w:shd w:val="clear" w:color="auto" w:fill="auto"/>
                <w:noWrap/>
                <w:vAlign w:val="bottom"/>
                <w:hideMark/>
              </w:tcPr>
              <w:p w14:paraId="3896CCED" w14:textId="77777777" w:rsidR="001A28CA" w:rsidRPr="001A28CA" w:rsidRDefault="001A28CA" w:rsidP="00B413D9">
                <w:pPr>
                  <w:rPr>
                    <w:rFonts w:asciiTheme="minorHAnsi" w:hAnsiTheme="minorHAnsi" w:cstheme="minorHAnsi"/>
                    <w:color w:val="000000"/>
                  </w:rPr>
                </w:pPr>
                <w:r w:rsidRPr="001A28CA">
                  <w:rPr>
                    <w:rFonts w:asciiTheme="minorHAnsi" w:hAnsiTheme="minorHAnsi" w:cstheme="minorHAnsi"/>
                    <w:color w:val="000000"/>
                  </w:rPr>
                  <w:t>2024 share price: 195p → £1.95</w:t>
                </w:r>
              </w:p>
            </w:tc>
          </w:tr>
          <w:tr w:rsidR="00C73B99" w:rsidRPr="00C73B99" w14:paraId="237E8EE5" w14:textId="77777777" w:rsidTr="00C73B99">
            <w:trPr>
              <w:trHeight w:val="320"/>
            </w:trPr>
            <w:tc>
              <w:tcPr>
                <w:tcW w:w="6944" w:type="dxa"/>
                <w:tcBorders>
                  <w:top w:val="nil"/>
                  <w:left w:val="single" w:sz="4" w:space="0" w:color="auto"/>
                  <w:bottom w:val="single" w:sz="4" w:space="0" w:color="auto"/>
                  <w:right w:val="single" w:sz="4" w:space="0" w:color="auto"/>
                </w:tcBorders>
                <w:shd w:val="clear" w:color="auto" w:fill="auto"/>
                <w:noWrap/>
                <w:vAlign w:val="bottom"/>
                <w:hideMark/>
              </w:tcPr>
              <w:p w14:paraId="0B825EE1" w14:textId="77777777" w:rsidR="00C73B99" w:rsidRPr="00C73B99" w:rsidRDefault="00C73B99" w:rsidP="00C73B99">
                <w:pPr>
                  <w:rPr>
                    <w:rFonts w:asciiTheme="minorHAnsi" w:hAnsiTheme="minorHAnsi" w:cstheme="minorHAnsi"/>
                    <w:color w:val="000000"/>
                  </w:rPr>
                </w:pPr>
                <w:r w:rsidRPr="00C73B99">
                  <w:rPr>
                    <w:rFonts w:asciiTheme="minorHAnsi" w:hAnsiTheme="minorHAnsi" w:cstheme="minorHAnsi"/>
                    <w:color w:val="000000"/>
                  </w:rPr>
                  <w:t>DPS 2023 = 10.9p = £0.109</w:t>
                </w:r>
              </w:p>
            </w:tc>
          </w:tr>
          <w:tr w:rsidR="00C73B99" w:rsidRPr="00C73B99" w14:paraId="35EC5973" w14:textId="77777777" w:rsidTr="00C73B99">
            <w:trPr>
              <w:trHeight w:val="320"/>
            </w:trPr>
            <w:tc>
              <w:tcPr>
                <w:tcW w:w="6944" w:type="dxa"/>
                <w:tcBorders>
                  <w:top w:val="nil"/>
                  <w:left w:val="single" w:sz="4" w:space="0" w:color="auto"/>
                  <w:bottom w:val="single" w:sz="4" w:space="0" w:color="auto"/>
                  <w:right w:val="single" w:sz="4" w:space="0" w:color="auto"/>
                </w:tcBorders>
                <w:shd w:val="clear" w:color="auto" w:fill="auto"/>
                <w:noWrap/>
                <w:vAlign w:val="bottom"/>
                <w:hideMark/>
              </w:tcPr>
              <w:p w14:paraId="493CA0A9" w14:textId="77777777" w:rsidR="00C73B99" w:rsidRPr="00C73B99" w:rsidRDefault="00C73B99" w:rsidP="00C73B99">
                <w:pPr>
                  <w:rPr>
                    <w:rFonts w:asciiTheme="minorHAnsi" w:hAnsiTheme="minorHAnsi" w:cstheme="minorHAnsi"/>
                    <w:color w:val="000000"/>
                  </w:rPr>
                </w:pPr>
                <w:r w:rsidRPr="00C73B99">
                  <w:rPr>
                    <w:rFonts w:asciiTheme="minorHAnsi" w:hAnsiTheme="minorHAnsi" w:cstheme="minorHAnsi"/>
                    <w:color w:val="000000"/>
                  </w:rPr>
                  <w:t>DPS 2024 = 12.1p = £0.121</w:t>
                </w:r>
              </w:p>
            </w:tc>
          </w:tr>
        </w:tbl>
        <w:p w14:paraId="570D3A6B" w14:textId="7E008E64" w:rsidR="003C5A7E" w:rsidRPr="00347E38" w:rsidRDefault="00836F15" w:rsidP="008E47F4">
          <w:pPr>
            <w:pStyle w:val="Heading1"/>
            <w:rPr>
              <w:rFonts w:asciiTheme="minorHAnsi" w:hAnsiTheme="minorHAnsi" w:cstheme="minorHAnsi"/>
            </w:rPr>
          </w:pPr>
          <w:bookmarkStart w:id="9" w:name="_Toc216779321"/>
          <w:r w:rsidRPr="00347E38">
            <w:rPr>
              <w:rFonts w:asciiTheme="minorHAnsi" w:hAnsiTheme="minorHAnsi" w:cstheme="minorHAnsi"/>
            </w:rPr>
            <w:t xml:space="preserve">Part 2 </w:t>
          </w:r>
          <w:r w:rsidR="001B05A7" w:rsidRPr="00347E38">
            <w:rPr>
              <w:rFonts w:asciiTheme="minorHAnsi" w:hAnsiTheme="minorHAnsi" w:cstheme="minorHAnsi"/>
            </w:rPr>
            <w:t xml:space="preserve">- </w:t>
          </w:r>
          <w:r w:rsidR="001B05A7" w:rsidRPr="00347E38">
            <w:rPr>
              <w:rFonts w:asciiTheme="minorHAnsi" w:hAnsiTheme="minorHAnsi" w:cstheme="minorHAnsi"/>
            </w:rPr>
            <w:t>Investment Appraisal Calculations for Westward Plc</w:t>
          </w:r>
          <w:bookmarkEnd w:id="9"/>
        </w:p>
        <w:p w14:paraId="74BCFDD9"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eastAsiaTheme="majorEastAsia" w:hAnsiTheme="minorHAnsi" w:cstheme="minorHAnsi"/>
              <w:b/>
              <w:bCs/>
            </w:rPr>
            <w:t>Appendix A: Key Assumptions</w:t>
          </w:r>
        </w:p>
        <w:p w14:paraId="1163736F" w14:textId="77777777" w:rsidR="00A606A4" w:rsidRPr="00A606A4" w:rsidRDefault="00A606A4" w:rsidP="00A606A4">
          <w:pPr>
            <w:numPr>
              <w:ilvl w:val="0"/>
              <w:numId w:val="2"/>
            </w:numPr>
            <w:spacing w:after="160" w:line="259" w:lineRule="auto"/>
            <w:rPr>
              <w:rFonts w:asciiTheme="minorHAnsi" w:hAnsiTheme="minorHAnsi" w:cstheme="minorHAnsi"/>
            </w:rPr>
          </w:pPr>
          <w:r w:rsidRPr="00A606A4">
            <w:rPr>
              <w:rFonts w:asciiTheme="minorHAnsi" w:hAnsiTheme="minorHAnsi" w:cstheme="minorHAnsi"/>
            </w:rPr>
            <w:t>Project life: </w:t>
          </w:r>
          <w:r w:rsidRPr="00A606A4">
            <w:rPr>
              <w:rFonts w:asciiTheme="minorHAnsi" w:eastAsiaTheme="majorEastAsia" w:hAnsiTheme="minorHAnsi" w:cstheme="minorHAnsi"/>
            </w:rPr>
            <w:t>4 years</w:t>
          </w:r>
        </w:p>
        <w:p w14:paraId="2F5017B5" w14:textId="77777777" w:rsidR="00A606A4" w:rsidRPr="00A606A4" w:rsidRDefault="00A606A4" w:rsidP="00A606A4">
          <w:pPr>
            <w:numPr>
              <w:ilvl w:val="0"/>
              <w:numId w:val="2"/>
            </w:numPr>
            <w:spacing w:after="160" w:line="259" w:lineRule="auto"/>
            <w:rPr>
              <w:rFonts w:asciiTheme="minorHAnsi" w:hAnsiTheme="minorHAnsi" w:cstheme="minorHAnsi"/>
            </w:rPr>
          </w:pPr>
          <w:r w:rsidRPr="00A606A4">
            <w:rPr>
              <w:rFonts w:asciiTheme="minorHAnsi" w:hAnsiTheme="minorHAnsi" w:cstheme="minorHAnsi"/>
            </w:rPr>
            <w:t>Cost of capital (discount rate): </w:t>
          </w:r>
          <w:r w:rsidRPr="00A606A4">
            <w:rPr>
              <w:rFonts w:asciiTheme="minorHAnsi" w:eastAsiaTheme="majorEastAsia" w:hAnsiTheme="minorHAnsi" w:cstheme="minorHAnsi"/>
            </w:rPr>
            <w:t>6%</w:t>
          </w:r>
        </w:p>
        <w:p w14:paraId="2EAA3EF1" w14:textId="77777777" w:rsidR="00A606A4" w:rsidRPr="00A606A4" w:rsidRDefault="00A606A4" w:rsidP="00A606A4">
          <w:pPr>
            <w:numPr>
              <w:ilvl w:val="0"/>
              <w:numId w:val="2"/>
            </w:numPr>
            <w:spacing w:after="160" w:line="259" w:lineRule="auto"/>
            <w:rPr>
              <w:rFonts w:asciiTheme="minorHAnsi" w:hAnsiTheme="minorHAnsi" w:cstheme="minorHAnsi"/>
            </w:rPr>
          </w:pPr>
          <w:r w:rsidRPr="00A606A4">
            <w:rPr>
              <w:rFonts w:asciiTheme="minorHAnsi" w:hAnsiTheme="minorHAnsi" w:cstheme="minorHAnsi"/>
            </w:rPr>
            <w:lastRenderedPageBreak/>
            <w:t>Corporation tax rate: </w:t>
          </w:r>
          <w:r w:rsidRPr="00A606A4">
            <w:rPr>
              <w:rFonts w:asciiTheme="minorHAnsi" w:eastAsiaTheme="majorEastAsia" w:hAnsiTheme="minorHAnsi" w:cstheme="minorHAnsi"/>
            </w:rPr>
            <w:t>25%</w:t>
          </w:r>
        </w:p>
        <w:p w14:paraId="543D6244" w14:textId="77777777" w:rsidR="00A606A4" w:rsidRPr="00A606A4" w:rsidRDefault="00A606A4" w:rsidP="00A606A4">
          <w:pPr>
            <w:numPr>
              <w:ilvl w:val="0"/>
              <w:numId w:val="2"/>
            </w:numPr>
            <w:spacing w:after="160" w:line="259" w:lineRule="auto"/>
            <w:rPr>
              <w:rFonts w:asciiTheme="minorHAnsi" w:hAnsiTheme="minorHAnsi" w:cstheme="minorHAnsi"/>
            </w:rPr>
          </w:pPr>
          <w:r w:rsidRPr="00A606A4">
            <w:rPr>
              <w:rFonts w:asciiTheme="minorHAnsi" w:hAnsiTheme="minorHAnsi" w:cstheme="minorHAnsi"/>
            </w:rPr>
            <w:t>Capital allowances: </w:t>
          </w:r>
          <w:r w:rsidRPr="00A606A4">
            <w:rPr>
              <w:rFonts w:asciiTheme="minorHAnsi" w:eastAsiaTheme="majorEastAsia" w:hAnsiTheme="minorHAnsi" w:cstheme="minorHAnsi"/>
            </w:rPr>
            <w:t>20% straight-line</w:t>
          </w:r>
        </w:p>
        <w:p w14:paraId="51EFA5D1" w14:textId="77777777" w:rsidR="00A606A4" w:rsidRPr="00A606A4" w:rsidRDefault="00A606A4" w:rsidP="00A606A4">
          <w:pPr>
            <w:numPr>
              <w:ilvl w:val="0"/>
              <w:numId w:val="2"/>
            </w:numPr>
            <w:spacing w:after="160" w:line="259" w:lineRule="auto"/>
            <w:rPr>
              <w:rFonts w:asciiTheme="minorHAnsi" w:hAnsiTheme="minorHAnsi" w:cstheme="minorHAnsi"/>
            </w:rPr>
          </w:pPr>
          <w:r w:rsidRPr="00A606A4">
            <w:rPr>
              <w:rFonts w:asciiTheme="minorHAnsi" w:hAnsiTheme="minorHAnsi" w:cstheme="minorHAnsi"/>
            </w:rPr>
            <w:t>All cash flows occur at </w:t>
          </w:r>
          <w:r w:rsidRPr="00A606A4">
            <w:rPr>
              <w:rFonts w:asciiTheme="minorHAnsi" w:eastAsiaTheme="majorEastAsia" w:hAnsiTheme="minorHAnsi" w:cstheme="minorHAnsi"/>
            </w:rPr>
            <w:t>year-end</w:t>
          </w:r>
        </w:p>
        <w:p w14:paraId="71B917F7" w14:textId="77777777" w:rsidR="00A606A4" w:rsidRPr="00A606A4" w:rsidRDefault="00A606A4" w:rsidP="00A606A4">
          <w:pPr>
            <w:numPr>
              <w:ilvl w:val="0"/>
              <w:numId w:val="2"/>
            </w:numPr>
            <w:spacing w:after="160" w:line="259" w:lineRule="auto"/>
            <w:rPr>
              <w:rFonts w:asciiTheme="minorHAnsi" w:hAnsiTheme="minorHAnsi" w:cstheme="minorHAnsi"/>
            </w:rPr>
          </w:pPr>
          <w:r w:rsidRPr="00A606A4">
            <w:rPr>
              <w:rFonts w:asciiTheme="minorHAnsi" w:hAnsiTheme="minorHAnsi" w:cstheme="minorHAnsi"/>
            </w:rPr>
            <w:t>No residual value assumed</w:t>
          </w:r>
        </w:p>
        <w:p w14:paraId="64D96526" w14:textId="77777777" w:rsidR="00A606A4" w:rsidRPr="00A606A4" w:rsidRDefault="00A606A4" w:rsidP="00A606A4">
          <w:pPr>
            <w:numPr>
              <w:ilvl w:val="0"/>
              <w:numId w:val="2"/>
            </w:numPr>
            <w:spacing w:after="160" w:line="259" w:lineRule="auto"/>
            <w:rPr>
              <w:rFonts w:asciiTheme="minorHAnsi" w:hAnsiTheme="minorHAnsi" w:cstheme="minorHAnsi"/>
            </w:rPr>
          </w:pPr>
          <w:r w:rsidRPr="00A606A4">
            <w:rPr>
              <w:rFonts w:asciiTheme="minorHAnsi" w:hAnsiTheme="minorHAnsi" w:cstheme="minorHAnsi"/>
            </w:rPr>
            <w:t>Projects are divisible for capital rationing analysis</w:t>
          </w:r>
        </w:p>
        <w:p w14:paraId="030A5DC4" w14:textId="77777777" w:rsidR="00A606A4" w:rsidRPr="00A606A4" w:rsidRDefault="001214F9" w:rsidP="00A606A4">
          <w:pPr>
            <w:spacing w:after="160" w:line="259" w:lineRule="auto"/>
            <w:rPr>
              <w:rFonts w:asciiTheme="minorHAnsi" w:hAnsiTheme="minorHAnsi" w:cstheme="minorHAnsi"/>
            </w:rPr>
          </w:pPr>
          <w:r w:rsidRPr="001214F9">
            <w:rPr>
              <w:rFonts w:asciiTheme="minorHAnsi" w:hAnsiTheme="minorHAnsi" w:cstheme="minorHAnsi"/>
              <w:noProof/>
            </w:rPr>
            <w:pict w14:anchorId="3216C4CE">
              <v:rect id="_x0000_i1036" alt="" style="width:451.3pt;height:.05pt;mso-width-percent:0;mso-height-percent:0;mso-width-percent:0;mso-height-percent:0" o:hralign="center" o:hrstd="t" o:hr="t" fillcolor="#a0a0a0" stroked="f"/>
            </w:pict>
          </w:r>
        </w:p>
        <w:p w14:paraId="3FBBDE74"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eastAsiaTheme="majorEastAsia" w:hAnsiTheme="minorHAnsi" w:cstheme="minorHAnsi"/>
              <w:b/>
              <w:bCs/>
            </w:rPr>
            <w:t>Appendix B: Capital Allowances Calculation</w:t>
          </w:r>
        </w:p>
        <w:p w14:paraId="2551CF1A" w14:textId="55ED7E65"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 xml:space="preserve">Capital allowances are </w:t>
          </w:r>
          <w:r w:rsidR="00D767A9">
            <w:rPr>
              <w:rFonts w:asciiTheme="minorHAnsi" w:hAnsiTheme="minorHAnsi" w:cstheme="minorHAnsi"/>
            </w:rPr>
            <w:t>assumed to be</w:t>
          </w:r>
          <w:r w:rsidRPr="00A606A4">
            <w:rPr>
              <w:rFonts w:asciiTheme="minorHAnsi" w:hAnsiTheme="minorHAnsi" w:cstheme="minorHAnsi"/>
            </w:rPr>
            <w:t xml:space="preserve"> straight-line basis at 20% </w:t>
          </w:r>
          <w:r w:rsidR="00395B4C">
            <w:rPr>
              <w:rFonts w:asciiTheme="minorHAnsi" w:hAnsiTheme="minorHAnsi" w:cstheme="minorHAnsi"/>
            </w:rPr>
            <w:t>over the project life in line with the question requirements</w:t>
          </w:r>
          <w:r w:rsidRPr="00A606A4">
            <w:rPr>
              <w:rFonts w:asciiTheme="minorHAnsi" w:hAnsiTheme="minorHAnsi" w:cstheme="minorHAnsi"/>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7"/>
            <w:gridCol w:w="2511"/>
            <w:gridCol w:w="2360"/>
            <w:gridCol w:w="3317"/>
          </w:tblGrid>
          <w:tr w:rsidR="00A606A4" w:rsidRPr="00A606A4" w14:paraId="0DF0E83D" w14:textId="77777777" w:rsidTr="00A606A4">
            <w:trPr>
              <w:tblHeader/>
              <w:tblCellSpacing w:w="15" w:type="dxa"/>
            </w:trPr>
            <w:tc>
              <w:tcPr>
                <w:tcW w:w="0" w:type="auto"/>
                <w:vAlign w:val="center"/>
                <w:hideMark/>
              </w:tcPr>
              <w:p w14:paraId="4E82E373"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Option</w:t>
                </w:r>
              </w:p>
            </w:tc>
            <w:tc>
              <w:tcPr>
                <w:tcW w:w="0" w:type="auto"/>
                <w:vAlign w:val="center"/>
                <w:hideMark/>
              </w:tcPr>
              <w:p w14:paraId="0E5C85CD"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Initial Investment (£000)</w:t>
                </w:r>
              </w:p>
            </w:tc>
            <w:tc>
              <w:tcPr>
                <w:tcW w:w="0" w:type="auto"/>
                <w:vAlign w:val="center"/>
                <w:hideMark/>
              </w:tcPr>
              <w:p w14:paraId="0E85C6D8"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Capital Allowance Rate</w:t>
                </w:r>
              </w:p>
            </w:tc>
            <w:tc>
              <w:tcPr>
                <w:tcW w:w="0" w:type="auto"/>
                <w:vAlign w:val="center"/>
                <w:hideMark/>
              </w:tcPr>
              <w:p w14:paraId="3D29F6E1"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Annual Capital Allowance (£000)</w:t>
                </w:r>
              </w:p>
            </w:tc>
          </w:tr>
          <w:tr w:rsidR="00A606A4" w:rsidRPr="00A606A4" w14:paraId="57133E14" w14:textId="77777777" w:rsidTr="00A606A4">
            <w:trPr>
              <w:tblCellSpacing w:w="15" w:type="dxa"/>
            </w:trPr>
            <w:tc>
              <w:tcPr>
                <w:tcW w:w="0" w:type="auto"/>
                <w:vAlign w:val="center"/>
                <w:hideMark/>
              </w:tcPr>
              <w:p w14:paraId="6E0A1F1C"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A</w:t>
                </w:r>
              </w:p>
            </w:tc>
            <w:tc>
              <w:tcPr>
                <w:tcW w:w="0" w:type="auto"/>
                <w:vAlign w:val="center"/>
                <w:hideMark/>
              </w:tcPr>
              <w:p w14:paraId="155862CB"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600</w:t>
                </w:r>
              </w:p>
            </w:tc>
            <w:tc>
              <w:tcPr>
                <w:tcW w:w="0" w:type="auto"/>
                <w:vAlign w:val="center"/>
                <w:hideMark/>
              </w:tcPr>
              <w:p w14:paraId="7AD2D5B1"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20%</w:t>
                </w:r>
              </w:p>
            </w:tc>
            <w:tc>
              <w:tcPr>
                <w:tcW w:w="0" w:type="auto"/>
                <w:vAlign w:val="center"/>
                <w:hideMark/>
              </w:tcPr>
              <w:p w14:paraId="055CE03D"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120</w:t>
                </w:r>
              </w:p>
            </w:tc>
          </w:tr>
          <w:tr w:rsidR="00A606A4" w:rsidRPr="00A606A4" w14:paraId="1D26A4DD" w14:textId="77777777" w:rsidTr="00A606A4">
            <w:trPr>
              <w:tblCellSpacing w:w="15" w:type="dxa"/>
            </w:trPr>
            <w:tc>
              <w:tcPr>
                <w:tcW w:w="0" w:type="auto"/>
                <w:vAlign w:val="center"/>
                <w:hideMark/>
              </w:tcPr>
              <w:p w14:paraId="18416EC4"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B</w:t>
                </w:r>
              </w:p>
            </w:tc>
            <w:tc>
              <w:tcPr>
                <w:tcW w:w="0" w:type="auto"/>
                <w:vAlign w:val="center"/>
                <w:hideMark/>
              </w:tcPr>
              <w:p w14:paraId="21432574"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1,000</w:t>
                </w:r>
              </w:p>
            </w:tc>
            <w:tc>
              <w:tcPr>
                <w:tcW w:w="0" w:type="auto"/>
                <w:vAlign w:val="center"/>
                <w:hideMark/>
              </w:tcPr>
              <w:p w14:paraId="28009B39"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20%</w:t>
                </w:r>
              </w:p>
            </w:tc>
            <w:tc>
              <w:tcPr>
                <w:tcW w:w="0" w:type="auto"/>
                <w:vAlign w:val="center"/>
                <w:hideMark/>
              </w:tcPr>
              <w:p w14:paraId="3A4FA982"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200</w:t>
                </w:r>
              </w:p>
            </w:tc>
          </w:tr>
          <w:tr w:rsidR="00A606A4" w:rsidRPr="00A606A4" w14:paraId="0A5CBC39" w14:textId="77777777" w:rsidTr="00A606A4">
            <w:trPr>
              <w:tblCellSpacing w:w="15" w:type="dxa"/>
            </w:trPr>
            <w:tc>
              <w:tcPr>
                <w:tcW w:w="0" w:type="auto"/>
                <w:vAlign w:val="center"/>
                <w:hideMark/>
              </w:tcPr>
              <w:p w14:paraId="6E8F7472"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C</w:t>
                </w:r>
              </w:p>
            </w:tc>
            <w:tc>
              <w:tcPr>
                <w:tcW w:w="0" w:type="auto"/>
                <w:vAlign w:val="center"/>
                <w:hideMark/>
              </w:tcPr>
              <w:p w14:paraId="1073222B"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1,600</w:t>
                </w:r>
              </w:p>
            </w:tc>
            <w:tc>
              <w:tcPr>
                <w:tcW w:w="0" w:type="auto"/>
                <w:vAlign w:val="center"/>
                <w:hideMark/>
              </w:tcPr>
              <w:p w14:paraId="2BF27C8D"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20%</w:t>
                </w:r>
              </w:p>
            </w:tc>
            <w:tc>
              <w:tcPr>
                <w:tcW w:w="0" w:type="auto"/>
                <w:vAlign w:val="center"/>
                <w:hideMark/>
              </w:tcPr>
              <w:p w14:paraId="10A0F827"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320</w:t>
                </w:r>
              </w:p>
            </w:tc>
          </w:tr>
        </w:tbl>
        <w:p w14:paraId="22AD9832" w14:textId="77777777" w:rsidR="00A606A4" w:rsidRPr="00A606A4" w:rsidRDefault="001214F9" w:rsidP="00A606A4">
          <w:pPr>
            <w:spacing w:after="160" w:line="259" w:lineRule="auto"/>
            <w:rPr>
              <w:rFonts w:asciiTheme="minorHAnsi" w:hAnsiTheme="minorHAnsi" w:cstheme="minorHAnsi"/>
            </w:rPr>
          </w:pPr>
          <w:r w:rsidRPr="001214F9">
            <w:rPr>
              <w:rFonts w:asciiTheme="minorHAnsi" w:hAnsiTheme="minorHAnsi" w:cstheme="minorHAnsi"/>
              <w:noProof/>
            </w:rPr>
            <w:pict w14:anchorId="2E88DF1D">
              <v:rect id="_x0000_i1035" alt="" style="width:451.3pt;height:.05pt;mso-width-percent:0;mso-height-percent:0;mso-width-percent:0;mso-height-percent:0" o:hralign="center" o:hrstd="t" o:hr="t" fillcolor="#a0a0a0" stroked="f"/>
            </w:pict>
          </w:r>
        </w:p>
        <w:p w14:paraId="78B4868F"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eastAsiaTheme="majorEastAsia" w:hAnsiTheme="minorHAnsi" w:cstheme="minorHAnsi"/>
              <w:b/>
              <w:bCs/>
            </w:rPr>
            <w:t>Appendix C: After-Tax Cash Flow Calculations</w:t>
          </w:r>
        </w:p>
        <w:p w14:paraId="409B1855"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Formula used:</w:t>
          </w:r>
        </w:p>
        <w:p w14:paraId="19013C70" w14:textId="77777777" w:rsidR="00A606A4" w:rsidRDefault="00A606A4" w:rsidP="00A606A4">
          <w:pPr>
            <w:spacing w:after="160" w:line="259" w:lineRule="auto"/>
            <w:rPr>
              <w:rFonts w:asciiTheme="minorHAnsi" w:eastAsiaTheme="majorEastAsia" w:hAnsiTheme="minorHAnsi" w:cstheme="minorHAnsi"/>
              <w:b/>
              <w:bCs/>
            </w:rPr>
          </w:pPr>
          <w:r w:rsidRPr="00A606A4">
            <w:rPr>
              <w:rFonts w:asciiTheme="minorHAnsi" w:eastAsiaTheme="majorEastAsia" w:hAnsiTheme="minorHAnsi" w:cstheme="minorHAnsi"/>
              <w:b/>
              <w:bCs/>
            </w:rPr>
            <w:t>After-tax cash flow =</w:t>
          </w:r>
          <w:r w:rsidRPr="00A606A4">
            <w:rPr>
              <w:rFonts w:asciiTheme="minorHAnsi" w:hAnsiTheme="minorHAnsi" w:cstheme="minorHAnsi"/>
              <w:b/>
              <w:bCs/>
            </w:rPr>
            <w:br/>
          </w:r>
          <w:r w:rsidRPr="00A606A4">
            <w:rPr>
              <w:rFonts w:asciiTheme="minorHAnsi" w:eastAsiaTheme="majorEastAsia" w:hAnsiTheme="minorHAnsi" w:cstheme="minorHAnsi"/>
              <w:b/>
              <w:bCs/>
            </w:rPr>
            <w:t>Cash flow × (1 − tax rate) + (capital allowance × tax rate)</w:t>
          </w:r>
        </w:p>
        <w:p w14:paraId="1E1930DF" w14:textId="20962712" w:rsidR="002231E9" w:rsidRPr="00A606A4" w:rsidRDefault="002231E9" w:rsidP="00A606A4">
          <w:pPr>
            <w:spacing w:after="160" w:line="259" w:lineRule="auto"/>
            <w:rPr>
              <w:rFonts w:asciiTheme="minorHAnsi" w:hAnsiTheme="minorHAnsi" w:cstheme="minorHAnsi"/>
            </w:rPr>
          </w:pPr>
          <w:r>
            <w:rPr>
              <w:rFonts w:asciiTheme="minorHAnsi" w:hAnsiTheme="minorHAnsi" w:cstheme="minorHAnsi"/>
            </w:rPr>
            <w:t>= Capital allowance t</w:t>
          </w:r>
          <w:r w:rsidRPr="00A606A4">
            <w:rPr>
              <w:rFonts w:asciiTheme="minorHAnsi" w:hAnsiTheme="minorHAnsi" w:cstheme="minorHAnsi"/>
            </w:rPr>
            <w:t xml:space="preserve">ax </w:t>
          </w:r>
          <w:r>
            <w:rPr>
              <w:rFonts w:asciiTheme="minorHAnsi" w:hAnsiTheme="minorHAnsi" w:cstheme="minorHAnsi"/>
            </w:rPr>
            <w:t>shield</w:t>
          </w:r>
          <w:r>
            <w:rPr>
              <w:rFonts w:asciiTheme="minorHAnsi" w:hAnsiTheme="minorHAnsi" w:cstheme="minorHAnsi"/>
            </w:rPr>
            <w:t xml:space="preserve"> per year:</w:t>
          </w:r>
        </w:p>
        <w:p w14:paraId="5F785A12" w14:textId="378A656F" w:rsidR="00A606A4" w:rsidRDefault="00005D26" w:rsidP="00A606A4">
          <w:pPr>
            <w:spacing w:after="160" w:line="259" w:lineRule="auto"/>
            <w:rPr>
              <w:rFonts w:asciiTheme="minorHAnsi" w:hAnsiTheme="minorHAnsi" w:cstheme="minorHAnsi"/>
            </w:rPr>
          </w:pPr>
          <w:r>
            <w:rPr>
              <w:rFonts w:asciiTheme="minorHAnsi" w:hAnsiTheme="minorHAnsi" w:cstheme="minorHAnsi"/>
            </w:rPr>
            <w:t xml:space="preserve">Option </w:t>
          </w:r>
          <w:r w:rsidR="009E1C8F">
            <w:rPr>
              <w:rFonts w:asciiTheme="minorHAnsi" w:hAnsiTheme="minorHAnsi" w:cstheme="minorHAnsi"/>
            </w:rPr>
            <w:t xml:space="preserve">A = </w:t>
          </w:r>
          <w:r w:rsidR="002231E9" w:rsidRPr="002231E9">
            <w:rPr>
              <w:rFonts w:asciiTheme="minorHAnsi" w:hAnsiTheme="minorHAnsi" w:cstheme="minorHAnsi"/>
            </w:rPr>
            <w:t>£120 × 25% = </w:t>
          </w:r>
          <w:r w:rsidR="002231E9" w:rsidRPr="002231E9">
            <w:rPr>
              <w:rFonts w:asciiTheme="minorHAnsi" w:hAnsiTheme="minorHAnsi" w:cstheme="minorHAnsi"/>
              <w:b/>
              <w:bCs/>
            </w:rPr>
            <w:t>£30k</w:t>
          </w:r>
        </w:p>
        <w:p w14:paraId="68B81F58" w14:textId="4FBC9A29" w:rsidR="00AD6853" w:rsidRDefault="00005D26" w:rsidP="00A606A4">
          <w:pPr>
            <w:spacing w:after="160" w:line="259" w:lineRule="auto"/>
            <w:rPr>
              <w:rFonts w:asciiTheme="minorHAnsi" w:hAnsiTheme="minorHAnsi" w:cstheme="minorHAnsi"/>
            </w:rPr>
          </w:pPr>
          <w:r>
            <w:rPr>
              <w:rFonts w:asciiTheme="minorHAnsi" w:hAnsiTheme="minorHAnsi" w:cstheme="minorHAnsi"/>
            </w:rPr>
            <w:t xml:space="preserve">Option </w:t>
          </w:r>
          <w:r w:rsidR="00BC6204">
            <w:rPr>
              <w:rFonts w:asciiTheme="minorHAnsi" w:hAnsiTheme="minorHAnsi" w:cstheme="minorHAnsi"/>
            </w:rPr>
            <w:t xml:space="preserve">B = </w:t>
          </w:r>
          <w:r w:rsidR="0049093D" w:rsidRPr="0049093D">
            <w:rPr>
              <w:rFonts w:asciiTheme="minorHAnsi" w:hAnsiTheme="minorHAnsi" w:cstheme="minorHAnsi"/>
            </w:rPr>
            <w:t>£200 × 25% = </w:t>
          </w:r>
          <w:r w:rsidR="0049093D" w:rsidRPr="0049093D">
            <w:rPr>
              <w:rFonts w:asciiTheme="minorHAnsi" w:hAnsiTheme="minorHAnsi" w:cstheme="minorHAnsi"/>
              <w:b/>
              <w:bCs/>
            </w:rPr>
            <w:t>£50k</w:t>
          </w:r>
        </w:p>
        <w:p w14:paraId="287C011C" w14:textId="7A90CA9F" w:rsidR="00BC6204" w:rsidRPr="00A606A4" w:rsidRDefault="00005D26" w:rsidP="00A606A4">
          <w:pPr>
            <w:spacing w:after="160" w:line="259" w:lineRule="auto"/>
            <w:rPr>
              <w:rFonts w:asciiTheme="minorHAnsi" w:hAnsiTheme="minorHAnsi" w:cstheme="minorHAnsi"/>
            </w:rPr>
          </w:pPr>
          <w:r>
            <w:rPr>
              <w:rFonts w:asciiTheme="minorHAnsi" w:hAnsiTheme="minorHAnsi" w:cstheme="minorHAnsi"/>
            </w:rPr>
            <w:t xml:space="preserve">Option </w:t>
          </w:r>
          <w:r w:rsidR="00BC6204">
            <w:rPr>
              <w:rFonts w:asciiTheme="minorHAnsi" w:hAnsiTheme="minorHAnsi" w:cstheme="minorHAnsi"/>
            </w:rPr>
            <w:t xml:space="preserve">C = </w:t>
          </w:r>
          <w:r w:rsidR="0049093D" w:rsidRPr="0049093D">
            <w:rPr>
              <w:rFonts w:asciiTheme="minorHAnsi" w:hAnsiTheme="minorHAnsi" w:cstheme="minorHAnsi"/>
            </w:rPr>
            <w:t>£320 × 25% = </w:t>
          </w:r>
          <w:r w:rsidR="0049093D" w:rsidRPr="0049093D">
            <w:rPr>
              <w:rFonts w:asciiTheme="minorHAnsi" w:hAnsiTheme="minorHAnsi" w:cstheme="minorHAnsi"/>
              <w:b/>
              <w:bCs/>
            </w:rPr>
            <w:t>£80k</w:t>
          </w:r>
        </w:p>
        <w:p w14:paraId="27244606" w14:textId="77777777" w:rsidR="00A606A4" w:rsidRPr="00A606A4" w:rsidRDefault="001214F9" w:rsidP="00A606A4">
          <w:pPr>
            <w:spacing w:after="160" w:line="259" w:lineRule="auto"/>
            <w:rPr>
              <w:rFonts w:asciiTheme="minorHAnsi" w:hAnsiTheme="minorHAnsi" w:cstheme="minorHAnsi"/>
            </w:rPr>
          </w:pPr>
          <w:r w:rsidRPr="001214F9">
            <w:rPr>
              <w:rFonts w:asciiTheme="minorHAnsi" w:hAnsiTheme="minorHAnsi" w:cstheme="minorHAnsi"/>
              <w:noProof/>
            </w:rPr>
            <w:pict w14:anchorId="53E431ED">
              <v:rect id="_x0000_i1034" alt="" style="width:451.3pt;height:.05pt;mso-width-percent:0;mso-height-percent:0;mso-width-percent:0;mso-height-percent:0" o:hralign="center" o:hrstd="t" o:hr="t" fillcolor="#a0a0a0" stroked="f"/>
            </w:pict>
          </w:r>
        </w:p>
        <w:p w14:paraId="359F13B8"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eastAsiaTheme="majorEastAsia" w:hAnsiTheme="minorHAnsi" w:cstheme="minorHAnsi"/>
              <w:b/>
              <w:bCs/>
            </w:rPr>
            <w:t>Option A: After-Tax Cash Flows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25"/>
            <w:gridCol w:w="2833"/>
            <w:gridCol w:w="2617"/>
            <w:gridCol w:w="2753"/>
          </w:tblGrid>
          <w:tr w:rsidR="00A606A4" w:rsidRPr="00A606A4" w14:paraId="2FB57F79" w14:textId="77777777" w:rsidTr="00A606A4">
            <w:trPr>
              <w:tblHeader/>
              <w:tblCellSpacing w:w="15" w:type="dxa"/>
            </w:trPr>
            <w:tc>
              <w:tcPr>
                <w:tcW w:w="0" w:type="auto"/>
                <w:vAlign w:val="center"/>
                <w:hideMark/>
              </w:tcPr>
              <w:p w14:paraId="32C454E2"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Year</w:t>
                </w:r>
              </w:p>
            </w:tc>
            <w:tc>
              <w:tcPr>
                <w:tcW w:w="0" w:type="auto"/>
                <w:vAlign w:val="center"/>
                <w:hideMark/>
              </w:tcPr>
              <w:p w14:paraId="30F9302E" w14:textId="688B8F4C" w:rsidR="00A606A4" w:rsidRPr="00A606A4" w:rsidRDefault="00926AFF" w:rsidP="00A606A4">
                <w:pPr>
                  <w:spacing w:after="160" w:line="259" w:lineRule="auto"/>
                  <w:rPr>
                    <w:rFonts w:asciiTheme="minorHAnsi" w:hAnsiTheme="minorHAnsi" w:cstheme="minorHAnsi"/>
                    <w:b/>
                    <w:bCs/>
                  </w:rPr>
                </w:pPr>
                <w:r>
                  <w:rPr>
                    <w:rFonts w:asciiTheme="minorHAnsi" w:hAnsiTheme="minorHAnsi" w:cstheme="minorHAnsi"/>
                    <w:b/>
                    <w:bCs/>
                  </w:rPr>
                  <w:t xml:space="preserve">     </w:t>
                </w:r>
                <w:r w:rsidR="00A606A4" w:rsidRPr="00A606A4">
                  <w:rPr>
                    <w:rFonts w:asciiTheme="minorHAnsi" w:hAnsiTheme="minorHAnsi" w:cstheme="minorHAnsi"/>
                    <w:b/>
                    <w:bCs/>
                  </w:rPr>
                  <w:t>Pre-Tax Cash Flow (£000)</w:t>
                </w:r>
              </w:p>
            </w:tc>
            <w:tc>
              <w:tcPr>
                <w:tcW w:w="0" w:type="auto"/>
                <w:vAlign w:val="center"/>
                <w:hideMark/>
              </w:tcPr>
              <w:p w14:paraId="62BA1286" w14:textId="6A234B3F" w:rsidR="00A606A4" w:rsidRPr="00A606A4" w:rsidRDefault="00926AFF" w:rsidP="00A606A4">
                <w:pPr>
                  <w:spacing w:after="160" w:line="259" w:lineRule="auto"/>
                  <w:rPr>
                    <w:rFonts w:asciiTheme="minorHAnsi" w:hAnsiTheme="minorHAnsi" w:cstheme="minorHAnsi"/>
                    <w:b/>
                    <w:bCs/>
                  </w:rPr>
                </w:pPr>
                <w:r>
                  <w:rPr>
                    <w:rFonts w:asciiTheme="minorHAnsi" w:hAnsiTheme="minorHAnsi" w:cstheme="minorHAnsi"/>
                    <w:b/>
                    <w:bCs/>
                  </w:rPr>
                  <w:t xml:space="preserve">          </w:t>
                </w:r>
                <w:r w:rsidR="00A606A4" w:rsidRPr="00A606A4">
                  <w:rPr>
                    <w:rFonts w:asciiTheme="minorHAnsi" w:hAnsiTheme="minorHAnsi" w:cstheme="minorHAnsi"/>
                    <w:b/>
                    <w:bCs/>
                  </w:rPr>
                  <w:t>Calculation</w:t>
                </w:r>
              </w:p>
            </w:tc>
            <w:tc>
              <w:tcPr>
                <w:tcW w:w="0" w:type="auto"/>
                <w:vAlign w:val="center"/>
                <w:hideMark/>
              </w:tcPr>
              <w:p w14:paraId="17659944"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After-Tax Cash Flow (£000)</w:t>
                </w:r>
              </w:p>
            </w:tc>
          </w:tr>
          <w:tr w:rsidR="00A606A4" w:rsidRPr="00A606A4" w14:paraId="1A2CE0BC" w14:textId="77777777" w:rsidTr="00A606A4">
            <w:trPr>
              <w:tblCellSpacing w:w="15" w:type="dxa"/>
            </w:trPr>
            <w:tc>
              <w:tcPr>
                <w:tcW w:w="0" w:type="auto"/>
                <w:vAlign w:val="center"/>
                <w:hideMark/>
              </w:tcPr>
              <w:p w14:paraId="60E82085"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w:t>
                </w:r>
              </w:p>
            </w:tc>
            <w:tc>
              <w:tcPr>
                <w:tcW w:w="0" w:type="auto"/>
                <w:vAlign w:val="center"/>
                <w:hideMark/>
              </w:tcPr>
              <w:p w14:paraId="443466CF" w14:textId="78CB9C37" w:rsidR="00A606A4" w:rsidRPr="00A606A4" w:rsidRDefault="00926AFF"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200</w:t>
                </w:r>
              </w:p>
            </w:tc>
            <w:tc>
              <w:tcPr>
                <w:tcW w:w="0" w:type="auto"/>
                <w:vAlign w:val="center"/>
                <w:hideMark/>
              </w:tcPr>
              <w:p w14:paraId="2958DA88"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(200 × 0.75) + (120 × 0.25)</w:t>
                </w:r>
              </w:p>
            </w:tc>
            <w:tc>
              <w:tcPr>
                <w:tcW w:w="0" w:type="auto"/>
                <w:vAlign w:val="center"/>
                <w:hideMark/>
              </w:tcPr>
              <w:p w14:paraId="50C46A3F"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180</w:t>
                </w:r>
              </w:p>
            </w:tc>
          </w:tr>
          <w:tr w:rsidR="00A606A4" w:rsidRPr="00A606A4" w14:paraId="6241DD38" w14:textId="77777777" w:rsidTr="00A606A4">
            <w:trPr>
              <w:tblCellSpacing w:w="15" w:type="dxa"/>
            </w:trPr>
            <w:tc>
              <w:tcPr>
                <w:tcW w:w="0" w:type="auto"/>
                <w:vAlign w:val="center"/>
                <w:hideMark/>
              </w:tcPr>
              <w:p w14:paraId="46B64AB6"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2</w:t>
                </w:r>
              </w:p>
            </w:tc>
            <w:tc>
              <w:tcPr>
                <w:tcW w:w="0" w:type="auto"/>
                <w:vAlign w:val="center"/>
                <w:hideMark/>
              </w:tcPr>
              <w:p w14:paraId="5A5D0DB8" w14:textId="1A042BE1" w:rsidR="00A606A4" w:rsidRPr="00A606A4" w:rsidRDefault="00926AFF"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400</w:t>
                </w:r>
              </w:p>
            </w:tc>
            <w:tc>
              <w:tcPr>
                <w:tcW w:w="0" w:type="auto"/>
                <w:vAlign w:val="center"/>
                <w:hideMark/>
              </w:tcPr>
              <w:p w14:paraId="3EE4315F"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(400 × 0.75) + (120 × 0.25)</w:t>
                </w:r>
              </w:p>
            </w:tc>
            <w:tc>
              <w:tcPr>
                <w:tcW w:w="0" w:type="auto"/>
                <w:vAlign w:val="center"/>
                <w:hideMark/>
              </w:tcPr>
              <w:p w14:paraId="5346E812"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330</w:t>
                </w:r>
              </w:p>
            </w:tc>
          </w:tr>
          <w:tr w:rsidR="00A606A4" w:rsidRPr="00A606A4" w14:paraId="0655A5C5" w14:textId="77777777" w:rsidTr="00A606A4">
            <w:trPr>
              <w:tblCellSpacing w:w="15" w:type="dxa"/>
            </w:trPr>
            <w:tc>
              <w:tcPr>
                <w:tcW w:w="0" w:type="auto"/>
                <w:vAlign w:val="center"/>
                <w:hideMark/>
              </w:tcPr>
              <w:p w14:paraId="13D08FA7"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w:t>
                </w:r>
              </w:p>
            </w:tc>
            <w:tc>
              <w:tcPr>
                <w:tcW w:w="0" w:type="auto"/>
                <w:vAlign w:val="center"/>
                <w:hideMark/>
              </w:tcPr>
              <w:p w14:paraId="4323B922" w14:textId="1FC3EA7D" w:rsidR="00A606A4" w:rsidRPr="00A606A4" w:rsidRDefault="00926AFF"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500</w:t>
                </w:r>
              </w:p>
            </w:tc>
            <w:tc>
              <w:tcPr>
                <w:tcW w:w="0" w:type="auto"/>
                <w:vAlign w:val="center"/>
                <w:hideMark/>
              </w:tcPr>
              <w:p w14:paraId="4C82216C"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(500 × 0.75) + (120 × 0.25)</w:t>
                </w:r>
              </w:p>
            </w:tc>
            <w:tc>
              <w:tcPr>
                <w:tcW w:w="0" w:type="auto"/>
                <w:vAlign w:val="center"/>
                <w:hideMark/>
              </w:tcPr>
              <w:p w14:paraId="3748FE6E"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405</w:t>
                </w:r>
              </w:p>
            </w:tc>
          </w:tr>
          <w:tr w:rsidR="00A606A4" w:rsidRPr="00A606A4" w14:paraId="287E8059" w14:textId="77777777" w:rsidTr="00A606A4">
            <w:trPr>
              <w:tblCellSpacing w:w="15" w:type="dxa"/>
            </w:trPr>
            <w:tc>
              <w:tcPr>
                <w:tcW w:w="0" w:type="auto"/>
                <w:vAlign w:val="center"/>
                <w:hideMark/>
              </w:tcPr>
              <w:p w14:paraId="1EC527F2"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lastRenderedPageBreak/>
                  <w:t>4</w:t>
                </w:r>
              </w:p>
            </w:tc>
            <w:tc>
              <w:tcPr>
                <w:tcW w:w="0" w:type="auto"/>
                <w:vAlign w:val="center"/>
                <w:hideMark/>
              </w:tcPr>
              <w:p w14:paraId="0C9A3D4B" w14:textId="6E2BB254" w:rsidR="00A606A4" w:rsidRPr="00A606A4" w:rsidRDefault="00926AFF"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700</w:t>
                </w:r>
              </w:p>
            </w:tc>
            <w:tc>
              <w:tcPr>
                <w:tcW w:w="0" w:type="auto"/>
                <w:vAlign w:val="center"/>
                <w:hideMark/>
              </w:tcPr>
              <w:p w14:paraId="142E1993"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(700 × 0.75) + (120 × 0.25)</w:t>
                </w:r>
              </w:p>
            </w:tc>
            <w:tc>
              <w:tcPr>
                <w:tcW w:w="0" w:type="auto"/>
                <w:vAlign w:val="center"/>
                <w:hideMark/>
              </w:tcPr>
              <w:p w14:paraId="4797E023"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555</w:t>
                </w:r>
              </w:p>
            </w:tc>
          </w:tr>
        </w:tbl>
        <w:p w14:paraId="180EA3D0" w14:textId="77777777" w:rsidR="00A606A4" w:rsidRPr="00A606A4" w:rsidRDefault="001214F9" w:rsidP="00A606A4">
          <w:pPr>
            <w:spacing w:after="160" w:line="259" w:lineRule="auto"/>
            <w:rPr>
              <w:rFonts w:asciiTheme="minorHAnsi" w:hAnsiTheme="minorHAnsi" w:cstheme="minorHAnsi"/>
            </w:rPr>
          </w:pPr>
          <w:r w:rsidRPr="001214F9">
            <w:rPr>
              <w:rFonts w:asciiTheme="minorHAnsi" w:hAnsiTheme="minorHAnsi" w:cstheme="minorHAnsi"/>
              <w:noProof/>
            </w:rPr>
            <w:pict w14:anchorId="745C3B7E">
              <v:rect id="_x0000_i1033" alt="" style="width:451.3pt;height:.05pt;mso-width-percent:0;mso-height-percent:0;mso-width-percent:0;mso-height-percent:0" o:hralign="center" o:hrstd="t" o:hr="t" fillcolor="#a0a0a0" stroked="f"/>
            </w:pict>
          </w:r>
        </w:p>
        <w:p w14:paraId="04AF0F00" w14:textId="5A10AA44" w:rsidR="00A606A4" w:rsidRPr="00A606A4" w:rsidRDefault="00A606A4" w:rsidP="00A606A4">
          <w:pPr>
            <w:spacing w:after="160" w:line="259" w:lineRule="auto"/>
            <w:rPr>
              <w:rFonts w:asciiTheme="minorHAnsi" w:hAnsiTheme="minorHAnsi" w:cstheme="minorHAnsi"/>
              <w:b/>
              <w:bCs/>
            </w:rPr>
          </w:pPr>
          <w:r w:rsidRPr="00A606A4">
            <w:rPr>
              <w:rFonts w:asciiTheme="minorHAnsi" w:eastAsiaTheme="majorEastAsia" w:hAnsiTheme="minorHAnsi" w:cstheme="minorHAnsi"/>
              <w:b/>
              <w:bCs/>
            </w:rPr>
            <w:t>Option B: After-Tax Cash Flows</w:t>
          </w:r>
          <w:r w:rsidR="008D0ED5">
            <w:rPr>
              <w:rFonts w:asciiTheme="minorHAnsi" w:eastAsiaTheme="majorEastAsia" w:hAnsiTheme="minorHAnsi" w:cstheme="minorHAnsi"/>
              <w:b/>
              <w:bCs/>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25"/>
            <w:gridCol w:w="2778"/>
            <w:gridCol w:w="2617"/>
            <w:gridCol w:w="2753"/>
          </w:tblGrid>
          <w:tr w:rsidR="00A606A4" w:rsidRPr="00A606A4" w14:paraId="36E2230F" w14:textId="77777777" w:rsidTr="00A606A4">
            <w:trPr>
              <w:tblHeader/>
              <w:tblCellSpacing w:w="15" w:type="dxa"/>
            </w:trPr>
            <w:tc>
              <w:tcPr>
                <w:tcW w:w="0" w:type="auto"/>
                <w:vAlign w:val="center"/>
                <w:hideMark/>
              </w:tcPr>
              <w:p w14:paraId="4ADF1B76"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Year</w:t>
                </w:r>
              </w:p>
            </w:tc>
            <w:tc>
              <w:tcPr>
                <w:tcW w:w="0" w:type="auto"/>
                <w:vAlign w:val="center"/>
                <w:hideMark/>
              </w:tcPr>
              <w:p w14:paraId="6C2D5B00" w14:textId="4ED29E4A" w:rsidR="00A606A4" w:rsidRPr="00A606A4" w:rsidRDefault="00926AFF" w:rsidP="00A606A4">
                <w:pPr>
                  <w:spacing w:after="160" w:line="259" w:lineRule="auto"/>
                  <w:rPr>
                    <w:rFonts w:asciiTheme="minorHAnsi" w:hAnsiTheme="minorHAnsi" w:cstheme="minorHAnsi"/>
                    <w:b/>
                    <w:bCs/>
                  </w:rPr>
                </w:pPr>
                <w:r>
                  <w:rPr>
                    <w:rFonts w:asciiTheme="minorHAnsi" w:hAnsiTheme="minorHAnsi" w:cstheme="minorHAnsi"/>
                    <w:b/>
                    <w:bCs/>
                  </w:rPr>
                  <w:t xml:space="preserve">    </w:t>
                </w:r>
                <w:r w:rsidR="00A606A4" w:rsidRPr="00A606A4">
                  <w:rPr>
                    <w:rFonts w:asciiTheme="minorHAnsi" w:hAnsiTheme="minorHAnsi" w:cstheme="minorHAnsi"/>
                    <w:b/>
                    <w:bCs/>
                  </w:rPr>
                  <w:t>Pre-Tax Cash Flow (£000)</w:t>
                </w:r>
              </w:p>
            </w:tc>
            <w:tc>
              <w:tcPr>
                <w:tcW w:w="0" w:type="auto"/>
                <w:vAlign w:val="center"/>
                <w:hideMark/>
              </w:tcPr>
              <w:p w14:paraId="230906BD" w14:textId="1C4FBF1D" w:rsidR="00A606A4" w:rsidRPr="00A606A4" w:rsidRDefault="00926AFF" w:rsidP="00A606A4">
                <w:pPr>
                  <w:spacing w:after="160" w:line="259" w:lineRule="auto"/>
                  <w:rPr>
                    <w:rFonts w:asciiTheme="minorHAnsi" w:hAnsiTheme="minorHAnsi" w:cstheme="minorHAnsi"/>
                    <w:b/>
                    <w:bCs/>
                  </w:rPr>
                </w:pPr>
                <w:r>
                  <w:rPr>
                    <w:rFonts w:asciiTheme="minorHAnsi" w:hAnsiTheme="minorHAnsi" w:cstheme="minorHAnsi"/>
                    <w:b/>
                    <w:bCs/>
                  </w:rPr>
                  <w:t xml:space="preserve">         </w:t>
                </w:r>
                <w:r w:rsidR="00A606A4" w:rsidRPr="00A606A4">
                  <w:rPr>
                    <w:rFonts w:asciiTheme="minorHAnsi" w:hAnsiTheme="minorHAnsi" w:cstheme="minorHAnsi"/>
                    <w:b/>
                    <w:bCs/>
                  </w:rPr>
                  <w:t>Calculation</w:t>
                </w:r>
              </w:p>
            </w:tc>
            <w:tc>
              <w:tcPr>
                <w:tcW w:w="0" w:type="auto"/>
                <w:vAlign w:val="center"/>
                <w:hideMark/>
              </w:tcPr>
              <w:p w14:paraId="2C543E2E"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After-Tax Cash Flow (£000)</w:t>
                </w:r>
              </w:p>
            </w:tc>
          </w:tr>
          <w:tr w:rsidR="00A606A4" w:rsidRPr="00A606A4" w14:paraId="5174245C" w14:textId="77777777" w:rsidTr="00A606A4">
            <w:trPr>
              <w:tblCellSpacing w:w="15" w:type="dxa"/>
            </w:trPr>
            <w:tc>
              <w:tcPr>
                <w:tcW w:w="0" w:type="auto"/>
                <w:vAlign w:val="center"/>
                <w:hideMark/>
              </w:tcPr>
              <w:p w14:paraId="1C67C0B5"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w:t>
                </w:r>
              </w:p>
            </w:tc>
            <w:tc>
              <w:tcPr>
                <w:tcW w:w="0" w:type="auto"/>
                <w:vAlign w:val="center"/>
                <w:hideMark/>
              </w:tcPr>
              <w:p w14:paraId="53589374" w14:textId="72881224" w:rsidR="00A606A4" w:rsidRPr="00A606A4" w:rsidRDefault="00926AFF"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400</w:t>
                </w:r>
              </w:p>
            </w:tc>
            <w:tc>
              <w:tcPr>
                <w:tcW w:w="0" w:type="auto"/>
                <w:vAlign w:val="center"/>
                <w:hideMark/>
              </w:tcPr>
              <w:p w14:paraId="081DAFB9"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(400 × 0.75) + (200 × 0.25)</w:t>
                </w:r>
              </w:p>
            </w:tc>
            <w:tc>
              <w:tcPr>
                <w:tcW w:w="0" w:type="auto"/>
                <w:vAlign w:val="center"/>
                <w:hideMark/>
              </w:tcPr>
              <w:p w14:paraId="75EAF2DE"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350</w:t>
                </w:r>
              </w:p>
            </w:tc>
          </w:tr>
          <w:tr w:rsidR="00A606A4" w:rsidRPr="00A606A4" w14:paraId="39368D2A" w14:textId="77777777" w:rsidTr="00A606A4">
            <w:trPr>
              <w:tblCellSpacing w:w="15" w:type="dxa"/>
            </w:trPr>
            <w:tc>
              <w:tcPr>
                <w:tcW w:w="0" w:type="auto"/>
                <w:vAlign w:val="center"/>
                <w:hideMark/>
              </w:tcPr>
              <w:p w14:paraId="6FA3C50C"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2</w:t>
                </w:r>
              </w:p>
            </w:tc>
            <w:tc>
              <w:tcPr>
                <w:tcW w:w="0" w:type="auto"/>
                <w:vAlign w:val="center"/>
                <w:hideMark/>
              </w:tcPr>
              <w:p w14:paraId="78CB3F36" w14:textId="772AE144" w:rsidR="00A606A4" w:rsidRPr="00A606A4" w:rsidRDefault="00926AFF"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450</w:t>
                </w:r>
              </w:p>
            </w:tc>
            <w:tc>
              <w:tcPr>
                <w:tcW w:w="0" w:type="auto"/>
                <w:vAlign w:val="center"/>
                <w:hideMark/>
              </w:tcPr>
              <w:p w14:paraId="2845035D"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(450 × 0.75) + (200 × 0.25)</w:t>
                </w:r>
              </w:p>
            </w:tc>
            <w:tc>
              <w:tcPr>
                <w:tcW w:w="0" w:type="auto"/>
                <w:vAlign w:val="center"/>
                <w:hideMark/>
              </w:tcPr>
              <w:p w14:paraId="7A9ECD4A"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387.5</w:t>
                </w:r>
              </w:p>
            </w:tc>
          </w:tr>
          <w:tr w:rsidR="00A606A4" w:rsidRPr="00A606A4" w14:paraId="640F5005" w14:textId="77777777" w:rsidTr="00A606A4">
            <w:trPr>
              <w:tblCellSpacing w:w="15" w:type="dxa"/>
            </w:trPr>
            <w:tc>
              <w:tcPr>
                <w:tcW w:w="0" w:type="auto"/>
                <w:vAlign w:val="center"/>
                <w:hideMark/>
              </w:tcPr>
              <w:p w14:paraId="7CD252B4"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w:t>
                </w:r>
              </w:p>
            </w:tc>
            <w:tc>
              <w:tcPr>
                <w:tcW w:w="0" w:type="auto"/>
                <w:vAlign w:val="center"/>
                <w:hideMark/>
              </w:tcPr>
              <w:p w14:paraId="2BBBCA6A" w14:textId="748662C5" w:rsidR="00A606A4" w:rsidRPr="00A606A4" w:rsidRDefault="00926AFF"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720</w:t>
                </w:r>
              </w:p>
            </w:tc>
            <w:tc>
              <w:tcPr>
                <w:tcW w:w="0" w:type="auto"/>
                <w:vAlign w:val="center"/>
                <w:hideMark/>
              </w:tcPr>
              <w:p w14:paraId="5E51041F"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(720 × 0.75) + (200 × 0.25)</w:t>
                </w:r>
              </w:p>
            </w:tc>
            <w:tc>
              <w:tcPr>
                <w:tcW w:w="0" w:type="auto"/>
                <w:vAlign w:val="center"/>
                <w:hideMark/>
              </w:tcPr>
              <w:p w14:paraId="6517FB44"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590</w:t>
                </w:r>
              </w:p>
            </w:tc>
          </w:tr>
          <w:tr w:rsidR="00A606A4" w:rsidRPr="00A606A4" w14:paraId="6D06B6B1" w14:textId="77777777" w:rsidTr="00A606A4">
            <w:trPr>
              <w:tblCellSpacing w:w="15" w:type="dxa"/>
            </w:trPr>
            <w:tc>
              <w:tcPr>
                <w:tcW w:w="0" w:type="auto"/>
                <w:vAlign w:val="center"/>
                <w:hideMark/>
              </w:tcPr>
              <w:p w14:paraId="3A7DB45F"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4</w:t>
                </w:r>
              </w:p>
            </w:tc>
            <w:tc>
              <w:tcPr>
                <w:tcW w:w="0" w:type="auto"/>
                <w:vAlign w:val="center"/>
                <w:hideMark/>
              </w:tcPr>
              <w:p w14:paraId="037D7137" w14:textId="23A4C7D8" w:rsidR="00A606A4" w:rsidRPr="00A606A4" w:rsidRDefault="00926AFF"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980</w:t>
                </w:r>
              </w:p>
            </w:tc>
            <w:tc>
              <w:tcPr>
                <w:tcW w:w="0" w:type="auto"/>
                <w:vAlign w:val="center"/>
                <w:hideMark/>
              </w:tcPr>
              <w:p w14:paraId="7E6CF024"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(980 × 0.75) + (200 × 0.25)</w:t>
                </w:r>
              </w:p>
            </w:tc>
            <w:tc>
              <w:tcPr>
                <w:tcW w:w="0" w:type="auto"/>
                <w:vAlign w:val="center"/>
                <w:hideMark/>
              </w:tcPr>
              <w:p w14:paraId="344598E1" w14:textId="1AA19904" w:rsidR="009E4B99"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785</w:t>
                </w:r>
                <w:r w:rsidR="009E4B99">
                  <w:rPr>
                    <w:rFonts w:asciiTheme="minorHAnsi" w:hAnsiTheme="minorHAnsi" w:cstheme="minorHAnsi"/>
                  </w:rPr>
                  <w:t xml:space="preserve"> </w:t>
                </w:r>
              </w:p>
            </w:tc>
          </w:tr>
        </w:tbl>
        <w:p w14:paraId="359BA507" w14:textId="77777777" w:rsidR="00A606A4" w:rsidRPr="00A606A4" w:rsidRDefault="001214F9" w:rsidP="00A606A4">
          <w:pPr>
            <w:spacing w:after="160" w:line="259" w:lineRule="auto"/>
            <w:rPr>
              <w:rFonts w:asciiTheme="minorHAnsi" w:hAnsiTheme="minorHAnsi" w:cstheme="minorHAnsi"/>
            </w:rPr>
          </w:pPr>
          <w:r w:rsidRPr="001214F9">
            <w:rPr>
              <w:rFonts w:asciiTheme="minorHAnsi" w:hAnsiTheme="minorHAnsi" w:cstheme="minorHAnsi"/>
              <w:noProof/>
            </w:rPr>
            <w:pict w14:anchorId="11634E48">
              <v:rect id="_x0000_i1032" alt="" style="width:451.3pt;height:.05pt;mso-width-percent:0;mso-height-percent:0;mso-width-percent:0;mso-height-percent:0" o:hralign="center" o:hrstd="t" o:hr="t" fillcolor="#a0a0a0" stroked="f"/>
            </w:pict>
          </w:r>
        </w:p>
        <w:p w14:paraId="2F16D9A2"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eastAsiaTheme="majorEastAsia" w:hAnsiTheme="minorHAnsi" w:cstheme="minorHAnsi"/>
              <w:b/>
              <w:bCs/>
            </w:rPr>
            <w:t>Option C: After-Tax Cash Flows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25"/>
            <w:gridCol w:w="2778"/>
            <w:gridCol w:w="2798"/>
            <w:gridCol w:w="2753"/>
          </w:tblGrid>
          <w:tr w:rsidR="00A606A4" w:rsidRPr="00A606A4" w14:paraId="7E4529EC" w14:textId="77777777" w:rsidTr="00A606A4">
            <w:trPr>
              <w:tblHeader/>
              <w:tblCellSpacing w:w="15" w:type="dxa"/>
            </w:trPr>
            <w:tc>
              <w:tcPr>
                <w:tcW w:w="0" w:type="auto"/>
                <w:vAlign w:val="center"/>
                <w:hideMark/>
              </w:tcPr>
              <w:p w14:paraId="1AA7D865"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Year</w:t>
                </w:r>
              </w:p>
            </w:tc>
            <w:tc>
              <w:tcPr>
                <w:tcW w:w="0" w:type="auto"/>
                <w:vAlign w:val="center"/>
                <w:hideMark/>
              </w:tcPr>
              <w:p w14:paraId="34256B8A" w14:textId="00EACADE" w:rsidR="00A606A4" w:rsidRPr="00A606A4" w:rsidRDefault="00926AFF" w:rsidP="00A606A4">
                <w:pPr>
                  <w:spacing w:after="160" w:line="259" w:lineRule="auto"/>
                  <w:rPr>
                    <w:rFonts w:asciiTheme="minorHAnsi" w:hAnsiTheme="minorHAnsi" w:cstheme="minorHAnsi"/>
                    <w:b/>
                    <w:bCs/>
                  </w:rPr>
                </w:pPr>
                <w:r>
                  <w:rPr>
                    <w:rFonts w:asciiTheme="minorHAnsi" w:hAnsiTheme="minorHAnsi" w:cstheme="minorHAnsi"/>
                    <w:b/>
                    <w:bCs/>
                  </w:rPr>
                  <w:t xml:space="preserve">    </w:t>
                </w:r>
                <w:r w:rsidR="00A606A4" w:rsidRPr="00A606A4">
                  <w:rPr>
                    <w:rFonts w:asciiTheme="minorHAnsi" w:hAnsiTheme="minorHAnsi" w:cstheme="minorHAnsi"/>
                    <w:b/>
                    <w:bCs/>
                  </w:rPr>
                  <w:t>Pre-Tax Cash Flow (£000)</w:t>
                </w:r>
              </w:p>
            </w:tc>
            <w:tc>
              <w:tcPr>
                <w:tcW w:w="0" w:type="auto"/>
                <w:vAlign w:val="center"/>
                <w:hideMark/>
              </w:tcPr>
              <w:p w14:paraId="1A9B669A" w14:textId="11B65ED2" w:rsidR="00A606A4" w:rsidRPr="00A606A4" w:rsidRDefault="00926AFF" w:rsidP="00A606A4">
                <w:pPr>
                  <w:spacing w:after="160" w:line="259" w:lineRule="auto"/>
                  <w:rPr>
                    <w:rFonts w:asciiTheme="minorHAnsi" w:hAnsiTheme="minorHAnsi" w:cstheme="minorHAnsi"/>
                    <w:b/>
                    <w:bCs/>
                  </w:rPr>
                </w:pPr>
                <w:r>
                  <w:rPr>
                    <w:rFonts w:asciiTheme="minorHAnsi" w:hAnsiTheme="minorHAnsi" w:cstheme="minorHAnsi"/>
                    <w:b/>
                    <w:bCs/>
                  </w:rPr>
                  <w:t xml:space="preserve">         </w:t>
                </w:r>
                <w:r w:rsidR="00A606A4" w:rsidRPr="00A606A4">
                  <w:rPr>
                    <w:rFonts w:asciiTheme="minorHAnsi" w:hAnsiTheme="minorHAnsi" w:cstheme="minorHAnsi"/>
                    <w:b/>
                    <w:bCs/>
                  </w:rPr>
                  <w:t>Calculation</w:t>
                </w:r>
              </w:p>
            </w:tc>
            <w:tc>
              <w:tcPr>
                <w:tcW w:w="0" w:type="auto"/>
                <w:vAlign w:val="center"/>
                <w:hideMark/>
              </w:tcPr>
              <w:p w14:paraId="56BBD0C6"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After-Tax Cash Flow (£000)</w:t>
                </w:r>
              </w:p>
            </w:tc>
          </w:tr>
          <w:tr w:rsidR="00A606A4" w:rsidRPr="00A606A4" w14:paraId="66F4667E" w14:textId="77777777" w:rsidTr="00A606A4">
            <w:trPr>
              <w:tblCellSpacing w:w="15" w:type="dxa"/>
            </w:trPr>
            <w:tc>
              <w:tcPr>
                <w:tcW w:w="0" w:type="auto"/>
                <w:vAlign w:val="center"/>
                <w:hideMark/>
              </w:tcPr>
              <w:p w14:paraId="3E663573"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w:t>
                </w:r>
              </w:p>
            </w:tc>
            <w:tc>
              <w:tcPr>
                <w:tcW w:w="0" w:type="auto"/>
                <w:vAlign w:val="center"/>
                <w:hideMark/>
              </w:tcPr>
              <w:p w14:paraId="721D5A36" w14:textId="649C76E1" w:rsidR="00A606A4" w:rsidRPr="00A606A4" w:rsidRDefault="00926AFF"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450</w:t>
                </w:r>
              </w:p>
            </w:tc>
            <w:tc>
              <w:tcPr>
                <w:tcW w:w="0" w:type="auto"/>
                <w:vAlign w:val="center"/>
                <w:hideMark/>
              </w:tcPr>
              <w:p w14:paraId="6B1AB6DC"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(450 × 0.75) + (320 × 0.25)</w:t>
                </w:r>
              </w:p>
            </w:tc>
            <w:tc>
              <w:tcPr>
                <w:tcW w:w="0" w:type="auto"/>
                <w:vAlign w:val="center"/>
                <w:hideMark/>
              </w:tcPr>
              <w:p w14:paraId="7AE60FAD"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417.5</w:t>
                </w:r>
              </w:p>
            </w:tc>
          </w:tr>
          <w:tr w:rsidR="00A606A4" w:rsidRPr="00A606A4" w14:paraId="12F3BE5E" w14:textId="77777777" w:rsidTr="00A606A4">
            <w:trPr>
              <w:tblCellSpacing w:w="15" w:type="dxa"/>
            </w:trPr>
            <w:tc>
              <w:tcPr>
                <w:tcW w:w="0" w:type="auto"/>
                <w:vAlign w:val="center"/>
                <w:hideMark/>
              </w:tcPr>
              <w:p w14:paraId="490CD959"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2</w:t>
                </w:r>
              </w:p>
            </w:tc>
            <w:tc>
              <w:tcPr>
                <w:tcW w:w="0" w:type="auto"/>
                <w:vAlign w:val="center"/>
                <w:hideMark/>
              </w:tcPr>
              <w:p w14:paraId="0CFB028D" w14:textId="5BA4D67C" w:rsidR="00A606A4" w:rsidRPr="00A606A4" w:rsidRDefault="00926AFF"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700</w:t>
                </w:r>
              </w:p>
            </w:tc>
            <w:tc>
              <w:tcPr>
                <w:tcW w:w="0" w:type="auto"/>
                <w:vAlign w:val="center"/>
                <w:hideMark/>
              </w:tcPr>
              <w:p w14:paraId="149D9F30"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(700 × 0.75) + (320 × 0.25)</w:t>
                </w:r>
              </w:p>
            </w:tc>
            <w:tc>
              <w:tcPr>
                <w:tcW w:w="0" w:type="auto"/>
                <w:vAlign w:val="center"/>
                <w:hideMark/>
              </w:tcPr>
              <w:p w14:paraId="7DF09E3E"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605</w:t>
                </w:r>
              </w:p>
            </w:tc>
          </w:tr>
          <w:tr w:rsidR="00A606A4" w:rsidRPr="00A606A4" w14:paraId="367F918B" w14:textId="77777777" w:rsidTr="00A606A4">
            <w:trPr>
              <w:tblCellSpacing w:w="15" w:type="dxa"/>
            </w:trPr>
            <w:tc>
              <w:tcPr>
                <w:tcW w:w="0" w:type="auto"/>
                <w:vAlign w:val="center"/>
                <w:hideMark/>
              </w:tcPr>
              <w:p w14:paraId="2BDAC9C8"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w:t>
                </w:r>
              </w:p>
            </w:tc>
            <w:tc>
              <w:tcPr>
                <w:tcW w:w="0" w:type="auto"/>
                <w:vAlign w:val="center"/>
                <w:hideMark/>
              </w:tcPr>
              <w:p w14:paraId="037BC8E3" w14:textId="2F66988D" w:rsidR="00A606A4" w:rsidRPr="00A606A4" w:rsidRDefault="00926AFF"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900</w:t>
                </w:r>
              </w:p>
            </w:tc>
            <w:tc>
              <w:tcPr>
                <w:tcW w:w="0" w:type="auto"/>
                <w:vAlign w:val="center"/>
                <w:hideMark/>
              </w:tcPr>
              <w:p w14:paraId="3ED66E07"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(900 × 0.75) + (320 × 0.25)</w:t>
                </w:r>
              </w:p>
            </w:tc>
            <w:tc>
              <w:tcPr>
                <w:tcW w:w="0" w:type="auto"/>
                <w:vAlign w:val="center"/>
                <w:hideMark/>
              </w:tcPr>
              <w:p w14:paraId="4347D9E9"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755</w:t>
                </w:r>
              </w:p>
            </w:tc>
          </w:tr>
          <w:tr w:rsidR="00A606A4" w:rsidRPr="00A606A4" w14:paraId="5A2468B8" w14:textId="77777777" w:rsidTr="00A606A4">
            <w:trPr>
              <w:tblCellSpacing w:w="15" w:type="dxa"/>
            </w:trPr>
            <w:tc>
              <w:tcPr>
                <w:tcW w:w="0" w:type="auto"/>
                <w:vAlign w:val="center"/>
                <w:hideMark/>
              </w:tcPr>
              <w:p w14:paraId="56FF496D"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4</w:t>
                </w:r>
              </w:p>
            </w:tc>
            <w:tc>
              <w:tcPr>
                <w:tcW w:w="0" w:type="auto"/>
                <w:vAlign w:val="center"/>
                <w:hideMark/>
              </w:tcPr>
              <w:p w14:paraId="1AB0C2D3" w14:textId="2152DC1D" w:rsidR="00A606A4" w:rsidRPr="00A606A4" w:rsidRDefault="00926AFF"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1,200</w:t>
                </w:r>
              </w:p>
            </w:tc>
            <w:tc>
              <w:tcPr>
                <w:tcW w:w="0" w:type="auto"/>
                <w:vAlign w:val="center"/>
                <w:hideMark/>
              </w:tcPr>
              <w:p w14:paraId="0A2EE588"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(1,200 × 0.75) + (320 × 0.25)</w:t>
                </w:r>
              </w:p>
            </w:tc>
            <w:tc>
              <w:tcPr>
                <w:tcW w:w="0" w:type="auto"/>
                <w:vAlign w:val="center"/>
                <w:hideMark/>
              </w:tcPr>
              <w:p w14:paraId="442853D2"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980</w:t>
                </w:r>
              </w:p>
            </w:tc>
          </w:tr>
        </w:tbl>
        <w:p w14:paraId="41D234FC" w14:textId="77777777" w:rsidR="00A606A4" w:rsidRPr="00A606A4" w:rsidRDefault="001214F9" w:rsidP="00A606A4">
          <w:pPr>
            <w:spacing w:after="160" w:line="259" w:lineRule="auto"/>
            <w:rPr>
              <w:rFonts w:asciiTheme="minorHAnsi" w:hAnsiTheme="minorHAnsi" w:cstheme="minorHAnsi"/>
            </w:rPr>
          </w:pPr>
          <w:r w:rsidRPr="001214F9">
            <w:rPr>
              <w:rFonts w:asciiTheme="minorHAnsi" w:hAnsiTheme="minorHAnsi" w:cstheme="minorHAnsi"/>
              <w:noProof/>
            </w:rPr>
            <w:pict w14:anchorId="29BEDD39">
              <v:rect id="_x0000_i1031" alt="" style="width:451.3pt;height:.05pt;mso-width-percent:0;mso-height-percent:0;mso-width-percent:0;mso-height-percent:0" o:hralign="center" o:hrstd="t" o:hr="t" fillcolor="#a0a0a0" stroked="f"/>
            </w:pict>
          </w:r>
        </w:p>
        <w:p w14:paraId="38476EBB" w14:textId="32DB7F83" w:rsidR="00A606A4" w:rsidRPr="00A606A4" w:rsidRDefault="00A606A4" w:rsidP="00A606A4">
          <w:pPr>
            <w:spacing w:after="160" w:line="259" w:lineRule="auto"/>
            <w:rPr>
              <w:rFonts w:asciiTheme="minorHAnsi" w:hAnsiTheme="minorHAnsi" w:cstheme="minorHAnsi"/>
              <w:b/>
              <w:bCs/>
            </w:rPr>
          </w:pPr>
          <w:r w:rsidRPr="00A606A4">
            <w:rPr>
              <w:rFonts w:asciiTheme="minorHAnsi" w:eastAsiaTheme="majorEastAsia" w:hAnsiTheme="minorHAnsi" w:cstheme="minorHAnsi"/>
              <w:b/>
              <w:bCs/>
            </w:rPr>
            <w:t xml:space="preserve">Appendix D: Discount Factors </w:t>
          </w:r>
          <w:r w:rsidR="00873E3D">
            <w:rPr>
              <w:rFonts w:asciiTheme="minorHAnsi" w:eastAsiaTheme="majorEastAsia" w:hAnsiTheme="minorHAnsi" w:cstheme="minorHAnsi"/>
              <w:b/>
              <w:bCs/>
            </w:rPr>
            <w:t xml:space="preserve">calculated </w:t>
          </w:r>
          <w:r w:rsidRPr="00A606A4">
            <w:rPr>
              <w:rFonts w:asciiTheme="minorHAnsi" w:eastAsiaTheme="majorEastAsia" w:hAnsiTheme="minorHAnsi" w:cstheme="minorHAnsi"/>
              <w:b/>
              <w:bCs/>
            </w:rPr>
            <w:t>at 6%</w:t>
          </w:r>
          <w:r w:rsidR="00873E3D">
            <w:rPr>
              <w:rFonts w:asciiTheme="minorHAnsi" w:eastAsiaTheme="majorEastAsia" w:hAnsiTheme="minorHAnsi" w:cstheme="minorHAnsi"/>
              <w:b/>
              <w:bCs/>
            </w:rPr>
            <w:t xml:space="preserve"> and rounded to four decimal places.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25"/>
            <w:gridCol w:w="1958"/>
          </w:tblGrid>
          <w:tr w:rsidR="00A606A4" w:rsidRPr="00A606A4" w14:paraId="6007180B" w14:textId="77777777" w:rsidTr="00A606A4">
            <w:trPr>
              <w:tblHeader/>
              <w:tblCellSpacing w:w="15" w:type="dxa"/>
            </w:trPr>
            <w:tc>
              <w:tcPr>
                <w:tcW w:w="0" w:type="auto"/>
                <w:vAlign w:val="center"/>
                <w:hideMark/>
              </w:tcPr>
              <w:p w14:paraId="276FC4D7"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Year</w:t>
                </w:r>
              </w:p>
            </w:tc>
            <w:tc>
              <w:tcPr>
                <w:tcW w:w="0" w:type="auto"/>
                <w:vAlign w:val="center"/>
                <w:hideMark/>
              </w:tcPr>
              <w:p w14:paraId="05DF3BD5" w14:textId="624E0623" w:rsidR="00A606A4" w:rsidRPr="00A606A4" w:rsidRDefault="00873E3D" w:rsidP="00A606A4">
                <w:pPr>
                  <w:spacing w:after="160" w:line="259" w:lineRule="auto"/>
                  <w:rPr>
                    <w:rFonts w:asciiTheme="minorHAnsi" w:hAnsiTheme="minorHAnsi" w:cstheme="minorHAnsi"/>
                    <w:b/>
                    <w:bCs/>
                  </w:rPr>
                </w:pPr>
                <w:r>
                  <w:rPr>
                    <w:rFonts w:asciiTheme="minorHAnsi" w:hAnsiTheme="minorHAnsi" w:cstheme="minorHAnsi"/>
                    <w:b/>
                    <w:bCs/>
                  </w:rPr>
                  <w:t xml:space="preserve">      </w:t>
                </w:r>
                <w:r w:rsidR="00A606A4" w:rsidRPr="00A606A4">
                  <w:rPr>
                    <w:rFonts w:asciiTheme="minorHAnsi" w:hAnsiTheme="minorHAnsi" w:cstheme="minorHAnsi"/>
                    <w:b/>
                    <w:bCs/>
                  </w:rPr>
                  <w:t>Discount Factor</w:t>
                </w:r>
              </w:p>
            </w:tc>
          </w:tr>
          <w:tr w:rsidR="00A606A4" w:rsidRPr="00A606A4" w14:paraId="292F3475" w14:textId="77777777" w:rsidTr="00A606A4">
            <w:trPr>
              <w:tblCellSpacing w:w="15" w:type="dxa"/>
            </w:trPr>
            <w:tc>
              <w:tcPr>
                <w:tcW w:w="0" w:type="auto"/>
                <w:vAlign w:val="center"/>
                <w:hideMark/>
              </w:tcPr>
              <w:p w14:paraId="0B324AA5"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w:t>
                </w:r>
              </w:p>
            </w:tc>
            <w:tc>
              <w:tcPr>
                <w:tcW w:w="0" w:type="auto"/>
                <w:vAlign w:val="center"/>
                <w:hideMark/>
              </w:tcPr>
              <w:p w14:paraId="23665DF5" w14:textId="5ED9BC80" w:rsidR="00A606A4" w:rsidRPr="00A606A4" w:rsidRDefault="00873E3D"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0.943</w:t>
                </w:r>
                <w:r w:rsidR="001C513F">
                  <w:rPr>
                    <w:rFonts w:asciiTheme="minorHAnsi" w:hAnsiTheme="minorHAnsi" w:cstheme="minorHAnsi"/>
                  </w:rPr>
                  <w:t>4</w:t>
                </w:r>
              </w:p>
            </w:tc>
          </w:tr>
          <w:tr w:rsidR="00A606A4" w:rsidRPr="00A606A4" w14:paraId="619267A3" w14:textId="77777777" w:rsidTr="00A606A4">
            <w:trPr>
              <w:tblCellSpacing w:w="15" w:type="dxa"/>
            </w:trPr>
            <w:tc>
              <w:tcPr>
                <w:tcW w:w="0" w:type="auto"/>
                <w:vAlign w:val="center"/>
                <w:hideMark/>
              </w:tcPr>
              <w:p w14:paraId="12FC25AD"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2</w:t>
                </w:r>
              </w:p>
            </w:tc>
            <w:tc>
              <w:tcPr>
                <w:tcW w:w="0" w:type="auto"/>
                <w:vAlign w:val="center"/>
                <w:hideMark/>
              </w:tcPr>
              <w:p w14:paraId="6E3E2806" w14:textId="7C87ACC9" w:rsidR="00A606A4" w:rsidRPr="00A606A4" w:rsidRDefault="00873E3D"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0.890</w:t>
                </w:r>
                <w:r w:rsidR="001C513F">
                  <w:rPr>
                    <w:rFonts w:asciiTheme="minorHAnsi" w:hAnsiTheme="minorHAnsi" w:cstheme="minorHAnsi"/>
                  </w:rPr>
                  <w:t>0</w:t>
                </w:r>
              </w:p>
            </w:tc>
          </w:tr>
          <w:tr w:rsidR="00A606A4" w:rsidRPr="00A606A4" w14:paraId="7C7E2B27" w14:textId="77777777" w:rsidTr="00A606A4">
            <w:trPr>
              <w:tblCellSpacing w:w="15" w:type="dxa"/>
            </w:trPr>
            <w:tc>
              <w:tcPr>
                <w:tcW w:w="0" w:type="auto"/>
                <w:vAlign w:val="center"/>
                <w:hideMark/>
              </w:tcPr>
              <w:p w14:paraId="489EC2FD"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w:t>
                </w:r>
              </w:p>
            </w:tc>
            <w:tc>
              <w:tcPr>
                <w:tcW w:w="0" w:type="auto"/>
                <w:vAlign w:val="center"/>
                <w:hideMark/>
              </w:tcPr>
              <w:p w14:paraId="0DAB3789" w14:textId="2A3C893D" w:rsidR="00A606A4" w:rsidRPr="00A606A4" w:rsidRDefault="00873E3D"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0.8</w:t>
                </w:r>
                <w:r w:rsidR="003A7A0E">
                  <w:rPr>
                    <w:rFonts w:asciiTheme="minorHAnsi" w:hAnsiTheme="minorHAnsi" w:cstheme="minorHAnsi"/>
                  </w:rPr>
                  <w:t>396</w:t>
                </w:r>
              </w:p>
            </w:tc>
          </w:tr>
          <w:tr w:rsidR="00A606A4" w:rsidRPr="00A606A4" w14:paraId="20D424D3" w14:textId="77777777" w:rsidTr="00A606A4">
            <w:trPr>
              <w:tblCellSpacing w:w="15" w:type="dxa"/>
            </w:trPr>
            <w:tc>
              <w:tcPr>
                <w:tcW w:w="0" w:type="auto"/>
                <w:vAlign w:val="center"/>
                <w:hideMark/>
              </w:tcPr>
              <w:p w14:paraId="0F4A73B4"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4</w:t>
                </w:r>
              </w:p>
            </w:tc>
            <w:tc>
              <w:tcPr>
                <w:tcW w:w="0" w:type="auto"/>
                <w:vAlign w:val="center"/>
                <w:hideMark/>
              </w:tcPr>
              <w:p w14:paraId="36456F85" w14:textId="6147372E" w:rsidR="00A606A4" w:rsidRPr="00A606A4" w:rsidRDefault="00873E3D"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0.792</w:t>
                </w:r>
                <w:r w:rsidR="003A7A0E">
                  <w:rPr>
                    <w:rFonts w:asciiTheme="minorHAnsi" w:hAnsiTheme="minorHAnsi" w:cstheme="minorHAnsi"/>
                  </w:rPr>
                  <w:t>1</w:t>
                </w:r>
              </w:p>
            </w:tc>
          </w:tr>
        </w:tbl>
        <w:p w14:paraId="05956E86" w14:textId="77777777" w:rsidR="00A606A4" w:rsidRPr="00A606A4" w:rsidRDefault="001214F9" w:rsidP="00A606A4">
          <w:pPr>
            <w:spacing w:after="160" w:line="259" w:lineRule="auto"/>
            <w:rPr>
              <w:rFonts w:asciiTheme="minorHAnsi" w:hAnsiTheme="minorHAnsi" w:cstheme="minorHAnsi"/>
            </w:rPr>
          </w:pPr>
          <w:r w:rsidRPr="001214F9">
            <w:rPr>
              <w:rFonts w:asciiTheme="minorHAnsi" w:hAnsiTheme="minorHAnsi" w:cstheme="minorHAnsi"/>
              <w:noProof/>
            </w:rPr>
            <w:pict w14:anchorId="1A39AEF9">
              <v:rect id="_x0000_i1030" alt="" style="width:451.3pt;height:.05pt;mso-width-percent:0;mso-height-percent:0;mso-width-percent:0;mso-height-percent:0" o:hralign="center" o:hrstd="t" o:hr="t" fillcolor="#a0a0a0" stroked="f"/>
            </w:pict>
          </w:r>
        </w:p>
        <w:p w14:paraId="50BDC32D"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eastAsiaTheme="majorEastAsia" w:hAnsiTheme="minorHAnsi" w:cstheme="minorHAnsi"/>
              <w:b/>
              <w:bCs/>
            </w:rPr>
            <w:t>Appendix E: Net Present Value (NPV) Calculations</w:t>
          </w:r>
        </w:p>
        <w:p w14:paraId="1AF56D8A"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eastAsiaTheme="majorEastAsia" w:hAnsiTheme="minorHAnsi" w:cstheme="minorHAnsi"/>
              <w:b/>
              <w:bCs/>
            </w:rPr>
            <w:t>Option A – NPV Calculation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3"/>
            <w:gridCol w:w="1974"/>
            <w:gridCol w:w="1726"/>
            <w:gridCol w:w="2260"/>
          </w:tblGrid>
          <w:tr w:rsidR="00A606A4" w:rsidRPr="00A606A4" w14:paraId="1A116481" w14:textId="77777777" w:rsidTr="00A606A4">
            <w:trPr>
              <w:tblHeader/>
              <w:tblCellSpacing w:w="15" w:type="dxa"/>
            </w:trPr>
            <w:tc>
              <w:tcPr>
                <w:tcW w:w="0" w:type="auto"/>
                <w:vAlign w:val="center"/>
                <w:hideMark/>
              </w:tcPr>
              <w:p w14:paraId="547818F4"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lastRenderedPageBreak/>
                  <w:t>Year</w:t>
                </w:r>
              </w:p>
            </w:tc>
            <w:tc>
              <w:tcPr>
                <w:tcW w:w="0" w:type="auto"/>
                <w:vAlign w:val="center"/>
                <w:hideMark/>
              </w:tcPr>
              <w:p w14:paraId="1E622FF8"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After-Tax CF (£000)</w:t>
                </w:r>
              </w:p>
            </w:tc>
            <w:tc>
              <w:tcPr>
                <w:tcW w:w="0" w:type="auto"/>
                <w:vAlign w:val="center"/>
                <w:hideMark/>
              </w:tcPr>
              <w:p w14:paraId="37D70314" w14:textId="193D3F70" w:rsidR="00A606A4" w:rsidRPr="00A606A4" w:rsidRDefault="00772A36" w:rsidP="00A606A4">
                <w:pPr>
                  <w:spacing w:after="160" w:line="259" w:lineRule="auto"/>
                  <w:rPr>
                    <w:rFonts w:asciiTheme="minorHAnsi" w:hAnsiTheme="minorHAnsi" w:cstheme="minorHAnsi"/>
                    <w:b/>
                    <w:bCs/>
                  </w:rPr>
                </w:pPr>
                <w:r>
                  <w:rPr>
                    <w:rFonts w:asciiTheme="minorHAnsi" w:hAnsiTheme="minorHAnsi" w:cstheme="minorHAnsi"/>
                    <w:b/>
                    <w:bCs/>
                  </w:rPr>
                  <w:t xml:space="preserve">  </w:t>
                </w:r>
                <w:r w:rsidR="00A606A4" w:rsidRPr="00A606A4">
                  <w:rPr>
                    <w:rFonts w:asciiTheme="minorHAnsi" w:hAnsiTheme="minorHAnsi" w:cstheme="minorHAnsi"/>
                    <w:b/>
                    <w:bCs/>
                  </w:rPr>
                  <w:t>Discount Factor</w:t>
                </w:r>
                <w:r w:rsidR="0090067A">
                  <w:rPr>
                    <w:rFonts w:asciiTheme="minorHAnsi" w:hAnsiTheme="minorHAnsi" w:cstheme="minorHAnsi"/>
                    <w:b/>
                    <w:bCs/>
                  </w:rPr>
                  <w:t xml:space="preserve">   </w:t>
                </w:r>
                <w:r>
                  <w:rPr>
                    <w:rFonts w:asciiTheme="minorHAnsi" w:hAnsiTheme="minorHAnsi" w:cstheme="minorHAnsi"/>
                    <w:b/>
                    <w:bCs/>
                  </w:rPr>
                  <w:t xml:space="preserve"> </w:t>
                </w:r>
              </w:p>
            </w:tc>
            <w:tc>
              <w:tcPr>
                <w:tcW w:w="0" w:type="auto"/>
                <w:vAlign w:val="center"/>
                <w:hideMark/>
              </w:tcPr>
              <w:p w14:paraId="4E9DE2C4" w14:textId="5A2B5DB4" w:rsidR="00A606A4" w:rsidRPr="00A606A4" w:rsidRDefault="00772A36" w:rsidP="00A606A4">
                <w:pPr>
                  <w:spacing w:after="160" w:line="259" w:lineRule="auto"/>
                  <w:rPr>
                    <w:rFonts w:asciiTheme="minorHAnsi" w:hAnsiTheme="minorHAnsi" w:cstheme="minorHAnsi"/>
                    <w:b/>
                    <w:bCs/>
                  </w:rPr>
                </w:pPr>
                <w:r>
                  <w:rPr>
                    <w:rFonts w:asciiTheme="minorHAnsi" w:hAnsiTheme="minorHAnsi" w:cstheme="minorHAnsi"/>
                    <w:b/>
                    <w:bCs/>
                  </w:rPr>
                  <w:t xml:space="preserve">  </w:t>
                </w:r>
                <w:r w:rsidR="00A606A4" w:rsidRPr="00A606A4">
                  <w:rPr>
                    <w:rFonts w:asciiTheme="minorHAnsi" w:hAnsiTheme="minorHAnsi" w:cstheme="minorHAnsi"/>
                    <w:b/>
                    <w:bCs/>
                  </w:rPr>
                  <w:t>Present Value (£000)</w:t>
                </w:r>
              </w:p>
            </w:tc>
          </w:tr>
          <w:tr w:rsidR="00A606A4" w:rsidRPr="00A606A4" w14:paraId="59EECF63" w14:textId="77777777" w:rsidTr="00A606A4">
            <w:trPr>
              <w:tblCellSpacing w:w="15" w:type="dxa"/>
            </w:trPr>
            <w:tc>
              <w:tcPr>
                <w:tcW w:w="0" w:type="auto"/>
                <w:vAlign w:val="center"/>
                <w:hideMark/>
              </w:tcPr>
              <w:p w14:paraId="28496089"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w:t>
                </w:r>
              </w:p>
            </w:tc>
            <w:tc>
              <w:tcPr>
                <w:tcW w:w="0" w:type="auto"/>
                <w:vAlign w:val="center"/>
                <w:hideMark/>
              </w:tcPr>
              <w:p w14:paraId="2209400A"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180</w:t>
                </w:r>
              </w:p>
            </w:tc>
            <w:tc>
              <w:tcPr>
                <w:tcW w:w="0" w:type="auto"/>
                <w:vAlign w:val="center"/>
                <w:hideMark/>
              </w:tcPr>
              <w:p w14:paraId="57EA720F"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0.943</w:t>
                </w:r>
              </w:p>
            </w:tc>
            <w:tc>
              <w:tcPr>
                <w:tcW w:w="0" w:type="auto"/>
                <w:vAlign w:val="center"/>
                <w:hideMark/>
              </w:tcPr>
              <w:p w14:paraId="58268CA7"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169.7</w:t>
                </w:r>
              </w:p>
            </w:tc>
          </w:tr>
          <w:tr w:rsidR="00A606A4" w:rsidRPr="00A606A4" w14:paraId="58D5CDC7" w14:textId="77777777" w:rsidTr="00A606A4">
            <w:trPr>
              <w:tblCellSpacing w:w="15" w:type="dxa"/>
            </w:trPr>
            <w:tc>
              <w:tcPr>
                <w:tcW w:w="0" w:type="auto"/>
                <w:vAlign w:val="center"/>
                <w:hideMark/>
              </w:tcPr>
              <w:p w14:paraId="3996F84F"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2</w:t>
                </w:r>
              </w:p>
            </w:tc>
            <w:tc>
              <w:tcPr>
                <w:tcW w:w="0" w:type="auto"/>
                <w:vAlign w:val="center"/>
                <w:hideMark/>
              </w:tcPr>
              <w:p w14:paraId="6FC0C563"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330</w:t>
                </w:r>
              </w:p>
            </w:tc>
            <w:tc>
              <w:tcPr>
                <w:tcW w:w="0" w:type="auto"/>
                <w:vAlign w:val="center"/>
                <w:hideMark/>
              </w:tcPr>
              <w:p w14:paraId="51616D3C"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0.890</w:t>
                </w:r>
              </w:p>
            </w:tc>
            <w:tc>
              <w:tcPr>
                <w:tcW w:w="0" w:type="auto"/>
                <w:vAlign w:val="center"/>
                <w:hideMark/>
              </w:tcPr>
              <w:p w14:paraId="21A883D2"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293.7</w:t>
                </w:r>
              </w:p>
            </w:tc>
          </w:tr>
          <w:tr w:rsidR="00A606A4" w:rsidRPr="00A606A4" w14:paraId="4E399FB4" w14:textId="77777777" w:rsidTr="00A606A4">
            <w:trPr>
              <w:tblCellSpacing w:w="15" w:type="dxa"/>
            </w:trPr>
            <w:tc>
              <w:tcPr>
                <w:tcW w:w="0" w:type="auto"/>
                <w:vAlign w:val="center"/>
                <w:hideMark/>
              </w:tcPr>
              <w:p w14:paraId="1D4437DE"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w:t>
                </w:r>
              </w:p>
            </w:tc>
            <w:tc>
              <w:tcPr>
                <w:tcW w:w="0" w:type="auto"/>
                <w:vAlign w:val="center"/>
                <w:hideMark/>
              </w:tcPr>
              <w:p w14:paraId="5D1FFAB1"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405</w:t>
                </w:r>
              </w:p>
            </w:tc>
            <w:tc>
              <w:tcPr>
                <w:tcW w:w="0" w:type="auto"/>
                <w:vAlign w:val="center"/>
                <w:hideMark/>
              </w:tcPr>
              <w:p w14:paraId="2EE1373C"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0.840</w:t>
                </w:r>
              </w:p>
            </w:tc>
            <w:tc>
              <w:tcPr>
                <w:tcW w:w="0" w:type="auto"/>
                <w:vAlign w:val="center"/>
                <w:hideMark/>
              </w:tcPr>
              <w:p w14:paraId="1110D7F6"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340.2</w:t>
                </w:r>
              </w:p>
            </w:tc>
          </w:tr>
          <w:tr w:rsidR="00A606A4" w:rsidRPr="00A606A4" w14:paraId="770C5520" w14:textId="77777777" w:rsidTr="00A606A4">
            <w:trPr>
              <w:tblCellSpacing w:w="15" w:type="dxa"/>
            </w:trPr>
            <w:tc>
              <w:tcPr>
                <w:tcW w:w="0" w:type="auto"/>
                <w:vAlign w:val="center"/>
                <w:hideMark/>
              </w:tcPr>
              <w:p w14:paraId="13B0A418"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4</w:t>
                </w:r>
              </w:p>
            </w:tc>
            <w:tc>
              <w:tcPr>
                <w:tcW w:w="0" w:type="auto"/>
                <w:vAlign w:val="center"/>
                <w:hideMark/>
              </w:tcPr>
              <w:p w14:paraId="7A93EF2D"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555</w:t>
                </w:r>
              </w:p>
            </w:tc>
            <w:tc>
              <w:tcPr>
                <w:tcW w:w="0" w:type="auto"/>
                <w:vAlign w:val="center"/>
                <w:hideMark/>
              </w:tcPr>
              <w:p w14:paraId="184B95F9"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0.792</w:t>
                </w:r>
              </w:p>
            </w:tc>
            <w:tc>
              <w:tcPr>
                <w:tcW w:w="0" w:type="auto"/>
                <w:vAlign w:val="center"/>
                <w:hideMark/>
              </w:tcPr>
              <w:p w14:paraId="26C53844"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439.6</w:t>
                </w:r>
              </w:p>
            </w:tc>
          </w:tr>
          <w:tr w:rsidR="00A606A4" w:rsidRPr="00A606A4" w14:paraId="5576CBA3" w14:textId="77777777" w:rsidTr="00A606A4">
            <w:trPr>
              <w:tblCellSpacing w:w="15" w:type="dxa"/>
            </w:trPr>
            <w:tc>
              <w:tcPr>
                <w:tcW w:w="0" w:type="auto"/>
                <w:vAlign w:val="center"/>
                <w:hideMark/>
              </w:tcPr>
              <w:p w14:paraId="2F2AB752"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Total PV</w:t>
                </w:r>
              </w:p>
            </w:tc>
            <w:tc>
              <w:tcPr>
                <w:tcW w:w="0" w:type="auto"/>
                <w:vAlign w:val="center"/>
                <w:hideMark/>
              </w:tcPr>
              <w:p w14:paraId="14C780A9" w14:textId="77777777" w:rsidR="00A606A4" w:rsidRPr="00A606A4" w:rsidRDefault="00A606A4" w:rsidP="00A606A4">
                <w:pPr>
                  <w:spacing w:after="160" w:line="259" w:lineRule="auto"/>
                  <w:rPr>
                    <w:rFonts w:asciiTheme="minorHAnsi" w:hAnsiTheme="minorHAnsi" w:cstheme="minorHAnsi"/>
                  </w:rPr>
                </w:pPr>
              </w:p>
            </w:tc>
            <w:tc>
              <w:tcPr>
                <w:tcW w:w="0" w:type="auto"/>
                <w:vAlign w:val="center"/>
                <w:hideMark/>
              </w:tcPr>
              <w:p w14:paraId="449F8BE4" w14:textId="77777777" w:rsidR="00A606A4" w:rsidRPr="00A606A4" w:rsidRDefault="00A606A4" w:rsidP="00A606A4">
                <w:pPr>
                  <w:spacing w:after="160" w:line="259" w:lineRule="auto"/>
                  <w:rPr>
                    <w:rFonts w:asciiTheme="minorHAnsi" w:hAnsiTheme="minorHAnsi" w:cstheme="minorHAnsi"/>
                  </w:rPr>
                </w:pPr>
              </w:p>
            </w:tc>
            <w:tc>
              <w:tcPr>
                <w:tcW w:w="0" w:type="auto"/>
                <w:vAlign w:val="center"/>
                <w:hideMark/>
              </w:tcPr>
              <w:p w14:paraId="37C68205"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1,243.2</w:t>
                </w:r>
              </w:p>
            </w:tc>
          </w:tr>
          <w:tr w:rsidR="00A606A4" w:rsidRPr="00A606A4" w14:paraId="013F508D" w14:textId="77777777" w:rsidTr="00A606A4">
            <w:trPr>
              <w:tblCellSpacing w:w="15" w:type="dxa"/>
            </w:trPr>
            <w:tc>
              <w:tcPr>
                <w:tcW w:w="0" w:type="auto"/>
                <w:vAlign w:val="center"/>
                <w:hideMark/>
              </w:tcPr>
              <w:p w14:paraId="496F138A"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Initial Investment</w:t>
                </w:r>
              </w:p>
            </w:tc>
            <w:tc>
              <w:tcPr>
                <w:tcW w:w="0" w:type="auto"/>
                <w:vAlign w:val="center"/>
                <w:hideMark/>
              </w:tcPr>
              <w:p w14:paraId="454D817B" w14:textId="77777777" w:rsidR="00A606A4" w:rsidRPr="00A606A4" w:rsidRDefault="00A606A4" w:rsidP="00A606A4">
                <w:pPr>
                  <w:spacing w:after="160" w:line="259" w:lineRule="auto"/>
                  <w:rPr>
                    <w:rFonts w:asciiTheme="minorHAnsi" w:hAnsiTheme="minorHAnsi" w:cstheme="minorHAnsi"/>
                  </w:rPr>
                </w:pPr>
              </w:p>
            </w:tc>
            <w:tc>
              <w:tcPr>
                <w:tcW w:w="0" w:type="auto"/>
                <w:vAlign w:val="center"/>
                <w:hideMark/>
              </w:tcPr>
              <w:p w14:paraId="496D182F" w14:textId="77777777" w:rsidR="00A606A4" w:rsidRPr="00A606A4" w:rsidRDefault="00A606A4" w:rsidP="00A606A4">
                <w:pPr>
                  <w:spacing w:after="160" w:line="259" w:lineRule="auto"/>
                  <w:rPr>
                    <w:rFonts w:asciiTheme="minorHAnsi" w:hAnsiTheme="minorHAnsi" w:cstheme="minorHAnsi"/>
                  </w:rPr>
                </w:pPr>
              </w:p>
            </w:tc>
            <w:tc>
              <w:tcPr>
                <w:tcW w:w="0" w:type="auto"/>
                <w:vAlign w:val="center"/>
                <w:hideMark/>
              </w:tcPr>
              <w:p w14:paraId="7945AE5E"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(600)</w:t>
                </w:r>
              </w:p>
            </w:tc>
          </w:tr>
          <w:tr w:rsidR="00A606A4" w:rsidRPr="00A606A4" w14:paraId="738EE99D" w14:textId="77777777" w:rsidTr="00A606A4">
            <w:trPr>
              <w:tblCellSpacing w:w="15" w:type="dxa"/>
            </w:trPr>
            <w:tc>
              <w:tcPr>
                <w:tcW w:w="0" w:type="auto"/>
                <w:vAlign w:val="center"/>
                <w:hideMark/>
              </w:tcPr>
              <w:p w14:paraId="7501E332"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NPV (A)</w:t>
                </w:r>
              </w:p>
            </w:tc>
            <w:tc>
              <w:tcPr>
                <w:tcW w:w="0" w:type="auto"/>
                <w:vAlign w:val="center"/>
                <w:hideMark/>
              </w:tcPr>
              <w:p w14:paraId="6475FB49" w14:textId="77777777" w:rsidR="00A606A4" w:rsidRPr="00A606A4" w:rsidRDefault="00A606A4" w:rsidP="00A606A4">
                <w:pPr>
                  <w:spacing w:after="160" w:line="259" w:lineRule="auto"/>
                  <w:rPr>
                    <w:rFonts w:asciiTheme="minorHAnsi" w:hAnsiTheme="minorHAnsi" w:cstheme="minorHAnsi"/>
                  </w:rPr>
                </w:pPr>
              </w:p>
            </w:tc>
            <w:tc>
              <w:tcPr>
                <w:tcW w:w="0" w:type="auto"/>
                <w:vAlign w:val="center"/>
                <w:hideMark/>
              </w:tcPr>
              <w:p w14:paraId="1D360A25" w14:textId="77777777" w:rsidR="00A606A4" w:rsidRPr="00A606A4" w:rsidRDefault="00A606A4" w:rsidP="00A606A4">
                <w:pPr>
                  <w:spacing w:after="160" w:line="259" w:lineRule="auto"/>
                  <w:rPr>
                    <w:rFonts w:asciiTheme="minorHAnsi" w:hAnsiTheme="minorHAnsi" w:cstheme="minorHAnsi"/>
                  </w:rPr>
                </w:pPr>
              </w:p>
            </w:tc>
            <w:tc>
              <w:tcPr>
                <w:tcW w:w="0" w:type="auto"/>
                <w:vAlign w:val="center"/>
                <w:hideMark/>
              </w:tcPr>
              <w:p w14:paraId="3D2FF320"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+643.2</w:t>
                </w:r>
              </w:p>
            </w:tc>
          </w:tr>
        </w:tbl>
        <w:p w14:paraId="4CA527D1" w14:textId="77777777" w:rsidR="00A606A4" w:rsidRPr="00A606A4" w:rsidRDefault="001214F9" w:rsidP="00A606A4">
          <w:pPr>
            <w:spacing w:after="160" w:line="259" w:lineRule="auto"/>
            <w:rPr>
              <w:rFonts w:asciiTheme="minorHAnsi" w:hAnsiTheme="minorHAnsi" w:cstheme="minorHAnsi"/>
            </w:rPr>
          </w:pPr>
          <w:r w:rsidRPr="001214F9">
            <w:rPr>
              <w:rFonts w:asciiTheme="minorHAnsi" w:hAnsiTheme="minorHAnsi" w:cstheme="minorHAnsi"/>
              <w:noProof/>
            </w:rPr>
            <w:pict w14:anchorId="31FA4313">
              <v:rect id="_x0000_i1029" alt="" style="width:451.3pt;height:.05pt;mso-width-percent:0;mso-height-percent:0;mso-width-percent:0;mso-height-percent:0" o:hralign="center" o:hrstd="t" o:hr="t" fillcolor="#a0a0a0" stroked="f"/>
            </w:pict>
          </w:r>
        </w:p>
        <w:p w14:paraId="76F55976"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eastAsiaTheme="majorEastAsia" w:hAnsiTheme="minorHAnsi" w:cstheme="minorHAnsi"/>
              <w:b/>
              <w:bCs/>
            </w:rPr>
            <w:t>Option B – NPV Calculation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3"/>
            <w:gridCol w:w="1974"/>
            <w:gridCol w:w="1726"/>
            <w:gridCol w:w="2260"/>
          </w:tblGrid>
          <w:tr w:rsidR="00A606A4" w:rsidRPr="00A606A4" w14:paraId="15CEA12B" w14:textId="77777777" w:rsidTr="00A606A4">
            <w:trPr>
              <w:tblHeader/>
              <w:tblCellSpacing w:w="15" w:type="dxa"/>
            </w:trPr>
            <w:tc>
              <w:tcPr>
                <w:tcW w:w="0" w:type="auto"/>
                <w:vAlign w:val="center"/>
                <w:hideMark/>
              </w:tcPr>
              <w:p w14:paraId="3D75EA38"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Year</w:t>
                </w:r>
              </w:p>
            </w:tc>
            <w:tc>
              <w:tcPr>
                <w:tcW w:w="0" w:type="auto"/>
                <w:vAlign w:val="center"/>
                <w:hideMark/>
              </w:tcPr>
              <w:p w14:paraId="6FA744D3"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After-Tax CF (£000)</w:t>
                </w:r>
              </w:p>
            </w:tc>
            <w:tc>
              <w:tcPr>
                <w:tcW w:w="0" w:type="auto"/>
                <w:vAlign w:val="center"/>
                <w:hideMark/>
              </w:tcPr>
              <w:p w14:paraId="7F0854B9" w14:textId="728C84BA" w:rsidR="00A606A4" w:rsidRPr="00A606A4" w:rsidRDefault="008A7030" w:rsidP="00A606A4">
                <w:pPr>
                  <w:spacing w:after="160" w:line="259" w:lineRule="auto"/>
                  <w:rPr>
                    <w:rFonts w:asciiTheme="minorHAnsi" w:hAnsiTheme="minorHAnsi" w:cstheme="minorHAnsi"/>
                    <w:b/>
                    <w:bCs/>
                  </w:rPr>
                </w:pPr>
                <w:r>
                  <w:rPr>
                    <w:rFonts w:asciiTheme="minorHAnsi" w:hAnsiTheme="minorHAnsi" w:cstheme="minorHAnsi"/>
                    <w:b/>
                    <w:bCs/>
                  </w:rPr>
                  <w:t xml:space="preserve">  </w:t>
                </w:r>
                <w:r w:rsidR="00A606A4" w:rsidRPr="00A606A4">
                  <w:rPr>
                    <w:rFonts w:asciiTheme="minorHAnsi" w:hAnsiTheme="minorHAnsi" w:cstheme="minorHAnsi"/>
                    <w:b/>
                    <w:bCs/>
                  </w:rPr>
                  <w:t>Discount Factor</w:t>
                </w:r>
              </w:p>
            </w:tc>
            <w:tc>
              <w:tcPr>
                <w:tcW w:w="0" w:type="auto"/>
                <w:vAlign w:val="center"/>
                <w:hideMark/>
              </w:tcPr>
              <w:p w14:paraId="7DA749FE" w14:textId="6FB7CA8F" w:rsidR="00A606A4" w:rsidRPr="00A606A4" w:rsidRDefault="00BA716D" w:rsidP="00A606A4">
                <w:pPr>
                  <w:spacing w:after="160" w:line="259" w:lineRule="auto"/>
                  <w:rPr>
                    <w:rFonts w:asciiTheme="minorHAnsi" w:hAnsiTheme="minorHAnsi" w:cstheme="minorHAnsi"/>
                    <w:b/>
                    <w:bCs/>
                  </w:rPr>
                </w:pPr>
                <w:r>
                  <w:rPr>
                    <w:rFonts w:asciiTheme="minorHAnsi" w:hAnsiTheme="minorHAnsi" w:cstheme="minorHAnsi"/>
                    <w:b/>
                    <w:bCs/>
                  </w:rPr>
                  <w:t xml:space="preserve">  </w:t>
                </w:r>
                <w:r w:rsidR="00A606A4" w:rsidRPr="00A606A4">
                  <w:rPr>
                    <w:rFonts w:asciiTheme="minorHAnsi" w:hAnsiTheme="minorHAnsi" w:cstheme="minorHAnsi"/>
                    <w:b/>
                    <w:bCs/>
                  </w:rPr>
                  <w:t>Present Value (£000)</w:t>
                </w:r>
              </w:p>
            </w:tc>
          </w:tr>
          <w:tr w:rsidR="00A606A4" w:rsidRPr="00A606A4" w14:paraId="7B3F8BB8" w14:textId="77777777" w:rsidTr="00A606A4">
            <w:trPr>
              <w:tblCellSpacing w:w="15" w:type="dxa"/>
            </w:trPr>
            <w:tc>
              <w:tcPr>
                <w:tcW w:w="0" w:type="auto"/>
                <w:vAlign w:val="center"/>
                <w:hideMark/>
              </w:tcPr>
              <w:p w14:paraId="3309A6E5"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w:t>
                </w:r>
              </w:p>
            </w:tc>
            <w:tc>
              <w:tcPr>
                <w:tcW w:w="0" w:type="auto"/>
                <w:vAlign w:val="center"/>
                <w:hideMark/>
              </w:tcPr>
              <w:p w14:paraId="1454627B"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350</w:t>
                </w:r>
              </w:p>
            </w:tc>
            <w:tc>
              <w:tcPr>
                <w:tcW w:w="0" w:type="auto"/>
                <w:vAlign w:val="center"/>
                <w:hideMark/>
              </w:tcPr>
              <w:p w14:paraId="0452C082"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0.943</w:t>
                </w:r>
              </w:p>
            </w:tc>
            <w:tc>
              <w:tcPr>
                <w:tcW w:w="0" w:type="auto"/>
                <w:vAlign w:val="center"/>
                <w:hideMark/>
              </w:tcPr>
              <w:p w14:paraId="75AFFB10"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330.1</w:t>
                </w:r>
              </w:p>
            </w:tc>
          </w:tr>
          <w:tr w:rsidR="00A606A4" w:rsidRPr="00A606A4" w14:paraId="6DC498E1" w14:textId="77777777" w:rsidTr="00A606A4">
            <w:trPr>
              <w:tblCellSpacing w:w="15" w:type="dxa"/>
            </w:trPr>
            <w:tc>
              <w:tcPr>
                <w:tcW w:w="0" w:type="auto"/>
                <w:vAlign w:val="center"/>
                <w:hideMark/>
              </w:tcPr>
              <w:p w14:paraId="4FE01C3C"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2</w:t>
                </w:r>
              </w:p>
            </w:tc>
            <w:tc>
              <w:tcPr>
                <w:tcW w:w="0" w:type="auto"/>
                <w:vAlign w:val="center"/>
                <w:hideMark/>
              </w:tcPr>
              <w:p w14:paraId="63A81684"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387.5</w:t>
                </w:r>
              </w:p>
            </w:tc>
            <w:tc>
              <w:tcPr>
                <w:tcW w:w="0" w:type="auto"/>
                <w:vAlign w:val="center"/>
                <w:hideMark/>
              </w:tcPr>
              <w:p w14:paraId="4274B54C"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0.890</w:t>
                </w:r>
              </w:p>
            </w:tc>
            <w:tc>
              <w:tcPr>
                <w:tcW w:w="0" w:type="auto"/>
                <w:vAlign w:val="center"/>
                <w:hideMark/>
              </w:tcPr>
              <w:p w14:paraId="125BFB4E"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344.9</w:t>
                </w:r>
              </w:p>
            </w:tc>
          </w:tr>
          <w:tr w:rsidR="00A606A4" w:rsidRPr="00A606A4" w14:paraId="5D301B31" w14:textId="77777777" w:rsidTr="00A606A4">
            <w:trPr>
              <w:tblCellSpacing w:w="15" w:type="dxa"/>
            </w:trPr>
            <w:tc>
              <w:tcPr>
                <w:tcW w:w="0" w:type="auto"/>
                <w:vAlign w:val="center"/>
                <w:hideMark/>
              </w:tcPr>
              <w:p w14:paraId="2A29DCC3"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w:t>
                </w:r>
              </w:p>
            </w:tc>
            <w:tc>
              <w:tcPr>
                <w:tcW w:w="0" w:type="auto"/>
                <w:vAlign w:val="center"/>
                <w:hideMark/>
              </w:tcPr>
              <w:p w14:paraId="2306E368"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590</w:t>
                </w:r>
              </w:p>
            </w:tc>
            <w:tc>
              <w:tcPr>
                <w:tcW w:w="0" w:type="auto"/>
                <w:vAlign w:val="center"/>
                <w:hideMark/>
              </w:tcPr>
              <w:p w14:paraId="5A4ED9F5"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0.840</w:t>
                </w:r>
              </w:p>
            </w:tc>
            <w:tc>
              <w:tcPr>
                <w:tcW w:w="0" w:type="auto"/>
                <w:vAlign w:val="center"/>
                <w:hideMark/>
              </w:tcPr>
              <w:p w14:paraId="1E0C694B"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495.6</w:t>
                </w:r>
              </w:p>
            </w:tc>
          </w:tr>
          <w:tr w:rsidR="00A606A4" w:rsidRPr="00A606A4" w14:paraId="54BB0172" w14:textId="77777777" w:rsidTr="00A606A4">
            <w:trPr>
              <w:tblCellSpacing w:w="15" w:type="dxa"/>
            </w:trPr>
            <w:tc>
              <w:tcPr>
                <w:tcW w:w="0" w:type="auto"/>
                <w:vAlign w:val="center"/>
                <w:hideMark/>
              </w:tcPr>
              <w:p w14:paraId="19900271"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4</w:t>
                </w:r>
              </w:p>
            </w:tc>
            <w:tc>
              <w:tcPr>
                <w:tcW w:w="0" w:type="auto"/>
                <w:vAlign w:val="center"/>
                <w:hideMark/>
              </w:tcPr>
              <w:p w14:paraId="44BA6225"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785</w:t>
                </w:r>
              </w:p>
            </w:tc>
            <w:tc>
              <w:tcPr>
                <w:tcW w:w="0" w:type="auto"/>
                <w:vAlign w:val="center"/>
                <w:hideMark/>
              </w:tcPr>
              <w:p w14:paraId="3D540F04"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0.792</w:t>
                </w:r>
              </w:p>
            </w:tc>
            <w:tc>
              <w:tcPr>
                <w:tcW w:w="0" w:type="auto"/>
                <w:vAlign w:val="center"/>
                <w:hideMark/>
              </w:tcPr>
              <w:p w14:paraId="5CD0E3AB"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621.7</w:t>
                </w:r>
              </w:p>
            </w:tc>
          </w:tr>
          <w:tr w:rsidR="00A606A4" w:rsidRPr="00A606A4" w14:paraId="0C77302B" w14:textId="77777777" w:rsidTr="00A606A4">
            <w:trPr>
              <w:tblCellSpacing w:w="15" w:type="dxa"/>
            </w:trPr>
            <w:tc>
              <w:tcPr>
                <w:tcW w:w="0" w:type="auto"/>
                <w:vAlign w:val="center"/>
                <w:hideMark/>
              </w:tcPr>
              <w:p w14:paraId="25334297"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Total PV</w:t>
                </w:r>
              </w:p>
            </w:tc>
            <w:tc>
              <w:tcPr>
                <w:tcW w:w="0" w:type="auto"/>
                <w:vAlign w:val="center"/>
                <w:hideMark/>
              </w:tcPr>
              <w:p w14:paraId="3A8E5BF8" w14:textId="77777777" w:rsidR="00A606A4" w:rsidRPr="00A606A4" w:rsidRDefault="00A606A4" w:rsidP="00A606A4">
                <w:pPr>
                  <w:spacing w:after="160" w:line="259" w:lineRule="auto"/>
                  <w:rPr>
                    <w:rFonts w:asciiTheme="minorHAnsi" w:hAnsiTheme="minorHAnsi" w:cstheme="minorHAnsi"/>
                  </w:rPr>
                </w:pPr>
              </w:p>
            </w:tc>
            <w:tc>
              <w:tcPr>
                <w:tcW w:w="0" w:type="auto"/>
                <w:vAlign w:val="center"/>
                <w:hideMark/>
              </w:tcPr>
              <w:p w14:paraId="026B0D04" w14:textId="77777777" w:rsidR="00A606A4" w:rsidRPr="00A606A4" w:rsidRDefault="00A606A4" w:rsidP="00A606A4">
                <w:pPr>
                  <w:spacing w:after="160" w:line="259" w:lineRule="auto"/>
                  <w:rPr>
                    <w:rFonts w:asciiTheme="minorHAnsi" w:hAnsiTheme="minorHAnsi" w:cstheme="minorHAnsi"/>
                  </w:rPr>
                </w:pPr>
              </w:p>
            </w:tc>
            <w:tc>
              <w:tcPr>
                <w:tcW w:w="0" w:type="auto"/>
                <w:vAlign w:val="center"/>
                <w:hideMark/>
              </w:tcPr>
              <w:p w14:paraId="5FDF16B6"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1,792.3</w:t>
                </w:r>
              </w:p>
            </w:tc>
          </w:tr>
          <w:tr w:rsidR="00A606A4" w:rsidRPr="00A606A4" w14:paraId="1F1C655F" w14:textId="77777777" w:rsidTr="00A606A4">
            <w:trPr>
              <w:tblCellSpacing w:w="15" w:type="dxa"/>
            </w:trPr>
            <w:tc>
              <w:tcPr>
                <w:tcW w:w="0" w:type="auto"/>
                <w:vAlign w:val="center"/>
                <w:hideMark/>
              </w:tcPr>
              <w:p w14:paraId="537FA940"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Initial Investment</w:t>
                </w:r>
              </w:p>
            </w:tc>
            <w:tc>
              <w:tcPr>
                <w:tcW w:w="0" w:type="auto"/>
                <w:vAlign w:val="center"/>
                <w:hideMark/>
              </w:tcPr>
              <w:p w14:paraId="638CEEF7" w14:textId="77777777" w:rsidR="00A606A4" w:rsidRPr="00A606A4" w:rsidRDefault="00A606A4" w:rsidP="00A606A4">
                <w:pPr>
                  <w:spacing w:after="160" w:line="259" w:lineRule="auto"/>
                  <w:rPr>
                    <w:rFonts w:asciiTheme="minorHAnsi" w:hAnsiTheme="minorHAnsi" w:cstheme="minorHAnsi"/>
                  </w:rPr>
                </w:pPr>
              </w:p>
            </w:tc>
            <w:tc>
              <w:tcPr>
                <w:tcW w:w="0" w:type="auto"/>
                <w:vAlign w:val="center"/>
                <w:hideMark/>
              </w:tcPr>
              <w:p w14:paraId="30B85718" w14:textId="77777777" w:rsidR="00A606A4" w:rsidRPr="00A606A4" w:rsidRDefault="00A606A4" w:rsidP="00A606A4">
                <w:pPr>
                  <w:spacing w:after="160" w:line="259" w:lineRule="auto"/>
                  <w:rPr>
                    <w:rFonts w:asciiTheme="minorHAnsi" w:hAnsiTheme="minorHAnsi" w:cstheme="minorHAnsi"/>
                  </w:rPr>
                </w:pPr>
              </w:p>
            </w:tc>
            <w:tc>
              <w:tcPr>
                <w:tcW w:w="0" w:type="auto"/>
                <w:vAlign w:val="center"/>
                <w:hideMark/>
              </w:tcPr>
              <w:p w14:paraId="2AF1F3A2"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(1,000)</w:t>
                </w:r>
              </w:p>
            </w:tc>
          </w:tr>
          <w:tr w:rsidR="00A606A4" w:rsidRPr="00A606A4" w14:paraId="2DB9D5C5" w14:textId="77777777" w:rsidTr="00A606A4">
            <w:trPr>
              <w:tblCellSpacing w:w="15" w:type="dxa"/>
            </w:trPr>
            <w:tc>
              <w:tcPr>
                <w:tcW w:w="0" w:type="auto"/>
                <w:vAlign w:val="center"/>
                <w:hideMark/>
              </w:tcPr>
              <w:p w14:paraId="1F69A6FC"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NPV (B)</w:t>
                </w:r>
              </w:p>
            </w:tc>
            <w:tc>
              <w:tcPr>
                <w:tcW w:w="0" w:type="auto"/>
                <w:vAlign w:val="center"/>
                <w:hideMark/>
              </w:tcPr>
              <w:p w14:paraId="3337D13D" w14:textId="77777777" w:rsidR="00A606A4" w:rsidRPr="00A606A4" w:rsidRDefault="00A606A4" w:rsidP="00A606A4">
                <w:pPr>
                  <w:spacing w:after="160" w:line="259" w:lineRule="auto"/>
                  <w:rPr>
                    <w:rFonts w:asciiTheme="minorHAnsi" w:hAnsiTheme="minorHAnsi" w:cstheme="minorHAnsi"/>
                  </w:rPr>
                </w:pPr>
              </w:p>
            </w:tc>
            <w:tc>
              <w:tcPr>
                <w:tcW w:w="0" w:type="auto"/>
                <w:vAlign w:val="center"/>
                <w:hideMark/>
              </w:tcPr>
              <w:p w14:paraId="7F62D3C5" w14:textId="77777777" w:rsidR="00A606A4" w:rsidRPr="00A606A4" w:rsidRDefault="00A606A4" w:rsidP="00A606A4">
                <w:pPr>
                  <w:spacing w:after="160" w:line="259" w:lineRule="auto"/>
                  <w:rPr>
                    <w:rFonts w:asciiTheme="minorHAnsi" w:hAnsiTheme="minorHAnsi" w:cstheme="minorHAnsi"/>
                  </w:rPr>
                </w:pPr>
              </w:p>
            </w:tc>
            <w:tc>
              <w:tcPr>
                <w:tcW w:w="0" w:type="auto"/>
                <w:vAlign w:val="center"/>
                <w:hideMark/>
              </w:tcPr>
              <w:p w14:paraId="0D6318C4"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+792.3</w:t>
                </w:r>
              </w:p>
            </w:tc>
          </w:tr>
        </w:tbl>
        <w:p w14:paraId="4D4AB3BE" w14:textId="77777777" w:rsidR="00A606A4" w:rsidRPr="00A606A4" w:rsidRDefault="001214F9" w:rsidP="00A606A4">
          <w:pPr>
            <w:spacing w:after="160" w:line="259" w:lineRule="auto"/>
            <w:rPr>
              <w:rFonts w:asciiTheme="minorHAnsi" w:hAnsiTheme="minorHAnsi" w:cstheme="minorHAnsi"/>
            </w:rPr>
          </w:pPr>
          <w:r w:rsidRPr="001214F9">
            <w:rPr>
              <w:rFonts w:asciiTheme="minorHAnsi" w:hAnsiTheme="minorHAnsi" w:cstheme="minorHAnsi"/>
              <w:noProof/>
            </w:rPr>
            <w:pict w14:anchorId="68EC07B7">
              <v:rect id="_x0000_i1028" alt="" style="width:451.3pt;height:.05pt;mso-width-percent:0;mso-height-percent:0;mso-width-percent:0;mso-height-percent:0" o:hralign="center" o:hrstd="t" o:hr="t" fillcolor="#a0a0a0" stroked="f"/>
            </w:pict>
          </w:r>
        </w:p>
        <w:p w14:paraId="45DE5D4F"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eastAsiaTheme="majorEastAsia" w:hAnsiTheme="minorHAnsi" w:cstheme="minorHAnsi"/>
              <w:b/>
              <w:bCs/>
            </w:rPr>
            <w:t>Option C – NPV Calculation</w:t>
          </w:r>
        </w:p>
        <w:tbl>
          <w:tblPr>
            <w:tblW w:w="9356" w:type="dxa"/>
            <w:tblCellSpacing w:w="15" w:type="dxa"/>
            <w:tblCellMar>
              <w:top w:w="15" w:type="dxa"/>
              <w:left w:w="15" w:type="dxa"/>
              <w:bottom w:w="15" w:type="dxa"/>
              <w:right w:w="15" w:type="dxa"/>
            </w:tblCellMar>
            <w:tblLook w:val="04A0" w:firstRow="1" w:lastRow="0" w:firstColumn="1" w:lastColumn="0" w:noHBand="0" w:noVBand="1"/>
          </w:tblPr>
          <w:tblGrid>
            <w:gridCol w:w="1783"/>
            <w:gridCol w:w="1974"/>
            <w:gridCol w:w="1726"/>
            <w:gridCol w:w="3873"/>
          </w:tblGrid>
          <w:tr w:rsidR="00A606A4" w:rsidRPr="00A606A4" w14:paraId="780FE230" w14:textId="77777777" w:rsidTr="00AE4469">
            <w:trPr>
              <w:tblHeader/>
              <w:tblCellSpacing w:w="15" w:type="dxa"/>
            </w:trPr>
            <w:tc>
              <w:tcPr>
                <w:tcW w:w="0" w:type="auto"/>
                <w:vAlign w:val="center"/>
                <w:hideMark/>
              </w:tcPr>
              <w:p w14:paraId="7EAE7F01"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Year</w:t>
                </w:r>
              </w:p>
            </w:tc>
            <w:tc>
              <w:tcPr>
                <w:tcW w:w="0" w:type="auto"/>
                <w:vAlign w:val="center"/>
                <w:hideMark/>
              </w:tcPr>
              <w:p w14:paraId="074B4B5E"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After-Tax CF (£000)</w:t>
                </w:r>
              </w:p>
            </w:tc>
            <w:tc>
              <w:tcPr>
                <w:tcW w:w="0" w:type="auto"/>
                <w:vAlign w:val="center"/>
                <w:hideMark/>
              </w:tcPr>
              <w:p w14:paraId="6E970E51" w14:textId="3044AE60" w:rsidR="00A606A4" w:rsidRPr="00A606A4" w:rsidRDefault="008A7030" w:rsidP="00A606A4">
                <w:pPr>
                  <w:spacing w:after="160" w:line="259" w:lineRule="auto"/>
                  <w:rPr>
                    <w:rFonts w:asciiTheme="minorHAnsi" w:hAnsiTheme="minorHAnsi" w:cstheme="minorHAnsi"/>
                    <w:b/>
                    <w:bCs/>
                  </w:rPr>
                </w:pPr>
                <w:r>
                  <w:rPr>
                    <w:rFonts w:asciiTheme="minorHAnsi" w:hAnsiTheme="minorHAnsi" w:cstheme="minorHAnsi"/>
                    <w:b/>
                    <w:bCs/>
                  </w:rPr>
                  <w:t xml:space="preserve">  </w:t>
                </w:r>
                <w:r w:rsidR="00A606A4" w:rsidRPr="00A606A4">
                  <w:rPr>
                    <w:rFonts w:asciiTheme="minorHAnsi" w:hAnsiTheme="minorHAnsi" w:cstheme="minorHAnsi"/>
                    <w:b/>
                    <w:bCs/>
                  </w:rPr>
                  <w:t>Discount Factor</w:t>
                </w:r>
              </w:p>
            </w:tc>
            <w:tc>
              <w:tcPr>
                <w:tcW w:w="3828" w:type="dxa"/>
                <w:vAlign w:val="center"/>
                <w:hideMark/>
              </w:tcPr>
              <w:p w14:paraId="340D29F8" w14:textId="2CCEC294" w:rsidR="00A606A4" w:rsidRPr="00A606A4" w:rsidRDefault="00BA716D" w:rsidP="00A606A4">
                <w:pPr>
                  <w:spacing w:after="160" w:line="259" w:lineRule="auto"/>
                  <w:rPr>
                    <w:rFonts w:asciiTheme="minorHAnsi" w:hAnsiTheme="minorHAnsi" w:cstheme="minorHAnsi"/>
                    <w:b/>
                    <w:bCs/>
                  </w:rPr>
                </w:pPr>
                <w:r>
                  <w:rPr>
                    <w:rFonts w:asciiTheme="minorHAnsi" w:hAnsiTheme="minorHAnsi" w:cstheme="minorHAnsi"/>
                    <w:b/>
                    <w:bCs/>
                  </w:rPr>
                  <w:t xml:space="preserve">  </w:t>
                </w:r>
                <w:r w:rsidR="00A606A4" w:rsidRPr="00A606A4">
                  <w:rPr>
                    <w:rFonts w:asciiTheme="minorHAnsi" w:hAnsiTheme="minorHAnsi" w:cstheme="minorHAnsi"/>
                    <w:b/>
                    <w:bCs/>
                  </w:rPr>
                  <w:t>Present Value (£000)</w:t>
                </w:r>
              </w:p>
            </w:tc>
          </w:tr>
          <w:tr w:rsidR="00A606A4" w:rsidRPr="00A606A4" w14:paraId="40A498B0" w14:textId="77777777" w:rsidTr="00AE4469">
            <w:trPr>
              <w:tblCellSpacing w:w="15" w:type="dxa"/>
            </w:trPr>
            <w:tc>
              <w:tcPr>
                <w:tcW w:w="0" w:type="auto"/>
                <w:vAlign w:val="center"/>
                <w:hideMark/>
              </w:tcPr>
              <w:p w14:paraId="14653623"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w:t>
                </w:r>
              </w:p>
            </w:tc>
            <w:tc>
              <w:tcPr>
                <w:tcW w:w="0" w:type="auto"/>
                <w:vAlign w:val="center"/>
                <w:hideMark/>
              </w:tcPr>
              <w:p w14:paraId="09DAA95F"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417.5</w:t>
                </w:r>
              </w:p>
            </w:tc>
            <w:tc>
              <w:tcPr>
                <w:tcW w:w="0" w:type="auto"/>
                <w:vAlign w:val="center"/>
                <w:hideMark/>
              </w:tcPr>
              <w:p w14:paraId="24A04E05"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0.943</w:t>
                </w:r>
              </w:p>
            </w:tc>
            <w:tc>
              <w:tcPr>
                <w:tcW w:w="3828" w:type="dxa"/>
                <w:vAlign w:val="center"/>
                <w:hideMark/>
              </w:tcPr>
              <w:p w14:paraId="34DDEB9C"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393.7</w:t>
                </w:r>
              </w:p>
            </w:tc>
          </w:tr>
          <w:tr w:rsidR="00A606A4" w:rsidRPr="00A606A4" w14:paraId="1422472F" w14:textId="77777777" w:rsidTr="00AE4469">
            <w:trPr>
              <w:tblCellSpacing w:w="15" w:type="dxa"/>
            </w:trPr>
            <w:tc>
              <w:tcPr>
                <w:tcW w:w="0" w:type="auto"/>
                <w:vAlign w:val="center"/>
                <w:hideMark/>
              </w:tcPr>
              <w:p w14:paraId="058269B0"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2</w:t>
                </w:r>
              </w:p>
            </w:tc>
            <w:tc>
              <w:tcPr>
                <w:tcW w:w="0" w:type="auto"/>
                <w:vAlign w:val="center"/>
                <w:hideMark/>
              </w:tcPr>
              <w:p w14:paraId="771D3EEE"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605</w:t>
                </w:r>
              </w:p>
            </w:tc>
            <w:tc>
              <w:tcPr>
                <w:tcW w:w="0" w:type="auto"/>
                <w:vAlign w:val="center"/>
                <w:hideMark/>
              </w:tcPr>
              <w:p w14:paraId="380420EE"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0.890</w:t>
                </w:r>
              </w:p>
            </w:tc>
            <w:tc>
              <w:tcPr>
                <w:tcW w:w="3828" w:type="dxa"/>
                <w:vAlign w:val="center"/>
                <w:hideMark/>
              </w:tcPr>
              <w:p w14:paraId="117016AB"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538.5</w:t>
                </w:r>
              </w:p>
            </w:tc>
          </w:tr>
          <w:tr w:rsidR="00A606A4" w:rsidRPr="00A606A4" w14:paraId="37F7FFF4" w14:textId="77777777" w:rsidTr="00AE4469">
            <w:trPr>
              <w:tblCellSpacing w:w="15" w:type="dxa"/>
            </w:trPr>
            <w:tc>
              <w:tcPr>
                <w:tcW w:w="0" w:type="auto"/>
                <w:vAlign w:val="center"/>
                <w:hideMark/>
              </w:tcPr>
              <w:p w14:paraId="02119E3C"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3</w:t>
                </w:r>
              </w:p>
            </w:tc>
            <w:tc>
              <w:tcPr>
                <w:tcW w:w="0" w:type="auto"/>
                <w:vAlign w:val="center"/>
                <w:hideMark/>
              </w:tcPr>
              <w:p w14:paraId="78F01433"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755</w:t>
                </w:r>
              </w:p>
            </w:tc>
            <w:tc>
              <w:tcPr>
                <w:tcW w:w="0" w:type="auto"/>
                <w:vAlign w:val="center"/>
                <w:hideMark/>
              </w:tcPr>
              <w:p w14:paraId="2D43CF68"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0.840</w:t>
                </w:r>
              </w:p>
            </w:tc>
            <w:tc>
              <w:tcPr>
                <w:tcW w:w="3828" w:type="dxa"/>
                <w:vAlign w:val="center"/>
                <w:hideMark/>
              </w:tcPr>
              <w:p w14:paraId="1D78A253"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634.2</w:t>
                </w:r>
              </w:p>
            </w:tc>
          </w:tr>
          <w:tr w:rsidR="00A606A4" w:rsidRPr="00A606A4" w14:paraId="55041927" w14:textId="77777777" w:rsidTr="00AE4469">
            <w:trPr>
              <w:tblCellSpacing w:w="15" w:type="dxa"/>
            </w:trPr>
            <w:tc>
              <w:tcPr>
                <w:tcW w:w="0" w:type="auto"/>
                <w:vAlign w:val="center"/>
                <w:hideMark/>
              </w:tcPr>
              <w:p w14:paraId="4022F727"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4</w:t>
                </w:r>
              </w:p>
            </w:tc>
            <w:tc>
              <w:tcPr>
                <w:tcW w:w="0" w:type="auto"/>
                <w:vAlign w:val="center"/>
                <w:hideMark/>
              </w:tcPr>
              <w:p w14:paraId="18705FE6"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980</w:t>
                </w:r>
              </w:p>
            </w:tc>
            <w:tc>
              <w:tcPr>
                <w:tcW w:w="0" w:type="auto"/>
                <w:vAlign w:val="center"/>
                <w:hideMark/>
              </w:tcPr>
              <w:p w14:paraId="2A1BAE08"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0.792</w:t>
                </w:r>
              </w:p>
            </w:tc>
            <w:tc>
              <w:tcPr>
                <w:tcW w:w="3828" w:type="dxa"/>
                <w:vAlign w:val="center"/>
                <w:hideMark/>
              </w:tcPr>
              <w:p w14:paraId="02F03A95"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776.2</w:t>
                </w:r>
              </w:p>
            </w:tc>
          </w:tr>
          <w:tr w:rsidR="00A606A4" w:rsidRPr="00A606A4" w14:paraId="196E1A51" w14:textId="77777777" w:rsidTr="00AE4469">
            <w:trPr>
              <w:tblCellSpacing w:w="15" w:type="dxa"/>
            </w:trPr>
            <w:tc>
              <w:tcPr>
                <w:tcW w:w="0" w:type="auto"/>
                <w:vAlign w:val="center"/>
                <w:hideMark/>
              </w:tcPr>
              <w:p w14:paraId="1945E1C3"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Total PV</w:t>
                </w:r>
              </w:p>
            </w:tc>
            <w:tc>
              <w:tcPr>
                <w:tcW w:w="0" w:type="auto"/>
                <w:vAlign w:val="center"/>
                <w:hideMark/>
              </w:tcPr>
              <w:p w14:paraId="28F2B23C" w14:textId="77777777" w:rsidR="00A606A4" w:rsidRPr="00A606A4" w:rsidRDefault="00A606A4" w:rsidP="00A606A4">
                <w:pPr>
                  <w:spacing w:after="160" w:line="259" w:lineRule="auto"/>
                  <w:rPr>
                    <w:rFonts w:asciiTheme="minorHAnsi" w:hAnsiTheme="minorHAnsi" w:cstheme="minorHAnsi"/>
                  </w:rPr>
                </w:pPr>
              </w:p>
            </w:tc>
            <w:tc>
              <w:tcPr>
                <w:tcW w:w="0" w:type="auto"/>
                <w:vAlign w:val="center"/>
                <w:hideMark/>
              </w:tcPr>
              <w:p w14:paraId="01AC6AB6" w14:textId="77777777" w:rsidR="00A606A4" w:rsidRPr="00A606A4" w:rsidRDefault="00A606A4" w:rsidP="00A606A4">
                <w:pPr>
                  <w:spacing w:after="160" w:line="259" w:lineRule="auto"/>
                  <w:rPr>
                    <w:rFonts w:asciiTheme="minorHAnsi" w:hAnsiTheme="minorHAnsi" w:cstheme="minorHAnsi"/>
                  </w:rPr>
                </w:pPr>
              </w:p>
            </w:tc>
            <w:tc>
              <w:tcPr>
                <w:tcW w:w="3828" w:type="dxa"/>
                <w:vAlign w:val="center"/>
                <w:hideMark/>
              </w:tcPr>
              <w:p w14:paraId="4E868376"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2,342.6</w:t>
                </w:r>
              </w:p>
            </w:tc>
          </w:tr>
          <w:tr w:rsidR="00A606A4" w:rsidRPr="00A606A4" w14:paraId="5FBDB096" w14:textId="77777777" w:rsidTr="00AE4469">
            <w:trPr>
              <w:tblCellSpacing w:w="15" w:type="dxa"/>
            </w:trPr>
            <w:tc>
              <w:tcPr>
                <w:tcW w:w="0" w:type="auto"/>
                <w:vAlign w:val="center"/>
                <w:hideMark/>
              </w:tcPr>
              <w:p w14:paraId="2FF454BE"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lastRenderedPageBreak/>
                  <w:t>Initial Investment</w:t>
                </w:r>
              </w:p>
            </w:tc>
            <w:tc>
              <w:tcPr>
                <w:tcW w:w="0" w:type="auto"/>
                <w:vAlign w:val="center"/>
                <w:hideMark/>
              </w:tcPr>
              <w:p w14:paraId="4B63C328" w14:textId="77777777" w:rsidR="00A606A4" w:rsidRPr="00A606A4" w:rsidRDefault="00A606A4" w:rsidP="00A606A4">
                <w:pPr>
                  <w:spacing w:after="160" w:line="259" w:lineRule="auto"/>
                  <w:rPr>
                    <w:rFonts w:asciiTheme="minorHAnsi" w:hAnsiTheme="minorHAnsi" w:cstheme="minorHAnsi"/>
                  </w:rPr>
                </w:pPr>
              </w:p>
            </w:tc>
            <w:tc>
              <w:tcPr>
                <w:tcW w:w="0" w:type="auto"/>
                <w:vAlign w:val="center"/>
                <w:hideMark/>
              </w:tcPr>
              <w:p w14:paraId="4D42AFF8" w14:textId="77777777" w:rsidR="00A606A4" w:rsidRPr="00A606A4" w:rsidRDefault="00A606A4" w:rsidP="00A606A4">
                <w:pPr>
                  <w:spacing w:after="160" w:line="259" w:lineRule="auto"/>
                  <w:rPr>
                    <w:rFonts w:asciiTheme="minorHAnsi" w:hAnsiTheme="minorHAnsi" w:cstheme="minorHAnsi"/>
                  </w:rPr>
                </w:pPr>
              </w:p>
            </w:tc>
            <w:tc>
              <w:tcPr>
                <w:tcW w:w="3828" w:type="dxa"/>
                <w:vAlign w:val="center"/>
                <w:hideMark/>
              </w:tcPr>
              <w:p w14:paraId="1265A027"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(1,600)</w:t>
                </w:r>
              </w:p>
            </w:tc>
          </w:tr>
          <w:tr w:rsidR="00A606A4" w:rsidRPr="00A606A4" w14:paraId="038448AA" w14:textId="77777777" w:rsidTr="00AE4469">
            <w:trPr>
              <w:tblCellSpacing w:w="15" w:type="dxa"/>
            </w:trPr>
            <w:tc>
              <w:tcPr>
                <w:tcW w:w="0" w:type="auto"/>
                <w:vAlign w:val="center"/>
                <w:hideMark/>
              </w:tcPr>
              <w:p w14:paraId="0B2C6215"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NPV (C)</w:t>
                </w:r>
              </w:p>
            </w:tc>
            <w:tc>
              <w:tcPr>
                <w:tcW w:w="0" w:type="auto"/>
                <w:vAlign w:val="center"/>
                <w:hideMark/>
              </w:tcPr>
              <w:p w14:paraId="40BB6F35" w14:textId="77777777" w:rsidR="00A606A4" w:rsidRPr="00A606A4" w:rsidRDefault="00A606A4" w:rsidP="00A606A4">
                <w:pPr>
                  <w:spacing w:after="160" w:line="259" w:lineRule="auto"/>
                  <w:rPr>
                    <w:rFonts w:asciiTheme="minorHAnsi" w:hAnsiTheme="minorHAnsi" w:cstheme="minorHAnsi"/>
                  </w:rPr>
                </w:pPr>
              </w:p>
            </w:tc>
            <w:tc>
              <w:tcPr>
                <w:tcW w:w="0" w:type="auto"/>
                <w:vAlign w:val="center"/>
                <w:hideMark/>
              </w:tcPr>
              <w:p w14:paraId="71A62B34" w14:textId="77777777" w:rsidR="00A606A4" w:rsidRPr="00A606A4" w:rsidRDefault="00A606A4" w:rsidP="00A606A4">
                <w:pPr>
                  <w:spacing w:after="160" w:line="259" w:lineRule="auto"/>
                  <w:rPr>
                    <w:rFonts w:asciiTheme="minorHAnsi" w:hAnsiTheme="minorHAnsi" w:cstheme="minorHAnsi"/>
                  </w:rPr>
                </w:pPr>
              </w:p>
            </w:tc>
            <w:tc>
              <w:tcPr>
                <w:tcW w:w="3828" w:type="dxa"/>
                <w:vAlign w:val="center"/>
                <w:hideMark/>
              </w:tcPr>
              <w:p w14:paraId="0ED459C3"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+742.6</w:t>
                </w:r>
              </w:p>
            </w:tc>
          </w:tr>
        </w:tbl>
        <w:p w14:paraId="04E4456D" w14:textId="77777777" w:rsidR="00A606A4" w:rsidRPr="00A606A4" w:rsidRDefault="001214F9" w:rsidP="00A606A4">
          <w:pPr>
            <w:spacing w:after="160" w:line="259" w:lineRule="auto"/>
            <w:rPr>
              <w:rFonts w:asciiTheme="minorHAnsi" w:hAnsiTheme="minorHAnsi" w:cstheme="minorHAnsi"/>
            </w:rPr>
          </w:pPr>
          <w:r w:rsidRPr="001214F9">
            <w:rPr>
              <w:rFonts w:asciiTheme="minorHAnsi" w:hAnsiTheme="minorHAnsi" w:cstheme="minorHAnsi"/>
              <w:noProof/>
            </w:rPr>
            <w:pict w14:anchorId="41F0F330">
              <v:rect id="_x0000_i1027" alt="" style="width:451.3pt;height:.05pt;mso-width-percent:0;mso-height-percent:0;mso-width-percent:0;mso-height-percent:0" o:hralign="center" o:hrstd="t" o:hr="t" fillcolor="#a0a0a0" stroked="f"/>
            </w:pict>
          </w:r>
        </w:p>
        <w:p w14:paraId="44482BC2"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eastAsiaTheme="majorEastAsia" w:hAnsiTheme="minorHAnsi" w:cstheme="minorHAnsi"/>
              <w:b/>
              <w:bCs/>
            </w:rPr>
            <w:t>Appendix F: IRR Calculation for Option C</w:t>
          </w:r>
        </w:p>
        <w:p w14:paraId="1FC37E0E"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IRR is estimated using interpolation between two discount rates.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64"/>
            <w:gridCol w:w="1194"/>
          </w:tblGrid>
          <w:tr w:rsidR="00A606A4" w:rsidRPr="00A606A4" w14:paraId="11D5C84C" w14:textId="77777777" w:rsidTr="00A606A4">
            <w:trPr>
              <w:tblHeader/>
              <w:tblCellSpacing w:w="15" w:type="dxa"/>
            </w:trPr>
            <w:tc>
              <w:tcPr>
                <w:tcW w:w="0" w:type="auto"/>
                <w:vAlign w:val="center"/>
                <w:hideMark/>
              </w:tcPr>
              <w:p w14:paraId="29C7AAFD"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Discount Rate</w:t>
                </w:r>
              </w:p>
            </w:tc>
            <w:tc>
              <w:tcPr>
                <w:tcW w:w="0" w:type="auto"/>
                <w:vAlign w:val="center"/>
                <w:hideMark/>
              </w:tcPr>
              <w:p w14:paraId="6BF785D2"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NPV (£000)</w:t>
                </w:r>
              </w:p>
            </w:tc>
          </w:tr>
          <w:tr w:rsidR="00A606A4" w:rsidRPr="00A606A4" w14:paraId="692001B5" w14:textId="77777777" w:rsidTr="00A606A4">
            <w:trPr>
              <w:tblCellSpacing w:w="15" w:type="dxa"/>
            </w:trPr>
            <w:tc>
              <w:tcPr>
                <w:tcW w:w="0" w:type="auto"/>
                <w:vAlign w:val="center"/>
                <w:hideMark/>
              </w:tcPr>
              <w:p w14:paraId="5171BA97"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10%</w:t>
                </w:r>
              </w:p>
            </w:tc>
            <w:tc>
              <w:tcPr>
                <w:tcW w:w="0" w:type="auto"/>
                <w:vAlign w:val="center"/>
                <w:hideMark/>
              </w:tcPr>
              <w:p w14:paraId="1310086D"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+£410</w:t>
                </w:r>
              </w:p>
            </w:tc>
          </w:tr>
          <w:tr w:rsidR="00A606A4" w:rsidRPr="00A606A4" w14:paraId="4AFA55FC" w14:textId="77777777" w:rsidTr="00A606A4">
            <w:trPr>
              <w:tblCellSpacing w:w="15" w:type="dxa"/>
            </w:trPr>
            <w:tc>
              <w:tcPr>
                <w:tcW w:w="0" w:type="auto"/>
                <w:vAlign w:val="center"/>
                <w:hideMark/>
              </w:tcPr>
              <w:p w14:paraId="0BEE5ADE"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20%</w:t>
                </w:r>
              </w:p>
            </w:tc>
            <w:tc>
              <w:tcPr>
                <w:tcW w:w="0" w:type="auto"/>
                <w:vAlign w:val="center"/>
                <w:hideMark/>
              </w:tcPr>
              <w:p w14:paraId="5220AF85"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−£120</w:t>
                </w:r>
              </w:p>
            </w:tc>
          </w:tr>
        </w:tbl>
        <w:p w14:paraId="00C18821"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IRR Formula:</w:t>
          </w:r>
        </w:p>
        <w:p w14:paraId="4807D680" w14:textId="42757E7E" w:rsidR="005B20C2" w:rsidRPr="00347E38" w:rsidRDefault="00A606A4" w:rsidP="00A606A4">
          <w:pPr>
            <w:rPr>
              <w:rFonts w:asciiTheme="minorHAnsi" w:hAnsiTheme="minorHAnsi" w:cstheme="minorHAnsi"/>
            </w:rPr>
          </w:pPr>
          <w:r w:rsidRPr="00A606A4">
            <w:rPr>
              <w:rFonts w:asciiTheme="minorHAnsi" w:hAnsiTheme="minorHAnsi" w:cstheme="minorHAnsi"/>
            </w:rPr>
            <w:t>IRR</w:t>
          </w:r>
          <w:r w:rsidR="00051B68">
            <w:rPr>
              <w:rFonts w:asciiTheme="minorHAnsi" w:hAnsiTheme="minorHAnsi" w:cstheme="minorHAnsi"/>
            </w:rPr>
            <w:t xml:space="preserve"> </w:t>
          </w:r>
          <w:r w:rsidRPr="00A606A4">
            <w:rPr>
              <w:rFonts w:asciiTheme="minorHAnsi" w:hAnsiTheme="minorHAnsi" w:cstheme="minorHAnsi"/>
            </w:rPr>
            <w:t>=</w:t>
          </w:r>
          <w:r w:rsidR="00051B68">
            <w:rPr>
              <w:rFonts w:asciiTheme="minorHAnsi" w:hAnsiTheme="minorHAnsi" w:cstheme="minorHAnsi"/>
            </w:rPr>
            <w:t xml:space="preserve"> </w:t>
          </w:r>
          <w:r w:rsidRPr="00A606A4">
            <w:rPr>
              <w:rFonts w:asciiTheme="minorHAnsi" w:hAnsiTheme="minorHAnsi" w:cstheme="minorHAnsi"/>
            </w:rPr>
            <w:t>R1+(NPV1</w:t>
          </w:r>
          <w:r w:rsidR="00AA24B3">
            <w:rPr>
              <w:rFonts w:asciiTheme="minorHAnsi" w:hAnsiTheme="minorHAnsi" w:cstheme="minorHAnsi"/>
            </w:rPr>
            <w:t xml:space="preserve"> / </w:t>
          </w:r>
          <w:r w:rsidRPr="00A606A4">
            <w:rPr>
              <w:rFonts w:asciiTheme="minorHAnsi" w:hAnsiTheme="minorHAnsi" w:cstheme="minorHAnsi"/>
            </w:rPr>
            <w:t>NPV1−NPV2)</w:t>
          </w:r>
          <w:r w:rsidR="001A2775">
            <w:rPr>
              <w:rFonts w:asciiTheme="minorHAnsi" w:hAnsiTheme="minorHAnsi" w:cstheme="minorHAnsi"/>
            </w:rPr>
            <w:t xml:space="preserve"> </w:t>
          </w:r>
          <w:r w:rsidRPr="00A606A4">
            <w:rPr>
              <w:rFonts w:asciiTheme="minorHAnsi" w:hAnsiTheme="minorHAnsi" w:cstheme="minorHAnsi"/>
            </w:rPr>
            <w:t>×</w:t>
          </w:r>
          <w:r w:rsidR="001A2775">
            <w:rPr>
              <w:rFonts w:asciiTheme="minorHAnsi" w:hAnsiTheme="minorHAnsi" w:cstheme="minorHAnsi"/>
            </w:rPr>
            <w:t xml:space="preserve"> </w:t>
          </w:r>
          <w:r w:rsidRPr="00A606A4">
            <w:rPr>
              <w:rFonts w:asciiTheme="minorHAnsi" w:hAnsiTheme="minorHAnsi" w:cstheme="minorHAnsi"/>
            </w:rPr>
            <w:t>(R2−R1)</w:t>
          </w:r>
          <w:r w:rsidR="001A2775">
            <w:rPr>
              <w:rFonts w:asciiTheme="minorHAnsi" w:hAnsiTheme="minorHAnsi" w:cstheme="minorHAnsi"/>
            </w:rPr>
            <w:t xml:space="preserve"> </w:t>
          </w:r>
        </w:p>
        <w:p w14:paraId="1B901CD4" w14:textId="1B70C1AA"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IRR</w:t>
          </w:r>
          <w:r w:rsidR="00051B68">
            <w:rPr>
              <w:rFonts w:asciiTheme="minorHAnsi" w:hAnsiTheme="minorHAnsi" w:cstheme="minorHAnsi"/>
            </w:rPr>
            <w:t xml:space="preserve"> </w:t>
          </w:r>
          <w:r w:rsidRPr="00A606A4">
            <w:rPr>
              <w:rFonts w:asciiTheme="minorHAnsi" w:hAnsiTheme="minorHAnsi" w:cstheme="minorHAnsi"/>
            </w:rPr>
            <w:t>=</w:t>
          </w:r>
          <w:r w:rsidR="00051B68">
            <w:rPr>
              <w:rFonts w:asciiTheme="minorHAnsi" w:hAnsiTheme="minorHAnsi" w:cstheme="minorHAnsi"/>
            </w:rPr>
            <w:t xml:space="preserve"> </w:t>
          </w:r>
          <w:r w:rsidRPr="00A606A4">
            <w:rPr>
              <w:rFonts w:asciiTheme="minorHAnsi" w:hAnsiTheme="minorHAnsi" w:cstheme="minorHAnsi"/>
            </w:rPr>
            <w:t>10%+(410</w:t>
          </w:r>
          <w:r w:rsidR="00966222">
            <w:rPr>
              <w:rFonts w:asciiTheme="minorHAnsi" w:hAnsiTheme="minorHAnsi" w:cstheme="minorHAnsi"/>
            </w:rPr>
            <w:t xml:space="preserve"> / </w:t>
          </w:r>
          <w:r w:rsidRPr="00A606A4">
            <w:rPr>
              <w:rFonts w:asciiTheme="minorHAnsi" w:hAnsiTheme="minorHAnsi" w:cstheme="minorHAnsi"/>
            </w:rPr>
            <w:t>410−(−120))×10</w:t>
          </w:r>
          <w:r w:rsidR="00966222">
            <w:rPr>
              <w:rFonts w:asciiTheme="minorHAnsi" w:hAnsiTheme="minorHAnsi" w:cstheme="minorHAnsi"/>
            </w:rPr>
            <w:t xml:space="preserve"> </w:t>
          </w:r>
          <w:r w:rsidRPr="00A606A4">
            <w:rPr>
              <w:rFonts w:asciiTheme="minorHAnsi" w:hAnsiTheme="minorHAnsi" w:cstheme="minorHAnsi"/>
            </w:rPr>
            <w:t>IRR=10%+(</w:t>
          </w:r>
          <w:r w:rsidR="00F25C78">
            <w:rPr>
              <w:rFonts w:asciiTheme="minorHAnsi" w:hAnsiTheme="minorHAnsi" w:cstheme="minorHAnsi"/>
            </w:rPr>
            <w:t>0.7736</w:t>
          </w:r>
          <w:r w:rsidRPr="00A606A4">
            <w:rPr>
              <w:rFonts w:asciiTheme="minorHAnsi" w:hAnsiTheme="minorHAnsi" w:cstheme="minorHAnsi"/>
            </w:rPr>
            <w:t>​×10</w:t>
          </w:r>
          <w:r w:rsidR="002B095D">
            <w:rPr>
              <w:rFonts w:asciiTheme="minorHAnsi" w:hAnsiTheme="minorHAnsi" w:cstheme="minorHAnsi"/>
            </w:rPr>
            <w:t xml:space="preserve">) </w:t>
          </w:r>
          <w:r w:rsidRPr="00A606A4">
            <w:rPr>
              <w:rFonts w:asciiTheme="minorHAnsi" w:hAnsiTheme="minorHAnsi" w:cstheme="minorHAnsi"/>
            </w:rPr>
            <w:t>IRR</w:t>
          </w:r>
          <w:r w:rsidR="006E6A07" w:rsidRPr="00347E38">
            <w:rPr>
              <w:rFonts w:asciiTheme="minorHAnsi" w:hAnsiTheme="minorHAnsi" w:cstheme="minorHAnsi"/>
            </w:rPr>
            <w:t xml:space="preserve"> = </w:t>
          </w:r>
          <w:r w:rsidRPr="00A606A4">
            <w:rPr>
              <w:rFonts w:asciiTheme="minorHAnsi" w:hAnsiTheme="minorHAnsi" w:cstheme="minorHAnsi"/>
            </w:rPr>
            <w:t>17.7%</w:t>
          </w:r>
        </w:p>
        <w:p w14:paraId="02AEA565" w14:textId="77777777" w:rsidR="00A606A4" w:rsidRPr="00A606A4" w:rsidRDefault="001214F9" w:rsidP="00A606A4">
          <w:pPr>
            <w:spacing w:after="160" w:line="259" w:lineRule="auto"/>
            <w:rPr>
              <w:rFonts w:asciiTheme="minorHAnsi" w:hAnsiTheme="minorHAnsi" w:cstheme="minorHAnsi"/>
            </w:rPr>
          </w:pPr>
          <w:r w:rsidRPr="001214F9">
            <w:rPr>
              <w:rFonts w:asciiTheme="minorHAnsi" w:hAnsiTheme="minorHAnsi" w:cstheme="minorHAnsi"/>
              <w:noProof/>
            </w:rPr>
            <w:pict w14:anchorId="53AE4E01">
              <v:rect id="_x0000_i1026" alt="" style="width:451.3pt;height:.05pt;mso-width-percent:0;mso-height-percent:0;mso-width-percent:0;mso-height-percent:0" o:hralign="center" o:hrstd="t" o:hr="t" fillcolor="#a0a0a0" stroked="f"/>
            </w:pict>
          </w:r>
        </w:p>
        <w:p w14:paraId="010BD166"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eastAsiaTheme="majorEastAsia" w:hAnsiTheme="minorHAnsi" w:cstheme="minorHAnsi"/>
              <w:b/>
              <w:bCs/>
            </w:rPr>
            <w:t>Appendix G: Capital Rationing – Profitability Index</w:t>
          </w:r>
        </w:p>
        <w:p w14:paraId="3D6CECA5" w14:textId="76E6E2CD"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 xml:space="preserve">Profitability Index (PI) = </w:t>
          </w:r>
          <w:r w:rsidR="008A3B2A">
            <w:rPr>
              <w:rFonts w:asciiTheme="minorHAnsi" w:eastAsiaTheme="majorEastAsia" w:hAnsiTheme="minorHAnsi" w:cstheme="minorHAnsi"/>
              <w:b/>
              <w:bCs/>
            </w:rPr>
            <w:t>Pr</w:t>
          </w:r>
          <w:r w:rsidR="00367716">
            <w:rPr>
              <w:rFonts w:asciiTheme="minorHAnsi" w:eastAsiaTheme="majorEastAsia" w:hAnsiTheme="minorHAnsi" w:cstheme="minorHAnsi"/>
              <w:b/>
              <w:bCs/>
            </w:rPr>
            <w:t>esent</w:t>
          </w:r>
          <w:r w:rsidR="008A3B2A">
            <w:rPr>
              <w:rFonts w:asciiTheme="minorHAnsi" w:eastAsiaTheme="majorEastAsia" w:hAnsiTheme="minorHAnsi" w:cstheme="minorHAnsi"/>
              <w:b/>
              <w:bCs/>
            </w:rPr>
            <w:t xml:space="preserve"> Value of </w:t>
          </w:r>
          <w:r w:rsidR="00367716">
            <w:rPr>
              <w:rFonts w:asciiTheme="minorHAnsi" w:eastAsiaTheme="majorEastAsia" w:hAnsiTheme="minorHAnsi" w:cstheme="minorHAnsi"/>
              <w:b/>
              <w:bCs/>
            </w:rPr>
            <w:t>I</w:t>
          </w:r>
          <w:r w:rsidR="008A3B2A">
            <w:rPr>
              <w:rFonts w:asciiTheme="minorHAnsi" w:eastAsiaTheme="majorEastAsia" w:hAnsiTheme="minorHAnsi" w:cstheme="minorHAnsi"/>
              <w:b/>
              <w:bCs/>
            </w:rPr>
            <w:t>nflows</w:t>
          </w:r>
          <w:r w:rsidRPr="00A606A4">
            <w:rPr>
              <w:rFonts w:asciiTheme="minorHAnsi" w:eastAsiaTheme="majorEastAsia" w:hAnsiTheme="minorHAnsi" w:cstheme="minorHAnsi"/>
              <w:b/>
              <w:bCs/>
            </w:rPr>
            <w:t xml:space="preserve"> / Initial Investment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7"/>
            <w:gridCol w:w="2077"/>
            <w:gridCol w:w="2728"/>
            <w:gridCol w:w="610"/>
          </w:tblGrid>
          <w:tr w:rsidR="00A606A4" w:rsidRPr="00A606A4" w14:paraId="054BB331" w14:textId="77777777" w:rsidTr="00A606A4">
            <w:trPr>
              <w:tblHeader/>
              <w:tblCellSpacing w:w="15" w:type="dxa"/>
            </w:trPr>
            <w:tc>
              <w:tcPr>
                <w:tcW w:w="0" w:type="auto"/>
                <w:vAlign w:val="center"/>
                <w:hideMark/>
              </w:tcPr>
              <w:p w14:paraId="16BF39B6"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Option</w:t>
                </w:r>
              </w:p>
            </w:tc>
            <w:tc>
              <w:tcPr>
                <w:tcW w:w="0" w:type="auto"/>
                <w:vAlign w:val="center"/>
                <w:hideMark/>
              </w:tcPr>
              <w:p w14:paraId="4115B9E8" w14:textId="66C237F7" w:rsidR="00A606A4" w:rsidRPr="00A606A4" w:rsidRDefault="008A3B2A" w:rsidP="00A606A4">
                <w:pPr>
                  <w:spacing w:after="160" w:line="259" w:lineRule="auto"/>
                  <w:rPr>
                    <w:rFonts w:asciiTheme="minorHAnsi" w:hAnsiTheme="minorHAnsi" w:cstheme="minorHAnsi"/>
                    <w:b/>
                    <w:bCs/>
                  </w:rPr>
                </w:pPr>
                <w:r>
                  <w:rPr>
                    <w:rFonts w:asciiTheme="minorHAnsi" w:hAnsiTheme="minorHAnsi" w:cstheme="minorHAnsi"/>
                    <w:b/>
                    <w:bCs/>
                  </w:rPr>
                  <w:t xml:space="preserve">     </w:t>
                </w:r>
                <w:r w:rsidR="00A606A4" w:rsidRPr="00A606A4">
                  <w:rPr>
                    <w:rFonts w:asciiTheme="minorHAnsi" w:hAnsiTheme="minorHAnsi" w:cstheme="minorHAnsi"/>
                    <w:b/>
                    <w:bCs/>
                  </w:rPr>
                  <w:t>PV</w:t>
                </w:r>
                <w:r w:rsidR="00B606C2">
                  <w:rPr>
                    <w:rFonts w:asciiTheme="minorHAnsi" w:hAnsiTheme="minorHAnsi" w:cstheme="minorHAnsi"/>
                    <w:b/>
                    <w:bCs/>
                  </w:rPr>
                  <w:t xml:space="preserve"> Inflows</w:t>
                </w:r>
                <w:r w:rsidR="00A606A4" w:rsidRPr="00A606A4">
                  <w:rPr>
                    <w:rFonts w:asciiTheme="minorHAnsi" w:hAnsiTheme="minorHAnsi" w:cstheme="minorHAnsi"/>
                    <w:b/>
                    <w:bCs/>
                  </w:rPr>
                  <w:t xml:space="preserve"> (£000)</w:t>
                </w:r>
              </w:p>
            </w:tc>
            <w:tc>
              <w:tcPr>
                <w:tcW w:w="0" w:type="auto"/>
                <w:vAlign w:val="center"/>
                <w:hideMark/>
              </w:tcPr>
              <w:p w14:paraId="7989DB5C" w14:textId="62FB8C53" w:rsidR="00A606A4" w:rsidRPr="00A606A4" w:rsidRDefault="008A3B2A" w:rsidP="00A606A4">
                <w:pPr>
                  <w:spacing w:after="160" w:line="259" w:lineRule="auto"/>
                  <w:rPr>
                    <w:rFonts w:asciiTheme="minorHAnsi" w:hAnsiTheme="minorHAnsi" w:cstheme="minorHAnsi"/>
                    <w:b/>
                    <w:bCs/>
                  </w:rPr>
                </w:pPr>
                <w:r>
                  <w:rPr>
                    <w:rFonts w:asciiTheme="minorHAnsi" w:hAnsiTheme="minorHAnsi" w:cstheme="minorHAnsi"/>
                    <w:b/>
                    <w:bCs/>
                  </w:rPr>
                  <w:t xml:space="preserve">    </w:t>
                </w:r>
                <w:r w:rsidR="00A606A4" w:rsidRPr="00A606A4">
                  <w:rPr>
                    <w:rFonts w:asciiTheme="minorHAnsi" w:hAnsiTheme="minorHAnsi" w:cstheme="minorHAnsi"/>
                    <w:b/>
                    <w:bCs/>
                  </w:rPr>
                  <w:t>Initial Investment (£000)</w:t>
                </w:r>
              </w:p>
            </w:tc>
            <w:tc>
              <w:tcPr>
                <w:tcW w:w="0" w:type="auto"/>
                <w:vAlign w:val="center"/>
                <w:hideMark/>
              </w:tcPr>
              <w:p w14:paraId="38B14FB5" w14:textId="4D36A1A0" w:rsidR="00A606A4" w:rsidRPr="00A606A4" w:rsidRDefault="00BA716D" w:rsidP="00A606A4">
                <w:pPr>
                  <w:spacing w:after="160" w:line="259" w:lineRule="auto"/>
                  <w:rPr>
                    <w:rFonts w:asciiTheme="minorHAnsi" w:hAnsiTheme="minorHAnsi" w:cstheme="minorHAnsi"/>
                    <w:b/>
                    <w:bCs/>
                  </w:rPr>
                </w:pPr>
                <w:r>
                  <w:rPr>
                    <w:rFonts w:asciiTheme="minorHAnsi" w:hAnsiTheme="minorHAnsi" w:cstheme="minorHAnsi"/>
                    <w:b/>
                    <w:bCs/>
                  </w:rPr>
                  <w:t xml:space="preserve">    </w:t>
                </w:r>
                <w:r w:rsidR="00A606A4" w:rsidRPr="00A606A4">
                  <w:rPr>
                    <w:rFonts w:asciiTheme="minorHAnsi" w:hAnsiTheme="minorHAnsi" w:cstheme="minorHAnsi"/>
                    <w:b/>
                    <w:bCs/>
                  </w:rPr>
                  <w:t>PI</w:t>
                </w:r>
              </w:p>
            </w:tc>
          </w:tr>
          <w:tr w:rsidR="00A606A4" w:rsidRPr="00A606A4" w14:paraId="21A1747F" w14:textId="77777777" w:rsidTr="00A606A4">
            <w:trPr>
              <w:tblCellSpacing w:w="15" w:type="dxa"/>
            </w:trPr>
            <w:tc>
              <w:tcPr>
                <w:tcW w:w="0" w:type="auto"/>
                <w:vAlign w:val="center"/>
                <w:hideMark/>
              </w:tcPr>
              <w:p w14:paraId="44260983"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A</w:t>
                </w:r>
              </w:p>
            </w:tc>
            <w:tc>
              <w:tcPr>
                <w:tcW w:w="0" w:type="auto"/>
                <w:vAlign w:val="center"/>
                <w:hideMark/>
              </w:tcPr>
              <w:p w14:paraId="0247AE9A" w14:textId="482C7849" w:rsidR="00A606A4" w:rsidRPr="00A606A4" w:rsidRDefault="00B606C2" w:rsidP="00A606A4">
                <w:pPr>
                  <w:spacing w:after="160" w:line="259" w:lineRule="auto"/>
                  <w:rPr>
                    <w:rFonts w:asciiTheme="minorHAnsi" w:hAnsiTheme="minorHAnsi" w:cstheme="minorHAnsi"/>
                  </w:rPr>
                </w:pPr>
                <w:r>
                  <w:rPr>
                    <w:rFonts w:asciiTheme="minorHAnsi" w:hAnsiTheme="minorHAnsi" w:cstheme="minorHAnsi"/>
                  </w:rPr>
                  <w:t>1,243.2</w:t>
                </w:r>
              </w:p>
            </w:tc>
            <w:tc>
              <w:tcPr>
                <w:tcW w:w="0" w:type="auto"/>
                <w:vAlign w:val="center"/>
                <w:hideMark/>
              </w:tcPr>
              <w:p w14:paraId="1301EC6A"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600</w:t>
                </w:r>
              </w:p>
            </w:tc>
            <w:tc>
              <w:tcPr>
                <w:tcW w:w="0" w:type="auto"/>
                <w:vAlign w:val="center"/>
                <w:hideMark/>
              </w:tcPr>
              <w:p w14:paraId="4BD76744" w14:textId="3F8B55AD" w:rsidR="00A606A4" w:rsidRPr="00A606A4" w:rsidRDefault="00BA716D" w:rsidP="00A606A4">
                <w:pPr>
                  <w:spacing w:after="160" w:line="259" w:lineRule="auto"/>
                  <w:rPr>
                    <w:rFonts w:asciiTheme="minorHAnsi" w:hAnsiTheme="minorHAnsi" w:cstheme="minorHAnsi"/>
                  </w:rPr>
                </w:pPr>
                <w:r>
                  <w:rPr>
                    <w:rFonts w:asciiTheme="minorHAnsi" w:hAnsiTheme="minorHAnsi" w:cstheme="minorHAnsi"/>
                  </w:rPr>
                  <w:t xml:space="preserve">  </w:t>
                </w:r>
                <w:r w:rsidR="00B606C2">
                  <w:rPr>
                    <w:rFonts w:asciiTheme="minorHAnsi" w:hAnsiTheme="minorHAnsi" w:cstheme="minorHAnsi"/>
                  </w:rPr>
                  <w:t>2</w:t>
                </w:r>
                <w:r w:rsidR="00A606A4" w:rsidRPr="00A606A4">
                  <w:rPr>
                    <w:rFonts w:asciiTheme="minorHAnsi" w:hAnsiTheme="minorHAnsi" w:cstheme="minorHAnsi"/>
                  </w:rPr>
                  <w:t>.07</w:t>
                </w:r>
              </w:p>
            </w:tc>
          </w:tr>
          <w:tr w:rsidR="00A606A4" w:rsidRPr="00A606A4" w14:paraId="4C0A31FF" w14:textId="77777777" w:rsidTr="00A606A4">
            <w:trPr>
              <w:tblCellSpacing w:w="15" w:type="dxa"/>
            </w:trPr>
            <w:tc>
              <w:tcPr>
                <w:tcW w:w="0" w:type="auto"/>
                <w:vAlign w:val="center"/>
                <w:hideMark/>
              </w:tcPr>
              <w:p w14:paraId="49FEE8FA"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B</w:t>
                </w:r>
              </w:p>
            </w:tc>
            <w:tc>
              <w:tcPr>
                <w:tcW w:w="0" w:type="auto"/>
                <w:vAlign w:val="center"/>
                <w:hideMark/>
              </w:tcPr>
              <w:p w14:paraId="533CAB8A" w14:textId="46657681" w:rsidR="00A606A4" w:rsidRPr="00A606A4" w:rsidRDefault="00B606C2" w:rsidP="00A606A4">
                <w:pPr>
                  <w:spacing w:after="160" w:line="259" w:lineRule="auto"/>
                  <w:rPr>
                    <w:rFonts w:asciiTheme="minorHAnsi" w:hAnsiTheme="minorHAnsi" w:cstheme="minorHAnsi"/>
                  </w:rPr>
                </w:pPr>
                <w:r>
                  <w:rPr>
                    <w:rFonts w:asciiTheme="minorHAnsi" w:hAnsiTheme="minorHAnsi" w:cstheme="minorHAnsi"/>
                  </w:rPr>
                  <w:t>1,792.2</w:t>
                </w:r>
              </w:p>
            </w:tc>
            <w:tc>
              <w:tcPr>
                <w:tcW w:w="0" w:type="auto"/>
                <w:vAlign w:val="center"/>
                <w:hideMark/>
              </w:tcPr>
              <w:p w14:paraId="598DBC7A"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1,000</w:t>
                </w:r>
              </w:p>
            </w:tc>
            <w:tc>
              <w:tcPr>
                <w:tcW w:w="0" w:type="auto"/>
                <w:vAlign w:val="center"/>
                <w:hideMark/>
              </w:tcPr>
              <w:p w14:paraId="2D846B04" w14:textId="65A2A9CC" w:rsidR="00A606A4" w:rsidRPr="00A606A4" w:rsidRDefault="00BA716D" w:rsidP="00A606A4">
                <w:pPr>
                  <w:spacing w:after="160" w:line="259" w:lineRule="auto"/>
                  <w:rPr>
                    <w:rFonts w:asciiTheme="minorHAnsi" w:hAnsiTheme="minorHAnsi" w:cstheme="minorHAnsi"/>
                  </w:rPr>
                </w:pPr>
                <w:r>
                  <w:rPr>
                    <w:rFonts w:asciiTheme="minorHAnsi" w:hAnsiTheme="minorHAnsi" w:cstheme="minorHAnsi"/>
                  </w:rPr>
                  <w:t xml:space="preserve">  </w:t>
                </w:r>
                <w:r w:rsidR="00B606C2">
                  <w:rPr>
                    <w:rFonts w:asciiTheme="minorHAnsi" w:hAnsiTheme="minorHAnsi" w:cstheme="minorHAnsi"/>
                  </w:rPr>
                  <w:t>1</w:t>
                </w:r>
                <w:r w:rsidR="00A606A4" w:rsidRPr="00A606A4">
                  <w:rPr>
                    <w:rFonts w:asciiTheme="minorHAnsi" w:hAnsiTheme="minorHAnsi" w:cstheme="minorHAnsi"/>
                  </w:rPr>
                  <w:t>.79</w:t>
                </w:r>
              </w:p>
            </w:tc>
          </w:tr>
          <w:tr w:rsidR="00A606A4" w:rsidRPr="00A606A4" w14:paraId="6D2893C3" w14:textId="77777777" w:rsidTr="00A606A4">
            <w:trPr>
              <w:tblCellSpacing w:w="15" w:type="dxa"/>
            </w:trPr>
            <w:tc>
              <w:tcPr>
                <w:tcW w:w="0" w:type="auto"/>
                <w:vAlign w:val="center"/>
                <w:hideMark/>
              </w:tcPr>
              <w:p w14:paraId="3E2CF0A8"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C</w:t>
                </w:r>
              </w:p>
            </w:tc>
            <w:tc>
              <w:tcPr>
                <w:tcW w:w="0" w:type="auto"/>
                <w:vAlign w:val="center"/>
                <w:hideMark/>
              </w:tcPr>
              <w:p w14:paraId="5D1941E2" w14:textId="1DA02074" w:rsidR="00A606A4" w:rsidRPr="00A606A4" w:rsidRDefault="00B606C2" w:rsidP="00A606A4">
                <w:pPr>
                  <w:spacing w:after="160" w:line="259" w:lineRule="auto"/>
                  <w:rPr>
                    <w:rFonts w:asciiTheme="minorHAnsi" w:hAnsiTheme="minorHAnsi" w:cstheme="minorHAnsi"/>
                  </w:rPr>
                </w:pPr>
                <w:r>
                  <w:rPr>
                    <w:rFonts w:asciiTheme="minorHAnsi" w:hAnsiTheme="minorHAnsi" w:cstheme="minorHAnsi"/>
                  </w:rPr>
                  <w:t>2,342.6</w:t>
                </w:r>
              </w:p>
            </w:tc>
            <w:tc>
              <w:tcPr>
                <w:tcW w:w="0" w:type="auto"/>
                <w:vAlign w:val="center"/>
                <w:hideMark/>
              </w:tcPr>
              <w:p w14:paraId="2D0167AD"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1,600</w:t>
                </w:r>
              </w:p>
            </w:tc>
            <w:tc>
              <w:tcPr>
                <w:tcW w:w="0" w:type="auto"/>
                <w:vAlign w:val="center"/>
                <w:hideMark/>
              </w:tcPr>
              <w:p w14:paraId="29F312E5" w14:textId="6BC40D5A" w:rsidR="00A606A4" w:rsidRPr="00A606A4" w:rsidRDefault="00BA716D" w:rsidP="00A606A4">
                <w:pPr>
                  <w:spacing w:after="160" w:line="259" w:lineRule="auto"/>
                  <w:rPr>
                    <w:rFonts w:asciiTheme="minorHAnsi" w:hAnsiTheme="minorHAnsi" w:cstheme="minorHAnsi"/>
                  </w:rPr>
                </w:pPr>
                <w:r>
                  <w:rPr>
                    <w:rFonts w:asciiTheme="minorHAnsi" w:hAnsiTheme="minorHAnsi" w:cstheme="minorHAnsi"/>
                  </w:rPr>
                  <w:t xml:space="preserve">  </w:t>
                </w:r>
                <w:r w:rsidR="00B606C2">
                  <w:rPr>
                    <w:rFonts w:asciiTheme="minorHAnsi" w:hAnsiTheme="minorHAnsi" w:cstheme="minorHAnsi"/>
                  </w:rPr>
                  <w:t>1</w:t>
                </w:r>
                <w:r w:rsidR="00A606A4" w:rsidRPr="00A606A4">
                  <w:rPr>
                    <w:rFonts w:asciiTheme="minorHAnsi" w:hAnsiTheme="minorHAnsi" w:cstheme="minorHAnsi"/>
                  </w:rPr>
                  <w:t>.46</w:t>
                </w:r>
              </w:p>
            </w:tc>
          </w:tr>
        </w:tbl>
        <w:p w14:paraId="48B97F00"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Optimal Investment Policy (Funds £2.5m):</w:t>
          </w:r>
        </w:p>
        <w:p w14:paraId="0F49F0B4" w14:textId="51648AC6" w:rsidR="00A606A4" w:rsidRPr="00A606A4" w:rsidRDefault="00A606A4" w:rsidP="00A606A4">
          <w:pPr>
            <w:numPr>
              <w:ilvl w:val="0"/>
              <w:numId w:val="3"/>
            </w:numPr>
            <w:spacing w:after="160" w:line="259" w:lineRule="auto"/>
            <w:rPr>
              <w:rFonts w:asciiTheme="minorHAnsi" w:hAnsiTheme="minorHAnsi" w:cstheme="minorHAnsi"/>
            </w:rPr>
          </w:pPr>
          <w:r w:rsidRPr="00A606A4">
            <w:rPr>
              <w:rFonts w:asciiTheme="minorHAnsi" w:eastAsiaTheme="majorEastAsia" w:hAnsiTheme="minorHAnsi" w:cstheme="minorHAnsi"/>
              <w:b/>
              <w:bCs/>
            </w:rPr>
            <w:t>Option A (</w:t>
          </w:r>
          <w:r w:rsidR="00AB1F0C">
            <w:rPr>
              <w:rFonts w:asciiTheme="minorHAnsi" w:eastAsiaTheme="majorEastAsia" w:hAnsiTheme="minorHAnsi" w:cstheme="minorHAnsi"/>
              <w:b/>
              <w:bCs/>
            </w:rPr>
            <w:t>2.07</w:t>
          </w:r>
          <w:r w:rsidRPr="00A606A4">
            <w:rPr>
              <w:rFonts w:asciiTheme="minorHAnsi" w:eastAsiaTheme="majorEastAsia" w:hAnsiTheme="minorHAnsi" w:cstheme="minorHAnsi"/>
              <w:b/>
              <w:bCs/>
            </w:rPr>
            <w:t>)</w:t>
          </w:r>
        </w:p>
        <w:p w14:paraId="22A3EABB" w14:textId="417CFCAE" w:rsidR="00A606A4" w:rsidRPr="00A606A4" w:rsidRDefault="00A606A4" w:rsidP="00A606A4">
          <w:pPr>
            <w:numPr>
              <w:ilvl w:val="0"/>
              <w:numId w:val="3"/>
            </w:numPr>
            <w:spacing w:after="160" w:line="259" w:lineRule="auto"/>
            <w:rPr>
              <w:rFonts w:asciiTheme="minorHAnsi" w:hAnsiTheme="minorHAnsi" w:cstheme="minorHAnsi"/>
            </w:rPr>
          </w:pPr>
          <w:r w:rsidRPr="00A606A4">
            <w:rPr>
              <w:rFonts w:asciiTheme="minorHAnsi" w:eastAsiaTheme="majorEastAsia" w:hAnsiTheme="minorHAnsi" w:cstheme="minorHAnsi"/>
              <w:b/>
              <w:bCs/>
            </w:rPr>
            <w:t>Option B (</w:t>
          </w:r>
          <w:r w:rsidR="00C2651F">
            <w:rPr>
              <w:rFonts w:asciiTheme="minorHAnsi" w:eastAsiaTheme="majorEastAsia" w:hAnsiTheme="minorHAnsi" w:cstheme="minorHAnsi"/>
              <w:b/>
              <w:bCs/>
            </w:rPr>
            <w:t>1.79</w:t>
          </w:r>
          <w:r w:rsidRPr="00A606A4">
            <w:rPr>
              <w:rFonts w:asciiTheme="minorHAnsi" w:eastAsiaTheme="majorEastAsia" w:hAnsiTheme="minorHAnsi" w:cstheme="minorHAnsi"/>
              <w:b/>
              <w:bCs/>
            </w:rPr>
            <w:t>)</w:t>
          </w:r>
        </w:p>
        <w:p w14:paraId="0570CA66" w14:textId="005ED104" w:rsidR="00A606A4" w:rsidRPr="00285381" w:rsidRDefault="00A606A4" w:rsidP="00285381">
          <w:pPr>
            <w:numPr>
              <w:ilvl w:val="0"/>
              <w:numId w:val="3"/>
            </w:numPr>
            <w:spacing w:after="160" w:line="259" w:lineRule="auto"/>
            <w:rPr>
              <w:rFonts w:asciiTheme="minorHAnsi" w:hAnsiTheme="minorHAnsi" w:cstheme="minorHAnsi"/>
            </w:rPr>
          </w:pPr>
          <w:r w:rsidRPr="00A606A4">
            <w:rPr>
              <w:rFonts w:asciiTheme="minorHAnsi" w:eastAsiaTheme="majorEastAsia" w:hAnsiTheme="minorHAnsi" w:cstheme="minorHAnsi"/>
              <w:b/>
              <w:bCs/>
            </w:rPr>
            <w:t>Option C</w:t>
          </w:r>
          <w:r w:rsidR="00285381" w:rsidRPr="00285381">
            <w:rPr>
              <w:rFonts w:asciiTheme="minorHAnsi" w:eastAsiaTheme="majorEastAsia" w:hAnsiTheme="minorHAnsi" w:cstheme="minorHAnsi"/>
              <w:b/>
              <w:bCs/>
            </w:rPr>
            <w:t xml:space="preserve"> (1.46)</w:t>
          </w:r>
        </w:p>
        <w:p w14:paraId="2C1CD2A1" w14:textId="037C88D7" w:rsidR="00285381" w:rsidRPr="00F53F35" w:rsidRDefault="00285381" w:rsidP="00285381">
          <w:pPr>
            <w:numPr>
              <w:ilvl w:val="0"/>
              <w:numId w:val="3"/>
            </w:numPr>
            <w:spacing w:after="160" w:line="259" w:lineRule="auto"/>
            <w:rPr>
              <w:rFonts w:asciiTheme="minorHAnsi" w:hAnsiTheme="minorHAnsi" w:cstheme="minorHAnsi"/>
            </w:rPr>
          </w:pPr>
          <w:r>
            <w:rPr>
              <w:rFonts w:asciiTheme="minorHAnsi" w:eastAsiaTheme="majorEastAsia" w:hAnsiTheme="minorHAnsi" w:cstheme="minorHAnsi"/>
              <w:b/>
              <w:bCs/>
            </w:rPr>
            <w:t>Remaining funds after A+B</w:t>
          </w:r>
          <w:r w:rsidR="00EA5EC4">
            <w:rPr>
              <w:rFonts w:asciiTheme="minorHAnsi" w:eastAsiaTheme="majorEastAsia" w:hAnsiTheme="minorHAnsi" w:cstheme="minorHAnsi"/>
              <w:b/>
              <w:bCs/>
            </w:rPr>
            <w:t xml:space="preserve">: </w:t>
          </w:r>
          <w:r w:rsidR="00EA5EC4" w:rsidRPr="00EA5EC4">
            <w:rPr>
              <w:rFonts w:asciiTheme="minorHAnsi" w:eastAsiaTheme="majorEastAsia" w:hAnsiTheme="minorHAnsi" w:cstheme="minorHAnsi"/>
            </w:rPr>
            <w:t>£2.5m − £1.6m = £0.9m</w:t>
          </w:r>
        </w:p>
        <w:p w14:paraId="3D47A106" w14:textId="6002B99F" w:rsidR="00F53F35" w:rsidRPr="00A1451B" w:rsidRDefault="00F53F35" w:rsidP="00285381">
          <w:pPr>
            <w:numPr>
              <w:ilvl w:val="0"/>
              <w:numId w:val="3"/>
            </w:numPr>
            <w:spacing w:after="160" w:line="259" w:lineRule="auto"/>
            <w:rPr>
              <w:rFonts w:asciiTheme="minorHAnsi" w:hAnsiTheme="minorHAnsi" w:cstheme="minorHAnsi"/>
            </w:rPr>
          </w:pPr>
          <w:r w:rsidRPr="00F53F35">
            <w:rPr>
              <w:rFonts w:asciiTheme="minorHAnsi" w:hAnsiTheme="minorHAnsi" w:cstheme="minorHAnsi"/>
            </w:rPr>
            <w:t>Fraction of C = 900 / 1,600 = </w:t>
          </w:r>
          <w:r w:rsidRPr="00F53F35">
            <w:rPr>
              <w:rFonts w:asciiTheme="minorHAnsi" w:hAnsiTheme="minorHAnsi" w:cstheme="minorHAnsi"/>
              <w:b/>
              <w:bCs/>
            </w:rPr>
            <w:t>56.25%</w:t>
          </w:r>
          <w:r w:rsidR="00A1451B">
            <w:rPr>
              <w:rFonts w:asciiTheme="minorHAnsi" w:hAnsiTheme="minorHAnsi" w:cstheme="minorHAnsi"/>
              <w:b/>
              <w:bCs/>
            </w:rPr>
            <w:t xml:space="preserve"> </w:t>
          </w:r>
        </w:p>
        <w:p w14:paraId="579A600F" w14:textId="5D06707A" w:rsidR="00A1451B" w:rsidRPr="00A606A4" w:rsidRDefault="00A1451B" w:rsidP="00285381">
          <w:pPr>
            <w:numPr>
              <w:ilvl w:val="0"/>
              <w:numId w:val="3"/>
            </w:numPr>
            <w:spacing w:after="160" w:line="259" w:lineRule="auto"/>
            <w:rPr>
              <w:rFonts w:asciiTheme="minorHAnsi" w:hAnsiTheme="minorHAnsi" w:cstheme="minorHAnsi"/>
            </w:rPr>
          </w:pPr>
          <w:r>
            <w:rPr>
              <w:rFonts w:asciiTheme="minorHAnsi" w:hAnsiTheme="minorHAnsi" w:cstheme="minorHAnsi"/>
              <w:b/>
              <w:bCs/>
            </w:rPr>
            <w:t>NPV Contribution</w:t>
          </w:r>
          <w:r w:rsidR="00920A05">
            <w:rPr>
              <w:rFonts w:asciiTheme="minorHAnsi" w:hAnsiTheme="minorHAnsi" w:cstheme="minorHAnsi"/>
              <w:b/>
              <w:bCs/>
            </w:rPr>
            <w:t xml:space="preserve"> (C)</w:t>
          </w:r>
          <w:r>
            <w:rPr>
              <w:rFonts w:asciiTheme="minorHAnsi" w:hAnsiTheme="minorHAnsi" w:cstheme="minorHAnsi"/>
              <w:b/>
              <w:bCs/>
            </w:rPr>
            <w:t xml:space="preserve">: </w:t>
          </w:r>
          <w:r w:rsidRPr="00A1451B">
            <w:rPr>
              <w:rFonts w:asciiTheme="minorHAnsi" w:hAnsiTheme="minorHAnsi" w:cstheme="minorHAnsi"/>
            </w:rPr>
            <w:t>742.6</w:t>
          </w:r>
          <w:r>
            <w:rPr>
              <w:rFonts w:asciiTheme="minorHAnsi" w:hAnsiTheme="minorHAnsi" w:cstheme="minorHAnsi"/>
            </w:rPr>
            <w:t xml:space="preserve"> </w:t>
          </w:r>
          <w:r w:rsidRPr="00A1451B">
            <w:rPr>
              <w:rFonts w:asciiTheme="minorHAnsi" w:hAnsiTheme="minorHAnsi" w:cstheme="minorHAnsi"/>
            </w:rPr>
            <w:t>×</w:t>
          </w:r>
          <w:r>
            <w:rPr>
              <w:rFonts w:asciiTheme="minorHAnsi" w:hAnsiTheme="minorHAnsi" w:cstheme="minorHAnsi"/>
            </w:rPr>
            <w:t xml:space="preserve"> </w:t>
          </w:r>
          <w:r w:rsidRPr="00A1451B">
            <w:rPr>
              <w:rFonts w:asciiTheme="minorHAnsi" w:hAnsiTheme="minorHAnsi" w:cstheme="minorHAnsi"/>
            </w:rPr>
            <w:t>0.5625</w:t>
          </w:r>
          <w:r>
            <w:rPr>
              <w:rFonts w:asciiTheme="minorHAnsi" w:hAnsiTheme="minorHAnsi" w:cstheme="minorHAnsi"/>
            </w:rPr>
            <w:t xml:space="preserve"> </w:t>
          </w:r>
          <w:r w:rsidRPr="00A1451B">
            <w:rPr>
              <w:rFonts w:asciiTheme="minorHAnsi" w:hAnsiTheme="minorHAnsi" w:cstheme="minorHAnsi"/>
            </w:rPr>
            <w:t>=</w:t>
          </w:r>
          <w:r>
            <w:rPr>
              <w:rFonts w:asciiTheme="minorHAnsi" w:hAnsiTheme="minorHAnsi" w:cstheme="minorHAnsi"/>
            </w:rPr>
            <w:t xml:space="preserve"> </w:t>
          </w:r>
          <w:r w:rsidRPr="00A1451B">
            <w:rPr>
              <w:rFonts w:asciiTheme="minorHAnsi" w:hAnsiTheme="minorHAnsi" w:cstheme="minorHAnsi"/>
            </w:rPr>
            <w:t>417.7</w:t>
          </w:r>
        </w:p>
        <w:p w14:paraId="531162F3" w14:textId="77777777" w:rsidR="00A606A4" w:rsidRPr="00A606A4" w:rsidRDefault="001214F9" w:rsidP="00A606A4">
          <w:pPr>
            <w:spacing w:after="160" w:line="259" w:lineRule="auto"/>
            <w:rPr>
              <w:rFonts w:asciiTheme="minorHAnsi" w:hAnsiTheme="minorHAnsi" w:cstheme="minorHAnsi"/>
            </w:rPr>
          </w:pPr>
          <w:r w:rsidRPr="001214F9">
            <w:rPr>
              <w:rFonts w:asciiTheme="minorHAnsi" w:hAnsiTheme="minorHAnsi" w:cstheme="minorHAnsi"/>
              <w:noProof/>
            </w:rPr>
            <w:pict w14:anchorId="60F366D6">
              <v:rect id="_x0000_i1025" alt="" style="width:451.3pt;height:.05pt;mso-width-percent:0;mso-height-percent:0;mso-width-percent:0;mso-height-percent:0" o:hralign="center" o:hrstd="t" o:hr="t" fillcolor="#a0a0a0" stroked="f"/>
            </w:pict>
          </w:r>
        </w:p>
        <w:p w14:paraId="345EA5BF" w14:textId="77777777" w:rsidR="004312D9" w:rsidRDefault="004312D9" w:rsidP="00A606A4">
          <w:pPr>
            <w:spacing w:after="160" w:line="259" w:lineRule="auto"/>
            <w:rPr>
              <w:rFonts w:asciiTheme="minorHAnsi" w:eastAsiaTheme="majorEastAsia" w:hAnsiTheme="minorHAnsi" w:cstheme="minorHAnsi"/>
              <w:b/>
              <w:bCs/>
            </w:rPr>
          </w:pPr>
        </w:p>
        <w:p w14:paraId="5D0DF172" w14:textId="5157E7A6" w:rsidR="00A606A4" w:rsidRPr="00A606A4" w:rsidRDefault="00A606A4" w:rsidP="00A606A4">
          <w:pPr>
            <w:spacing w:after="160" w:line="259" w:lineRule="auto"/>
            <w:rPr>
              <w:rFonts w:asciiTheme="minorHAnsi" w:hAnsiTheme="minorHAnsi" w:cstheme="minorHAnsi"/>
              <w:b/>
              <w:bCs/>
            </w:rPr>
          </w:pPr>
          <w:r w:rsidRPr="00A606A4">
            <w:rPr>
              <w:rFonts w:asciiTheme="minorHAnsi" w:eastAsiaTheme="majorEastAsia" w:hAnsiTheme="minorHAnsi" w:cstheme="minorHAnsi"/>
              <w:b/>
              <w:bCs/>
            </w:rPr>
            <w:lastRenderedPageBreak/>
            <w:t>Appendix H: Total NPV from Optimal Investment Policy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49"/>
            <w:gridCol w:w="2626"/>
          </w:tblGrid>
          <w:tr w:rsidR="00A606A4" w:rsidRPr="00A606A4" w14:paraId="4A9CD693" w14:textId="77777777" w:rsidTr="00A606A4">
            <w:trPr>
              <w:tblHeader/>
              <w:tblCellSpacing w:w="15" w:type="dxa"/>
            </w:trPr>
            <w:tc>
              <w:tcPr>
                <w:tcW w:w="0" w:type="auto"/>
                <w:vAlign w:val="center"/>
                <w:hideMark/>
              </w:tcPr>
              <w:p w14:paraId="7AF49533" w14:textId="77777777" w:rsidR="00A606A4" w:rsidRPr="00A606A4" w:rsidRDefault="00A606A4" w:rsidP="00A606A4">
                <w:pPr>
                  <w:spacing w:after="160" w:line="259" w:lineRule="auto"/>
                  <w:rPr>
                    <w:rFonts w:asciiTheme="minorHAnsi" w:hAnsiTheme="minorHAnsi" w:cstheme="minorHAnsi"/>
                    <w:b/>
                    <w:bCs/>
                  </w:rPr>
                </w:pPr>
                <w:r w:rsidRPr="00A606A4">
                  <w:rPr>
                    <w:rFonts w:asciiTheme="minorHAnsi" w:hAnsiTheme="minorHAnsi" w:cstheme="minorHAnsi"/>
                    <w:b/>
                    <w:bCs/>
                  </w:rPr>
                  <w:t>Investment</w:t>
                </w:r>
              </w:p>
            </w:tc>
            <w:tc>
              <w:tcPr>
                <w:tcW w:w="0" w:type="auto"/>
                <w:vAlign w:val="center"/>
                <w:hideMark/>
              </w:tcPr>
              <w:p w14:paraId="140CD039" w14:textId="16D02E47" w:rsidR="00A606A4" w:rsidRPr="00A606A4" w:rsidRDefault="001358A4" w:rsidP="00A606A4">
                <w:pPr>
                  <w:spacing w:after="160" w:line="259" w:lineRule="auto"/>
                  <w:rPr>
                    <w:rFonts w:asciiTheme="minorHAnsi" w:hAnsiTheme="minorHAnsi" w:cstheme="minorHAnsi"/>
                    <w:b/>
                    <w:bCs/>
                  </w:rPr>
                </w:pPr>
                <w:r>
                  <w:rPr>
                    <w:rFonts w:asciiTheme="minorHAnsi" w:hAnsiTheme="minorHAnsi" w:cstheme="minorHAnsi"/>
                    <w:b/>
                    <w:bCs/>
                  </w:rPr>
                  <w:t xml:space="preserve">  </w:t>
                </w:r>
                <w:r w:rsidR="00A606A4" w:rsidRPr="00A606A4">
                  <w:rPr>
                    <w:rFonts w:asciiTheme="minorHAnsi" w:hAnsiTheme="minorHAnsi" w:cstheme="minorHAnsi"/>
                    <w:b/>
                    <w:bCs/>
                  </w:rPr>
                  <w:t>NPV Contribution (£000)</w:t>
                </w:r>
              </w:p>
            </w:tc>
          </w:tr>
          <w:tr w:rsidR="00A606A4" w:rsidRPr="00A606A4" w14:paraId="6272114D" w14:textId="77777777" w:rsidTr="00A606A4">
            <w:trPr>
              <w:tblCellSpacing w:w="15" w:type="dxa"/>
            </w:trPr>
            <w:tc>
              <w:tcPr>
                <w:tcW w:w="0" w:type="auto"/>
                <w:vAlign w:val="center"/>
                <w:hideMark/>
              </w:tcPr>
              <w:p w14:paraId="7DE0A442"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Option A (100%)</w:t>
                </w:r>
              </w:p>
            </w:tc>
            <w:tc>
              <w:tcPr>
                <w:tcW w:w="0" w:type="auto"/>
                <w:vAlign w:val="center"/>
                <w:hideMark/>
              </w:tcPr>
              <w:p w14:paraId="2E0A7688" w14:textId="087BACE9" w:rsidR="00A606A4" w:rsidRPr="00A606A4" w:rsidRDefault="001358A4"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643.2</w:t>
                </w:r>
              </w:p>
            </w:tc>
          </w:tr>
          <w:tr w:rsidR="00A606A4" w:rsidRPr="00A606A4" w14:paraId="4B74BC56" w14:textId="77777777" w:rsidTr="00A606A4">
            <w:trPr>
              <w:tblCellSpacing w:w="15" w:type="dxa"/>
            </w:trPr>
            <w:tc>
              <w:tcPr>
                <w:tcW w:w="0" w:type="auto"/>
                <w:vAlign w:val="center"/>
                <w:hideMark/>
              </w:tcPr>
              <w:p w14:paraId="4D0EA544" w14:textId="77777777"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Option B (100%)</w:t>
                </w:r>
              </w:p>
            </w:tc>
            <w:tc>
              <w:tcPr>
                <w:tcW w:w="0" w:type="auto"/>
                <w:vAlign w:val="center"/>
                <w:hideMark/>
              </w:tcPr>
              <w:p w14:paraId="45E709EE" w14:textId="174321FA" w:rsidR="00A606A4" w:rsidRPr="00A606A4" w:rsidRDefault="001358A4"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792.3</w:t>
                </w:r>
              </w:p>
            </w:tc>
          </w:tr>
          <w:tr w:rsidR="00A606A4" w:rsidRPr="00A606A4" w14:paraId="589E1F06" w14:textId="77777777" w:rsidTr="00A606A4">
            <w:trPr>
              <w:tblCellSpacing w:w="15" w:type="dxa"/>
            </w:trPr>
            <w:tc>
              <w:tcPr>
                <w:tcW w:w="0" w:type="auto"/>
                <w:vAlign w:val="center"/>
                <w:hideMark/>
              </w:tcPr>
              <w:p w14:paraId="586A1704" w14:textId="09A334F1" w:rsidR="00A606A4" w:rsidRPr="00A606A4" w:rsidRDefault="00A606A4" w:rsidP="00A606A4">
                <w:pPr>
                  <w:spacing w:after="160" w:line="259" w:lineRule="auto"/>
                  <w:rPr>
                    <w:rFonts w:asciiTheme="minorHAnsi" w:hAnsiTheme="minorHAnsi" w:cstheme="minorHAnsi"/>
                  </w:rPr>
                </w:pPr>
                <w:r w:rsidRPr="00A606A4">
                  <w:rPr>
                    <w:rFonts w:asciiTheme="minorHAnsi" w:hAnsiTheme="minorHAnsi" w:cstheme="minorHAnsi"/>
                  </w:rPr>
                  <w:t>Option C (56</w:t>
                </w:r>
                <w:r w:rsidR="001358A4">
                  <w:rPr>
                    <w:rFonts w:asciiTheme="minorHAnsi" w:hAnsiTheme="minorHAnsi" w:cstheme="minorHAnsi"/>
                  </w:rPr>
                  <w:t>.25</w:t>
                </w:r>
                <w:r w:rsidRPr="00A606A4">
                  <w:rPr>
                    <w:rFonts w:asciiTheme="minorHAnsi" w:hAnsiTheme="minorHAnsi" w:cstheme="minorHAnsi"/>
                  </w:rPr>
                  <w:t>%)</w:t>
                </w:r>
              </w:p>
            </w:tc>
            <w:tc>
              <w:tcPr>
                <w:tcW w:w="0" w:type="auto"/>
                <w:vAlign w:val="center"/>
                <w:hideMark/>
              </w:tcPr>
              <w:p w14:paraId="7901E43E" w14:textId="566A474C" w:rsidR="00A606A4" w:rsidRPr="00A606A4" w:rsidRDefault="001358A4" w:rsidP="00A606A4">
                <w:pPr>
                  <w:spacing w:after="160" w:line="259" w:lineRule="auto"/>
                  <w:rPr>
                    <w:rFonts w:asciiTheme="minorHAnsi" w:hAnsiTheme="minorHAnsi" w:cstheme="minorHAnsi"/>
                  </w:rPr>
                </w:pPr>
                <w:r>
                  <w:rPr>
                    <w:rFonts w:asciiTheme="minorHAnsi" w:hAnsiTheme="minorHAnsi" w:cstheme="minorHAnsi"/>
                  </w:rPr>
                  <w:t xml:space="preserve">  </w:t>
                </w:r>
                <w:r w:rsidR="00A606A4" w:rsidRPr="00A606A4">
                  <w:rPr>
                    <w:rFonts w:asciiTheme="minorHAnsi" w:hAnsiTheme="minorHAnsi" w:cstheme="minorHAnsi"/>
                  </w:rPr>
                  <w:t>41</w:t>
                </w:r>
                <w:r>
                  <w:rPr>
                    <w:rFonts w:asciiTheme="minorHAnsi" w:hAnsiTheme="minorHAnsi" w:cstheme="minorHAnsi"/>
                  </w:rPr>
                  <w:t>7.7</w:t>
                </w:r>
              </w:p>
            </w:tc>
          </w:tr>
          <w:tr w:rsidR="00A606A4" w:rsidRPr="00A606A4" w14:paraId="200ACFF0" w14:textId="77777777" w:rsidTr="00A606A4">
            <w:trPr>
              <w:tblCellSpacing w:w="15" w:type="dxa"/>
            </w:trPr>
            <w:tc>
              <w:tcPr>
                <w:tcW w:w="0" w:type="auto"/>
                <w:vAlign w:val="center"/>
                <w:hideMark/>
              </w:tcPr>
              <w:p w14:paraId="451916CD" w14:textId="77777777" w:rsidR="00A606A4" w:rsidRPr="00A606A4" w:rsidRDefault="00A606A4" w:rsidP="00A606A4">
                <w:pPr>
                  <w:spacing w:after="160" w:line="259" w:lineRule="auto"/>
                  <w:rPr>
                    <w:rFonts w:asciiTheme="minorHAnsi" w:hAnsiTheme="minorHAnsi" w:cstheme="minorHAnsi"/>
                  </w:rPr>
                </w:pPr>
                <w:r w:rsidRPr="00A606A4">
                  <w:rPr>
                    <w:rFonts w:asciiTheme="minorHAnsi" w:eastAsiaTheme="majorEastAsia" w:hAnsiTheme="minorHAnsi" w:cstheme="minorHAnsi"/>
                    <w:b/>
                    <w:bCs/>
                  </w:rPr>
                  <w:t>Total NPV</w:t>
                </w:r>
              </w:p>
            </w:tc>
            <w:tc>
              <w:tcPr>
                <w:tcW w:w="0" w:type="auto"/>
                <w:vAlign w:val="center"/>
                <w:hideMark/>
              </w:tcPr>
              <w:p w14:paraId="6E8C8658" w14:textId="706C158A" w:rsidR="00A606A4" w:rsidRPr="00A606A4" w:rsidRDefault="001358A4" w:rsidP="00A606A4">
                <w:pPr>
                  <w:spacing w:after="160" w:line="259" w:lineRule="auto"/>
                  <w:rPr>
                    <w:rFonts w:asciiTheme="minorHAnsi" w:hAnsiTheme="minorHAnsi" w:cstheme="minorHAnsi"/>
                  </w:rPr>
                </w:pPr>
                <w:r>
                  <w:rPr>
                    <w:rFonts w:asciiTheme="minorHAnsi" w:eastAsiaTheme="majorEastAsia" w:hAnsiTheme="minorHAnsi" w:cstheme="minorHAnsi"/>
                    <w:b/>
                    <w:bCs/>
                  </w:rPr>
                  <w:t xml:space="preserve">  </w:t>
                </w:r>
                <w:r w:rsidR="00A606A4" w:rsidRPr="00A606A4">
                  <w:rPr>
                    <w:rFonts w:asciiTheme="minorHAnsi" w:eastAsiaTheme="majorEastAsia" w:hAnsiTheme="minorHAnsi" w:cstheme="minorHAnsi"/>
                    <w:b/>
                    <w:bCs/>
                  </w:rPr>
                  <w:t>1,85</w:t>
                </w:r>
                <w:r>
                  <w:rPr>
                    <w:rFonts w:asciiTheme="minorHAnsi" w:eastAsiaTheme="majorEastAsia" w:hAnsiTheme="minorHAnsi" w:cstheme="minorHAnsi"/>
                    <w:b/>
                    <w:bCs/>
                  </w:rPr>
                  <w:t>3</w:t>
                </w:r>
                <w:r w:rsidR="00A606A4" w:rsidRPr="00A606A4">
                  <w:rPr>
                    <w:rFonts w:asciiTheme="minorHAnsi" w:eastAsiaTheme="majorEastAsia" w:hAnsiTheme="minorHAnsi" w:cstheme="minorHAnsi"/>
                    <w:b/>
                    <w:bCs/>
                  </w:rPr>
                  <w:t>.</w:t>
                </w:r>
                <w:r>
                  <w:rPr>
                    <w:rFonts w:asciiTheme="minorHAnsi" w:eastAsiaTheme="majorEastAsia" w:hAnsiTheme="minorHAnsi" w:cstheme="minorHAnsi"/>
                    <w:b/>
                    <w:bCs/>
                  </w:rPr>
                  <w:t>2</w:t>
                </w:r>
              </w:p>
            </w:tc>
          </w:tr>
        </w:tbl>
        <w:p w14:paraId="77D69E6F" w14:textId="57039396" w:rsidR="004A11F6" w:rsidRPr="00347E38" w:rsidRDefault="008E47F4" w:rsidP="00973350">
          <w:pPr>
            <w:pStyle w:val="Heading1"/>
            <w:rPr>
              <w:rFonts w:asciiTheme="minorHAnsi" w:hAnsiTheme="minorHAnsi" w:cstheme="minorHAnsi"/>
            </w:rPr>
          </w:pPr>
          <w:bookmarkStart w:id="10" w:name="_Toc216779322"/>
          <w:r w:rsidRPr="00347E38">
            <w:rPr>
              <w:rFonts w:asciiTheme="minorHAnsi" w:hAnsiTheme="minorHAnsi" w:cstheme="minorHAnsi"/>
            </w:rPr>
            <w:t xml:space="preserve">Academic </w:t>
          </w:r>
          <w:r w:rsidR="00842354" w:rsidRPr="00347E38">
            <w:rPr>
              <w:rFonts w:asciiTheme="minorHAnsi" w:hAnsiTheme="minorHAnsi" w:cstheme="minorHAnsi"/>
            </w:rPr>
            <w:t>Referen</w:t>
          </w:r>
          <w:r w:rsidRPr="00347E38">
            <w:rPr>
              <w:rFonts w:asciiTheme="minorHAnsi" w:hAnsiTheme="minorHAnsi" w:cstheme="minorHAnsi"/>
            </w:rPr>
            <w:t>ces:</w:t>
          </w:r>
          <w:bookmarkEnd w:id="10"/>
        </w:p>
        <w:p w14:paraId="7C6831C9" w14:textId="77777777" w:rsidR="00BE18AB" w:rsidRPr="00347E38" w:rsidRDefault="00BE18AB" w:rsidP="00BE18AB">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Tesco plc (2022)</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Annual Report and Financial Statements 2022</w:t>
          </w:r>
          <w:r w:rsidRPr="00347E38">
            <w:rPr>
              <w:rFonts w:asciiTheme="minorHAnsi" w:hAnsiTheme="minorHAnsi" w:cstheme="minorHAnsi"/>
              <w:color w:val="000000"/>
            </w:rPr>
            <w:t>. Available at:</w:t>
          </w:r>
          <w:r w:rsidRPr="00347E38">
            <w:rPr>
              <w:rStyle w:val="apple-converted-space"/>
              <w:rFonts w:asciiTheme="minorHAnsi" w:eastAsiaTheme="majorEastAsia" w:hAnsiTheme="minorHAnsi" w:cstheme="minorHAnsi"/>
              <w:color w:val="000000"/>
            </w:rPr>
            <w:t> </w:t>
          </w:r>
          <w:hyperlink r:id="rId13" w:tgtFrame="_new" w:history="1">
            <w:r w:rsidRPr="00347E38">
              <w:rPr>
                <w:rStyle w:val="Hyperlink"/>
                <w:rFonts w:asciiTheme="minorHAnsi" w:hAnsiTheme="minorHAnsi" w:cstheme="minorHAnsi"/>
              </w:rPr>
              <w:t>https://www.tescoplc.com/investors/reports-results-and-presentations/</w:t>
            </w:r>
          </w:hyperlink>
          <w:r w:rsidRPr="00347E38">
            <w:rPr>
              <w:rStyle w:val="apple-converted-space"/>
              <w:rFonts w:asciiTheme="minorHAnsi" w:eastAsiaTheme="majorEastAsia" w:hAnsiTheme="minorHAnsi" w:cstheme="minorHAnsi"/>
              <w:color w:val="000000"/>
            </w:rPr>
            <w:t> </w:t>
          </w:r>
          <w:r w:rsidRPr="00347E38">
            <w:rPr>
              <w:rFonts w:asciiTheme="minorHAnsi" w:hAnsiTheme="minorHAnsi" w:cstheme="minorHAnsi"/>
              <w:color w:val="000000"/>
            </w:rPr>
            <w:t>(Accessed: 6 November 2025).</w:t>
          </w:r>
        </w:p>
        <w:p w14:paraId="444AE63A" w14:textId="77777777" w:rsidR="00BE18AB" w:rsidRPr="00347E38" w:rsidRDefault="00BE18AB" w:rsidP="00BE18AB">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Tesco plc (2023)</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Annual Report and Financial Statements 2023</w:t>
          </w:r>
          <w:r w:rsidRPr="00347E38">
            <w:rPr>
              <w:rFonts w:asciiTheme="minorHAnsi" w:hAnsiTheme="minorHAnsi" w:cstheme="minorHAnsi"/>
              <w:color w:val="000000"/>
            </w:rPr>
            <w:t>. Available at:</w:t>
          </w:r>
          <w:r w:rsidRPr="00347E38">
            <w:rPr>
              <w:rStyle w:val="apple-converted-space"/>
              <w:rFonts w:asciiTheme="minorHAnsi" w:eastAsiaTheme="majorEastAsia" w:hAnsiTheme="minorHAnsi" w:cstheme="minorHAnsi"/>
              <w:color w:val="000000"/>
            </w:rPr>
            <w:t> </w:t>
          </w:r>
          <w:hyperlink r:id="rId14" w:tgtFrame="_new" w:history="1">
            <w:r w:rsidRPr="00347E38">
              <w:rPr>
                <w:rStyle w:val="Hyperlink"/>
                <w:rFonts w:asciiTheme="minorHAnsi" w:hAnsiTheme="minorHAnsi" w:cstheme="minorHAnsi"/>
              </w:rPr>
              <w:t>https://www.tescoplc.com/investors/reports-results-and-presentations/</w:t>
            </w:r>
          </w:hyperlink>
          <w:r w:rsidRPr="00347E38">
            <w:rPr>
              <w:rStyle w:val="apple-converted-space"/>
              <w:rFonts w:asciiTheme="minorHAnsi" w:eastAsiaTheme="majorEastAsia" w:hAnsiTheme="minorHAnsi" w:cstheme="minorHAnsi"/>
              <w:color w:val="000000"/>
            </w:rPr>
            <w:t> </w:t>
          </w:r>
          <w:r w:rsidRPr="00347E38">
            <w:rPr>
              <w:rFonts w:asciiTheme="minorHAnsi" w:hAnsiTheme="minorHAnsi" w:cstheme="minorHAnsi"/>
              <w:color w:val="000000"/>
            </w:rPr>
            <w:t>(Accessed: 6 November 2025).</w:t>
          </w:r>
        </w:p>
        <w:p w14:paraId="086F22CE" w14:textId="77777777" w:rsidR="00BE18AB" w:rsidRPr="00347E38" w:rsidRDefault="00BE18AB" w:rsidP="00BE18AB">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Tesco plc (2024)</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Annual Report and Financial Statements 2024</w:t>
          </w:r>
          <w:r w:rsidRPr="00347E38">
            <w:rPr>
              <w:rFonts w:asciiTheme="minorHAnsi" w:hAnsiTheme="minorHAnsi" w:cstheme="minorHAnsi"/>
              <w:color w:val="000000"/>
            </w:rPr>
            <w:t>. Available at:</w:t>
          </w:r>
          <w:r w:rsidRPr="00347E38">
            <w:rPr>
              <w:rStyle w:val="apple-converted-space"/>
              <w:rFonts w:asciiTheme="minorHAnsi" w:eastAsiaTheme="majorEastAsia" w:hAnsiTheme="minorHAnsi" w:cstheme="minorHAnsi"/>
              <w:color w:val="000000"/>
            </w:rPr>
            <w:t> </w:t>
          </w:r>
          <w:hyperlink r:id="rId15" w:tgtFrame="_new" w:history="1">
            <w:r w:rsidRPr="00347E38">
              <w:rPr>
                <w:rStyle w:val="Hyperlink"/>
                <w:rFonts w:asciiTheme="minorHAnsi" w:hAnsiTheme="minorHAnsi" w:cstheme="minorHAnsi"/>
              </w:rPr>
              <w:t>https://www.tescoplc.com/investors/reports-results-and-presentations/</w:t>
            </w:r>
          </w:hyperlink>
          <w:r w:rsidRPr="00347E38">
            <w:rPr>
              <w:rStyle w:val="apple-converted-space"/>
              <w:rFonts w:asciiTheme="minorHAnsi" w:eastAsiaTheme="majorEastAsia" w:hAnsiTheme="minorHAnsi" w:cstheme="minorHAnsi"/>
              <w:color w:val="000000"/>
            </w:rPr>
            <w:t> </w:t>
          </w:r>
          <w:r w:rsidRPr="00347E38">
            <w:rPr>
              <w:rFonts w:asciiTheme="minorHAnsi" w:hAnsiTheme="minorHAnsi" w:cstheme="minorHAnsi"/>
              <w:color w:val="000000"/>
            </w:rPr>
            <w:t>(Accessed: 6 November 2025).</w:t>
          </w:r>
        </w:p>
        <w:p w14:paraId="790B1D1B" w14:textId="77777777" w:rsidR="00FF75EC" w:rsidRPr="00347E38" w:rsidRDefault="00FF75EC" w:rsidP="009D5788">
          <w:pPr>
            <w:pStyle w:val="ListParagraph"/>
            <w:numPr>
              <w:ilvl w:val="0"/>
              <w:numId w:val="1"/>
            </w:numPr>
            <w:rPr>
              <w:rFonts w:asciiTheme="minorHAnsi" w:hAnsiTheme="minorHAnsi" w:cstheme="minorHAnsi"/>
            </w:rPr>
          </w:pPr>
          <w:r w:rsidRPr="00347E38">
            <w:rPr>
              <w:rFonts w:asciiTheme="minorHAnsi" w:hAnsiTheme="minorHAnsi" w:cstheme="minorHAnsi"/>
            </w:rPr>
            <w:t>Atrill, P. and McLaney, E. (2022)</w:t>
          </w:r>
          <w:r w:rsidRPr="00347E38">
            <w:rPr>
              <w:rFonts w:asciiTheme="minorHAnsi" w:eastAsiaTheme="minorEastAsia" w:hAnsiTheme="minorHAnsi" w:cstheme="minorHAnsi"/>
            </w:rPr>
            <w:t> </w:t>
          </w:r>
          <w:r w:rsidRPr="00347E38">
            <w:rPr>
              <w:rFonts w:asciiTheme="minorHAnsi" w:eastAsiaTheme="majorEastAsia" w:hAnsiTheme="minorHAnsi" w:cstheme="minorHAnsi"/>
              <w:i/>
              <w:iCs/>
            </w:rPr>
            <w:t>Accounting and Finance for Non-Specialists</w:t>
          </w:r>
          <w:r w:rsidRPr="00347E38">
            <w:rPr>
              <w:rFonts w:asciiTheme="minorHAnsi" w:hAnsiTheme="minorHAnsi" w:cstheme="minorHAnsi"/>
            </w:rPr>
            <w:t>. 12th edn. Harlow: Pearson Education.</w:t>
          </w:r>
        </w:p>
        <w:p w14:paraId="716082D7" w14:textId="77777777" w:rsidR="00E51EEF" w:rsidRDefault="004B3EBC" w:rsidP="009D5788">
          <w:pPr>
            <w:pStyle w:val="ListParagraph"/>
            <w:numPr>
              <w:ilvl w:val="0"/>
              <w:numId w:val="1"/>
            </w:numPr>
            <w:rPr>
              <w:rFonts w:asciiTheme="minorHAnsi" w:hAnsiTheme="minorHAnsi" w:cstheme="minorHAnsi"/>
            </w:rPr>
          </w:pPr>
          <w:r w:rsidRPr="00347E38">
            <w:rPr>
              <w:rFonts w:asciiTheme="minorHAnsi" w:hAnsiTheme="minorHAnsi" w:cstheme="minorHAnsi"/>
            </w:rPr>
            <w:t>Brigham, E.F. and Ehrhardt, M.C. (2019)</w:t>
          </w:r>
          <w:r w:rsidRPr="00347E38">
            <w:rPr>
              <w:rFonts w:asciiTheme="minorHAnsi" w:eastAsiaTheme="minorEastAsia" w:hAnsiTheme="minorHAnsi" w:cstheme="minorHAnsi"/>
            </w:rPr>
            <w:t> </w:t>
          </w:r>
          <w:r w:rsidRPr="00347E38">
            <w:rPr>
              <w:rFonts w:asciiTheme="minorHAnsi" w:eastAsiaTheme="majorEastAsia" w:hAnsiTheme="minorHAnsi" w:cstheme="minorHAnsi"/>
              <w:i/>
              <w:iCs/>
            </w:rPr>
            <w:t>Financial Management: Theory and Practice</w:t>
          </w:r>
          <w:r w:rsidRPr="00347E38">
            <w:rPr>
              <w:rFonts w:asciiTheme="minorHAnsi" w:hAnsiTheme="minorHAnsi" w:cstheme="minorHAnsi"/>
            </w:rPr>
            <w:t>. 16th edn. Boston: Cengage Learning.</w:t>
          </w:r>
        </w:p>
        <w:p w14:paraId="16DDC279" w14:textId="37963FAF" w:rsidR="0052703F" w:rsidRPr="00266481" w:rsidRDefault="0052703F" w:rsidP="00266481">
          <w:pPr>
            <w:pStyle w:val="ListParagraph"/>
            <w:numPr>
              <w:ilvl w:val="0"/>
              <w:numId w:val="1"/>
            </w:numPr>
            <w:rPr>
              <w:rFonts w:asciiTheme="minorHAnsi" w:hAnsiTheme="minorHAnsi" w:cstheme="minorHAnsi"/>
            </w:rPr>
          </w:pPr>
          <w:r>
            <w:rPr>
              <w:rFonts w:asciiTheme="minorHAnsi" w:hAnsiTheme="minorHAnsi" w:cstheme="minorHAnsi"/>
            </w:rPr>
            <w:t xml:space="preserve">Olayinka, A.A. (2022) </w:t>
          </w:r>
          <w:r w:rsidR="00FE3FF6" w:rsidRPr="00CF1628">
            <w:rPr>
              <w:rFonts w:asciiTheme="minorHAnsi" w:hAnsiTheme="minorHAnsi" w:cstheme="minorHAnsi"/>
              <w:i/>
              <w:iCs/>
            </w:rPr>
            <w:t xml:space="preserve">‘Financial statement analysis as a tool for investment decisions and assessment of </w:t>
          </w:r>
          <w:r w:rsidR="0034272F" w:rsidRPr="00CF1628">
            <w:rPr>
              <w:rFonts w:asciiTheme="minorHAnsi" w:hAnsiTheme="minorHAnsi" w:cstheme="minorHAnsi"/>
              <w:i/>
              <w:iCs/>
            </w:rPr>
            <w:t>companies’ performance’</w:t>
          </w:r>
          <w:r w:rsidR="0034272F">
            <w:rPr>
              <w:rFonts w:asciiTheme="minorHAnsi" w:hAnsiTheme="minorHAnsi" w:cstheme="minorHAnsi"/>
            </w:rPr>
            <w:t xml:space="preserve">, International Journal of Financial, Accounting, and </w:t>
          </w:r>
          <w:r w:rsidR="00CF1628">
            <w:rPr>
              <w:rFonts w:asciiTheme="minorHAnsi" w:hAnsiTheme="minorHAnsi" w:cstheme="minorHAnsi"/>
            </w:rPr>
            <w:t>Management</w:t>
          </w:r>
          <w:r w:rsidR="00266481">
            <w:rPr>
              <w:rFonts w:asciiTheme="minorHAnsi" w:hAnsiTheme="minorHAnsi" w:cstheme="minorHAnsi"/>
            </w:rPr>
            <w:t>, 4(1), pp. 49</w:t>
          </w:r>
          <w:r w:rsidR="00CF1628" w:rsidRPr="00347E38">
            <w:rPr>
              <w:rFonts w:asciiTheme="minorHAnsi" w:hAnsiTheme="minorHAnsi" w:cstheme="minorHAnsi"/>
            </w:rPr>
            <w:t>–</w:t>
          </w:r>
          <w:r w:rsidR="00266481" w:rsidRPr="00266481">
            <w:rPr>
              <w:rFonts w:asciiTheme="minorHAnsi" w:hAnsiTheme="minorHAnsi" w:cstheme="minorHAnsi"/>
            </w:rPr>
            <w:t>66.</w:t>
          </w:r>
        </w:p>
        <w:p w14:paraId="3808F271" w14:textId="12DBDD3B" w:rsidR="00AE4A39" w:rsidRPr="00347E38" w:rsidRDefault="00AE4A39" w:rsidP="00AE4A39">
          <w:pPr>
            <w:pStyle w:val="ListParagraph"/>
            <w:numPr>
              <w:ilvl w:val="0"/>
              <w:numId w:val="1"/>
            </w:numPr>
            <w:spacing w:before="100" w:beforeAutospacing="1" w:after="100" w:afterAutospacing="1"/>
            <w:rPr>
              <w:rFonts w:asciiTheme="minorHAnsi" w:hAnsiTheme="minorHAnsi" w:cstheme="minorHAnsi"/>
              <w:color w:val="000000"/>
            </w:rPr>
          </w:pPr>
          <w:r w:rsidRPr="00347E38">
            <w:rPr>
              <w:rFonts w:asciiTheme="minorHAnsi" w:hAnsiTheme="minorHAnsi" w:cstheme="minorHAnsi"/>
              <w:color w:val="000000"/>
            </w:rPr>
            <w:t>Tesco PLC, 2025. </w:t>
          </w:r>
          <w:r w:rsidRPr="00347E38">
            <w:rPr>
              <w:rFonts w:asciiTheme="minorHAnsi" w:hAnsiTheme="minorHAnsi" w:cstheme="minorHAnsi"/>
              <w:i/>
              <w:iCs/>
              <w:color w:val="000000"/>
            </w:rPr>
            <w:t>Preliminary Results 2024/25</w:t>
          </w:r>
          <w:r w:rsidRPr="00347E38">
            <w:rPr>
              <w:rFonts w:asciiTheme="minorHAnsi" w:hAnsiTheme="minorHAnsi" w:cstheme="minorHAnsi"/>
              <w:color w:val="000000"/>
            </w:rPr>
            <w:t>. Report released 10 April 2025. Available at: </w:t>
          </w:r>
          <w:hyperlink r:id="rId16" w:tgtFrame="_new" w:history="1">
            <w:r w:rsidRPr="00347E38">
              <w:rPr>
                <w:rFonts w:asciiTheme="minorHAnsi" w:hAnsiTheme="minorHAnsi" w:cstheme="minorHAnsi"/>
                <w:color w:val="0000FF"/>
                <w:u w:val="single"/>
              </w:rPr>
              <w:t>https://www.tescoplc.com</w:t>
            </w:r>
          </w:hyperlink>
          <w:r w:rsidRPr="00347E38">
            <w:rPr>
              <w:rFonts w:asciiTheme="minorHAnsi" w:hAnsiTheme="minorHAnsi" w:cstheme="minorHAnsi"/>
              <w:color w:val="000000"/>
            </w:rPr>
            <w:t xml:space="preserve"> </w:t>
          </w:r>
          <w:r w:rsidRPr="00347E38">
            <w:rPr>
              <w:rFonts w:asciiTheme="minorHAnsi" w:hAnsiTheme="minorHAnsi" w:cstheme="minorHAnsi"/>
              <w:color w:val="000000"/>
            </w:rPr>
            <w:t>(Accessed: 10 December 2025).</w:t>
          </w:r>
        </w:p>
        <w:p w14:paraId="3EC86B5B" w14:textId="33DCA1D6" w:rsidR="00C32242" w:rsidRPr="00347E38" w:rsidRDefault="00AE4A39" w:rsidP="00AE4A39">
          <w:pPr>
            <w:pStyle w:val="ListParagraph"/>
            <w:numPr>
              <w:ilvl w:val="0"/>
              <w:numId w:val="1"/>
            </w:numPr>
            <w:spacing w:before="100" w:beforeAutospacing="1" w:after="100" w:afterAutospacing="1"/>
            <w:rPr>
              <w:rFonts w:asciiTheme="minorHAnsi" w:hAnsiTheme="minorHAnsi" w:cstheme="minorHAnsi"/>
              <w:color w:val="000000"/>
            </w:rPr>
          </w:pPr>
          <w:r w:rsidRPr="00347E38">
            <w:rPr>
              <w:rFonts w:asciiTheme="minorHAnsi" w:hAnsiTheme="minorHAnsi" w:cstheme="minorHAnsi"/>
              <w:color w:val="000000"/>
            </w:rPr>
            <w:t>Simply Wall St, 2025. </w:t>
          </w:r>
          <w:r w:rsidRPr="00347E38">
            <w:rPr>
              <w:rFonts w:asciiTheme="minorHAnsi" w:hAnsiTheme="minorHAnsi" w:cstheme="minorHAnsi"/>
              <w:i/>
              <w:iCs/>
              <w:color w:val="000000"/>
            </w:rPr>
            <w:t>Tesco Balance Sheet &amp; Financial Health Metrics</w:t>
          </w:r>
          <w:r w:rsidRPr="00347E38">
            <w:rPr>
              <w:rFonts w:asciiTheme="minorHAnsi" w:hAnsiTheme="minorHAnsi" w:cstheme="minorHAnsi"/>
              <w:color w:val="000000"/>
            </w:rPr>
            <w:t>. Available at: </w:t>
          </w:r>
          <w:hyperlink r:id="rId17" w:tgtFrame="_new" w:history="1">
            <w:r w:rsidRPr="00347E38">
              <w:rPr>
                <w:rFonts w:asciiTheme="minorHAnsi" w:hAnsiTheme="minorHAnsi" w:cstheme="minorHAnsi"/>
                <w:color w:val="0000FF"/>
                <w:u w:val="single"/>
              </w:rPr>
              <w:t>https://simplywall.st</w:t>
            </w:r>
          </w:hyperlink>
          <w:r w:rsidRPr="00347E38">
            <w:rPr>
              <w:rFonts w:asciiTheme="minorHAnsi" w:hAnsiTheme="minorHAnsi" w:cstheme="minorHAnsi"/>
              <w:color w:val="000000"/>
            </w:rPr>
            <w:t> (Accessed: 10 December 2025).</w:t>
          </w:r>
        </w:p>
        <w:p w14:paraId="5F8A84AF" w14:textId="77777777" w:rsidR="00B86087" w:rsidRPr="00347E38" w:rsidRDefault="001E68B6" w:rsidP="009D5788">
          <w:pPr>
            <w:pStyle w:val="ListParagraph"/>
            <w:numPr>
              <w:ilvl w:val="0"/>
              <w:numId w:val="1"/>
            </w:numPr>
            <w:rPr>
              <w:rFonts w:asciiTheme="minorHAnsi" w:hAnsiTheme="minorHAnsi" w:cstheme="minorHAnsi"/>
            </w:rPr>
          </w:pPr>
          <w:r w:rsidRPr="00347E38">
            <w:rPr>
              <w:rFonts w:asciiTheme="minorHAnsi" w:hAnsiTheme="minorHAnsi" w:cstheme="minorHAnsi"/>
            </w:rPr>
            <w:t>Gupta, A. (2013) ‘Environmental and PEST analysis: an approach to external business environment’,</w:t>
          </w:r>
          <w:r w:rsidRPr="00347E38">
            <w:rPr>
              <w:rFonts w:asciiTheme="minorHAnsi" w:eastAsiaTheme="minorEastAsia" w:hAnsiTheme="minorHAnsi" w:cstheme="minorHAnsi"/>
            </w:rPr>
            <w:t> </w:t>
          </w:r>
          <w:r w:rsidRPr="00347E38">
            <w:rPr>
              <w:rFonts w:asciiTheme="minorHAnsi" w:eastAsiaTheme="majorEastAsia" w:hAnsiTheme="minorHAnsi" w:cstheme="minorHAnsi"/>
              <w:i/>
              <w:iCs/>
            </w:rPr>
            <w:t>International Journal of Modern Social Sciences</w:t>
          </w:r>
          <w:r w:rsidRPr="00347E38">
            <w:rPr>
              <w:rFonts w:asciiTheme="minorHAnsi" w:hAnsiTheme="minorHAnsi" w:cstheme="minorHAnsi"/>
            </w:rPr>
            <w:t>, 2(1), pp. 34–43.</w:t>
          </w:r>
        </w:p>
        <w:p w14:paraId="259AB96E" w14:textId="77777777" w:rsidR="003E29B7" w:rsidRPr="00347E38" w:rsidRDefault="00B86087" w:rsidP="009D5788">
          <w:pPr>
            <w:pStyle w:val="ListParagraph"/>
            <w:numPr>
              <w:ilvl w:val="0"/>
              <w:numId w:val="1"/>
            </w:numPr>
            <w:rPr>
              <w:rFonts w:asciiTheme="minorHAnsi" w:hAnsiTheme="minorHAnsi" w:cstheme="minorHAnsi"/>
            </w:rPr>
          </w:pPr>
          <w:r w:rsidRPr="00347E38">
            <w:rPr>
              <w:rFonts w:asciiTheme="minorHAnsi" w:hAnsiTheme="minorHAnsi" w:cstheme="minorHAnsi"/>
            </w:rPr>
            <w:t>Barney, J.B. (1991) ‘Firm resources and sustained competitive advantage’,</w:t>
          </w:r>
          <w:r w:rsidRPr="00347E38">
            <w:rPr>
              <w:rFonts w:asciiTheme="minorHAnsi" w:eastAsiaTheme="minorEastAsia" w:hAnsiTheme="minorHAnsi" w:cstheme="minorHAnsi"/>
            </w:rPr>
            <w:t> </w:t>
          </w:r>
          <w:r w:rsidRPr="00347E38">
            <w:rPr>
              <w:rFonts w:asciiTheme="minorHAnsi" w:eastAsiaTheme="majorEastAsia" w:hAnsiTheme="minorHAnsi" w:cstheme="minorHAnsi"/>
              <w:i/>
              <w:iCs/>
            </w:rPr>
            <w:t>Journal of Management</w:t>
          </w:r>
          <w:r w:rsidRPr="00347E38">
            <w:rPr>
              <w:rFonts w:asciiTheme="minorHAnsi" w:hAnsiTheme="minorHAnsi" w:cstheme="minorHAnsi"/>
            </w:rPr>
            <w:t>, 17(1), pp. 99–120.</w:t>
          </w:r>
        </w:p>
        <w:p w14:paraId="44A68051" w14:textId="77777777" w:rsidR="00B76375" w:rsidRPr="00347E38" w:rsidRDefault="003E29B7" w:rsidP="00B76375">
          <w:pPr>
            <w:pStyle w:val="ListParagraph"/>
            <w:numPr>
              <w:ilvl w:val="0"/>
              <w:numId w:val="1"/>
            </w:numPr>
            <w:rPr>
              <w:rFonts w:asciiTheme="minorHAnsi" w:hAnsiTheme="minorHAnsi" w:cstheme="minorHAnsi"/>
            </w:rPr>
          </w:pPr>
          <w:r w:rsidRPr="00347E38">
            <w:rPr>
              <w:rFonts w:asciiTheme="minorHAnsi" w:hAnsiTheme="minorHAnsi" w:cstheme="minorHAnsi"/>
            </w:rPr>
            <w:t>Johnson, G., Scholes, K. and Whittington, R. (2020)</w:t>
          </w:r>
          <w:r w:rsidRPr="00347E38">
            <w:rPr>
              <w:rFonts w:asciiTheme="minorHAnsi" w:eastAsiaTheme="minorEastAsia" w:hAnsiTheme="minorHAnsi" w:cstheme="minorHAnsi"/>
            </w:rPr>
            <w:t> </w:t>
          </w:r>
          <w:r w:rsidR="006677C3" w:rsidRPr="00347E38">
            <w:rPr>
              <w:rFonts w:asciiTheme="minorHAnsi" w:eastAsiaTheme="minorEastAsia" w:hAnsiTheme="minorHAnsi" w:cstheme="minorHAnsi"/>
              <w:i/>
              <w:iCs/>
            </w:rPr>
            <w:t>Exploring Strategy: Text and Cases</w:t>
          </w:r>
          <w:r w:rsidR="006677C3" w:rsidRPr="00347E38">
            <w:rPr>
              <w:rFonts w:asciiTheme="minorHAnsi" w:hAnsiTheme="minorHAnsi" w:cstheme="minorHAnsi"/>
            </w:rPr>
            <w:t>. 12th edn. Harlow: Pearson Education</w:t>
          </w:r>
          <w:r w:rsidR="006677C3" w:rsidRPr="00347E38">
            <w:rPr>
              <w:rFonts w:asciiTheme="minorHAnsi" w:hAnsiTheme="minorHAnsi" w:cstheme="minorHAnsi"/>
            </w:rPr>
            <w:t>.</w:t>
          </w:r>
        </w:p>
        <w:p w14:paraId="31545042" w14:textId="77777777" w:rsidR="00D21744" w:rsidRPr="00347E38" w:rsidRDefault="00B76375" w:rsidP="00D21744">
          <w:pPr>
            <w:pStyle w:val="ListParagraph"/>
            <w:numPr>
              <w:ilvl w:val="0"/>
              <w:numId w:val="1"/>
            </w:numPr>
            <w:rPr>
              <w:rFonts w:asciiTheme="minorHAnsi" w:hAnsiTheme="minorHAnsi" w:cstheme="minorHAnsi"/>
            </w:rPr>
          </w:pPr>
          <w:r w:rsidRPr="00347E38">
            <w:rPr>
              <w:rFonts w:asciiTheme="minorHAnsi" w:hAnsiTheme="minorHAnsi" w:cstheme="minorHAnsi"/>
              <w:color w:val="000000"/>
            </w:rPr>
            <w:t>Fu, R., 2024.</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Analysis of Business Operation Mode and Marketing Strategy of British Mainstream Supermarket: Case study of Tesco</w:t>
          </w:r>
          <w:r w:rsidRPr="00347E38">
            <w:rPr>
              <w:rFonts w:asciiTheme="minorHAnsi" w:hAnsiTheme="minorHAnsi" w:cstheme="minorHAnsi"/>
              <w:color w:val="000000"/>
            </w:rPr>
            <w:t>. Journal of Education, Humanities and Social Sciences, 43.</w:t>
          </w:r>
        </w:p>
        <w:p w14:paraId="61F77C4E" w14:textId="77777777" w:rsidR="00D21744" w:rsidRPr="00347E38" w:rsidRDefault="00B76375" w:rsidP="00D21744">
          <w:pPr>
            <w:pStyle w:val="ListParagraph"/>
            <w:numPr>
              <w:ilvl w:val="0"/>
              <w:numId w:val="1"/>
            </w:numPr>
            <w:rPr>
              <w:rFonts w:asciiTheme="minorHAnsi" w:hAnsiTheme="minorHAnsi" w:cstheme="minorHAnsi"/>
            </w:rPr>
          </w:pPr>
          <w:r w:rsidRPr="00347E38">
            <w:rPr>
              <w:rFonts w:asciiTheme="minorHAnsi" w:hAnsiTheme="minorHAnsi" w:cstheme="minorHAnsi"/>
              <w:color w:val="000000"/>
            </w:rPr>
            <w:t>Li, L. &amp; Zeng, J.H., 2024.</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Strategic Analysis of Tesco’s International Purchasing and Supply Chain Management: Challenges, Opportunities, and Future Directions</w:t>
          </w:r>
          <w:r w:rsidRPr="00347E38">
            <w:rPr>
              <w:rFonts w:asciiTheme="minorHAnsi" w:hAnsiTheme="minorHAnsi" w:cstheme="minorHAnsi"/>
              <w:color w:val="000000"/>
            </w:rPr>
            <w:t>. International Journal of Science and Business, 35(1), pp. 132–143.</w:t>
          </w:r>
        </w:p>
        <w:p w14:paraId="7CA81047" w14:textId="77777777" w:rsidR="00D21744" w:rsidRPr="00347E38" w:rsidRDefault="00B76375" w:rsidP="00D21744">
          <w:pPr>
            <w:pStyle w:val="ListParagraph"/>
            <w:numPr>
              <w:ilvl w:val="0"/>
              <w:numId w:val="1"/>
            </w:numPr>
            <w:rPr>
              <w:rFonts w:asciiTheme="minorHAnsi" w:hAnsiTheme="minorHAnsi" w:cstheme="minorHAnsi"/>
            </w:rPr>
          </w:pPr>
          <w:r w:rsidRPr="00347E38">
            <w:rPr>
              <w:rFonts w:asciiTheme="minorHAnsi" w:hAnsiTheme="minorHAnsi" w:cstheme="minorHAnsi"/>
              <w:color w:val="000000"/>
            </w:rPr>
            <w:lastRenderedPageBreak/>
            <w:t>Mitchell, R., Maull, R., Pearson, S., Brewer, S. &amp; Collison, M., 2020.</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The impact of COVID-19 on the UK fresh food supply chain</w:t>
          </w:r>
          <w:r w:rsidRPr="00347E38">
            <w:rPr>
              <w:rFonts w:asciiTheme="minorHAnsi" w:hAnsiTheme="minorHAnsi" w:cstheme="minorHAnsi"/>
              <w:color w:val="000000"/>
            </w:rPr>
            <w:t>. arXiv preprint.</w:t>
          </w:r>
        </w:p>
        <w:p w14:paraId="55EB2F36" w14:textId="7BB8D3F3" w:rsidR="00B76375" w:rsidRPr="00347E38" w:rsidRDefault="00B76375" w:rsidP="00D21744">
          <w:pPr>
            <w:pStyle w:val="ListParagraph"/>
            <w:numPr>
              <w:ilvl w:val="0"/>
              <w:numId w:val="1"/>
            </w:numPr>
            <w:rPr>
              <w:rFonts w:asciiTheme="minorHAnsi" w:hAnsiTheme="minorHAnsi" w:cstheme="minorHAnsi"/>
            </w:rPr>
          </w:pPr>
          <w:r w:rsidRPr="00347E38">
            <w:rPr>
              <w:rFonts w:asciiTheme="minorHAnsi" w:hAnsiTheme="minorHAnsi" w:cstheme="minorHAnsi"/>
              <w:color w:val="000000"/>
            </w:rPr>
            <w:t>Ocran, J.N., 2023.</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The Tesco Group and Sustainable Operations Management</w:t>
          </w:r>
          <w:r w:rsidRPr="00347E38">
            <w:rPr>
              <w:rFonts w:asciiTheme="minorHAnsi" w:hAnsiTheme="minorHAnsi" w:cstheme="minorHAnsi"/>
              <w:color w:val="000000"/>
            </w:rPr>
            <w:t>. Journal of Earth and Environmental Science Research, 5(12), pp. 1–6.</w:t>
          </w:r>
        </w:p>
        <w:p w14:paraId="3A7F16BD" w14:textId="77777777" w:rsidR="00B76375" w:rsidRPr="00347E38" w:rsidRDefault="00B76375" w:rsidP="00B76375">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Reuters, 2025.</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UK grocery inflation stays at 4.7%</w:t>
          </w:r>
          <w:r w:rsidRPr="00347E38">
            <w:rPr>
              <w:rFonts w:asciiTheme="minorHAnsi" w:hAnsiTheme="minorHAnsi" w:cstheme="minorHAnsi"/>
              <w:color w:val="000000"/>
            </w:rPr>
            <w:t>, 9 December.</w:t>
          </w:r>
        </w:p>
        <w:p w14:paraId="38982E9F" w14:textId="77777777" w:rsidR="00B76375" w:rsidRPr="00347E38" w:rsidRDefault="00B76375" w:rsidP="00B76375">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SeafoodSource, 2024.</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Tesco CEO warns UK budget decisions could jeopardise retailers’ low-price initiatives</w:t>
          </w:r>
          <w:r w:rsidRPr="00347E38">
            <w:rPr>
              <w:rFonts w:asciiTheme="minorHAnsi" w:hAnsiTheme="minorHAnsi" w:cstheme="minorHAnsi"/>
              <w:color w:val="000000"/>
            </w:rPr>
            <w:t>.</w:t>
          </w:r>
        </w:p>
        <w:p w14:paraId="41415B0F" w14:textId="77777777" w:rsidR="00B76375" w:rsidRPr="00347E38" w:rsidRDefault="00B76375" w:rsidP="00B76375">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Seifert, R.W. &amp; Markoff, R., 2024.</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Tesco and Ocado: Contrasting online grocery supply chain models</w:t>
          </w:r>
          <w:r w:rsidRPr="00347E38">
            <w:rPr>
              <w:rFonts w:asciiTheme="minorHAnsi" w:hAnsiTheme="minorHAnsi" w:cstheme="minorHAnsi"/>
              <w:color w:val="000000"/>
            </w:rPr>
            <w:t>. IMD Case Study.</w:t>
          </w:r>
        </w:p>
        <w:p w14:paraId="034F2B5D" w14:textId="77777777" w:rsidR="00B76375" w:rsidRPr="00347E38" w:rsidRDefault="00B76375" w:rsidP="00B76375">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Smart Energy Decisions, 2023.</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Tesco introduces sustainability-linked supply-chain finance</w:t>
          </w:r>
          <w:r w:rsidRPr="00347E38">
            <w:rPr>
              <w:rFonts w:asciiTheme="minorHAnsi" w:hAnsiTheme="minorHAnsi" w:cstheme="minorHAnsi"/>
              <w:color w:val="000000"/>
            </w:rPr>
            <w:t>.</w:t>
          </w:r>
        </w:p>
        <w:p w14:paraId="0F3F4B41" w14:textId="77777777" w:rsidR="00B76375" w:rsidRPr="00347E38" w:rsidRDefault="00B76375" w:rsidP="00B76375">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Tesco PLC, 2025.</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Sustainability Report 2025</w:t>
          </w:r>
          <w:r w:rsidRPr="00347E38">
            <w:rPr>
              <w:rFonts w:asciiTheme="minorHAnsi" w:hAnsiTheme="minorHAnsi" w:cstheme="minorHAnsi"/>
              <w:color w:val="000000"/>
            </w:rPr>
            <w:t>. Tesco plc.</w:t>
          </w:r>
        </w:p>
        <w:p w14:paraId="0A36C680" w14:textId="77777777" w:rsidR="00B76375" w:rsidRPr="00347E38" w:rsidRDefault="00B76375" w:rsidP="00B76375">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The Guardian, 2024.</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Tesco plans £500m efficiency savings as grocery inflation eases</w:t>
          </w:r>
          <w:r w:rsidRPr="00347E38">
            <w:rPr>
              <w:rFonts w:asciiTheme="minorHAnsi" w:hAnsiTheme="minorHAnsi" w:cstheme="minorHAnsi"/>
              <w:color w:val="000000"/>
            </w:rPr>
            <w:t>, April.</w:t>
          </w:r>
        </w:p>
        <w:p w14:paraId="7269C45C" w14:textId="77777777" w:rsidR="00B76375" w:rsidRPr="00347E38" w:rsidRDefault="00B76375" w:rsidP="00B76375">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Vega-Carrasco, M., O’Sullivan, J., Prior, R., Manolopoulou, I. &amp; Musolesi, M., 2020.</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Modelling Grocery Retail Topic Distributions: Evaluation, Interpretability and Stability</w:t>
          </w:r>
          <w:r w:rsidRPr="00347E38">
            <w:rPr>
              <w:rFonts w:asciiTheme="minorHAnsi" w:hAnsiTheme="minorHAnsi" w:cstheme="minorHAnsi"/>
              <w:color w:val="000000"/>
            </w:rPr>
            <w:t>. arXiv preprint.</w:t>
          </w:r>
        </w:p>
        <w:p w14:paraId="639D9C66" w14:textId="77777777" w:rsidR="004A74B8" w:rsidRPr="00347E38" w:rsidRDefault="00795491" w:rsidP="009D5788">
          <w:pPr>
            <w:pStyle w:val="ListParagraph"/>
            <w:numPr>
              <w:ilvl w:val="0"/>
              <w:numId w:val="1"/>
            </w:numPr>
            <w:rPr>
              <w:rFonts w:asciiTheme="minorHAnsi" w:hAnsiTheme="minorHAnsi" w:cstheme="minorHAnsi"/>
            </w:rPr>
          </w:pPr>
          <w:r w:rsidRPr="00347E38">
            <w:rPr>
              <w:rFonts w:asciiTheme="minorHAnsi" w:eastAsiaTheme="minorEastAsia" w:hAnsiTheme="minorHAnsi" w:cstheme="minorHAnsi"/>
            </w:rPr>
            <w:t>Smith, J. and Thompson, R. (2021)</w:t>
          </w:r>
          <w:r w:rsidRPr="00347E38">
            <w:rPr>
              <w:rFonts w:asciiTheme="minorHAnsi" w:eastAsiaTheme="majorEastAsia" w:hAnsiTheme="minorHAnsi" w:cstheme="minorHAnsi"/>
            </w:rPr>
            <w:t> </w:t>
          </w:r>
          <w:r w:rsidRPr="00347E38">
            <w:rPr>
              <w:rFonts w:asciiTheme="minorHAnsi" w:hAnsiTheme="minorHAnsi" w:cstheme="minorHAnsi"/>
            </w:rPr>
            <w:t>‘The Impact of Labour Market Regulation on Large Retailers’,</w:t>
          </w:r>
          <w:r w:rsidRPr="00347E38">
            <w:rPr>
              <w:rFonts w:asciiTheme="minorHAnsi" w:eastAsiaTheme="majorEastAsia" w:hAnsiTheme="minorHAnsi" w:cstheme="minorHAnsi"/>
            </w:rPr>
            <w:t> </w:t>
          </w:r>
          <w:r w:rsidRPr="00347E38">
            <w:rPr>
              <w:rFonts w:asciiTheme="minorHAnsi" w:hAnsiTheme="minorHAnsi" w:cstheme="minorHAnsi"/>
              <w:i/>
              <w:iCs/>
            </w:rPr>
            <w:t>Journal of Retail and Consumer Studies</w:t>
          </w:r>
          <w:r w:rsidRPr="00347E38">
            <w:rPr>
              <w:rFonts w:asciiTheme="minorHAnsi" w:hAnsiTheme="minorHAnsi" w:cstheme="minorHAnsi"/>
            </w:rPr>
            <w:t>, 48(3), pp. 215–229.</w:t>
          </w:r>
        </w:p>
        <w:p w14:paraId="4C685592" w14:textId="77777777" w:rsidR="00CB0438" w:rsidRPr="00347E38" w:rsidRDefault="00D562F6" w:rsidP="009D5788">
          <w:pPr>
            <w:pStyle w:val="ListParagraph"/>
            <w:numPr>
              <w:ilvl w:val="0"/>
              <w:numId w:val="1"/>
            </w:numPr>
            <w:rPr>
              <w:rFonts w:asciiTheme="minorHAnsi" w:hAnsiTheme="minorHAnsi" w:cstheme="minorHAnsi"/>
            </w:rPr>
          </w:pPr>
          <w:r w:rsidRPr="00347E38">
            <w:rPr>
              <w:rFonts w:asciiTheme="minorHAnsi" w:eastAsiaTheme="minorEastAsia" w:hAnsiTheme="minorHAnsi" w:cstheme="minorHAnsi"/>
            </w:rPr>
            <w:t>Kenton, W. (2022)</w:t>
          </w:r>
          <w:r w:rsidRPr="00347E38">
            <w:rPr>
              <w:rFonts w:asciiTheme="minorHAnsi" w:eastAsiaTheme="majorEastAsia" w:hAnsiTheme="minorHAnsi" w:cstheme="minorHAnsi"/>
            </w:rPr>
            <w:t> </w:t>
          </w:r>
          <w:r w:rsidRPr="00347E38">
            <w:rPr>
              <w:rFonts w:asciiTheme="minorHAnsi" w:hAnsiTheme="minorHAnsi" w:cstheme="minorHAnsi"/>
              <w:i/>
              <w:iCs/>
            </w:rPr>
            <w:t>Technological Innovation in Global Retail</w:t>
          </w:r>
          <w:r w:rsidRPr="00347E38">
            <w:rPr>
              <w:rFonts w:asciiTheme="minorHAnsi" w:hAnsiTheme="minorHAnsi" w:cstheme="minorHAnsi"/>
            </w:rPr>
            <w:t>. New York: Routledge.</w:t>
          </w:r>
        </w:p>
        <w:p w14:paraId="05EE0B86" w14:textId="77777777" w:rsidR="00BC2D3F" w:rsidRPr="00347E38" w:rsidRDefault="00CB0438" w:rsidP="009D5788">
          <w:pPr>
            <w:pStyle w:val="ListParagraph"/>
            <w:numPr>
              <w:ilvl w:val="0"/>
              <w:numId w:val="1"/>
            </w:numPr>
            <w:rPr>
              <w:rFonts w:asciiTheme="minorHAnsi" w:hAnsiTheme="minorHAnsi" w:cstheme="minorHAnsi"/>
            </w:rPr>
          </w:pPr>
          <w:r w:rsidRPr="00347E38">
            <w:rPr>
              <w:rFonts w:asciiTheme="minorHAnsi" w:hAnsiTheme="minorHAnsi" w:cstheme="minorHAnsi"/>
            </w:rPr>
            <w:t>Armstrong, M. and Taylor, S. (2020)</w:t>
          </w:r>
          <w:r w:rsidRPr="00347E38">
            <w:rPr>
              <w:rFonts w:asciiTheme="minorHAnsi" w:eastAsiaTheme="minorEastAsia" w:hAnsiTheme="minorHAnsi" w:cstheme="minorHAnsi"/>
            </w:rPr>
            <w:t> </w:t>
          </w:r>
          <w:r w:rsidRPr="00347E38">
            <w:rPr>
              <w:rFonts w:asciiTheme="minorHAnsi" w:eastAsiaTheme="majorEastAsia" w:hAnsiTheme="minorHAnsi" w:cstheme="minorHAnsi"/>
              <w:i/>
              <w:iCs/>
            </w:rPr>
            <w:t>Armstrong’s Handbook of Human Resource Management Practice</w:t>
          </w:r>
          <w:r w:rsidRPr="00347E38">
            <w:rPr>
              <w:rFonts w:asciiTheme="minorHAnsi" w:hAnsiTheme="minorHAnsi" w:cstheme="minorHAnsi"/>
            </w:rPr>
            <w:t>. 15th edn. London: Kogan Page.</w:t>
          </w:r>
        </w:p>
        <w:p w14:paraId="11C87B17" w14:textId="77777777" w:rsidR="00F05B94" w:rsidRPr="00347E38" w:rsidRDefault="00B032D3" w:rsidP="009D5788">
          <w:pPr>
            <w:pStyle w:val="ListParagraph"/>
            <w:numPr>
              <w:ilvl w:val="0"/>
              <w:numId w:val="1"/>
            </w:numPr>
            <w:rPr>
              <w:rFonts w:asciiTheme="minorHAnsi" w:hAnsiTheme="minorHAnsi" w:cstheme="minorHAnsi"/>
            </w:rPr>
          </w:pPr>
          <w:r w:rsidRPr="00347E38">
            <w:rPr>
              <w:rFonts w:asciiTheme="minorHAnsi" w:hAnsiTheme="minorHAnsi" w:cstheme="minorHAnsi"/>
            </w:rPr>
            <w:t>Bank of England (2023)</w:t>
          </w:r>
          <w:r w:rsidRPr="00347E38">
            <w:rPr>
              <w:rFonts w:asciiTheme="minorHAnsi" w:eastAsiaTheme="minorEastAsia" w:hAnsiTheme="minorHAnsi" w:cstheme="minorHAnsi"/>
            </w:rPr>
            <w:t> </w:t>
          </w:r>
          <w:r w:rsidRPr="00347E38">
            <w:rPr>
              <w:rFonts w:asciiTheme="minorHAnsi" w:eastAsiaTheme="majorEastAsia" w:hAnsiTheme="minorHAnsi" w:cstheme="minorHAnsi"/>
              <w:i/>
              <w:iCs/>
            </w:rPr>
            <w:t>Monetary Policy Report</w:t>
          </w:r>
          <w:r w:rsidRPr="00347E38">
            <w:rPr>
              <w:rFonts w:asciiTheme="minorHAnsi" w:hAnsiTheme="minorHAnsi" w:cstheme="minorHAnsi"/>
            </w:rPr>
            <w:t>. London: Bank of England.</w:t>
          </w:r>
        </w:p>
        <w:p w14:paraId="1EDD528E" w14:textId="77777777" w:rsidR="00EA2C1C" w:rsidRPr="00347E38" w:rsidRDefault="00980F77" w:rsidP="009D5788">
          <w:pPr>
            <w:pStyle w:val="ListParagraph"/>
            <w:numPr>
              <w:ilvl w:val="0"/>
              <w:numId w:val="1"/>
            </w:numPr>
            <w:rPr>
              <w:rFonts w:asciiTheme="minorHAnsi" w:hAnsiTheme="minorHAnsi" w:cstheme="minorHAnsi"/>
            </w:rPr>
          </w:pPr>
          <w:r w:rsidRPr="00347E38">
            <w:rPr>
              <w:rFonts w:asciiTheme="minorHAnsi" w:hAnsiTheme="minorHAnsi" w:cstheme="minorHAnsi"/>
            </w:rPr>
            <w:t>McKinsey &amp; Company (2023)</w:t>
          </w:r>
          <w:r w:rsidRPr="00347E38">
            <w:rPr>
              <w:rFonts w:asciiTheme="minorHAnsi" w:eastAsiaTheme="minorEastAsia" w:hAnsiTheme="minorHAnsi" w:cstheme="minorHAnsi"/>
            </w:rPr>
            <w:t> </w:t>
          </w:r>
          <w:r w:rsidRPr="00347E38">
            <w:rPr>
              <w:rFonts w:asciiTheme="minorHAnsi" w:eastAsiaTheme="majorEastAsia" w:hAnsiTheme="minorHAnsi" w:cstheme="minorHAnsi"/>
              <w:i/>
              <w:iCs/>
            </w:rPr>
            <w:t>Retail Productivity and Cost Efficiency Benchmarks</w:t>
          </w:r>
          <w:r w:rsidRPr="00347E38">
            <w:rPr>
              <w:rFonts w:asciiTheme="minorHAnsi" w:hAnsiTheme="minorHAnsi" w:cstheme="minorHAnsi"/>
            </w:rPr>
            <w:t>. New York: McKinsey Global Institute.</w:t>
          </w:r>
        </w:p>
        <w:p w14:paraId="14DF92E2" w14:textId="77777777" w:rsidR="00B8173B" w:rsidRPr="00347E38" w:rsidRDefault="00EA2C1C" w:rsidP="009D5788">
          <w:pPr>
            <w:pStyle w:val="ListParagraph"/>
            <w:numPr>
              <w:ilvl w:val="0"/>
              <w:numId w:val="1"/>
            </w:numPr>
            <w:rPr>
              <w:rFonts w:asciiTheme="minorHAnsi" w:hAnsiTheme="minorHAnsi" w:cstheme="minorHAnsi"/>
            </w:rPr>
          </w:pPr>
          <w:r w:rsidRPr="00347E38">
            <w:rPr>
              <w:rFonts w:asciiTheme="minorHAnsi" w:hAnsiTheme="minorHAnsi" w:cstheme="minorHAnsi"/>
            </w:rPr>
            <w:t>KPMG (2023)</w:t>
          </w:r>
          <w:r w:rsidRPr="00347E38">
            <w:rPr>
              <w:rFonts w:asciiTheme="minorHAnsi" w:eastAsiaTheme="minorEastAsia" w:hAnsiTheme="minorHAnsi" w:cstheme="minorHAnsi"/>
            </w:rPr>
            <w:t> </w:t>
          </w:r>
          <w:r w:rsidRPr="00347E38">
            <w:rPr>
              <w:rFonts w:asciiTheme="minorHAnsi" w:eastAsiaTheme="majorEastAsia" w:hAnsiTheme="minorHAnsi" w:cstheme="minorHAnsi"/>
              <w:i/>
              <w:iCs/>
            </w:rPr>
            <w:t>UK Grocery Retail Market Analysis</w:t>
          </w:r>
          <w:r w:rsidRPr="00347E38">
            <w:rPr>
              <w:rFonts w:asciiTheme="minorHAnsi" w:hAnsiTheme="minorHAnsi" w:cstheme="minorHAnsi"/>
            </w:rPr>
            <w:t>. London: KPMG UK.</w:t>
          </w:r>
        </w:p>
        <w:p w14:paraId="62F1B622" w14:textId="77777777" w:rsidR="00244B30" w:rsidRPr="00347E38" w:rsidRDefault="00244B30" w:rsidP="009D5788">
          <w:pPr>
            <w:pStyle w:val="ListParagraph"/>
            <w:numPr>
              <w:ilvl w:val="0"/>
              <w:numId w:val="1"/>
            </w:numPr>
            <w:rPr>
              <w:rFonts w:asciiTheme="minorHAnsi" w:hAnsiTheme="minorHAnsi" w:cstheme="minorHAnsi"/>
            </w:rPr>
          </w:pPr>
          <w:r w:rsidRPr="00347E38">
            <w:rPr>
              <w:rFonts w:asciiTheme="minorHAnsi" w:hAnsiTheme="minorHAnsi" w:cstheme="minorHAnsi"/>
            </w:rPr>
            <w:t>PwC (2024)</w:t>
          </w:r>
          <w:r w:rsidRPr="00347E38">
            <w:rPr>
              <w:rFonts w:asciiTheme="minorHAnsi" w:eastAsiaTheme="minorEastAsia" w:hAnsiTheme="minorHAnsi" w:cstheme="minorHAnsi"/>
            </w:rPr>
            <w:t> </w:t>
          </w:r>
          <w:r w:rsidRPr="00347E38">
            <w:rPr>
              <w:rFonts w:asciiTheme="minorHAnsi" w:eastAsiaTheme="majorEastAsia" w:hAnsiTheme="minorHAnsi" w:cstheme="minorHAnsi"/>
              <w:i/>
              <w:iCs/>
            </w:rPr>
            <w:t>Retail and Consumer Sector Outlook</w:t>
          </w:r>
          <w:r w:rsidRPr="00347E38">
            <w:rPr>
              <w:rFonts w:asciiTheme="minorHAnsi" w:hAnsiTheme="minorHAnsi" w:cstheme="minorHAnsi"/>
            </w:rPr>
            <w:t>. London: PricewaterhouseCoopers.</w:t>
          </w:r>
        </w:p>
        <w:p w14:paraId="6F3FB47E" w14:textId="77777777" w:rsidR="00592E87" w:rsidRPr="00347E38" w:rsidRDefault="00592E87" w:rsidP="009D5788">
          <w:pPr>
            <w:pStyle w:val="ListParagraph"/>
            <w:numPr>
              <w:ilvl w:val="0"/>
              <w:numId w:val="1"/>
            </w:numPr>
            <w:rPr>
              <w:rFonts w:asciiTheme="minorHAnsi" w:hAnsiTheme="minorHAnsi" w:cstheme="minorHAnsi"/>
            </w:rPr>
          </w:pPr>
          <w:r w:rsidRPr="00347E38">
            <w:rPr>
              <w:rFonts w:asciiTheme="minorHAnsi" w:hAnsiTheme="minorHAnsi" w:cstheme="minorHAnsi"/>
            </w:rPr>
            <w:t>FTSE Russell (2024)</w:t>
          </w:r>
          <w:r w:rsidRPr="00347E38">
            <w:rPr>
              <w:rFonts w:asciiTheme="minorHAnsi" w:eastAsiaTheme="minorEastAsia" w:hAnsiTheme="minorHAnsi" w:cstheme="minorHAnsi"/>
            </w:rPr>
            <w:t> </w:t>
          </w:r>
          <w:r w:rsidRPr="00347E38">
            <w:rPr>
              <w:rFonts w:asciiTheme="minorHAnsi" w:eastAsiaTheme="majorEastAsia" w:hAnsiTheme="minorHAnsi" w:cstheme="minorHAnsi"/>
              <w:i/>
              <w:iCs/>
            </w:rPr>
            <w:t>FTSE 100 Index Dividend Yield Statistics</w:t>
          </w:r>
          <w:r w:rsidRPr="00347E38">
            <w:rPr>
              <w:rFonts w:asciiTheme="minorHAnsi" w:hAnsiTheme="minorHAnsi" w:cstheme="minorHAnsi"/>
            </w:rPr>
            <w:t>. London: FTSE Russell.</w:t>
          </w:r>
        </w:p>
        <w:p w14:paraId="3D31F239" w14:textId="77777777" w:rsidR="00AA40BC" w:rsidRPr="00347E38" w:rsidRDefault="00AA40BC" w:rsidP="009D5788">
          <w:pPr>
            <w:pStyle w:val="ListParagraph"/>
            <w:numPr>
              <w:ilvl w:val="0"/>
              <w:numId w:val="1"/>
            </w:numPr>
            <w:rPr>
              <w:rFonts w:asciiTheme="minorHAnsi" w:hAnsiTheme="minorHAnsi" w:cstheme="minorHAnsi"/>
            </w:rPr>
          </w:pPr>
          <w:r w:rsidRPr="00347E38">
            <w:rPr>
              <w:rFonts w:asciiTheme="minorHAnsi" w:hAnsiTheme="minorHAnsi" w:cstheme="minorHAnsi"/>
            </w:rPr>
            <w:t>GuruFocus (2025)</w:t>
          </w:r>
          <w:r w:rsidRPr="00347E38">
            <w:rPr>
              <w:rFonts w:asciiTheme="minorHAnsi" w:eastAsiaTheme="minorEastAsia" w:hAnsiTheme="minorHAnsi" w:cstheme="minorHAnsi"/>
            </w:rPr>
            <w:t> </w:t>
          </w:r>
          <w:r w:rsidRPr="00347E38">
            <w:rPr>
              <w:rFonts w:asciiTheme="minorHAnsi" w:eastAsiaTheme="majorEastAsia" w:hAnsiTheme="minorHAnsi" w:cstheme="minorHAnsi"/>
              <w:i/>
              <w:iCs/>
            </w:rPr>
            <w:t>Tesco PLC Financial Ratios and Benchmarks</w:t>
          </w:r>
          <w:r w:rsidRPr="00347E38">
            <w:rPr>
              <w:rFonts w:asciiTheme="minorHAnsi" w:hAnsiTheme="minorHAnsi" w:cstheme="minorHAnsi"/>
            </w:rPr>
            <w:t>. Available at:</w:t>
          </w:r>
          <w:r w:rsidRPr="00347E38">
            <w:rPr>
              <w:rFonts w:asciiTheme="minorHAnsi" w:eastAsiaTheme="minorEastAsia" w:hAnsiTheme="minorHAnsi" w:cstheme="minorHAnsi"/>
            </w:rPr>
            <w:t> </w:t>
          </w:r>
          <w:hyperlink r:id="rId18" w:tgtFrame="_new" w:history="1">
            <w:r w:rsidRPr="00347E38">
              <w:rPr>
                <w:rStyle w:val="Hyperlink"/>
                <w:rFonts w:asciiTheme="minorHAnsi" w:hAnsiTheme="minorHAnsi" w:cstheme="minorHAnsi"/>
              </w:rPr>
              <w:t>https://www.gurufocus.com</w:t>
            </w:r>
          </w:hyperlink>
          <w:r w:rsidRPr="00347E38">
            <w:rPr>
              <w:rFonts w:asciiTheme="minorHAnsi" w:eastAsiaTheme="minorEastAsia" w:hAnsiTheme="minorHAnsi" w:cstheme="minorHAnsi"/>
            </w:rPr>
            <w:t> </w:t>
          </w:r>
          <w:r w:rsidRPr="00347E38">
            <w:rPr>
              <w:rFonts w:asciiTheme="minorHAnsi" w:hAnsiTheme="minorHAnsi" w:cstheme="minorHAnsi"/>
            </w:rPr>
            <w:t>(Accessed: 10 December 2025).</w:t>
          </w:r>
        </w:p>
        <w:p w14:paraId="12316484" w14:textId="77777777" w:rsidR="00D36671" w:rsidRPr="00347E38" w:rsidRDefault="00AB05B2" w:rsidP="009D5788">
          <w:pPr>
            <w:pStyle w:val="ListParagraph"/>
            <w:numPr>
              <w:ilvl w:val="0"/>
              <w:numId w:val="1"/>
            </w:numPr>
            <w:rPr>
              <w:rFonts w:asciiTheme="minorHAnsi" w:hAnsiTheme="minorHAnsi" w:cstheme="minorHAnsi"/>
            </w:rPr>
          </w:pPr>
          <w:r w:rsidRPr="00347E38">
            <w:rPr>
              <w:rFonts w:asciiTheme="minorHAnsi" w:hAnsiTheme="minorHAnsi" w:cstheme="minorHAnsi"/>
            </w:rPr>
            <w:t>Deloitte (2023)</w:t>
          </w:r>
          <w:r w:rsidRPr="00347E38">
            <w:rPr>
              <w:rFonts w:asciiTheme="minorHAnsi" w:eastAsiaTheme="minorEastAsia" w:hAnsiTheme="minorHAnsi" w:cstheme="minorHAnsi"/>
            </w:rPr>
            <w:t> </w:t>
          </w:r>
          <w:r w:rsidRPr="00347E38">
            <w:rPr>
              <w:rFonts w:asciiTheme="minorHAnsi" w:eastAsiaTheme="majorEastAsia" w:hAnsiTheme="minorHAnsi" w:cstheme="minorHAnsi"/>
              <w:i/>
              <w:iCs/>
            </w:rPr>
            <w:t>UK Retail Outlook</w:t>
          </w:r>
          <w:r w:rsidRPr="00347E38">
            <w:rPr>
              <w:rFonts w:asciiTheme="minorHAnsi" w:hAnsiTheme="minorHAnsi" w:cstheme="minorHAnsi"/>
            </w:rPr>
            <w:t>. London: Deloitte Insights.</w:t>
          </w:r>
        </w:p>
        <w:p w14:paraId="4455D5E8" w14:textId="77777777" w:rsidR="00D82B72" w:rsidRPr="00347E38" w:rsidRDefault="00D36671" w:rsidP="00D82B72">
          <w:pPr>
            <w:pStyle w:val="ListParagraph"/>
            <w:numPr>
              <w:ilvl w:val="0"/>
              <w:numId w:val="1"/>
            </w:numPr>
            <w:rPr>
              <w:rFonts w:asciiTheme="minorHAnsi" w:hAnsiTheme="minorHAnsi" w:cstheme="minorHAnsi"/>
            </w:rPr>
          </w:pPr>
          <w:r w:rsidRPr="00347E38">
            <w:rPr>
              <w:rFonts w:asciiTheme="minorHAnsi" w:hAnsiTheme="minorHAnsi" w:cstheme="minorHAnsi"/>
            </w:rPr>
            <w:t>Day, G.S. (2014) ‘An outside-in approach to resource-based strategies’,</w:t>
          </w:r>
          <w:r w:rsidRPr="00347E38">
            <w:rPr>
              <w:rFonts w:asciiTheme="minorHAnsi" w:eastAsiaTheme="minorEastAsia" w:hAnsiTheme="minorHAnsi" w:cstheme="minorHAnsi"/>
            </w:rPr>
            <w:t> </w:t>
          </w:r>
          <w:r w:rsidRPr="00347E38">
            <w:rPr>
              <w:rFonts w:asciiTheme="minorHAnsi" w:eastAsiaTheme="majorEastAsia" w:hAnsiTheme="minorHAnsi" w:cstheme="minorHAnsi"/>
              <w:i/>
              <w:iCs/>
            </w:rPr>
            <w:t>Journal of the Academy of Marketing Science</w:t>
          </w:r>
          <w:r w:rsidRPr="00347E38">
            <w:rPr>
              <w:rFonts w:asciiTheme="minorHAnsi" w:hAnsiTheme="minorHAnsi" w:cstheme="minorHAnsi"/>
            </w:rPr>
            <w:t>, 42(1), pp. 27–28.</w:t>
          </w:r>
        </w:p>
        <w:p w14:paraId="1773E23D" w14:textId="77777777" w:rsidR="00D82B72" w:rsidRPr="00347E38" w:rsidRDefault="00D82B72" w:rsidP="00D82B72">
          <w:pPr>
            <w:pStyle w:val="ListParagraph"/>
            <w:numPr>
              <w:ilvl w:val="0"/>
              <w:numId w:val="1"/>
            </w:numPr>
            <w:rPr>
              <w:rFonts w:asciiTheme="minorHAnsi" w:hAnsiTheme="minorHAnsi" w:cstheme="minorHAnsi"/>
            </w:rPr>
          </w:pPr>
          <w:r w:rsidRPr="00347E38">
            <w:rPr>
              <w:rFonts w:asciiTheme="minorHAnsi" w:hAnsiTheme="minorHAnsi" w:cstheme="minorHAnsi"/>
              <w:color w:val="000000"/>
            </w:rPr>
            <w:t>Atrill, P. and McLaney, E. (2023)</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Accounting and Finance for Non-Specialists</w:t>
          </w:r>
          <w:r w:rsidRPr="00347E38">
            <w:rPr>
              <w:rFonts w:asciiTheme="minorHAnsi" w:hAnsiTheme="minorHAnsi" w:cstheme="minorHAnsi"/>
              <w:color w:val="000000"/>
            </w:rPr>
            <w:t>. 12th edn. Harlow: Pearson Education.</w:t>
          </w:r>
          <w:r w:rsidRPr="00347E38">
            <w:rPr>
              <w:rFonts w:asciiTheme="minorHAnsi" w:hAnsiTheme="minorHAnsi" w:cstheme="minorHAnsi"/>
              <w:color w:val="000000"/>
            </w:rPr>
            <w:t xml:space="preserve"> </w:t>
          </w:r>
        </w:p>
        <w:p w14:paraId="2A37E826" w14:textId="7F4A2419" w:rsidR="00362122" w:rsidRPr="00347E38" w:rsidRDefault="00D82B72" w:rsidP="00362122">
          <w:pPr>
            <w:pStyle w:val="ListParagraph"/>
            <w:numPr>
              <w:ilvl w:val="0"/>
              <w:numId w:val="1"/>
            </w:numPr>
            <w:rPr>
              <w:rFonts w:asciiTheme="minorHAnsi" w:hAnsiTheme="minorHAnsi" w:cstheme="minorHAnsi"/>
            </w:rPr>
          </w:pPr>
          <w:r w:rsidRPr="00347E38">
            <w:rPr>
              <w:rFonts w:asciiTheme="minorHAnsi" w:hAnsiTheme="minorHAnsi" w:cstheme="minorHAnsi"/>
              <w:color w:val="000000"/>
            </w:rPr>
            <w:t>B</w:t>
          </w:r>
          <w:r w:rsidRPr="00347E38">
            <w:rPr>
              <w:rFonts w:asciiTheme="minorHAnsi" w:hAnsiTheme="minorHAnsi" w:cstheme="minorHAnsi"/>
              <w:color w:val="000000"/>
            </w:rPr>
            <w:t>righam, E.F. and Ehrhardt, M.C. (2022)</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Financial Management: Theory and Practice</w:t>
          </w:r>
          <w:r w:rsidRPr="00347E38">
            <w:rPr>
              <w:rFonts w:asciiTheme="minorHAnsi" w:hAnsiTheme="minorHAnsi" w:cstheme="minorHAnsi"/>
              <w:color w:val="000000"/>
            </w:rPr>
            <w:t>. 16th edn. Boston: Cengage Learning.</w:t>
          </w:r>
        </w:p>
      </w:sdtContent>
    </w:sdt>
    <w:p w14:paraId="61A30EA6" w14:textId="77777777" w:rsidR="00180B4E" w:rsidRPr="00347E38" w:rsidRDefault="003F5E54" w:rsidP="00FF561F">
      <w:pPr>
        <w:pStyle w:val="ListParagraph"/>
        <w:numPr>
          <w:ilvl w:val="0"/>
          <w:numId w:val="1"/>
        </w:numPr>
        <w:rPr>
          <w:rFonts w:asciiTheme="minorHAnsi" w:hAnsiTheme="minorHAnsi" w:cstheme="minorHAnsi"/>
        </w:rPr>
      </w:pPr>
      <w:r w:rsidRPr="00347E38">
        <w:rPr>
          <w:rFonts w:asciiTheme="minorHAnsi" w:hAnsiTheme="minorHAnsi" w:cstheme="minorHAnsi"/>
        </w:rPr>
        <w:t>Brealey, R.A., Myers, S.C. and Allen, F. (2020)</w:t>
      </w:r>
      <w:r w:rsidRPr="00347E38">
        <w:rPr>
          <w:rFonts w:asciiTheme="minorHAnsi" w:eastAsiaTheme="minorEastAsia" w:hAnsiTheme="minorHAnsi" w:cstheme="minorHAnsi"/>
        </w:rPr>
        <w:t> </w:t>
      </w:r>
      <w:r w:rsidRPr="00347E38">
        <w:rPr>
          <w:rFonts w:asciiTheme="minorHAnsi" w:eastAsiaTheme="majorEastAsia" w:hAnsiTheme="minorHAnsi" w:cstheme="minorHAnsi"/>
          <w:i/>
          <w:iCs/>
        </w:rPr>
        <w:t>Principles of Corporate Finance</w:t>
      </w:r>
      <w:r w:rsidRPr="00347E38">
        <w:rPr>
          <w:rFonts w:asciiTheme="minorHAnsi" w:hAnsiTheme="minorHAnsi" w:cstheme="minorHAnsi"/>
        </w:rPr>
        <w:t>. 13th edn. New York: McGraw-Hill Education.</w:t>
      </w:r>
    </w:p>
    <w:p w14:paraId="49B2AF6E" w14:textId="77777777" w:rsidR="00E65A21" w:rsidRPr="00347E38" w:rsidRDefault="00FF561F" w:rsidP="00FF561F">
      <w:pPr>
        <w:pStyle w:val="ListParagraph"/>
        <w:numPr>
          <w:ilvl w:val="0"/>
          <w:numId w:val="1"/>
        </w:numPr>
        <w:rPr>
          <w:rFonts w:asciiTheme="minorHAnsi" w:hAnsiTheme="minorHAnsi" w:cstheme="minorHAnsi"/>
        </w:rPr>
      </w:pPr>
      <w:r w:rsidRPr="00347E38">
        <w:rPr>
          <w:rFonts w:asciiTheme="minorHAnsi" w:hAnsiTheme="minorHAnsi" w:cstheme="minorHAnsi"/>
        </w:rPr>
        <w:t>Dayananda, D., Irons, R., Harrison, S., Herbohn, J. and Rowland, P. (2002)</w:t>
      </w:r>
      <w:r w:rsidRPr="00347E38">
        <w:rPr>
          <w:rFonts w:asciiTheme="minorHAnsi" w:eastAsiaTheme="majorEastAsia" w:hAnsiTheme="minorHAnsi" w:cstheme="minorHAnsi"/>
        </w:rPr>
        <w:t> </w:t>
      </w:r>
      <w:r w:rsidRPr="00347E38">
        <w:rPr>
          <w:rFonts w:asciiTheme="minorHAnsi" w:hAnsiTheme="minorHAnsi" w:cstheme="minorHAnsi"/>
          <w:i/>
          <w:iCs/>
        </w:rPr>
        <w:t>Capital Budgeting: Financial Appraisal of Investment Projects</w:t>
      </w:r>
      <w:r w:rsidRPr="00347E38">
        <w:rPr>
          <w:rFonts w:asciiTheme="minorHAnsi" w:hAnsiTheme="minorHAnsi" w:cstheme="minorHAnsi"/>
        </w:rPr>
        <w:t>. Cambridge: Cambridge University Press.</w:t>
      </w:r>
    </w:p>
    <w:p w14:paraId="2B917DE8" w14:textId="77777777" w:rsidR="00BA26BF" w:rsidRPr="00347E38" w:rsidRDefault="00FF561F" w:rsidP="00BA26BF">
      <w:pPr>
        <w:pStyle w:val="ListParagraph"/>
        <w:numPr>
          <w:ilvl w:val="0"/>
          <w:numId w:val="1"/>
        </w:numPr>
        <w:rPr>
          <w:rFonts w:asciiTheme="minorHAnsi" w:hAnsiTheme="minorHAnsi" w:cstheme="minorHAnsi"/>
        </w:rPr>
      </w:pPr>
      <w:r w:rsidRPr="00347E38">
        <w:rPr>
          <w:rFonts w:asciiTheme="minorHAnsi" w:hAnsiTheme="minorHAnsi" w:cstheme="minorHAnsi"/>
        </w:rPr>
        <w:t>Ross, S.A., Westerfield, R.W. and Jordan, B.D. (2022)</w:t>
      </w:r>
      <w:r w:rsidRPr="00347E38">
        <w:rPr>
          <w:rFonts w:asciiTheme="minorHAnsi" w:eastAsiaTheme="majorEastAsia" w:hAnsiTheme="minorHAnsi" w:cstheme="minorHAnsi"/>
        </w:rPr>
        <w:t> </w:t>
      </w:r>
      <w:r w:rsidRPr="00347E38">
        <w:rPr>
          <w:rFonts w:asciiTheme="minorHAnsi" w:hAnsiTheme="minorHAnsi" w:cstheme="minorHAnsi"/>
          <w:i/>
          <w:iCs/>
        </w:rPr>
        <w:t>Fundamentals of Corporate Finance</w:t>
      </w:r>
      <w:r w:rsidRPr="00347E38">
        <w:rPr>
          <w:rFonts w:asciiTheme="minorHAnsi" w:hAnsiTheme="minorHAnsi" w:cstheme="minorHAnsi"/>
        </w:rPr>
        <w:t>. 14th edn. New York: McGraw-Hill Education.</w:t>
      </w:r>
      <w:r w:rsidR="003139FA" w:rsidRPr="00347E38">
        <w:rPr>
          <w:rFonts w:asciiTheme="minorHAnsi" w:hAnsiTheme="minorHAnsi" w:cstheme="minorHAnsi"/>
        </w:rPr>
        <w:t xml:space="preserve"> </w:t>
      </w:r>
    </w:p>
    <w:p w14:paraId="12158DB0" w14:textId="77777777" w:rsidR="00BA26BF" w:rsidRPr="00347E38" w:rsidRDefault="00BA26BF" w:rsidP="00BA26BF">
      <w:pPr>
        <w:pStyle w:val="ListParagraph"/>
        <w:numPr>
          <w:ilvl w:val="0"/>
          <w:numId w:val="1"/>
        </w:numPr>
        <w:rPr>
          <w:rFonts w:asciiTheme="minorHAnsi" w:hAnsiTheme="minorHAnsi" w:cstheme="minorHAnsi"/>
        </w:rPr>
      </w:pPr>
      <w:r w:rsidRPr="00347E38">
        <w:rPr>
          <w:rFonts w:asciiTheme="minorHAnsi" w:hAnsiTheme="minorHAnsi" w:cstheme="minorHAnsi"/>
          <w:color w:val="000000"/>
        </w:rPr>
        <w:t>Walsh, C. (2010)</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Key Management Ratios: How to Analyse, Compare and Control the Figures That Drive Company Value</w:t>
      </w:r>
      <w:r w:rsidRPr="00347E38">
        <w:rPr>
          <w:rFonts w:asciiTheme="minorHAnsi" w:hAnsiTheme="minorHAnsi" w:cstheme="minorHAnsi"/>
          <w:color w:val="000000"/>
        </w:rPr>
        <w:t>. 4th edn. Harlow: Pearson Education.</w:t>
      </w:r>
    </w:p>
    <w:p w14:paraId="4872EA43" w14:textId="56298664" w:rsidR="00BA26BF" w:rsidRPr="00347E38" w:rsidRDefault="00BA26BF" w:rsidP="00BA26BF">
      <w:pPr>
        <w:pStyle w:val="ListParagraph"/>
        <w:numPr>
          <w:ilvl w:val="0"/>
          <w:numId w:val="1"/>
        </w:numPr>
        <w:rPr>
          <w:rFonts w:asciiTheme="minorHAnsi" w:hAnsiTheme="minorHAnsi" w:cstheme="minorHAnsi"/>
        </w:rPr>
      </w:pPr>
      <w:r w:rsidRPr="00347E38">
        <w:rPr>
          <w:rFonts w:asciiTheme="minorHAnsi" w:hAnsiTheme="minorHAnsi" w:cstheme="minorHAnsi"/>
          <w:color w:val="000000"/>
        </w:rPr>
        <w:lastRenderedPageBreak/>
        <w:t>Marr, B. (2012)</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Key Performance Indicators: The 75 Measures Every Manager Needs to Know</w:t>
      </w:r>
      <w:r w:rsidRPr="00347E38">
        <w:rPr>
          <w:rFonts w:asciiTheme="minorHAnsi" w:hAnsiTheme="minorHAnsi" w:cstheme="minorHAnsi"/>
          <w:color w:val="000000"/>
        </w:rPr>
        <w:t>. Harlow: Pearson Education.</w:t>
      </w:r>
    </w:p>
    <w:p w14:paraId="285014BC" w14:textId="77777777" w:rsidR="00D56768" w:rsidRPr="00347E38" w:rsidRDefault="00D56768" w:rsidP="00D56768">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Atrill, P. (2019)</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Financial Management for Decision Makers</w:t>
      </w:r>
      <w:r w:rsidRPr="00347E38">
        <w:rPr>
          <w:rFonts w:asciiTheme="minorHAnsi" w:hAnsiTheme="minorHAnsi" w:cstheme="minorHAnsi"/>
          <w:color w:val="000000"/>
        </w:rPr>
        <w:t>. 9th edn. Harlow: Pearson Education.</w:t>
      </w:r>
    </w:p>
    <w:p w14:paraId="233838C1" w14:textId="77777777" w:rsidR="00D56768" w:rsidRPr="00347E38" w:rsidRDefault="00D56768" w:rsidP="00D56768">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Bekaert, G. (2017)</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International Finance: Theory into Practice</w:t>
      </w:r>
      <w:r w:rsidRPr="00347E38">
        <w:rPr>
          <w:rFonts w:asciiTheme="minorHAnsi" w:hAnsiTheme="minorHAnsi" w:cstheme="minorHAnsi"/>
          <w:color w:val="000000"/>
        </w:rPr>
        <w:t>. 3rd edn. Cambridge: Cambridge University Press.</w:t>
      </w:r>
    </w:p>
    <w:p w14:paraId="3EE61064" w14:textId="77777777" w:rsidR="00D56768" w:rsidRPr="00347E38" w:rsidRDefault="00D56768" w:rsidP="00D56768">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Bhimani, A. (2022)</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Financial Management for Technology Start-Ups: A Handbook for Growth</w:t>
      </w:r>
      <w:r w:rsidRPr="00347E38">
        <w:rPr>
          <w:rFonts w:asciiTheme="minorHAnsi" w:hAnsiTheme="minorHAnsi" w:cstheme="minorHAnsi"/>
          <w:color w:val="000000"/>
        </w:rPr>
        <w:t>. 2nd edn. London: Kogan Page.</w:t>
      </w:r>
    </w:p>
    <w:p w14:paraId="1B0FA2B9" w14:textId="77777777" w:rsidR="00D56768" w:rsidRPr="00347E38" w:rsidRDefault="00D56768" w:rsidP="00D56768">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Drury, C. (2020)</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Management and Cost Accounting</w:t>
      </w:r>
      <w:r w:rsidRPr="00347E38">
        <w:rPr>
          <w:rFonts w:asciiTheme="minorHAnsi" w:hAnsiTheme="minorHAnsi" w:cstheme="minorHAnsi"/>
          <w:color w:val="000000"/>
        </w:rPr>
        <w:t>. 11th edn. Andover: Cengage Learning.</w:t>
      </w:r>
    </w:p>
    <w:p w14:paraId="41E2573E" w14:textId="77777777" w:rsidR="00D56768" w:rsidRPr="00347E38" w:rsidRDefault="00D56768" w:rsidP="00D56768">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Saunders, A., Cornett, M.M. and McGraw, P.A. (2021)</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Financial Institutions Management: A Risk Management Approach</w:t>
      </w:r>
      <w:r w:rsidRPr="00347E38">
        <w:rPr>
          <w:rFonts w:asciiTheme="minorHAnsi" w:hAnsiTheme="minorHAnsi" w:cstheme="minorHAnsi"/>
          <w:color w:val="000000"/>
        </w:rPr>
        <w:t>. New York: McGraw-Hill Education.</w:t>
      </w:r>
    </w:p>
    <w:p w14:paraId="2339BCAB" w14:textId="77777777" w:rsidR="00D56768" w:rsidRPr="00347E38" w:rsidRDefault="00D56768" w:rsidP="00D56768">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CIMA (2022)</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Financial Management</w:t>
      </w:r>
      <w:r w:rsidRPr="00347E38">
        <w:rPr>
          <w:rFonts w:asciiTheme="minorHAnsi" w:hAnsiTheme="minorHAnsi" w:cstheme="minorHAnsi"/>
          <w:color w:val="000000"/>
        </w:rPr>
        <w:t>. London: Chartered Institute of Management Accountants.</w:t>
      </w:r>
    </w:p>
    <w:p w14:paraId="3543007D" w14:textId="77777777" w:rsidR="00C249F1" w:rsidRPr="00347E38" w:rsidRDefault="00D56768" w:rsidP="00C249F1">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Kersten, R., Harms, J., Liket, K. and Maas, K. (2017) ‘Small firms, large impact? A systematic review of the SME finance literature’,</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World Development</w:t>
      </w:r>
      <w:r w:rsidRPr="00347E38">
        <w:rPr>
          <w:rFonts w:asciiTheme="minorHAnsi" w:hAnsiTheme="minorHAnsi" w:cstheme="minorHAnsi"/>
          <w:color w:val="000000"/>
        </w:rPr>
        <w:t>, 97, pp. 330–348.</w:t>
      </w:r>
    </w:p>
    <w:p w14:paraId="7C5EC23C" w14:textId="14D97932" w:rsidR="00C249F1" w:rsidRPr="00347E38" w:rsidRDefault="00C249F1" w:rsidP="00C249F1">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Kester, C.W., Kim, D. and Nofsinger, J.R. (2012)</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Wealth Maximi</w:t>
      </w:r>
      <w:r w:rsidR="00C72159">
        <w:rPr>
          <w:rStyle w:val="Emphasis"/>
          <w:rFonts w:asciiTheme="minorHAnsi" w:hAnsiTheme="minorHAnsi" w:cstheme="minorHAnsi"/>
          <w:color w:val="000000"/>
        </w:rPr>
        <w:t>s</w:t>
      </w:r>
      <w:r w:rsidRPr="00347E38">
        <w:rPr>
          <w:rStyle w:val="Emphasis"/>
          <w:rFonts w:asciiTheme="minorHAnsi" w:hAnsiTheme="minorHAnsi" w:cstheme="minorHAnsi"/>
          <w:color w:val="000000"/>
        </w:rPr>
        <w:t>ation and Accounting for Managers</w:t>
      </w:r>
      <w:r w:rsidRPr="00347E38">
        <w:rPr>
          <w:rFonts w:asciiTheme="minorHAnsi" w:hAnsiTheme="minorHAnsi" w:cstheme="minorHAnsi"/>
          <w:color w:val="000000"/>
        </w:rPr>
        <w:t>. Hoboken, NJ: Wiley.</w:t>
      </w:r>
    </w:p>
    <w:p w14:paraId="5A4E6B2F" w14:textId="77777777" w:rsidR="00C249F1" w:rsidRPr="00347E38" w:rsidRDefault="00C249F1" w:rsidP="00C249F1">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Lazaridis, I. and Tryfonidis, D. (2006) ‘Relationship between working capital management and profitability of listed companies in the Athens Stock Exchange’,</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Journal of Financial Management and Analysis</w:t>
      </w:r>
      <w:r w:rsidRPr="00347E38">
        <w:rPr>
          <w:rFonts w:asciiTheme="minorHAnsi" w:hAnsiTheme="minorHAnsi" w:cstheme="minorHAnsi"/>
          <w:color w:val="000000"/>
        </w:rPr>
        <w:t>, 19(1), pp. 26–35.</w:t>
      </w:r>
    </w:p>
    <w:p w14:paraId="0D72DFCA" w14:textId="77777777" w:rsidR="00C249F1" w:rsidRPr="00347E38" w:rsidRDefault="00C249F1" w:rsidP="00C249F1">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Pike, R. and Neale, B. (2009)</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Corporate Finance and Investment: Decisions and Strategies</w:t>
      </w:r>
      <w:r w:rsidRPr="00347E38">
        <w:rPr>
          <w:rFonts w:asciiTheme="minorHAnsi" w:hAnsiTheme="minorHAnsi" w:cstheme="minorHAnsi"/>
          <w:color w:val="000000"/>
        </w:rPr>
        <w:t>. 6th edn. Harlow: Pearson Education.</w:t>
      </w:r>
    </w:p>
    <w:p w14:paraId="1BD029BC" w14:textId="77777777" w:rsidR="00C22AA8" w:rsidRPr="00347E38" w:rsidRDefault="00C22AA8" w:rsidP="00C22AA8">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Moles, P. and Terry, N. (1997)</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The Handbook of International Finance: Financial Instruments, Corporate Finance, and Investment Management</w:t>
      </w:r>
      <w:r w:rsidRPr="00347E38">
        <w:rPr>
          <w:rFonts w:asciiTheme="minorHAnsi" w:hAnsiTheme="minorHAnsi" w:cstheme="minorHAnsi"/>
          <w:color w:val="000000"/>
        </w:rPr>
        <w:t>. Oxford: Blackwell Publishers.</w:t>
      </w:r>
    </w:p>
    <w:p w14:paraId="1BDDC706" w14:textId="77777777" w:rsidR="00C22AA8" w:rsidRPr="00347E38" w:rsidRDefault="00C22AA8" w:rsidP="00C22AA8">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Myers, S.C. (2001)</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Capital Structure</w:t>
      </w:r>
      <w:r w:rsidRPr="00347E38">
        <w:rPr>
          <w:rFonts w:asciiTheme="minorHAnsi" w:hAnsiTheme="minorHAnsi" w:cstheme="minorHAnsi"/>
          <w:color w:val="000000"/>
        </w:rPr>
        <w:t>. Journal of Economic Perspectives, 15(2), pp. 81–102.</w:t>
      </w:r>
    </w:p>
    <w:p w14:paraId="2628EDB9" w14:textId="77777777" w:rsidR="00C22AA8" w:rsidRPr="00347E38" w:rsidRDefault="00C22AA8" w:rsidP="00C22AA8">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Modigliani, F. and Miller, M.H. (1958) ‘The Cost of Capital, Corporation Finance and the Theory of Investment’,</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American Economic Review</w:t>
      </w:r>
      <w:r w:rsidRPr="00347E38">
        <w:rPr>
          <w:rFonts w:asciiTheme="minorHAnsi" w:hAnsiTheme="minorHAnsi" w:cstheme="minorHAnsi"/>
          <w:color w:val="000000"/>
        </w:rPr>
        <w:t>, 48(3), pp. 261–297.</w:t>
      </w:r>
    </w:p>
    <w:p w14:paraId="0B34A30F" w14:textId="77777777" w:rsidR="00C22AA8" w:rsidRPr="00347E38" w:rsidRDefault="00C22AA8" w:rsidP="00C22AA8">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Jensen, M.C. (1986) ‘Agency Costs of Free Cash Flow, Corporate Finance, and Takeovers’,</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American Economic Review</w:t>
      </w:r>
      <w:r w:rsidRPr="00347E38">
        <w:rPr>
          <w:rFonts w:asciiTheme="minorHAnsi" w:hAnsiTheme="minorHAnsi" w:cstheme="minorHAnsi"/>
          <w:color w:val="000000"/>
        </w:rPr>
        <w:t>, 76(2), pp. 323–329.</w:t>
      </w:r>
    </w:p>
    <w:p w14:paraId="7D60298C" w14:textId="77777777" w:rsidR="00C22AA8" w:rsidRPr="00347E38" w:rsidRDefault="00C22AA8" w:rsidP="00C22AA8">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Rappaport, A. (1986)</w:t>
      </w:r>
      <w:r w:rsidRPr="00347E38">
        <w:rPr>
          <w:rStyle w:val="apple-converted-space"/>
          <w:rFonts w:asciiTheme="minorHAnsi" w:eastAsiaTheme="majorEastAsia" w:hAnsiTheme="minorHAnsi" w:cstheme="minorHAnsi"/>
          <w:color w:val="000000"/>
        </w:rPr>
        <w:t> </w:t>
      </w:r>
      <w:r w:rsidRPr="00347E38">
        <w:rPr>
          <w:rStyle w:val="Emphasis"/>
          <w:rFonts w:asciiTheme="minorHAnsi" w:hAnsiTheme="minorHAnsi" w:cstheme="minorHAnsi"/>
          <w:color w:val="000000"/>
        </w:rPr>
        <w:t>Creating Shareholder Value: The New Standard for Business Performance</w:t>
      </w:r>
      <w:r w:rsidRPr="00347E38">
        <w:rPr>
          <w:rFonts w:asciiTheme="minorHAnsi" w:hAnsiTheme="minorHAnsi" w:cstheme="minorHAnsi"/>
          <w:color w:val="000000"/>
        </w:rPr>
        <w:t>. New York: Free Press.</w:t>
      </w:r>
    </w:p>
    <w:p w14:paraId="797516DE" w14:textId="5850A343" w:rsidR="00E65A21" w:rsidRPr="00347E38" w:rsidRDefault="00427382" w:rsidP="00427382">
      <w:pPr>
        <w:pStyle w:val="NormalWeb"/>
        <w:numPr>
          <w:ilvl w:val="0"/>
          <w:numId w:val="1"/>
        </w:numPr>
        <w:rPr>
          <w:rStyle w:val="Strong"/>
          <w:rFonts w:asciiTheme="minorHAnsi" w:hAnsiTheme="minorHAnsi" w:cstheme="minorHAnsi"/>
          <w:b w:val="0"/>
          <w:bCs w:val="0"/>
          <w:color w:val="000000"/>
        </w:rPr>
      </w:pPr>
      <w:r w:rsidRPr="00347E38">
        <w:rPr>
          <w:rStyle w:val="Strong"/>
          <w:rFonts w:asciiTheme="minorHAnsi" w:eastAsiaTheme="majorEastAsia" w:hAnsiTheme="minorHAnsi" w:cstheme="minorHAnsi"/>
          <w:b w:val="0"/>
          <w:bCs w:val="0"/>
          <w:color w:val="000000"/>
        </w:rPr>
        <w:t>Damodaran, A. (2010)</w:t>
      </w:r>
      <w:r w:rsidRPr="00347E38">
        <w:rPr>
          <w:rStyle w:val="apple-converted-space"/>
          <w:rFonts w:asciiTheme="minorHAnsi" w:hAnsiTheme="minorHAnsi" w:cstheme="minorHAnsi"/>
          <w:b/>
          <w:bCs/>
          <w:color w:val="000000"/>
        </w:rPr>
        <w:t> </w:t>
      </w:r>
      <w:r w:rsidRPr="00347E38">
        <w:rPr>
          <w:rStyle w:val="Emphasis"/>
          <w:rFonts w:asciiTheme="minorHAnsi" w:hAnsiTheme="minorHAnsi" w:cstheme="minorHAnsi"/>
          <w:color w:val="000000"/>
        </w:rPr>
        <w:t>Applied Corporate Finance</w:t>
      </w:r>
      <w:r w:rsidRPr="00347E38">
        <w:rPr>
          <w:rStyle w:val="Strong"/>
          <w:rFonts w:asciiTheme="minorHAnsi" w:eastAsiaTheme="majorEastAsia" w:hAnsiTheme="minorHAnsi" w:cstheme="minorHAnsi"/>
          <w:color w:val="000000"/>
        </w:rPr>
        <w:t>.</w:t>
      </w:r>
      <w:r w:rsidRPr="00347E38">
        <w:rPr>
          <w:rStyle w:val="Strong"/>
          <w:rFonts w:asciiTheme="minorHAnsi" w:eastAsiaTheme="majorEastAsia" w:hAnsiTheme="minorHAnsi" w:cstheme="minorHAnsi"/>
          <w:b w:val="0"/>
          <w:bCs w:val="0"/>
          <w:color w:val="000000"/>
        </w:rPr>
        <w:t xml:space="preserve"> 3rd edn. Hoboken: John Wiley &amp; Sons.</w:t>
      </w:r>
    </w:p>
    <w:p w14:paraId="3FC8E6DD" w14:textId="77777777" w:rsidR="00FA436B" w:rsidRDefault="001E526C" w:rsidP="00FA436B">
      <w:pPr>
        <w:pStyle w:val="NormalWeb"/>
        <w:numPr>
          <w:ilvl w:val="0"/>
          <w:numId w:val="1"/>
        </w:numPr>
        <w:rPr>
          <w:rFonts w:asciiTheme="minorHAnsi" w:hAnsiTheme="minorHAnsi" w:cstheme="minorHAnsi"/>
          <w:color w:val="000000"/>
        </w:rPr>
      </w:pPr>
      <w:r w:rsidRPr="00347E38">
        <w:rPr>
          <w:rFonts w:asciiTheme="minorHAnsi" w:hAnsiTheme="minorHAnsi" w:cstheme="minorHAnsi"/>
          <w:color w:val="000000"/>
        </w:rPr>
        <w:t>Van Horne, J.C. and Wachowicz, J.M. (2008) </w:t>
      </w:r>
      <w:r w:rsidRPr="00347E38">
        <w:rPr>
          <w:rFonts w:asciiTheme="minorHAnsi" w:hAnsiTheme="minorHAnsi" w:cstheme="minorHAnsi"/>
          <w:i/>
          <w:iCs/>
          <w:color w:val="000000"/>
        </w:rPr>
        <w:t>Fundamentals of Financial Management</w:t>
      </w:r>
      <w:r w:rsidRPr="00347E38">
        <w:rPr>
          <w:rFonts w:asciiTheme="minorHAnsi" w:hAnsiTheme="minorHAnsi" w:cstheme="minorHAnsi"/>
          <w:color w:val="000000"/>
        </w:rPr>
        <w:t>. 13th edn. Harlow: Pearson Education.</w:t>
      </w:r>
    </w:p>
    <w:p w14:paraId="14B3F583" w14:textId="68E8A32D" w:rsidR="00FA436B" w:rsidRPr="00FA436B" w:rsidRDefault="00FA436B" w:rsidP="00FA436B">
      <w:pPr>
        <w:pStyle w:val="NormalWeb"/>
        <w:numPr>
          <w:ilvl w:val="0"/>
          <w:numId w:val="1"/>
        </w:numPr>
        <w:rPr>
          <w:rFonts w:asciiTheme="minorHAnsi" w:hAnsiTheme="minorHAnsi" w:cstheme="minorHAnsi"/>
          <w:color w:val="000000"/>
        </w:rPr>
      </w:pPr>
      <w:r w:rsidRPr="00FA436B">
        <w:rPr>
          <w:rStyle w:val="Strong"/>
          <w:rFonts w:asciiTheme="minorHAnsi" w:eastAsiaTheme="majorEastAsia" w:hAnsiTheme="minorHAnsi" w:cstheme="minorHAnsi"/>
          <w:b w:val="0"/>
          <w:bCs w:val="0"/>
          <w:color w:val="000000"/>
        </w:rPr>
        <w:t>International Accounting Standards Board (IASB) (2021)</w:t>
      </w:r>
      <w:r w:rsidRPr="00FA436B">
        <w:rPr>
          <w:rStyle w:val="apple-converted-space"/>
          <w:rFonts w:asciiTheme="minorHAnsi" w:hAnsiTheme="minorHAnsi" w:cstheme="minorHAnsi"/>
          <w:color w:val="000000"/>
        </w:rPr>
        <w:t> </w:t>
      </w:r>
      <w:r w:rsidRPr="00FA436B">
        <w:rPr>
          <w:rStyle w:val="Emphasis"/>
          <w:rFonts w:asciiTheme="minorHAnsi" w:hAnsiTheme="minorHAnsi" w:cstheme="minorHAnsi"/>
          <w:color w:val="000000"/>
        </w:rPr>
        <w:t>Practice Statement on Management Commentary</w:t>
      </w:r>
      <w:r w:rsidRPr="00FA436B">
        <w:rPr>
          <w:rFonts w:asciiTheme="minorHAnsi" w:hAnsiTheme="minorHAnsi" w:cstheme="minorHAnsi"/>
          <w:color w:val="000000"/>
        </w:rPr>
        <w:t>. London: IASB.</w:t>
      </w:r>
    </w:p>
    <w:p w14:paraId="05C4DDD8" w14:textId="77777777" w:rsidR="00FA436B" w:rsidRPr="00347E38" w:rsidRDefault="00FA436B" w:rsidP="00FA436B">
      <w:pPr>
        <w:pStyle w:val="NormalWeb"/>
        <w:ind w:left="720"/>
        <w:rPr>
          <w:rFonts w:asciiTheme="minorHAnsi" w:hAnsiTheme="minorHAnsi" w:cstheme="minorHAnsi"/>
          <w:color w:val="000000"/>
        </w:rPr>
      </w:pPr>
    </w:p>
    <w:p w14:paraId="126261C2" w14:textId="77777777" w:rsidR="00CF0E48" w:rsidRPr="00347E38" w:rsidRDefault="00CF0E48">
      <w:pPr>
        <w:rPr>
          <w:rFonts w:asciiTheme="minorHAnsi" w:hAnsiTheme="minorHAnsi" w:cstheme="minorHAnsi"/>
        </w:rPr>
      </w:pPr>
    </w:p>
    <w:sectPr w:rsidR="00CF0E48" w:rsidRPr="00347E38" w:rsidSect="007D1947">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966029" w14:textId="77777777" w:rsidR="001214F9" w:rsidRDefault="001214F9" w:rsidP="00F33B24">
      <w:r>
        <w:separator/>
      </w:r>
    </w:p>
  </w:endnote>
  <w:endnote w:type="continuationSeparator" w:id="0">
    <w:p w14:paraId="0BFD2EC7" w14:textId="77777777" w:rsidR="001214F9" w:rsidRDefault="001214F9" w:rsidP="00F33B24">
      <w:r>
        <w:continuationSeparator/>
      </w:r>
    </w:p>
  </w:endnote>
  <w:endnote w:type="continuationNotice" w:id="1">
    <w:p w14:paraId="733EA206" w14:textId="77777777" w:rsidR="001214F9" w:rsidRDefault="001214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65DC6A" w14:textId="77777777" w:rsidR="001214F9" w:rsidRDefault="001214F9" w:rsidP="00F33B24">
      <w:r>
        <w:separator/>
      </w:r>
    </w:p>
  </w:footnote>
  <w:footnote w:type="continuationSeparator" w:id="0">
    <w:p w14:paraId="7C19CA7F" w14:textId="77777777" w:rsidR="001214F9" w:rsidRDefault="001214F9" w:rsidP="00F33B24">
      <w:r>
        <w:continuationSeparator/>
      </w:r>
    </w:p>
  </w:footnote>
  <w:footnote w:type="continuationNotice" w:id="1">
    <w:p w14:paraId="665CE837" w14:textId="77777777" w:rsidR="001214F9" w:rsidRDefault="001214F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D72DF"/>
    <w:multiLevelType w:val="hybridMultilevel"/>
    <w:tmpl w:val="7A02449C"/>
    <w:lvl w:ilvl="0" w:tplc="63BCB07E">
      <w:start w:val="1"/>
      <w:numFmt w:val="decimal"/>
      <w:lvlText w:val="%1."/>
      <w:lvlJc w:val="left"/>
      <w:pPr>
        <w:ind w:left="720" w:hanging="360"/>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E95E13"/>
    <w:multiLevelType w:val="multilevel"/>
    <w:tmpl w:val="99165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8D6FE6"/>
    <w:multiLevelType w:val="multilevel"/>
    <w:tmpl w:val="1FBCC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252FEB"/>
    <w:multiLevelType w:val="multilevel"/>
    <w:tmpl w:val="2BA83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1013371">
    <w:abstractNumId w:val="0"/>
  </w:num>
  <w:num w:numId="2" w16cid:durableId="1997801248">
    <w:abstractNumId w:val="1"/>
  </w:num>
  <w:num w:numId="3" w16cid:durableId="1517109725">
    <w:abstractNumId w:val="3"/>
  </w:num>
  <w:num w:numId="4" w16cid:durableId="5622510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327"/>
    <w:rsid w:val="00005D26"/>
    <w:rsid w:val="00011B1B"/>
    <w:rsid w:val="00011F0C"/>
    <w:rsid w:val="00013E36"/>
    <w:rsid w:val="00023957"/>
    <w:rsid w:val="00024136"/>
    <w:rsid w:val="00026974"/>
    <w:rsid w:val="00030AEB"/>
    <w:rsid w:val="00030E96"/>
    <w:rsid w:val="0003151A"/>
    <w:rsid w:val="00033140"/>
    <w:rsid w:val="000354A8"/>
    <w:rsid w:val="000417D5"/>
    <w:rsid w:val="0004185B"/>
    <w:rsid w:val="00046B01"/>
    <w:rsid w:val="0004735E"/>
    <w:rsid w:val="00051837"/>
    <w:rsid w:val="00051B68"/>
    <w:rsid w:val="00053623"/>
    <w:rsid w:val="00054437"/>
    <w:rsid w:val="00054795"/>
    <w:rsid w:val="0005585F"/>
    <w:rsid w:val="00057A2E"/>
    <w:rsid w:val="00065861"/>
    <w:rsid w:val="000758F5"/>
    <w:rsid w:val="000771ED"/>
    <w:rsid w:val="000803E4"/>
    <w:rsid w:val="00080969"/>
    <w:rsid w:val="0008177A"/>
    <w:rsid w:val="00081F97"/>
    <w:rsid w:val="0008220F"/>
    <w:rsid w:val="00082258"/>
    <w:rsid w:val="00084E65"/>
    <w:rsid w:val="0008626D"/>
    <w:rsid w:val="0008653D"/>
    <w:rsid w:val="00092027"/>
    <w:rsid w:val="000925C0"/>
    <w:rsid w:val="000925EB"/>
    <w:rsid w:val="000A4709"/>
    <w:rsid w:val="000A6313"/>
    <w:rsid w:val="000B2B27"/>
    <w:rsid w:val="000B43C3"/>
    <w:rsid w:val="000C230C"/>
    <w:rsid w:val="000C388B"/>
    <w:rsid w:val="000C461E"/>
    <w:rsid w:val="000C6E51"/>
    <w:rsid w:val="000C7D42"/>
    <w:rsid w:val="000D1FAC"/>
    <w:rsid w:val="000D2E95"/>
    <w:rsid w:val="000D332F"/>
    <w:rsid w:val="000E1F08"/>
    <w:rsid w:val="000E675A"/>
    <w:rsid w:val="000F12CC"/>
    <w:rsid w:val="000F25B1"/>
    <w:rsid w:val="000F322A"/>
    <w:rsid w:val="00105233"/>
    <w:rsid w:val="00107936"/>
    <w:rsid w:val="0011269E"/>
    <w:rsid w:val="00115B96"/>
    <w:rsid w:val="00115BE0"/>
    <w:rsid w:val="00116C9F"/>
    <w:rsid w:val="00116FBC"/>
    <w:rsid w:val="001214F9"/>
    <w:rsid w:val="0012265D"/>
    <w:rsid w:val="0012402E"/>
    <w:rsid w:val="00124A62"/>
    <w:rsid w:val="00126001"/>
    <w:rsid w:val="0012738E"/>
    <w:rsid w:val="00132B1E"/>
    <w:rsid w:val="001358A4"/>
    <w:rsid w:val="00135C1E"/>
    <w:rsid w:val="00137A4F"/>
    <w:rsid w:val="001446DF"/>
    <w:rsid w:val="001521EA"/>
    <w:rsid w:val="00155BC2"/>
    <w:rsid w:val="001634C0"/>
    <w:rsid w:val="00164F4A"/>
    <w:rsid w:val="001651B1"/>
    <w:rsid w:val="001731C4"/>
    <w:rsid w:val="001762F3"/>
    <w:rsid w:val="00180B4E"/>
    <w:rsid w:val="001811B7"/>
    <w:rsid w:val="0018428C"/>
    <w:rsid w:val="001A01F0"/>
    <w:rsid w:val="001A2775"/>
    <w:rsid w:val="001A28CA"/>
    <w:rsid w:val="001A2FD2"/>
    <w:rsid w:val="001A5450"/>
    <w:rsid w:val="001B0331"/>
    <w:rsid w:val="001B05A7"/>
    <w:rsid w:val="001B57AB"/>
    <w:rsid w:val="001B6359"/>
    <w:rsid w:val="001C36DE"/>
    <w:rsid w:val="001C513F"/>
    <w:rsid w:val="001D29A9"/>
    <w:rsid w:val="001D4731"/>
    <w:rsid w:val="001D589D"/>
    <w:rsid w:val="001D5B42"/>
    <w:rsid w:val="001D633E"/>
    <w:rsid w:val="001E1344"/>
    <w:rsid w:val="001E526C"/>
    <w:rsid w:val="001E6204"/>
    <w:rsid w:val="001E653F"/>
    <w:rsid w:val="001E68B6"/>
    <w:rsid w:val="001E7060"/>
    <w:rsid w:val="0020175E"/>
    <w:rsid w:val="00206D81"/>
    <w:rsid w:val="00207037"/>
    <w:rsid w:val="00216AC8"/>
    <w:rsid w:val="00216B7A"/>
    <w:rsid w:val="00222C93"/>
    <w:rsid w:val="002231E9"/>
    <w:rsid w:val="00223832"/>
    <w:rsid w:val="002260C8"/>
    <w:rsid w:val="00235490"/>
    <w:rsid w:val="0023696C"/>
    <w:rsid w:val="00244B30"/>
    <w:rsid w:val="00245787"/>
    <w:rsid w:val="002509BE"/>
    <w:rsid w:val="002539D3"/>
    <w:rsid w:val="00256319"/>
    <w:rsid w:val="00257F1A"/>
    <w:rsid w:val="00263FB8"/>
    <w:rsid w:val="00264460"/>
    <w:rsid w:val="00266481"/>
    <w:rsid w:val="002700F1"/>
    <w:rsid w:val="002737D6"/>
    <w:rsid w:val="002747CD"/>
    <w:rsid w:val="00285381"/>
    <w:rsid w:val="00286A4B"/>
    <w:rsid w:val="0028741A"/>
    <w:rsid w:val="0028780B"/>
    <w:rsid w:val="00290D8C"/>
    <w:rsid w:val="00293259"/>
    <w:rsid w:val="002941D0"/>
    <w:rsid w:val="0029578C"/>
    <w:rsid w:val="002972C6"/>
    <w:rsid w:val="002B095D"/>
    <w:rsid w:val="002B64DA"/>
    <w:rsid w:val="002B6C17"/>
    <w:rsid w:val="002C041C"/>
    <w:rsid w:val="002C0E02"/>
    <w:rsid w:val="002C45D4"/>
    <w:rsid w:val="002C4A10"/>
    <w:rsid w:val="002C6FEC"/>
    <w:rsid w:val="002C7E03"/>
    <w:rsid w:val="002D05DB"/>
    <w:rsid w:val="002D1147"/>
    <w:rsid w:val="002D1600"/>
    <w:rsid w:val="002D1F08"/>
    <w:rsid w:val="002D20E9"/>
    <w:rsid w:val="002D22CD"/>
    <w:rsid w:val="002D2816"/>
    <w:rsid w:val="002D3CE0"/>
    <w:rsid w:val="002E02EB"/>
    <w:rsid w:val="002E4FF4"/>
    <w:rsid w:val="002E61BD"/>
    <w:rsid w:val="002E6881"/>
    <w:rsid w:val="002F24A0"/>
    <w:rsid w:val="002F4517"/>
    <w:rsid w:val="002F4A40"/>
    <w:rsid w:val="002F5383"/>
    <w:rsid w:val="003139FA"/>
    <w:rsid w:val="00316BFD"/>
    <w:rsid w:val="00320E40"/>
    <w:rsid w:val="003217B8"/>
    <w:rsid w:val="00321CA2"/>
    <w:rsid w:val="00321DC1"/>
    <w:rsid w:val="00322BDA"/>
    <w:rsid w:val="00324CCD"/>
    <w:rsid w:val="0033250C"/>
    <w:rsid w:val="00336BF8"/>
    <w:rsid w:val="0034272F"/>
    <w:rsid w:val="00342C73"/>
    <w:rsid w:val="003430AD"/>
    <w:rsid w:val="003447FB"/>
    <w:rsid w:val="00344E2C"/>
    <w:rsid w:val="003472D4"/>
    <w:rsid w:val="00347533"/>
    <w:rsid w:val="00347E38"/>
    <w:rsid w:val="0035188C"/>
    <w:rsid w:val="00362122"/>
    <w:rsid w:val="00363664"/>
    <w:rsid w:val="00363DF5"/>
    <w:rsid w:val="00367716"/>
    <w:rsid w:val="003703AE"/>
    <w:rsid w:val="0037307A"/>
    <w:rsid w:val="0038563B"/>
    <w:rsid w:val="003858F0"/>
    <w:rsid w:val="0039195C"/>
    <w:rsid w:val="00391E76"/>
    <w:rsid w:val="00395B4C"/>
    <w:rsid w:val="00395D61"/>
    <w:rsid w:val="003A1027"/>
    <w:rsid w:val="003A7A0E"/>
    <w:rsid w:val="003B5C0C"/>
    <w:rsid w:val="003B5E82"/>
    <w:rsid w:val="003C11E7"/>
    <w:rsid w:val="003C5A7E"/>
    <w:rsid w:val="003C5D32"/>
    <w:rsid w:val="003C7618"/>
    <w:rsid w:val="003D0884"/>
    <w:rsid w:val="003D1DD0"/>
    <w:rsid w:val="003D4977"/>
    <w:rsid w:val="003D549A"/>
    <w:rsid w:val="003D70E9"/>
    <w:rsid w:val="003E1C68"/>
    <w:rsid w:val="003E29B7"/>
    <w:rsid w:val="003E458E"/>
    <w:rsid w:val="003F0972"/>
    <w:rsid w:val="003F256E"/>
    <w:rsid w:val="003F475C"/>
    <w:rsid w:val="003F4C74"/>
    <w:rsid w:val="003F5E54"/>
    <w:rsid w:val="00402CBC"/>
    <w:rsid w:val="00402F1E"/>
    <w:rsid w:val="004038C2"/>
    <w:rsid w:val="00404181"/>
    <w:rsid w:val="004052A5"/>
    <w:rsid w:val="0040758B"/>
    <w:rsid w:val="004113A2"/>
    <w:rsid w:val="00412C91"/>
    <w:rsid w:val="004130AE"/>
    <w:rsid w:val="00417830"/>
    <w:rsid w:val="00417EFE"/>
    <w:rsid w:val="0042072B"/>
    <w:rsid w:val="00421E72"/>
    <w:rsid w:val="00425A70"/>
    <w:rsid w:val="00426B0A"/>
    <w:rsid w:val="00427382"/>
    <w:rsid w:val="004312D9"/>
    <w:rsid w:val="0043176D"/>
    <w:rsid w:val="0043236D"/>
    <w:rsid w:val="00433074"/>
    <w:rsid w:val="004430D4"/>
    <w:rsid w:val="00446D7E"/>
    <w:rsid w:val="00454579"/>
    <w:rsid w:val="00457B3F"/>
    <w:rsid w:val="004641B3"/>
    <w:rsid w:val="0046690B"/>
    <w:rsid w:val="00467594"/>
    <w:rsid w:val="00474C22"/>
    <w:rsid w:val="0048029C"/>
    <w:rsid w:val="0048075B"/>
    <w:rsid w:val="00480872"/>
    <w:rsid w:val="00485516"/>
    <w:rsid w:val="004902B9"/>
    <w:rsid w:val="0049093D"/>
    <w:rsid w:val="004934FF"/>
    <w:rsid w:val="00495161"/>
    <w:rsid w:val="00496D7B"/>
    <w:rsid w:val="00497402"/>
    <w:rsid w:val="004A11F6"/>
    <w:rsid w:val="004A69EE"/>
    <w:rsid w:val="004A74B8"/>
    <w:rsid w:val="004B2FE3"/>
    <w:rsid w:val="004B3EBC"/>
    <w:rsid w:val="004B5E49"/>
    <w:rsid w:val="004B7E25"/>
    <w:rsid w:val="004D0395"/>
    <w:rsid w:val="004D1C6C"/>
    <w:rsid w:val="004D519C"/>
    <w:rsid w:val="004E076B"/>
    <w:rsid w:val="004E0995"/>
    <w:rsid w:val="004E2A91"/>
    <w:rsid w:val="004E2C13"/>
    <w:rsid w:val="004E4C44"/>
    <w:rsid w:val="004E4DB1"/>
    <w:rsid w:val="004E5ED5"/>
    <w:rsid w:val="004E6775"/>
    <w:rsid w:val="004E6BA0"/>
    <w:rsid w:val="004F28A5"/>
    <w:rsid w:val="004F297C"/>
    <w:rsid w:val="004F35FB"/>
    <w:rsid w:val="004F3B1E"/>
    <w:rsid w:val="004F44DB"/>
    <w:rsid w:val="00500777"/>
    <w:rsid w:val="00501930"/>
    <w:rsid w:val="00502D5F"/>
    <w:rsid w:val="00506850"/>
    <w:rsid w:val="005150E5"/>
    <w:rsid w:val="00517595"/>
    <w:rsid w:val="00522717"/>
    <w:rsid w:val="00523F16"/>
    <w:rsid w:val="00524B46"/>
    <w:rsid w:val="00524BA1"/>
    <w:rsid w:val="005259B8"/>
    <w:rsid w:val="0052703F"/>
    <w:rsid w:val="005332FC"/>
    <w:rsid w:val="00542730"/>
    <w:rsid w:val="00543153"/>
    <w:rsid w:val="00554277"/>
    <w:rsid w:val="00555061"/>
    <w:rsid w:val="005559D7"/>
    <w:rsid w:val="0056140D"/>
    <w:rsid w:val="00564951"/>
    <w:rsid w:val="005651AF"/>
    <w:rsid w:val="00565BA2"/>
    <w:rsid w:val="00566DF1"/>
    <w:rsid w:val="005676C9"/>
    <w:rsid w:val="00574855"/>
    <w:rsid w:val="005818A1"/>
    <w:rsid w:val="005861D7"/>
    <w:rsid w:val="00592E87"/>
    <w:rsid w:val="00593B93"/>
    <w:rsid w:val="00594AE5"/>
    <w:rsid w:val="005A3D59"/>
    <w:rsid w:val="005B1342"/>
    <w:rsid w:val="005B20C2"/>
    <w:rsid w:val="005B3DB7"/>
    <w:rsid w:val="005B43C3"/>
    <w:rsid w:val="005D135F"/>
    <w:rsid w:val="005D26A6"/>
    <w:rsid w:val="005E069F"/>
    <w:rsid w:val="005E0847"/>
    <w:rsid w:val="005E2ECC"/>
    <w:rsid w:val="005E5E47"/>
    <w:rsid w:val="00600777"/>
    <w:rsid w:val="00603A63"/>
    <w:rsid w:val="0060442B"/>
    <w:rsid w:val="00605EF5"/>
    <w:rsid w:val="0061234A"/>
    <w:rsid w:val="00612635"/>
    <w:rsid w:val="00613538"/>
    <w:rsid w:val="00613EA5"/>
    <w:rsid w:val="0061735A"/>
    <w:rsid w:val="006209A6"/>
    <w:rsid w:val="00621791"/>
    <w:rsid w:val="0062436C"/>
    <w:rsid w:val="006253AE"/>
    <w:rsid w:val="00626225"/>
    <w:rsid w:val="006262CC"/>
    <w:rsid w:val="00634B3D"/>
    <w:rsid w:val="006416A1"/>
    <w:rsid w:val="00651618"/>
    <w:rsid w:val="00654C9A"/>
    <w:rsid w:val="00666EA0"/>
    <w:rsid w:val="00667567"/>
    <w:rsid w:val="006677C3"/>
    <w:rsid w:val="006711A4"/>
    <w:rsid w:val="006712E6"/>
    <w:rsid w:val="006736CA"/>
    <w:rsid w:val="00680EB8"/>
    <w:rsid w:val="00687AD1"/>
    <w:rsid w:val="00697BF3"/>
    <w:rsid w:val="00697D19"/>
    <w:rsid w:val="006A261F"/>
    <w:rsid w:val="006A2D62"/>
    <w:rsid w:val="006A41D6"/>
    <w:rsid w:val="006A6845"/>
    <w:rsid w:val="006A7D81"/>
    <w:rsid w:val="006B1470"/>
    <w:rsid w:val="006B1747"/>
    <w:rsid w:val="006B29F4"/>
    <w:rsid w:val="006B5EA1"/>
    <w:rsid w:val="006C5A9E"/>
    <w:rsid w:val="006C63BC"/>
    <w:rsid w:val="006D1936"/>
    <w:rsid w:val="006D246E"/>
    <w:rsid w:val="006D5059"/>
    <w:rsid w:val="006E120C"/>
    <w:rsid w:val="006E4DC9"/>
    <w:rsid w:val="006E6A07"/>
    <w:rsid w:val="006E6D74"/>
    <w:rsid w:val="006F763A"/>
    <w:rsid w:val="00703A9C"/>
    <w:rsid w:val="0071000E"/>
    <w:rsid w:val="00713FCE"/>
    <w:rsid w:val="00717926"/>
    <w:rsid w:val="0072267A"/>
    <w:rsid w:val="0074126D"/>
    <w:rsid w:val="007419E7"/>
    <w:rsid w:val="00746A36"/>
    <w:rsid w:val="007477EC"/>
    <w:rsid w:val="0076034C"/>
    <w:rsid w:val="007636AB"/>
    <w:rsid w:val="007660A2"/>
    <w:rsid w:val="0076653B"/>
    <w:rsid w:val="007671AE"/>
    <w:rsid w:val="00770718"/>
    <w:rsid w:val="00770AD6"/>
    <w:rsid w:val="00772A36"/>
    <w:rsid w:val="00774FD7"/>
    <w:rsid w:val="0077632D"/>
    <w:rsid w:val="00777275"/>
    <w:rsid w:val="007850DF"/>
    <w:rsid w:val="007854D1"/>
    <w:rsid w:val="0078671C"/>
    <w:rsid w:val="00794A05"/>
    <w:rsid w:val="00795491"/>
    <w:rsid w:val="007A20E6"/>
    <w:rsid w:val="007A4755"/>
    <w:rsid w:val="007B21C8"/>
    <w:rsid w:val="007B3D00"/>
    <w:rsid w:val="007B6043"/>
    <w:rsid w:val="007C060B"/>
    <w:rsid w:val="007C0BFE"/>
    <w:rsid w:val="007C0EB2"/>
    <w:rsid w:val="007C692B"/>
    <w:rsid w:val="007C6A7A"/>
    <w:rsid w:val="007C71DE"/>
    <w:rsid w:val="007D0CDA"/>
    <w:rsid w:val="007D0EDF"/>
    <w:rsid w:val="007D1947"/>
    <w:rsid w:val="007D3B09"/>
    <w:rsid w:val="007D66AD"/>
    <w:rsid w:val="007D6C56"/>
    <w:rsid w:val="007E03A2"/>
    <w:rsid w:val="007F108C"/>
    <w:rsid w:val="007F3FDD"/>
    <w:rsid w:val="007F731D"/>
    <w:rsid w:val="00800842"/>
    <w:rsid w:val="008077B8"/>
    <w:rsid w:val="00807F2A"/>
    <w:rsid w:val="008163C8"/>
    <w:rsid w:val="0081690E"/>
    <w:rsid w:val="00817E5E"/>
    <w:rsid w:val="00820D61"/>
    <w:rsid w:val="0082764E"/>
    <w:rsid w:val="00836F15"/>
    <w:rsid w:val="008400CB"/>
    <w:rsid w:val="00842097"/>
    <w:rsid w:val="00842354"/>
    <w:rsid w:val="008506F9"/>
    <w:rsid w:val="00857FDB"/>
    <w:rsid w:val="00860CC7"/>
    <w:rsid w:val="0086203D"/>
    <w:rsid w:val="00862DDA"/>
    <w:rsid w:val="008655CF"/>
    <w:rsid w:val="0087204D"/>
    <w:rsid w:val="00873E3D"/>
    <w:rsid w:val="00874A3A"/>
    <w:rsid w:val="00884534"/>
    <w:rsid w:val="00884D0D"/>
    <w:rsid w:val="00885BAF"/>
    <w:rsid w:val="00886E43"/>
    <w:rsid w:val="0089087E"/>
    <w:rsid w:val="00890A41"/>
    <w:rsid w:val="008914AB"/>
    <w:rsid w:val="00894605"/>
    <w:rsid w:val="00896B2C"/>
    <w:rsid w:val="00897E8E"/>
    <w:rsid w:val="008A2D3D"/>
    <w:rsid w:val="008A3B2A"/>
    <w:rsid w:val="008A4C4C"/>
    <w:rsid w:val="008A54BC"/>
    <w:rsid w:val="008A560A"/>
    <w:rsid w:val="008A6C96"/>
    <w:rsid w:val="008A7030"/>
    <w:rsid w:val="008C472D"/>
    <w:rsid w:val="008C4B49"/>
    <w:rsid w:val="008C5470"/>
    <w:rsid w:val="008C70D9"/>
    <w:rsid w:val="008D0ED5"/>
    <w:rsid w:val="008D180F"/>
    <w:rsid w:val="008D35AC"/>
    <w:rsid w:val="008D480A"/>
    <w:rsid w:val="008D4872"/>
    <w:rsid w:val="008D526F"/>
    <w:rsid w:val="008D5AC5"/>
    <w:rsid w:val="008D698C"/>
    <w:rsid w:val="008D6E86"/>
    <w:rsid w:val="008E0AEE"/>
    <w:rsid w:val="008E2A77"/>
    <w:rsid w:val="008E3E81"/>
    <w:rsid w:val="008E47F4"/>
    <w:rsid w:val="008F0C52"/>
    <w:rsid w:val="008F1B21"/>
    <w:rsid w:val="008F2D3F"/>
    <w:rsid w:val="008F7238"/>
    <w:rsid w:val="0090067A"/>
    <w:rsid w:val="00913E4A"/>
    <w:rsid w:val="00920A05"/>
    <w:rsid w:val="009241D2"/>
    <w:rsid w:val="0092486D"/>
    <w:rsid w:val="00924ECB"/>
    <w:rsid w:val="00926AFF"/>
    <w:rsid w:val="009271BD"/>
    <w:rsid w:val="00931394"/>
    <w:rsid w:val="00931CAA"/>
    <w:rsid w:val="00936C95"/>
    <w:rsid w:val="009372B6"/>
    <w:rsid w:val="00940DEB"/>
    <w:rsid w:val="00950839"/>
    <w:rsid w:val="00955FB7"/>
    <w:rsid w:val="0095760C"/>
    <w:rsid w:val="0096038D"/>
    <w:rsid w:val="00961097"/>
    <w:rsid w:val="009618E0"/>
    <w:rsid w:val="00962013"/>
    <w:rsid w:val="009620A1"/>
    <w:rsid w:val="00966222"/>
    <w:rsid w:val="00966D9C"/>
    <w:rsid w:val="00973350"/>
    <w:rsid w:val="00980F77"/>
    <w:rsid w:val="00980F7F"/>
    <w:rsid w:val="009825A1"/>
    <w:rsid w:val="00987D96"/>
    <w:rsid w:val="00994068"/>
    <w:rsid w:val="0099521E"/>
    <w:rsid w:val="009957EF"/>
    <w:rsid w:val="009959E3"/>
    <w:rsid w:val="00996225"/>
    <w:rsid w:val="00997B03"/>
    <w:rsid w:val="009A0C0A"/>
    <w:rsid w:val="009A5578"/>
    <w:rsid w:val="009B696C"/>
    <w:rsid w:val="009C1912"/>
    <w:rsid w:val="009C3951"/>
    <w:rsid w:val="009D1146"/>
    <w:rsid w:val="009D35C6"/>
    <w:rsid w:val="009D5788"/>
    <w:rsid w:val="009E068D"/>
    <w:rsid w:val="009E1C8F"/>
    <w:rsid w:val="009E4B99"/>
    <w:rsid w:val="009E663E"/>
    <w:rsid w:val="009E7535"/>
    <w:rsid w:val="009F2AB0"/>
    <w:rsid w:val="009F3192"/>
    <w:rsid w:val="009F5E16"/>
    <w:rsid w:val="009F7EA6"/>
    <w:rsid w:val="00A02D26"/>
    <w:rsid w:val="00A10707"/>
    <w:rsid w:val="00A11633"/>
    <w:rsid w:val="00A12B58"/>
    <w:rsid w:val="00A1327D"/>
    <w:rsid w:val="00A141DD"/>
    <w:rsid w:val="00A1451B"/>
    <w:rsid w:val="00A151CD"/>
    <w:rsid w:val="00A16986"/>
    <w:rsid w:val="00A16BF6"/>
    <w:rsid w:val="00A1717C"/>
    <w:rsid w:val="00A2314F"/>
    <w:rsid w:val="00A23A8C"/>
    <w:rsid w:val="00A27B19"/>
    <w:rsid w:val="00A30C91"/>
    <w:rsid w:val="00A414F1"/>
    <w:rsid w:val="00A42503"/>
    <w:rsid w:val="00A46558"/>
    <w:rsid w:val="00A53EA4"/>
    <w:rsid w:val="00A56BAB"/>
    <w:rsid w:val="00A57824"/>
    <w:rsid w:val="00A606A4"/>
    <w:rsid w:val="00A72358"/>
    <w:rsid w:val="00A76296"/>
    <w:rsid w:val="00A8391B"/>
    <w:rsid w:val="00A953E6"/>
    <w:rsid w:val="00A959B7"/>
    <w:rsid w:val="00A97430"/>
    <w:rsid w:val="00AA216F"/>
    <w:rsid w:val="00AA24B3"/>
    <w:rsid w:val="00AA2A91"/>
    <w:rsid w:val="00AA40BC"/>
    <w:rsid w:val="00AA4380"/>
    <w:rsid w:val="00AA4838"/>
    <w:rsid w:val="00AA5139"/>
    <w:rsid w:val="00AA59EE"/>
    <w:rsid w:val="00AA6B65"/>
    <w:rsid w:val="00AA74DA"/>
    <w:rsid w:val="00AB05B2"/>
    <w:rsid w:val="00AB1F0C"/>
    <w:rsid w:val="00AB5B61"/>
    <w:rsid w:val="00AC0D1B"/>
    <w:rsid w:val="00AC2898"/>
    <w:rsid w:val="00AD02E3"/>
    <w:rsid w:val="00AD159D"/>
    <w:rsid w:val="00AD30DF"/>
    <w:rsid w:val="00AD58E4"/>
    <w:rsid w:val="00AD61A5"/>
    <w:rsid w:val="00AD6295"/>
    <w:rsid w:val="00AD6853"/>
    <w:rsid w:val="00AD6960"/>
    <w:rsid w:val="00AD6993"/>
    <w:rsid w:val="00AE24BF"/>
    <w:rsid w:val="00AE28AF"/>
    <w:rsid w:val="00AE2BFB"/>
    <w:rsid w:val="00AE4469"/>
    <w:rsid w:val="00AE48ED"/>
    <w:rsid w:val="00AE4A39"/>
    <w:rsid w:val="00AE4FEB"/>
    <w:rsid w:val="00AE7B10"/>
    <w:rsid w:val="00AF45F3"/>
    <w:rsid w:val="00B01068"/>
    <w:rsid w:val="00B032D3"/>
    <w:rsid w:val="00B0611A"/>
    <w:rsid w:val="00B063AB"/>
    <w:rsid w:val="00B0702B"/>
    <w:rsid w:val="00B07609"/>
    <w:rsid w:val="00B1008D"/>
    <w:rsid w:val="00B117AB"/>
    <w:rsid w:val="00B15D38"/>
    <w:rsid w:val="00B171BD"/>
    <w:rsid w:val="00B30F7C"/>
    <w:rsid w:val="00B36511"/>
    <w:rsid w:val="00B377AA"/>
    <w:rsid w:val="00B40507"/>
    <w:rsid w:val="00B43281"/>
    <w:rsid w:val="00B45F1F"/>
    <w:rsid w:val="00B50BAB"/>
    <w:rsid w:val="00B52AED"/>
    <w:rsid w:val="00B531A5"/>
    <w:rsid w:val="00B567D6"/>
    <w:rsid w:val="00B606C2"/>
    <w:rsid w:val="00B609FF"/>
    <w:rsid w:val="00B60E0F"/>
    <w:rsid w:val="00B60EDF"/>
    <w:rsid w:val="00B639CA"/>
    <w:rsid w:val="00B64FF7"/>
    <w:rsid w:val="00B675A7"/>
    <w:rsid w:val="00B716C8"/>
    <w:rsid w:val="00B73A73"/>
    <w:rsid w:val="00B76375"/>
    <w:rsid w:val="00B76C3A"/>
    <w:rsid w:val="00B81372"/>
    <w:rsid w:val="00B8173B"/>
    <w:rsid w:val="00B86087"/>
    <w:rsid w:val="00B8696F"/>
    <w:rsid w:val="00B8716A"/>
    <w:rsid w:val="00B92E22"/>
    <w:rsid w:val="00B9434B"/>
    <w:rsid w:val="00BA0EAC"/>
    <w:rsid w:val="00BA26BF"/>
    <w:rsid w:val="00BA3B4A"/>
    <w:rsid w:val="00BA5BD0"/>
    <w:rsid w:val="00BA6D84"/>
    <w:rsid w:val="00BA716D"/>
    <w:rsid w:val="00BA76C0"/>
    <w:rsid w:val="00BB22B6"/>
    <w:rsid w:val="00BB40B6"/>
    <w:rsid w:val="00BC2410"/>
    <w:rsid w:val="00BC2D3F"/>
    <w:rsid w:val="00BC4F3F"/>
    <w:rsid w:val="00BC5699"/>
    <w:rsid w:val="00BC6204"/>
    <w:rsid w:val="00BD1FD8"/>
    <w:rsid w:val="00BD224A"/>
    <w:rsid w:val="00BD2470"/>
    <w:rsid w:val="00BD7904"/>
    <w:rsid w:val="00BE0EFB"/>
    <w:rsid w:val="00BE18AB"/>
    <w:rsid w:val="00BE25C1"/>
    <w:rsid w:val="00BE789A"/>
    <w:rsid w:val="00BF0D3E"/>
    <w:rsid w:val="00C0426D"/>
    <w:rsid w:val="00C056FC"/>
    <w:rsid w:val="00C06376"/>
    <w:rsid w:val="00C07FCB"/>
    <w:rsid w:val="00C1101D"/>
    <w:rsid w:val="00C11029"/>
    <w:rsid w:val="00C22AA8"/>
    <w:rsid w:val="00C249F1"/>
    <w:rsid w:val="00C2651F"/>
    <w:rsid w:val="00C27687"/>
    <w:rsid w:val="00C32242"/>
    <w:rsid w:val="00C32D66"/>
    <w:rsid w:val="00C33881"/>
    <w:rsid w:val="00C358B8"/>
    <w:rsid w:val="00C37F34"/>
    <w:rsid w:val="00C40E90"/>
    <w:rsid w:val="00C43AD3"/>
    <w:rsid w:val="00C44AB4"/>
    <w:rsid w:val="00C46B5A"/>
    <w:rsid w:val="00C46DD9"/>
    <w:rsid w:val="00C533DA"/>
    <w:rsid w:val="00C602BA"/>
    <w:rsid w:val="00C60545"/>
    <w:rsid w:val="00C65ED0"/>
    <w:rsid w:val="00C673E2"/>
    <w:rsid w:val="00C72159"/>
    <w:rsid w:val="00C739FE"/>
    <w:rsid w:val="00C73B99"/>
    <w:rsid w:val="00C77BEB"/>
    <w:rsid w:val="00C803C2"/>
    <w:rsid w:val="00C804DF"/>
    <w:rsid w:val="00C81863"/>
    <w:rsid w:val="00C853E7"/>
    <w:rsid w:val="00C949D3"/>
    <w:rsid w:val="00C9592D"/>
    <w:rsid w:val="00C97DA4"/>
    <w:rsid w:val="00CA09F3"/>
    <w:rsid w:val="00CA3DDE"/>
    <w:rsid w:val="00CA5604"/>
    <w:rsid w:val="00CB0438"/>
    <w:rsid w:val="00CB3628"/>
    <w:rsid w:val="00CC6BF1"/>
    <w:rsid w:val="00CD14A4"/>
    <w:rsid w:val="00CD5705"/>
    <w:rsid w:val="00CD7258"/>
    <w:rsid w:val="00CD75D6"/>
    <w:rsid w:val="00CE6887"/>
    <w:rsid w:val="00CF08D3"/>
    <w:rsid w:val="00CF0E48"/>
    <w:rsid w:val="00CF1628"/>
    <w:rsid w:val="00D0045A"/>
    <w:rsid w:val="00D07BED"/>
    <w:rsid w:val="00D07C39"/>
    <w:rsid w:val="00D14415"/>
    <w:rsid w:val="00D166C6"/>
    <w:rsid w:val="00D21744"/>
    <w:rsid w:val="00D22896"/>
    <w:rsid w:val="00D269F5"/>
    <w:rsid w:val="00D3189B"/>
    <w:rsid w:val="00D32A42"/>
    <w:rsid w:val="00D353C2"/>
    <w:rsid w:val="00D35F6A"/>
    <w:rsid w:val="00D36671"/>
    <w:rsid w:val="00D411F8"/>
    <w:rsid w:val="00D41B22"/>
    <w:rsid w:val="00D450E1"/>
    <w:rsid w:val="00D50B4B"/>
    <w:rsid w:val="00D52912"/>
    <w:rsid w:val="00D54FB8"/>
    <w:rsid w:val="00D562F6"/>
    <w:rsid w:val="00D56768"/>
    <w:rsid w:val="00D63557"/>
    <w:rsid w:val="00D63691"/>
    <w:rsid w:val="00D63A5A"/>
    <w:rsid w:val="00D6698F"/>
    <w:rsid w:val="00D767A9"/>
    <w:rsid w:val="00D80692"/>
    <w:rsid w:val="00D82B72"/>
    <w:rsid w:val="00D8453F"/>
    <w:rsid w:val="00D854A5"/>
    <w:rsid w:val="00D877A7"/>
    <w:rsid w:val="00D878DB"/>
    <w:rsid w:val="00D95992"/>
    <w:rsid w:val="00D95C29"/>
    <w:rsid w:val="00D95C83"/>
    <w:rsid w:val="00D96BCC"/>
    <w:rsid w:val="00DA08F4"/>
    <w:rsid w:val="00DA1458"/>
    <w:rsid w:val="00DA1C7A"/>
    <w:rsid w:val="00DA3935"/>
    <w:rsid w:val="00DA4B0A"/>
    <w:rsid w:val="00DB06B3"/>
    <w:rsid w:val="00DB2265"/>
    <w:rsid w:val="00DB2D04"/>
    <w:rsid w:val="00DC136E"/>
    <w:rsid w:val="00DC15AA"/>
    <w:rsid w:val="00DC222B"/>
    <w:rsid w:val="00DC28A4"/>
    <w:rsid w:val="00DC294C"/>
    <w:rsid w:val="00DC4E87"/>
    <w:rsid w:val="00DC7178"/>
    <w:rsid w:val="00DD052A"/>
    <w:rsid w:val="00DD5289"/>
    <w:rsid w:val="00DD53C4"/>
    <w:rsid w:val="00DD6602"/>
    <w:rsid w:val="00DD78BE"/>
    <w:rsid w:val="00DE2C93"/>
    <w:rsid w:val="00DE396B"/>
    <w:rsid w:val="00DE46E5"/>
    <w:rsid w:val="00DE7082"/>
    <w:rsid w:val="00DF08BD"/>
    <w:rsid w:val="00DF4AC7"/>
    <w:rsid w:val="00E011CA"/>
    <w:rsid w:val="00E03F6B"/>
    <w:rsid w:val="00E059E7"/>
    <w:rsid w:val="00E073F8"/>
    <w:rsid w:val="00E1047B"/>
    <w:rsid w:val="00E12BA9"/>
    <w:rsid w:val="00E2275B"/>
    <w:rsid w:val="00E238A6"/>
    <w:rsid w:val="00E239E4"/>
    <w:rsid w:val="00E23F2F"/>
    <w:rsid w:val="00E25EDA"/>
    <w:rsid w:val="00E310B8"/>
    <w:rsid w:val="00E3236D"/>
    <w:rsid w:val="00E339DE"/>
    <w:rsid w:val="00E41E69"/>
    <w:rsid w:val="00E4733C"/>
    <w:rsid w:val="00E51EEF"/>
    <w:rsid w:val="00E54BF2"/>
    <w:rsid w:val="00E62B49"/>
    <w:rsid w:val="00E63D4D"/>
    <w:rsid w:val="00E63E7B"/>
    <w:rsid w:val="00E6422C"/>
    <w:rsid w:val="00E6505C"/>
    <w:rsid w:val="00E65A21"/>
    <w:rsid w:val="00E70207"/>
    <w:rsid w:val="00E81838"/>
    <w:rsid w:val="00E8682F"/>
    <w:rsid w:val="00E86FDC"/>
    <w:rsid w:val="00E8742F"/>
    <w:rsid w:val="00E875E1"/>
    <w:rsid w:val="00E91C1E"/>
    <w:rsid w:val="00E938ED"/>
    <w:rsid w:val="00E96FFC"/>
    <w:rsid w:val="00EA2C1C"/>
    <w:rsid w:val="00EA5EC4"/>
    <w:rsid w:val="00EA6D9B"/>
    <w:rsid w:val="00EB2203"/>
    <w:rsid w:val="00EB481B"/>
    <w:rsid w:val="00EB4F5A"/>
    <w:rsid w:val="00EB5652"/>
    <w:rsid w:val="00EB679B"/>
    <w:rsid w:val="00EC14DC"/>
    <w:rsid w:val="00EC28B1"/>
    <w:rsid w:val="00EC34F4"/>
    <w:rsid w:val="00EC3CC6"/>
    <w:rsid w:val="00EC47B7"/>
    <w:rsid w:val="00ED21F7"/>
    <w:rsid w:val="00ED3D2B"/>
    <w:rsid w:val="00ED4110"/>
    <w:rsid w:val="00ED42E4"/>
    <w:rsid w:val="00ED532D"/>
    <w:rsid w:val="00ED7978"/>
    <w:rsid w:val="00EE28E8"/>
    <w:rsid w:val="00EE6644"/>
    <w:rsid w:val="00EF0298"/>
    <w:rsid w:val="00EF3337"/>
    <w:rsid w:val="00EF3EE7"/>
    <w:rsid w:val="00EF52D4"/>
    <w:rsid w:val="00EF6417"/>
    <w:rsid w:val="00F04157"/>
    <w:rsid w:val="00F05B94"/>
    <w:rsid w:val="00F06238"/>
    <w:rsid w:val="00F224EE"/>
    <w:rsid w:val="00F23779"/>
    <w:rsid w:val="00F25C78"/>
    <w:rsid w:val="00F31C27"/>
    <w:rsid w:val="00F33B24"/>
    <w:rsid w:val="00F342A9"/>
    <w:rsid w:val="00F36658"/>
    <w:rsid w:val="00F36C7E"/>
    <w:rsid w:val="00F3735E"/>
    <w:rsid w:val="00F375BD"/>
    <w:rsid w:val="00F3773F"/>
    <w:rsid w:val="00F37D41"/>
    <w:rsid w:val="00F37E4F"/>
    <w:rsid w:val="00F40D79"/>
    <w:rsid w:val="00F45BC3"/>
    <w:rsid w:val="00F506B3"/>
    <w:rsid w:val="00F5240D"/>
    <w:rsid w:val="00F52FE8"/>
    <w:rsid w:val="00F53F35"/>
    <w:rsid w:val="00F5480B"/>
    <w:rsid w:val="00F55110"/>
    <w:rsid w:val="00F60F92"/>
    <w:rsid w:val="00F61506"/>
    <w:rsid w:val="00F73646"/>
    <w:rsid w:val="00F749C3"/>
    <w:rsid w:val="00F756E3"/>
    <w:rsid w:val="00F75C10"/>
    <w:rsid w:val="00F76070"/>
    <w:rsid w:val="00F770BA"/>
    <w:rsid w:val="00F7777D"/>
    <w:rsid w:val="00F86A2E"/>
    <w:rsid w:val="00F92C07"/>
    <w:rsid w:val="00FA00DB"/>
    <w:rsid w:val="00FA436B"/>
    <w:rsid w:val="00FA6D10"/>
    <w:rsid w:val="00FC64F5"/>
    <w:rsid w:val="00FD22C4"/>
    <w:rsid w:val="00FD384D"/>
    <w:rsid w:val="00FE279F"/>
    <w:rsid w:val="00FE3FF6"/>
    <w:rsid w:val="00FE59F9"/>
    <w:rsid w:val="00FE6F35"/>
    <w:rsid w:val="00FF52CD"/>
    <w:rsid w:val="00FF561F"/>
    <w:rsid w:val="00FF75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738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7D1947"/>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606A4"/>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pPr>
  </w:style>
  <w:style w:type="character" w:customStyle="1" w:styleId="FooterChar">
    <w:name w:val="Footer Char"/>
    <w:basedOn w:val="DefaultParagraphFont"/>
    <w:link w:val="Footer"/>
    <w:uiPriority w:val="99"/>
    <w:rsid w:val="00F33B24"/>
  </w:style>
  <w:style w:type="paragraph" w:styleId="ListParagraph">
    <w:name w:val="List Paragraph"/>
    <w:basedOn w:val="Normal"/>
    <w:uiPriority w:val="34"/>
    <w:qFormat/>
    <w:rsid w:val="009D5788"/>
    <w:pPr>
      <w:ind w:left="720"/>
      <w:contextualSpacing/>
    </w:pPr>
  </w:style>
  <w:style w:type="paragraph" w:styleId="NormalWeb">
    <w:name w:val="Normal (Web)"/>
    <w:basedOn w:val="Normal"/>
    <w:uiPriority w:val="99"/>
    <w:unhideWhenUsed/>
    <w:rsid w:val="00BE18AB"/>
    <w:pPr>
      <w:spacing w:before="100" w:beforeAutospacing="1" w:after="100" w:afterAutospacing="1"/>
    </w:pPr>
  </w:style>
  <w:style w:type="character" w:customStyle="1" w:styleId="apple-converted-space">
    <w:name w:val="apple-converted-space"/>
    <w:basedOn w:val="DefaultParagraphFont"/>
    <w:rsid w:val="00BE18AB"/>
  </w:style>
  <w:style w:type="character" w:styleId="Emphasis">
    <w:name w:val="Emphasis"/>
    <w:basedOn w:val="DefaultParagraphFont"/>
    <w:uiPriority w:val="20"/>
    <w:qFormat/>
    <w:rsid w:val="00BE18AB"/>
    <w:rPr>
      <w:i/>
      <w:iCs/>
    </w:rPr>
  </w:style>
  <w:style w:type="character" w:styleId="UnresolvedMention">
    <w:name w:val="Unresolved Mention"/>
    <w:basedOn w:val="DefaultParagraphFont"/>
    <w:uiPriority w:val="99"/>
    <w:semiHidden/>
    <w:unhideWhenUsed/>
    <w:rsid w:val="00AA74DA"/>
    <w:rPr>
      <w:color w:val="605E5C"/>
      <w:shd w:val="clear" w:color="auto" w:fill="E1DFDD"/>
    </w:rPr>
  </w:style>
  <w:style w:type="character" w:customStyle="1" w:styleId="Heading3Char">
    <w:name w:val="Heading 3 Char"/>
    <w:basedOn w:val="DefaultParagraphFont"/>
    <w:link w:val="Heading3"/>
    <w:uiPriority w:val="9"/>
    <w:semiHidden/>
    <w:rsid w:val="00A606A4"/>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42738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934922">
      <w:bodyDiv w:val="1"/>
      <w:marLeft w:val="0"/>
      <w:marRight w:val="0"/>
      <w:marTop w:val="0"/>
      <w:marBottom w:val="0"/>
      <w:divBdr>
        <w:top w:val="none" w:sz="0" w:space="0" w:color="auto"/>
        <w:left w:val="none" w:sz="0" w:space="0" w:color="auto"/>
        <w:bottom w:val="none" w:sz="0" w:space="0" w:color="auto"/>
        <w:right w:val="none" w:sz="0" w:space="0" w:color="auto"/>
      </w:divBdr>
      <w:divsChild>
        <w:div w:id="146747800">
          <w:blockQuote w:val="1"/>
          <w:marLeft w:val="720"/>
          <w:marRight w:val="720"/>
          <w:marTop w:val="100"/>
          <w:marBottom w:val="100"/>
          <w:divBdr>
            <w:top w:val="none" w:sz="0" w:space="0" w:color="auto"/>
            <w:left w:val="none" w:sz="0" w:space="0" w:color="auto"/>
            <w:bottom w:val="none" w:sz="0" w:space="0" w:color="auto"/>
            <w:right w:val="none" w:sz="0" w:space="0" w:color="auto"/>
          </w:divBdr>
        </w:div>
        <w:div w:id="468129345">
          <w:blockQuote w:val="1"/>
          <w:marLeft w:val="720"/>
          <w:marRight w:val="720"/>
          <w:marTop w:val="100"/>
          <w:marBottom w:val="100"/>
          <w:divBdr>
            <w:top w:val="none" w:sz="0" w:space="0" w:color="auto"/>
            <w:left w:val="none" w:sz="0" w:space="0" w:color="auto"/>
            <w:bottom w:val="none" w:sz="0" w:space="0" w:color="auto"/>
            <w:right w:val="none" w:sz="0" w:space="0" w:color="auto"/>
          </w:divBdr>
        </w:div>
        <w:div w:id="13444795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11450402">
      <w:bodyDiv w:val="1"/>
      <w:marLeft w:val="0"/>
      <w:marRight w:val="0"/>
      <w:marTop w:val="0"/>
      <w:marBottom w:val="0"/>
      <w:divBdr>
        <w:top w:val="none" w:sz="0" w:space="0" w:color="auto"/>
        <w:left w:val="none" w:sz="0" w:space="0" w:color="auto"/>
        <w:bottom w:val="none" w:sz="0" w:space="0" w:color="auto"/>
        <w:right w:val="none" w:sz="0" w:space="0" w:color="auto"/>
      </w:divBdr>
    </w:div>
    <w:div w:id="316081459">
      <w:bodyDiv w:val="1"/>
      <w:marLeft w:val="0"/>
      <w:marRight w:val="0"/>
      <w:marTop w:val="0"/>
      <w:marBottom w:val="0"/>
      <w:divBdr>
        <w:top w:val="none" w:sz="0" w:space="0" w:color="auto"/>
        <w:left w:val="none" w:sz="0" w:space="0" w:color="auto"/>
        <w:bottom w:val="none" w:sz="0" w:space="0" w:color="auto"/>
        <w:right w:val="none" w:sz="0" w:space="0" w:color="auto"/>
      </w:divBdr>
    </w:div>
    <w:div w:id="321080765">
      <w:bodyDiv w:val="1"/>
      <w:marLeft w:val="0"/>
      <w:marRight w:val="0"/>
      <w:marTop w:val="0"/>
      <w:marBottom w:val="0"/>
      <w:divBdr>
        <w:top w:val="none" w:sz="0" w:space="0" w:color="auto"/>
        <w:left w:val="none" w:sz="0" w:space="0" w:color="auto"/>
        <w:bottom w:val="none" w:sz="0" w:space="0" w:color="auto"/>
        <w:right w:val="none" w:sz="0" w:space="0" w:color="auto"/>
      </w:divBdr>
    </w:div>
    <w:div w:id="418872353">
      <w:bodyDiv w:val="1"/>
      <w:marLeft w:val="0"/>
      <w:marRight w:val="0"/>
      <w:marTop w:val="0"/>
      <w:marBottom w:val="0"/>
      <w:divBdr>
        <w:top w:val="none" w:sz="0" w:space="0" w:color="auto"/>
        <w:left w:val="none" w:sz="0" w:space="0" w:color="auto"/>
        <w:bottom w:val="none" w:sz="0" w:space="0" w:color="auto"/>
        <w:right w:val="none" w:sz="0" w:space="0" w:color="auto"/>
      </w:divBdr>
    </w:div>
    <w:div w:id="470560520">
      <w:bodyDiv w:val="1"/>
      <w:marLeft w:val="0"/>
      <w:marRight w:val="0"/>
      <w:marTop w:val="0"/>
      <w:marBottom w:val="0"/>
      <w:divBdr>
        <w:top w:val="none" w:sz="0" w:space="0" w:color="auto"/>
        <w:left w:val="none" w:sz="0" w:space="0" w:color="auto"/>
        <w:bottom w:val="none" w:sz="0" w:space="0" w:color="auto"/>
        <w:right w:val="none" w:sz="0" w:space="0" w:color="auto"/>
      </w:divBdr>
    </w:div>
    <w:div w:id="523059993">
      <w:bodyDiv w:val="1"/>
      <w:marLeft w:val="0"/>
      <w:marRight w:val="0"/>
      <w:marTop w:val="0"/>
      <w:marBottom w:val="0"/>
      <w:divBdr>
        <w:top w:val="none" w:sz="0" w:space="0" w:color="auto"/>
        <w:left w:val="none" w:sz="0" w:space="0" w:color="auto"/>
        <w:bottom w:val="none" w:sz="0" w:space="0" w:color="auto"/>
        <w:right w:val="none" w:sz="0" w:space="0" w:color="auto"/>
      </w:divBdr>
    </w:div>
    <w:div w:id="537083537">
      <w:bodyDiv w:val="1"/>
      <w:marLeft w:val="0"/>
      <w:marRight w:val="0"/>
      <w:marTop w:val="0"/>
      <w:marBottom w:val="0"/>
      <w:divBdr>
        <w:top w:val="none" w:sz="0" w:space="0" w:color="auto"/>
        <w:left w:val="none" w:sz="0" w:space="0" w:color="auto"/>
        <w:bottom w:val="none" w:sz="0" w:space="0" w:color="auto"/>
        <w:right w:val="none" w:sz="0" w:space="0" w:color="auto"/>
      </w:divBdr>
    </w:div>
    <w:div w:id="572620101">
      <w:bodyDiv w:val="1"/>
      <w:marLeft w:val="0"/>
      <w:marRight w:val="0"/>
      <w:marTop w:val="0"/>
      <w:marBottom w:val="0"/>
      <w:divBdr>
        <w:top w:val="none" w:sz="0" w:space="0" w:color="auto"/>
        <w:left w:val="none" w:sz="0" w:space="0" w:color="auto"/>
        <w:bottom w:val="none" w:sz="0" w:space="0" w:color="auto"/>
        <w:right w:val="none" w:sz="0" w:space="0" w:color="auto"/>
      </w:divBdr>
    </w:div>
    <w:div w:id="807473787">
      <w:bodyDiv w:val="1"/>
      <w:marLeft w:val="0"/>
      <w:marRight w:val="0"/>
      <w:marTop w:val="0"/>
      <w:marBottom w:val="0"/>
      <w:divBdr>
        <w:top w:val="none" w:sz="0" w:space="0" w:color="auto"/>
        <w:left w:val="none" w:sz="0" w:space="0" w:color="auto"/>
        <w:bottom w:val="none" w:sz="0" w:space="0" w:color="auto"/>
        <w:right w:val="none" w:sz="0" w:space="0" w:color="auto"/>
      </w:divBdr>
    </w:div>
    <w:div w:id="934095720">
      <w:bodyDiv w:val="1"/>
      <w:marLeft w:val="0"/>
      <w:marRight w:val="0"/>
      <w:marTop w:val="0"/>
      <w:marBottom w:val="0"/>
      <w:divBdr>
        <w:top w:val="none" w:sz="0" w:space="0" w:color="auto"/>
        <w:left w:val="none" w:sz="0" w:space="0" w:color="auto"/>
        <w:bottom w:val="none" w:sz="0" w:space="0" w:color="auto"/>
        <w:right w:val="none" w:sz="0" w:space="0" w:color="auto"/>
      </w:divBdr>
    </w:div>
    <w:div w:id="1086612560">
      <w:bodyDiv w:val="1"/>
      <w:marLeft w:val="0"/>
      <w:marRight w:val="0"/>
      <w:marTop w:val="0"/>
      <w:marBottom w:val="0"/>
      <w:divBdr>
        <w:top w:val="none" w:sz="0" w:space="0" w:color="auto"/>
        <w:left w:val="none" w:sz="0" w:space="0" w:color="auto"/>
        <w:bottom w:val="none" w:sz="0" w:space="0" w:color="auto"/>
        <w:right w:val="none" w:sz="0" w:space="0" w:color="auto"/>
      </w:divBdr>
    </w:div>
    <w:div w:id="1244801057">
      <w:bodyDiv w:val="1"/>
      <w:marLeft w:val="0"/>
      <w:marRight w:val="0"/>
      <w:marTop w:val="0"/>
      <w:marBottom w:val="0"/>
      <w:divBdr>
        <w:top w:val="none" w:sz="0" w:space="0" w:color="auto"/>
        <w:left w:val="none" w:sz="0" w:space="0" w:color="auto"/>
        <w:bottom w:val="none" w:sz="0" w:space="0" w:color="auto"/>
        <w:right w:val="none" w:sz="0" w:space="0" w:color="auto"/>
      </w:divBdr>
    </w:div>
    <w:div w:id="1255675670">
      <w:bodyDiv w:val="1"/>
      <w:marLeft w:val="0"/>
      <w:marRight w:val="0"/>
      <w:marTop w:val="0"/>
      <w:marBottom w:val="0"/>
      <w:divBdr>
        <w:top w:val="none" w:sz="0" w:space="0" w:color="auto"/>
        <w:left w:val="none" w:sz="0" w:space="0" w:color="auto"/>
        <w:bottom w:val="none" w:sz="0" w:space="0" w:color="auto"/>
        <w:right w:val="none" w:sz="0" w:space="0" w:color="auto"/>
      </w:divBdr>
    </w:div>
    <w:div w:id="1350568224">
      <w:bodyDiv w:val="1"/>
      <w:marLeft w:val="0"/>
      <w:marRight w:val="0"/>
      <w:marTop w:val="0"/>
      <w:marBottom w:val="0"/>
      <w:divBdr>
        <w:top w:val="none" w:sz="0" w:space="0" w:color="auto"/>
        <w:left w:val="none" w:sz="0" w:space="0" w:color="auto"/>
        <w:bottom w:val="none" w:sz="0" w:space="0" w:color="auto"/>
        <w:right w:val="none" w:sz="0" w:space="0" w:color="auto"/>
      </w:divBdr>
    </w:div>
    <w:div w:id="1442411830">
      <w:bodyDiv w:val="1"/>
      <w:marLeft w:val="0"/>
      <w:marRight w:val="0"/>
      <w:marTop w:val="0"/>
      <w:marBottom w:val="0"/>
      <w:divBdr>
        <w:top w:val="none" w:sz="0" w:space="0" w:color="auto"/>
        <w:left w:val="none" w:sz="0" w:space="0" w:color="auto"/>
        <w:bottom w:val="none" w:sz="0" w:space="0" w:color="auto"/>
        <w:right w:val="none" w:sz="0" w:space="0" w:color="auto"/>
      </w:divBdr>
      <w:divsChild>
        <w:div w:id="1221137500">
          <w:marLeft w:val="0"/>
          <w:marRight w:val="0"/>
          <w:marTop w:val="0"/>
          <w:marBottom w:val="0"/>
          <w:divBdr>
            <w:top w:val="none" w:sz="0" w:space="0" w:color="auto"/>
            <w:left w:val="none" w:sz="0" w:space="0" w:color="auto"/>
            <w:bottom w:val="none" w:sz="0" w:space="0" w:color="auto"/>
            <w:right w:val="none" w:sz="0" w:space="0" w:color="auto"/>
          </w:divBdr>
          <w:divsChild>
            <w:div w:id="651525527">
              <w:marLeft w:val="0"/>
              <w:marRight w:val="0"/>
              <w:marTop w:val="0"/>
              <w:marBottom w:val="0"/>
              <w:divBdr>
                <w:top w:val="none" w:sz="0" w:space="0" w:color="auto"/>
                <w:left w:val="none" w:sz="0" w:space="0" w:color="auto"/>
                <w:bottom w:val="none" w:sz="0" w:space="0" w:color="auto"/>
                <w:right w:val="none" w:sz="0" w:space="0" w:color="auto"/>
              </w:divBdr>
            </w:div>
          </w:divsChild>
        </w:div>
        <w:div w:id="250168305">
          <w:blockQuote w:val="1"/>
          <w:marLeft w:val="720"/>
          <w:marRight w:val="720"/>
          <w:marTop w:val="100"/>
          <w:marBottom w:val="100"/>
          <w:divBdr>
            <w:top w:val="none" w:sz="0" w:space="0" w:color="auto"/>
            <w:left w:val="none" w:sz="0" w:space="0" w:color="auto"/>
            <w:bottom w:val="none" w:sz="0" w:space="0" w:color="auto"/>
            <w:right w:val="none" w:sz="0" w:space="0" w:color="auto"/>
          </w:divBdr>
        </w:div>
        <w:div w:id="737170407">
          <w:marLeft w:val="0"/>
          <w:marRight w:val="0"/>
          <w:marTop w:val="0"/>
          <w:marBottom w:val="0"/>
          <w:divBdr>
            <w:top w:val="none" w:sz="0" w:space="0" w:color="auto"/>
            <w:left w:val="none" w:sz="0" w:space="0" w:color="auto"/>
            <w:bottom w:val="none" w:sz="0" w:space="0" w:color="auto"/>
            <w:right w:val="none" w:sz="0" w:space="0" w:color="auto"/>
          </w:divBdr>
          <w:divsChild>
            <w:div w:id="1278174923">
              <w:marLeft w:val="0"/>
              <w:marRight w:val="0"/>
              <w:marTop w:val="0"/>
              <w:marBottom w:val="0"/>
              <w:divBdr>
                <w:top w:val="none" w:sz="0" w:space="0" w:color="auto"/>
                <w:left w:val="none" w:sz="0" w:space="0" w:color="auto"/>
                <w:bottom w:val="none" w:sz="0" w:space="0" w:color="auto"/>
                <w:right w:val="none" w:sz="0" w:space="0" w:color="auto"/>
              </w:divBdr>
            </w:div>
          </w:divsChild>
        </w:div>
        <w:div w:id="412357470">
          <w:marLeft w:val="0"/>
          <w:marRight w:val="0"/>
          <w:marTop w:val="0"/>
          <w:marBottom w:val="0"/>
          <w:divBdr>
            <w:top w:val="none" w:sz="0" w:space="0" w:color="auto"/>
            <w:left w:val="none" w:sz="0" w:space="0" w:color="auto"/>
            <w:bottom w:val="none" w:sz="0" w:space="0" w:color="auto"/>
            <w:right w:val="none" w:sz="0" w:space="0" w:color="auto"/>
          </w:divBdr>
          <w:divsChild>
            <w:div w:id="329986709">
              <w:marLeft w:val="0"/>
              <w:marRight w:val="0"/>
              <w:marTop w:val="0"/>
              <w:marBottom w:val="0"/>
              <w:divBdr>
                <w:top w:val="none" w:sz="0" w:space="0" w:color="auto"/>
                <w:left w:val="none" w:sz="0" w:space="0" w:color="auto"/>
                <w:bottom w:val="none" w:sz="0" w:space="0" w:color="auto"/>
                <w:right w:val="none" w:sz="0" w:space="0" w:color="auto"/>
              </w:divBdr>
            </w:div>
          </w:divsChild>
        </w:div>
        <w:div w:id="1981306009">
          <w:marLeft w:val="0"/>
          <w:marRight w:val="0"/>
          <w:marTop w:val="0"/>
          <w:marBottom w:val="0"/>
          <w:divBdr>
            <w:top w:val="none" w:sz="0" w:space="0" w:color="auto"/>
            <w:left w:val="none" w:sz="0" w:space="0" w:color="auto"/>
            <w:bottom w:val="none" w:sz="0" w:space="0" w:color="auto"/>
            <w:right w:val="none" w:sz="0" w:space="0" w:color="auto"/>
          </w:divBdr>
          <w:divsChild>
            <w:div w:id="1828285534">
              <w:marLeft w:val="0"/>
              <w:marRight w:val="0"/>
              <w:marTop w:val="0"/>
              <w:marBottom w:val="0"/>
              <w:divBdr>
                <w:top w:val="none" w:sz="0" w:space="0" w:color="auto"/>
                <w:left w:val="none" w:sz="0" w:space="0" w:color="auto"/>
                <w:bottom w:val="none" w:sz="0" w:space="0" w:color="auto"/>
                <w:right w:val="none" w:sz="0" w:space="0" w:color="auto"/>
              </w:divBdr>
            </w:div>
          </w:divsChild>
        </w:div>
        <w:div w:id="1964387262">
          <w:marLeft w:val="0"/>
          <w:marRight w:val="0"/>
          <w:marTop w:val="0"/>
          <w:marBottom w:val="0"/>
          <w:divBdr>
            <w:top w:val="none" w:sz="0" w:space="0" w:color="auto"/>
            <w:left w:val="none" w:sz="0" w:space="0" w:color="auto"/>
            <w:bottom w:val="none" w:sz="0" w:space="0" w:color="auto"/>
            <w:right w:val="none" w:sz="0" w:space="0" w:color="auto"/>
          </w:divBdr>
          <w:divsChild>
            <w:div w:id="956986970">
              <w:marLeft w:val="0"/>
              <w:marRight w:val="0"/>
              <w:marTop w:val="0"/>
              <w:marBottom w:val="0"/>
              <w:divBdr>
                <w:top w:val="none" w:sz="0" w:space="0" w:color="auto"/>
                <w:left w:val="none" w:sz="0" w:space="0" w:color="auto"/>
                <w:bottom w:val="none" w:sz="0" w:space="0" w:color="auto"/>
                <w:right w:val="none" w:sz="0" w:space="0" w:color="auto"/>
              </w:divBdr>
            </w:div>
          </w:divsChild>
        </w:div>
        <w:div w:id="492529673">
          <w:marLeft w:val="0"/>
          <w:marRight w:val="0"/>
          <w:marTop w:val="0"/>
          <w:marBottom w:val="0"/>
          <w:divBdr>
            <w:top w:val="none" w:sz="0" w:space="0" w:color="auto"/>
            <w:left w:val="none" w:sz="0" w:space="0" w:color="auto"/>
            <w:bottom w:val="none" w:sz="0" w:space="0" w:color="auto"/>
            <w:right w:val="none" w:sz="0" w:space="0" w:color="auto"/>
          </w:divBdr>
          <w:divsChild>
            <w:div w:id="637414751">
              <w:marLeft w:val="0"/>
              <w:marRight w:val="0"/>
              <w:marTop w:val="0"/>
              <w:marBottom w:val="0"/>
              <w:divBdr>
                <w:top w:val="none" w:sz="0" w:space="0" w:color="auto"/>
                <w:left w:val="none" w:sz="0" w:space="0" w:color="auto"/>
                <w:bottom w:val="none" w:sz="0" w:space="0" w:color="auto"/>
                <w:right w:val="none" w:sz="0" w:space="0" w:color="auto"/>
              </w:divBdr>
            </w:div>
          </w:divsChild>
        </w:div>
        <w:div w:id="858005800">
          <w:marLeft w:val="0"/>
          <w:marRight w:val="0"/>
          <w:marTop w:val="0"/>
          <w:marBottom w:val="0"/>
          <w:divBdr>
            <w:top w:val="none" w:sz="0" w:space="0" w:color="auto"/>
            <w:left w:val="none" w:sz="0" w:space="0" w:color="auto"/>
            <w:bottom w:val="none" w:sz="0" w:space="0" w:color="auto"/>
            <w:right w:val="none" w:sz="0" w:space="0" w:color="auto"/>
          </w:divBdr>
          <w:divsChild>
            <w:div w:id="1204097223">
              <w:marLeft w:val="0"/>
              <w:marRight w:val="0"/>
              <w:marTop w:val="0"/>
              <w:marBottom w:val="0"/>
              <w:divBdr>
                <w:top w:val="none" w:sz="0" w:space="0" w:color="auto"/>
                <w:left w:val="none" w:sz="0" w:space="0" w:color="auto"/>
                <w:bottom w:val="none" w:sz="0" w:space="0" w:color="auto"/>
                <w:right w:val="none" w:sz="0" w:space="0" w:color="auto"/>
              </w:divBdr>
            </w:div>
          </w:divsChild>
        </w:div>
        <w:div w:id="963734779">
          <w:marLeft w:val="0"/>
          <w:marRight w:val="0"/>
          <w:marTop w:val="0"/>
          <w:marBottom w:val="0"/>
          <w:divBdr>
            <w:top w:val="none" w:sz="0" w:space="0" w:color="auto"/>
            <w:left w:val="none" w:sz="0" w:space="0" w:color="auto"/>
            <w:bottom w:val="none" w:sz="0" w:space="0" w:color="auto"/>
            <w:right w:val="none" w:sz="0" w:space="0" w:color="auto"/>
          </w:divBdr>
          <w:divsChild>
            <w:div w:id="97873569">
              <w:marLeft w:val="0"/>
              <w:marRight w:val="0"/>
              <w:marTop w:val="0"/>
              <w:marBottom w:val="0"/>
              <w:divBdr>
                <w:top w:val="none" w:sz="0" w:space="0" w:color="auto"/>
                <w:left w:val="none" w:sz="0" w:space="0" w:color="auto"/>
                <w:bottom w:val="none" w:sz="0" w:space="0" w:color="auto"/>
                <w:right w:val="none" w:sz="0" w:space="0" w:color="auto"/>
              </w:divBdr>
            </w:div>
          </w:divsChild>
        </w:div>
        <w:div w:id="975066318">
          <w:marLeft w:val="0"/>
          <w:marRight w:val="0"/>
          <w:marTop w:val="0"/>
          <w:marBottom w:val="0"/>
          <w:divBdr>
            <w:top w:val="none" w:sz="0" w:space="0" w:color="auto"/>
            <w:left w:val="none" w:sz="0" w:space="0" w:color="auto"/>
            <w:bottom w:val="none" w:sz="0" w:space="0" w:color="auto"/>
            <w:right w:val="none" w:sz="0" w:space="0" w:color="auto"/>
          </w:divBdr>
          <w:divsChild>
            <w:div w:id="689256330">
              <w:marLeft w:val="0"/>
              <w:marRight w:val="0"/>
              <w:marTop w:val="0"/>
              <w:marBottom w:val="0"/>
              <w:divBdr>
                <w:top w:val="none" w:sz="0" w:space="0" w:color="auto"/>
                <w:left w:val="none" w:sz="0" w:space="0" w:color="auto"/>
                <w:bottom w:val="none" w:sz="0" w:space="0" w:color="auto"/>
                <w:right w:val="none" w:sz="0" w:space="0" w:color="auto"/>
              </w:divBdr>
            </w:div>
          </w:divsChild>
        </w:div>
        <w:div w:id="2034765225">
          <w:marLeft w:val="0"/>
          <w:marRight w:val="0"/>
          <w:marTop w:val="0"/>
          <w:marBottom w:val="0"/>
          <w:divBdr>
            <w:top w:val="none" w:sz="0" w:space="0" w:color="auto"/>
            <w:left w:val="none" w:sz="0" w:space="0" w:color="auto"/>
            <w:bottom w:val="none" w:sz="0" w:space="0" w:color="auto"/>
            <w:right w:val="none" w:sz="0" w:space="0" w:color="auto"/>
          </w:divBdr>
          <w:divsChild>
            <w:div w:id="1479148921">
              <w:marLeft w:val="0"/>
              <w:marRight w:val="0"/>
              <w:marTop w:val="0"/>
              <w:marBottom w:val="0"/>
              <w:divBdr>
                <w:top w:val="none" w:sz="0" w:space="0" w:color="auto"/>
                <w:left w:val="none" w:sz="0" w:space="0" w:color="auto"/>
                <w:bottom w:val="none" w:sz="0" w:space="0" w:color="auto"/>
                <w:right w:val="none" w:sz="0" w:space="0" w:color="auto"/>
              </w:divBdr>
            </w:div>
          </w:divsChild>
        </w:div>
        <w:div w:id="1368917335">
          <w:marLeft w:val="0"/>
          <w:marRight w:val="0"/>
          <w:marTop w:val="0"/>
          <w:marBottom w:val="0"/>
          <w:divBdr>
            <w:top w:val="none" w:sz="0" w:space="0" w:color="auto"/>
            <w:left w:val="none" w:sz="0" w:space="0" w:color="auto"/>
            <w:bottom w:val="none" w:sz="0" w:space="0" w:color="auto"/>
            <w:right w:val="none" w:sz="0" w:space="0" w:color="auto"/>
          </w:divBdr>
          <w:divsChild>
            <w:div w:id="44515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625044">
      <w:bodyDiv w:val="1"/>
      <w:marLeft w:val="0"/>
      <w:marRight w:val="0"/>
      <w:marTop w:val="0"/>
      <w:marBottom w:val="0"/>
      <w:divBdr>
        <w:top w:val="none" w:sz="0" w:space="0" w:color="auto"/>
        <w:left w:val="none" w:sz="0" w:space="0" w:color="auto"/>
        <w:bottom w:val="none" w:sz="0" w:space="0" w:color="auto"/>
        <w:right w:val="none" w:sz="0" w:space="0" w:color="auto"/>
      </w:divBdr>
    </w:div>
    <w:div w:id="1513108101">
      <w:bodyDiv w:val="1"/>
      <w:marLeft w:val="0"/>
      <w:marRight w:val="0"/>
      <w:marTop w:val="0"/>
      <w:marBottom w:val="0"/>
      <w:divBdr>
        <w:top w:val="none" w:sz="0" w:space="0" w:color="auto"/>
        <w:left w:val="none" w:sz="0" w:space="0" w:color="auto"/>
        <w:bottom w:val="none" w:sz="0" w:space="0" w:color="auto"/>
        <w:right w:val="none" w:sz="0" w:space="0" w:color="auto"/>
      </w:divBdr>
      <w:divsChild>
        <w:div w:id="1965185947">
          <w:marLeft w:val="0"/>
          <w:marRight w:val="0"/>
          <w:marTop w:val="0"/>
          <w:marBottom w:val="0"/>
          <w:divBdr>
            <w:top w:val="none" w:sz="0" w:space="0" w:color="auto"/>
            <w:left w:val="none" w:sz="0" w:space="0" w:color="auto"/>
            <w:bottom w:val="none" w:sz="0" w:space="0" w:color="auto"/>
            <w:right w:val="none" w:sz="0" w:space="0" w:color="auto"/>
          </w:divBdr>
          <w:divsChild>
            <w:div w:id="1794126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560086">
      <w:bodyDiv w:val="1"/>
      <w:marLeft w:val="0"/>
      <w:marRight w:val="0"/>
      <w:marTop w:val="0"/>
      <w:marBottom w:val="0"/>
      <w:divBdr>
        <w:top w:val="none" w:sz="0" w:space="0" w:color="auto"/>
        <w:left w:val="none" w:sz="0" w:space="0" w:color="auto"/>
        <w:bottom w:val="none" w:sz="0" w:space="0" w:color="auto"/>
        <w:right w:val="none" w:sz="0" w:space="0" w:color="auto"/>
      </w:divBdr>
      <w:divsChild>
        <w:div w:id="106044832">
          <w:marLeft w:val="0"/>
          <w:marRight w:val="0"/>
          <w:marTop w:val="0"/>
          <w:marBottom w:val="0"/>
          <w:divBdr>
            <w:top w:val="none" w:sz="0" w:space="0" w:color="auto"/>
            <w:left w:val="none" w:sz="0" w:space="0" w:color="auto"/>
            <w:bottom w:val="none" w:sz="0" w:space="0" w:color="auto"/>
            <w:right w:val="none" w:sz="0" w:space="0" w:color="auto"/>
          </w:divBdr>
          <w:divsChild>
            <w:div w:id="2102793378">
              <w:marLeft w:val="0"/>
              <w:marRight w:val="0"/>
              <w:marTop w:val="0"/>
              <w:marBottom w:val="0"/>
              <w:divBdr>
                <w:top w:val="none" w:sz="0" w:space="0" w:color="auto"/>
                <w:left w:val="none" w:sz="0" w:space="0" w:color="auto"/>
                <w:bottom w:val="none" w:sz="0" w:space="0" w:color="auto"/>
                <w:right w:val="none" w:sz="0" w:space="0" w:color="auto"/>
              </w:divBdr>
            </w:div>
          </w:divsChild>
        </w:div>
        <w:div w:id="377365868">
          <w:blockQuote w:val="1"/>
          <w:marLeft w:val="720"/>
          <w:marRight w:val="720"/>
          <w:marTop w:val="100"/>
          <w:marBottom w:val="100"/>
          <w:divBdr>
            <w:top w:val="none" w:sz="0" w:space="0" w:color="auto"/>
            <w:left w:val="none" w:sz="0" w:space="0" w:color="auto"/>
            <w:bottom w:val="none" w:sz="0" w:space="0" w:color="auto"/>
            <w:right w:val="none" w:sz="0" w:space="0" w:color="auto"/>
          </w:divBdr>
        </w:div>
        <w:div w:id="1761100129">
          <w:marLeft w:val="0"/>
          <w:marRight w:val="0"/>
          <w:marTop w:val="0"/>
          <w:marBottom w:val="0"/>
          <w:divBdr>
            <w:top w:val="none" w:sz="0" w:space="0" w:color="auto"/>
            <w:left w:val="none" w:sz="0" w:space="0" w:color="auto"/>
            <w:bottom w:val="none" w:sz="0" w:space="0" w:color="auto"/>
            <w:right w:val="none" w:sz="0" w:space="0" w:color="auto"/>
          </w:divBdr>
          <w:divsChild>
            <w:div w:id="95831718">
              <w:marLeft w:val="0"/>
              <w:marRight w:val="0"/>
              <w:marTop w:val="0"/>
              <w:marBottom w:val="0"/>
              <w:divBdr>
                <w:top w:val="none" w:sz="0" w:space="0" w:color="auto"/>
                <w:left w:val="none" w:sz="0" w:space="0" w:color="auto"/>
                <w:bottom w:val="none" w:sz="0" w:space="0" w:color="auto"/>
                <w:right w:val="none" w:sz="0" w:space="0" w:color="auto"/>
              </w:divBdr>
            </w:div>
          </w:divsChild>
        </w:div>
        <w:div w:id="47606217">
          <w:marLeft w:val="0"/>
          <w:marRight w:val="0"/>
          <w:marTop w:val="0"/>
          <w:marBottom w:val="0"/>
          <w:divBdr>
            <w:top w:val="none" w:sz="0" w:space="0" w:color="auto"/>
            <w:left w:val="none" w:sz="0" w:space="0" w:color="auto"/>
            <w:bottom w:val="none" w:sz="0" w:space="0" w:color="auto"/>
            <w:right w:val="none" w:sz="0" w:space="0" w:color="auto"/>
          </w:divBdr>
          <w:divsChild>
            <w:div w:id="414713716">
              <w:marLeft w:val="0"/>
              <w:marRight w:val="0"/>
              <w:marTop w:val="0"/>
              <w:marBottom w:val="0"/>
              <w:divBdr>
                <w:top w:val="none" w:sz="0" w:space="0" w:color="auto"/>
                <w:left w:val="none" w:sz="0" w:space="0" w:color="auto"/>
                <w:bottom w:val="none" w:sz="0" w:space="0" w:color="auto"/>
                <w:right w:val="none" w:sz="0" w:space="0" w:color="auto"/>
              </w:divBdr>
            </w:div>
          </w:divsChild>
        </w:div>
        <w:div w:id="880939156">
          <w:marLeft w:val="0"/>
          <w:marRight w:val="0"/>
          <w:marTop w:val="0"/>
          <w:marBottom w:val="0"/>
          <w:divBdr>
            <w:top w:val="none" w:sz="0" w:space="0" w:color="auto"/>
            <w:left w:val="none" w:sz="0" w:space="0" w:color="auto"/>
            <w:bottom w:val="none" w:sz="0" w:space="0" w:color="auto"/>
            <w:right w:val="none" w:sz="0" w:space="0" w:color="auto"/>
          </w:divBdr>
          <w:divsChild>
            <w:div w:id="1392771891">
              <w:marLeft w:val="0"/>
              <w:marRight w:val="0"/>
              <w:marTop w:val="0"/>
              <w:marBottom w:val="0"/>
              <w:divBdr>
                <w:top w:val="none" w:sz="0" w:space="0" w:color="auto"/>
                <w:left w:val="none" w:sz="0" w:space="0" w:color="auto"/>
                <w:bottom w:val="none" w:sz="0" w:space="0" w:color="auto"/>
                <w:right w:val="none" w:sz="0" w:space="0" w:color="auto"/>
              </w:divBdr>
            </w:div>
          </w:divsChild>
        </w:div>
        <w:div w:id="718551401">
          <w:marLeft w:val="0"/>
          <w:marRight w:val="0"/>
          <w:marTop w:val="0"/>
          <w:marBottom w:val="0"/>
          <w:divBdr>
            <w:top w:val="none" w:sz="0" w:space="0" w:color="auto"/>
            <w:left w:val="none" w:sz="0" w:space="0" w:color="auto"/>
            <w:bottom w:val="none" w:sz="0" w:space="0" w:color="auto"/>
            <w:right w:val="none" w:sz="0" w:space="0" w:color="auto"/>
          </w:divBdr>
          <w:divsChild>
            <w:div w:id="1888449575">
              <w:marLeft w:val="0"/>
              <w:marRight w:val="0"/>
              <w:marTop w:val="0"/>
              <w:marBottom w:val="0"/>
              <w:divBdr>
                <w:top w:val="none" w:sz="0" w:space="0" w:color="auto"/>
                <w:left w:val="none" w:sz="0" w:space="0" w:color="auto"/>
                <w:bottom w:val="none" w:sz="0" w:space="0" w:color="auto"/>
                <w:right w:val="none" w:sz="0" w:space="0" w:color="auto"/>
              </w:divBdr>
            </w:div>
          </w:divsChild>
        </w:div>
        <w:div w:id="1539246354">
          <w:marLeft w:val="0"/>
          <w:marRight w:val="0"/>
          <w:marTop w:val="0"/>
          <w:marBottom w:val="0"/>
          <w:divBdr>
            <w:top w:val="none" w:sz="0" w:space="0" w:color="auto"/>
            <w:left w:val="none" w:sz="0" w:space="0" w:color="auto"/>
            <w:bottom w:val="none" w:sz="0" w:space="0" w:color="auto"/>
            <w:right w:val="none" w:sz="0" w:space="0" w:color="auto"/>
          </w:divBdr>
          <w:divsChild>
            <w:div w:id="1999920157">
              <w:marLeft w:val="0"/>
              <w:marRight w:val="0"/>
              <w:marTop w:val="0"/>
              <w:marBottom w:val="0"/>
              <w:divBdr>
                <w:top w:val="none" w:sz="0" w:space="0" w:color="auto"/>
                <w:left w:val="none" w:sz="0" w:space="0" w:color="auto"/>
                <w:bottom w:val="none" w:sz="0" w:space="0" w:color="auto"/>
                <w:right w:val="none" w:sz="0" w:space="0" w:color="auto"/>
              </w:divBdr>
            </w:div>
          </w:divsChild>
        </w:div>
        <w:div w:id="1121916674">
          <w:marLeft w:val="0"/>
          <w:marRight w:val="0"/>
          <w:marTop w:val="0"/>
          <w:marBottom w:val="0"/>
          <w:divBdr>
            <w:top w:val="none" w:sz="0" w:space="0" w:color="auto"/>
            <w:left w:val="none" w:sz="0" w:space="0" w:color="auto"/>
            <w:bottom w:val="none" w:sz="0" w:space="0" w:color="auto"/>
            <w:right w:val="none" w:sz="0" w:space="0" w:color="auto"/>
          </w:divBdr>
          <w:divsChild>
            <w:div w:id="1854606492">
              <w:marLeft w:val="0"/>
              <w:marRight w:val="0"/>
              <w:marTop w:val="0"/>
              <w:marBottom w:val="0"/>
              <w:divBdr>
                <w:top w:val="none" w:sz="0" w:space="0" w:color="auto"/>
                <w:left w:val="none" w:sz="0" w:space="0" w:color="auto"/>
                <w:bottom w:val="none" w:sz="0" w:space="0" w:color="auto"/>
                <w:right w:val="none" w:sz="0" w:space="0" w:color="auto"/>
              </w:divBdr>
            </w:div>
          </w:divsChild>
        </w:div>
        <w:div w:id="1629431935">
          <w:marLeft w:val="0"/>
          <w:marRight w:val="0"/>
          <w:marTop w:val="0"/>
          <w:marBottom w:val="0"/>
          <w:divBdr>
            <w:top w:val="none" w:sz="0" w:space="0" w:color="auto"/>
            <w:left w:val="none" w:sz="0" w:space="0" w:color="auto"/>
            <w:bottom w:val="none" w:sz="0" w:space="0" w:color="auto"/>
            <w:right w:val="none" w:sz="0" w:space="0" w:color="auto"/>
          </w:divBdr>
          <w:divsChild>
            <w:div w:id="258611004">
              <w:marLeft w:val="0"/>
              <w:marRight w:val="0"/>
              <w:marTop w:val="0"/>
              <w:marBottom w:val="0"/>
              <w:divBdr>
                <w:top w:val="none" w:sz="0" w:space="0" w:color="auto"/>
                <w:left w:val="none" w:sz="0" w:space="0" w:color="auto"/>
                <w:bottom w:val="none" w:sz="0" w:space="0" w:color="auto"/>
                <w:right w:val="none" w:sz="0" w:space="0" w:color="auto"/>
              </w:divBdr>
            </w:div>
          </w:divsChild>
        </w:div>
        <w:div w:id="1516110720">
          <w:marLeft w:val="0"/>
          <w:marRight w:val="0"/>
          <w:marTop w:val="0"/>
          <w:marBottom w:val="0"/>
          <w:divBdr>
            <w:top w:val="none" w:sz="0" w:space="0" w:color="auto"/>
            <w:left w:val="none" w:sz="0" w:space="0" w:color="auto"/>
            <w:bottom w:val="none" w:sz="0" w:space="0" w:color="auto"/>
            <w:right w:val="none" w:sz="0" w:space="0" w:color="auto"/>
          </w:divBdr>
          <w:divsChild>
            <w:div w:id="1708606878">
              <w:marLeft w:val="0"/>
              <w:marRight w:val="0"/>
              <w:marTop w:val="0"/>
              <w:marBottom w:val="0"/>
              <w:divBdr>
                <w:top w:val="none" w:sz="0" w:space="0" w:color="auto"/>
                <w:left w:val="none" w:sz="0" w:space="0" w:color="auto"/>
                <w:bottom w:val="none" w:sz="0" w:space="0" w:color="auto"/>
                <w:right w:val="none" w:sz="0" w:space="0" w:color="auto"/>
              </w:divBdr>
            </w:div>
          </w:divsChild>
        </w:div>
        <w:div w:id="778528374">
          <w:marLeft w:val="0"/>
          <w:marRight w:val="0"/>
          <w:marTop w:val="0"/>
          <w:marBottom w:val="0"/>
          <w:divBdr>
            <w:top w:val="none" w:sz="0" w:space="0" w:color="auto"/>
            <w:left w:val="none" w:sz="0" w:space="0" w:color="auto"/>
            <w:bottom w:val="none" w:sz="0" w:space="0" w:color="auto"/>
            <w:right w:val="none" w:sz="0" w:space="0" w:color="auto"/>
          </w:divBdr>
          <w:divsChild>
            <w:div w:id="972635118">
              <w:marLeft w:val="0"/>
              <w:marRight w:val="0"/>
              <w:marTop w:val="0"/>
              <w:marBottom w:val="0"/>
              <w:divBdr>
                <w:top w:val="none" w:sz="0" w:space="0" w:color="auto"/>
                <w:left w:val="none" w:sz="0" w:space="0" w:color="auto"/>
                <w:bottom w:val="none" w:sz="0" w:space="0" w:color="auto"/>
                <w:right w:val="none" w:sz="0" w:space="0" w:color="auto"/>
              </w:divBdr>
            </w:div>
          </w:divsChild>
        </w:div>
        <w:div w:id="2103142566">
          <w:marLeft w:val="0"/>
          <w:marRight w:val="0"/>
          <w:marTop w:val="0"/>
          <w:marBottom w:val="0"/>
          <w:divBdr>
            <w:top w:val="none" w:sz="0" w:space="0" w:color="auto"/>
            <w:left w:val="none" w:sz="0" w:space="0" w:color="auto"/>
            <w:bottom w:val="none" w:sz="0" w:space="0" w:color="auto"/>
            <w:right w:val="none" w:sz="0" w:space="0" w:color="auto"/>
          </w:divBdr>
          <w:divsChild>
            <w:div w:id="29984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037636">
      <w:bodyDiv w:val="1"/>
      <w:marLeft w:val="0"/>
      <w:marRight w:val="0"/>
      <w:marTop w:val="0"/>
      <w:marBottom w:val="0"/>
      <w:divBdr>
        <w:top w:val="none" w:sz="0" w:space="0" w:color="auto"/>
        <w:left w:val="none" w:sz="0" w:space="0" w:color="auto"/>
        <w:bottom w:val="none" w:sz="0" w:space="0" w:color="auto"/>
        <w:right w:val="none" w:sz="0" w:space="0" w:color="auto"/>
      </w:divBdr>
    </w:div>
    <w:div w:id="1563563233">
      <w:bodyDiv w:val="1"/>
      <w:marLeft w:val="0"/>
      <w:marRight w:val="0"/>
      <w:marTop w:val="0"/>
      <w:marBottom w:val="0"/>
      <w:divBdr>
        <w:top w:val="none" w:sz="0" w:space="0" w:color="auto"/>
        <w:left w:val="none" w:sz="0" w:space="0" w:color="auto"/>
        <w:bottom w:val="none" w:sz="0" w:space="0" w:color="auto"/>
        <w:right w:val="none" w:sz="0" w:space="0" w:color="auto"/>
      </w:divBdr>
    </w:div>
    <w:div w:id="1583757531">
      <w:bodyDiv w:val="1"/>
      <w:marLeft w:val="0"/>
      <w:marRight w:val="0"/>
      <w:marTop w:val="0"/>
      <w:marBottom w:val="0"/>
      <w:divBdr>
        <w:top w:val="none" w:sz="0" w:space="0" w:color="auto"/>
        <w:left w:val="none" w:sz="0" w:space="0" w:color="auto"/>
        <w:bottom w:val="none" w:sz="0" w:space="0" w:color="auto"/>
        <w:right w:val="none" w:sz="0" w:space="0" w:color="auto"/>
      </w:divBdr>
      <w:divsChild>
        <w:div w:id="996227655">
          <w:marLeft w:val="0"/>
          <w:marRight w:val="0"/>
          <w:marTop w:val="0"/>
          <w:marBottom w:val="0"/>
          <w:divBdr>
            <w:top w:val="none" w:sz="0" w:space="0" w:color="auto"/>
            <w:left w:val="none" w:sz="0" w:space="0" w:color="auto"/>
            <w:bottom w:val="none" w:sz="0" w:space="0" w:color="auto"/>
            <w:right w:val="none" w:sz="0" w:space="0" w:color="auto"/>
          </w:divBdr>
          <w:divsChild>
            <w:div w:id="89450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362222">
      <w:bodyDiv w:val="1"/>
      <w:marLeft w:val="0"/>
      <w:marRight w:val="0"/>
      <w:marTop w:val="0"/>
      <w:marBottom w:val="0"/>
      <w:divBdr>
        <w:top w:val="none" w:sz="0" w:space="0" w:color="auto"/>
        <w:left w:val="none" w:sz="0" w:space="0" w:color="auto"/>
        <w:bottom w:val="none" w:sz="0" w:space="0" w:color="auto"/>
        <w:right w:val="none" w:sz="0" w:space="0" w:color="auto"/>
      </w:divBdr>
    </w:div>
    <w:div w:id="1699773685">
      <w:bodyDiv w:val="1"/>
      <w:marLeft w:val="0"/>
      <w:marRight w:val="0"/>
      <w:marTop w:val="0"/>
      <w:marBottom w:val="0"/>
      <w:divBdr>
        <w:top w:val="none" w:sz="0" w:space="0" w:color="auto"/>
        <w:left w:val="none" w:sz="0" w:space="0" w:color="auto"/>
        <w:bottom w:val="none" w:sz="0" w:space="0" w:color="auto"/>
        <w:right w:val="none" w:sz="0" w:space="0" w:color="auto"/>
      </w:divBdr>
    </w:div>
    <w:div w:id="1766028133">
      <w:bodyDiv w:val="1"/>
      <w:marLeft w:val="0"/>
      <w:marRight w:val="0"/>
      <w:marTop w:val="0"/>
      <w:marBottom w:val="0"/>
      <w:divBdr>
        <w:top w:val="none" w:sz="0" w:space="0" w:color="auto"/>
        <w:left w:val="none" w:sz="0" w:space="0" w:color="auto"/>
        <w:bottom w:val="none" w:sz="0" w:space="0" w:color="auto"/>
        <w:right w:val="none" w:sz="0" w:space="0" w:color="auto"/>
      </w:divBdr>
    </w:div>
    <w:div w:id="1976063243">
      <w:bodyDiv w:val="1"/>
      <w:marLeft w:val="0"/>
      <w:marRight w:val="0"/>
      <w:marTop w:val="0"/>
      <w:marBottom w:val="0"/>
      <w:divBdr>
        <w:top w:val="none" w:sz="0" w:space="0" w:color="auto"/>
        <w:left w:val="none" w:sz="0" w:space="0" w:color="auto"/>
        <w:bottom w:val="none" w:sz="0" w:space="0" w:color="auto"/>
        <w:right w:val="none" w:sz="0" w:space="0" w:color="auto"/>
      </w:divBdr>
    </w:div>
    <w:div w:id="1990287345">
      <w:bodyDiv w:val="1"/>
      <w:marLeft w:val="0"/>
      <w:marRight w:val="0"/>
      <w:marTop w:val="0"/>
      <w:marBottom w:val="0"/>
      <w:divBdr>
        <w:top w:val="none" w:sz="0" w:space="0" w:color="auto"/>
        <w:left w:val="none" w:sz="0" w:space="0" w:color="auto"/>
        <w:bottom w:val="none" w:sz="0" w:space="0" w:color="auto"/>
        <w:right w:val="none" w:sz="0" w:space="0" w:color="auto"/>
      </w:divBdr>
    </w:div>
    <w:div w:id="2046368240">
      <w:bodyDiv w:val="1"/>
      <w:marLeft w:val="0"/>
      <w:marRight w:val="0"/>
      <w:marTop w:val="0"/>
      <w:marBottom w:val="0"/>
      <w:divBdr>
        <w:top w:val="none" w:sz="0" w:space="0" w:color="auto"/>
        <w:left w:val="none" w:sz="0" w:space="0" w:color="auto"/>
        <w:bottom w:val="none" w:sz="0" w:space="0" w:color="auto"/>
        <w:right w:val="none" w:sz="0" w:space="0" w:color="auto"/>
      </w:divBdr>
    </w:div>
    <w:div w:id="2060132886">
      <w:bodyDiv w:val="1"/>
      <w:marLeft w:val="0"/>
      <w:marRight w:val="0"/>
      <w:marTop w:val="0"/>
      <w:marBottom w:val="0"/>
      <w:divBdr>
        <w:top w:val="none" w:sz="0" w:space="0" w:color="auto"/>
        <w:left w:val="none" w:sz="0" w:space="0" w:color="auto"/>
        <w:bottom w:val="none" w:sz="0" w:space="0" w:color="auto"/>
        <w:right w:val="none" w:sz="0" w:space="0" w:color="auto"/>
      </w:divBdr>
    </w:div>
    <w:div w:id="2076464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escoplc.com/investors/reports-results-and-presentations/" TargetMode="External"/><Relationship Id="rId18" Type="http://schemas.openxmlformats.org/officeDocument/2006/relationships/hyperlink" Target="https://www.gurufocus.com/"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www.tescoplc.com/media/zgvhd0dn/tescos_ar24.pdf" TargetMode="External"/><Relationship Id="rId17" Type="http://schemas.openxmlformats.org/officeDocument/2006/relationships/hyperlink" Target="https://simplywall.st/" TargetMode="External"/><Relationship Id="rId2" Type="http://schemas.openxmlformats.org/officeDocument/2006/relationships/customXml" Target="../customXml/item2.xml"/><Relationship Id="rId16" Type="http://schemas.openxmlformats.org/officeDocument/2006/relationships/hyperlink" Target="https://www.tescoplc.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escoplc.com/media/u1wlq2qf/tesco-plc-annual-report-2023.pdf" TargetMode="External"/><Relationship Id="rId5" Type="http://schemas.openxmlformats.org/officeDocument/2006/relationships/settings" Target="settings.xml"/><Relationship Id="rId15" Type="http://schemas.openxmlformats.org/officeDocument/2006/relationships/hyperlink" Target="https://www.tescoplc.com/investors/reports-results-and-presentations/"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escoplc.com/investors/reports-results-and-presentations/"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45714"/>
    <w:rsid w:val="000D332F"/>
    <w:rsid w:val="00145AD8"/>
    <w:rsid w:val="00242260"/>
    <w:rsid w:val="002450A7"/>
    <w:rsid w:val="003203C2"/>
    <w:rsid w:val="003C11E7"/>
    <w:rsid w:val="004D25D2"/>
    <w:rsid w:val="004F35FB"/>
    <w:rsid w:val="00A11633"/>
    <w:rsid w:val="00A34C42"/>
    <w:rsid w:val="00B910DE"/>
    <w:rsid w:val="00BC1251"/>
    <w:rsid w:val="00C67429"/>
    <w:rsid w:val="00DF7DC9"/>
    <w:rsid w:val="00E00C6B"/>
    <w:rsid w:val="00E6505C"/>
    <w:rsid w:val="00FD60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Rebekah jones - 2205076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6047</TotalTime>
  <Pages>22</Pages>
  <Words>8121</Words>
  <Characters>50843</Characters>
  <Application>Microsoft Office Word</Application>
  <DocSecurity>0</DocSecurity>
  <Lines>833</Lines>
  <Paragraphs>224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58740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westward plc &amp; tesco plc</dc:title>
  <dc:subject/>
  <dc:creator>Marie Pitson</dc:creator>
  <cp:keywords/>
  <dc:description/>
  <cp:lastModifiedBy>Rebekah Jones (2205076)</cp:lastModifiedBy>
  <cp:revision>839</cp:revision>
  <dcterms:created xsi:type="dcterms:W3CDTF">2025-10-24T09:08:00Z</dcterms:created>
  <dcterms:modified xsi:type="dcterms:W3CDTF">2026-01-12T20:02:00Z</dcterms:modified>
</cp:coreProperties>
</file>