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B4A4C1" w14:textId="77777777" w:rsidR="00230F35" w:rsidRDefault="001E4076" w:rsidP="00230F35">
      <w:pPr>
        <w:pStyle w:val="NormalWeb"/>
        <w:spacing w:before="0" w:beforeAutospacing="0" w:after="0" w:afterAutospacing="0"/>
        <w:ind w:left="-180" w:right="-334"/>
      </w:pPr>
      <w:r>
        <w:pict w14:anchorId="1502E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25pt;height:50.7pt" o:bordertopcolor="this" o:borderleftcolor="this" o:borderbottomcolor="this" o:borderrightcolor="this">
            <v:imagedata r:id="rId8" o:title="TSD_logo2010"/>
            <w10:bordertop type="single" width="12"/>
            <w10:borderleft type="single" width="12"/>
            <w10:borderbottom type="single" width="12"/>
            <w10:borderright type="single" width="12"/>
          </v:shape>
        </w:pict>
      </w:r>
    </w:p>
    <w:p w14:paraId="3F215C93" w14:textId="77777777" w:rsidR="00230F35" w:rsidRDefault="00230F35" w:rsidP="00230F35">
      <w:pPr>
        <w:pStyle w:val="NormalWeb"/>
        <w:spacing w:before="0" w:beforeAutospacing="0" w:after="0" w:afterAutospacing="0"/>
        <w:ind w:left="-180" w:right="-334"/>
      </w:pPr>
    </w:p>
    <w:p w14:paraId="7DE952C8" w14:textId="77777777" w:rsidR="00A745B6" w:rsidRDefault="00A745B6" w:rsidP="00230F35">
      <w:pPr>
        <w:pStyle w:val="NormalWeb"/>
        <w:spacing w:before="0" w:beforeAutospacing="0" w:after="0" w:afterAutospacing="0"/>
        <w:ind w:left="-180" w:right="-334"/>
      </w:pPr>
    </w:p>
    <w:p w14:paraId="7B19CB9F"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27A59477"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163D5CE5" w14:textId="77777777" w:rsidR="002E67CE" w:rsidRPr="00230F35" w:rsidRDefault="002E67CE" w:rsidP="002E67CE">
      <w:pPr>
        <w:rPr>
          <w:rFonts w:ascii="Arial" w:hAnsi="Arial" w:cs="Arial"/>
          <w:sz w:val="28"/>
          <w:szCs w:val="28"/>
          <w:lang w:val="cy-GB"/>
        </w:rPr>
      </w:pPr>
    </w:p>
    <w:p w14:paraId="4B21717E"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5D0BC05E"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57529" w:rsidRPr="00230F35" w14:paraId="7312792B" w14:textId="77777777" w:rsidTr="00A745B6">
        <w:trPr>
          <w:trHeight w:val="614"/>
        </w:trPr>
        <w:tc>
          <w:tcPr>
            <w:tcW w:w="8856" w:type="dxa"/>
            <w:gridSpan w:val="5"/>
          </w:tcPr>
          <w:p w14:paraId="26DFCEEF"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4462FA63" w14:textId="77777777" w:rsidTr="00A745B6">
        <w:trPr>
          <w:trHeight w:val="718"/>
        </w:trPr>
        <w:tc>
          <w:tcPr>
            <w:tcW w:w="8856" w:type="dxa"/>
            <w:gridSpan w:val="5"/>
          </w:tcPr>
          <w:p w14:paraId="26BF585D" w14:textId="33F52847"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431646">
              <w:rPr>
                <w:rFonts w:ascii="Arial" w:hAnsi="Arial" w:cs="Arial"/>
                <w:sz w:val="22"/>
                <w:szCs w:val="22"/>
              </w:rPr>
              <w:t xml:space="preserve"> Denize Jacques</w:t>
            </w:r>
          </w:p>
          <w:p w14:paraId="15ADB770" w14:textId="77777777" w:rsidR="00FA2A4C" w:rsidRPr="00230F35" w:rsidRDefault="00FA2A4C" w:rsidP="002F467C">
            <w:pPr>
              <w:pStyle w:val="NormalWeb"/>
              <w:spacing w:before="0" w:beforeAutospacing="0" w:after="0" w:afterAutospacing="0"/>
              <w:ind w:right="34"/>
              <w:rPr>
                <w:rFonts w:ascii="Arial" w:hAnsi="Arial" w:cs="Arial"/>
                <w:sz w:val="22"/>
                <w:szCs w:val="22"/>
              </w:rPr>
            </w:pPr>
          </w:p>
        </w:tc>
      </w:tr>
      <w:tr w:rsidR="00CE3B79" w:rsidRPr="00230F35" w14:paraId="336B4CC7" w14:textId="77777777" w:rsidTr="00A745B6">
        <w:trPr>
          <w:trHeight w:val="849"/>
        </w:trPr>
        <w:tc>
          <w:tcPr>
            <w:tcW w:w="4788" w:type="dxa"/>
          </w:tcPr>
          <w:p w14:paraId="242C725F" w14:textId="01CA2969"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431646">
              <w:rPr>
                <w:rFonts w:ascii="Arial" w:hAnsi="Arial" w:cs="Arial"/>
                <w:sz w:val="22"/>
                <w:szCs w:val="22"/>
              </w:rPr>
              <w:t xml:space="preserve"> </w:t>
            </w:r>
            <w:r w:rsidR="00431646" w:rsidRPr="00431646">
              <w:rPr>
                <w:rFonts w:ascii="Arial" w:hAnsi="Arial" w:cs="Arial"/>
                <w:sz w:val="22"/>
                <w:szCs w:val="22"/>
              </w:rPr>
              <w:t>HPHI7003</w:t>
            </w:r>
          </w:p>
          <w:p w14:paraId="582C6826"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4DD62ADA" w14:textId="1AE17BE4" w:rsidR="00A745B6"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431646">
              <w:rPr>
                <w:rFonts w:ascii="Arial" w:hAnsi="Arial" w:cs="Arial"/>
                <w:sz w:val="22"/>
                <w:szCs w:val="22"/>
              </w:rPr>
              <w:t xml:space="preserve"> </w:t>
            </w:r>
            <w:r w:rsidR="00431646" w:rsidRPr="00431646">
              <w:rPr>
                <w:rFonts w:ascii="Arial" w:hAnsi="Arial" w:cs="Arial"/>
                <w:sz w:val="22"/>
                <w:szCs w:val="22"/>
              </w:rPr>
              <w:t>Research Methodology for Historians</w:t>
            </w:r>
          </w:p>
          <w:p w14:paraId="2C36DBDE"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4F9D91FD" w14:textId="2D434A7A"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sidR="00431646">
              <w:rPr>
                <w:rFonts w:ascii="Arial" w:hAnsi="Arial" w:cs="Arial"/>
                <w:sz w:val="22"/>
                <w:szCs w:val="22"/>
              </w:rPr>
              <w:br/>
            </w:r>
            <w:r w:rsidR="00431646" w:rsidRPr="00431646">
              <w:rPr>
                <w:rFonts w:ascii="Arial" w:hAnsi="Arial" w:cs="Arial"/>
                <w:sz w:val="22"/>
                <w:szCs w:val="22"/>
              </w:rPr>
              <w:t>1814729</w:t>
            </w:r>
          </w:p>
        </w:tc>
        <w:tc>
          <w:tcPr>
            <w:tcW w:w="1802" w:type="dxa"/>
          </w:tcPr>
          <w:p w14:paraId="6AF6758B"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C083F26"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CE3B79" w:rsidRPr="00230F35" w14:paraId="21AA6E0D" w14:textId="77777777" w:rsidTr="00431646">
        <w:trPr>
          <w:trHeight w:val="654"/>
        </w:trPr>
        <w:tc>
          <w:tcPr>
            <w:tcW w:w="8856" w:type="dxa"/>
            <w:gridSpan w:val="5"/>
          </w:tcPr>
          <w:p w14:paraId="60F8B12C" w14:textId="2AF08D4F" w:rsidR="00230F35" w:rsidRDefault="00F75EB5"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431646">
              <w:rPr>
                <w:rFonts w:ascii="Arial" w:hAnsi="Arial" w:cs="Arial"/>
                <w:sz w:val="22"/>
                <w:szCs w:val="22"/>
              </w:rPr>
              <w:t xml:space="preserve"> </w:t>
            </w:r>
            <w:r w:rsidR="00431646" w:rsidRPr="00431646">
              <w:rPr>
                <w:rFonts w:ascii="Arial" w:hAnsi="Arial" w:cs="Arial"/>
                <w:sz w:val="22"/>
                <w:szCs w:val="22"/>
              </w:rPr>
              <w:t>Janet Burton</w:t>
            </w:r>
          </w:p>
          <w:p w14:paraId="3FB1C39F" w14:textId="059FF7AC"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431646">
              <w:rPr>
                <w:rFonts w:ascii="Arial" w:hAnsi="Arial" w:cs="Arial"/>
                <w:sz w:val="22"/>
                <w:szCs w:val="22"/>
              </w:rPr>
              <w:t xml:space="preserve"> 24/01/2020</w:t>
            </w:r>
          </w:p>
        </w:tc>
      </w:tr>
      <w:tr w:rsidR="00230F35" w:rsidRPr="00230F35" w14:paraId="3D074C6F" w14:textId="77777777" w:rsidTr="00A745B6">
        <w:trPr>
          <w:trHeight w:val="978"/>
        </w:trPr>
        <w:tc>
          <w:tcPr>
            <w:tcW w:w="8856" w:type="dxa"/>
            <w:gridSpan w:val="5"/>
            <w:tcBorders>
              <w:bottom w:val="single" w:sz="4" w:space="0" w:color="000000"/>
            </w:tcBorders>
          </w:tcPr>
          <w:p w14:paraId="224CA08C" w14:textId="77777777" w:rsidR="00F75EB5" w:rsidRDefault="00F75EB5" w:rsidP="00F75EB5">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14:paraId="70B7DAB2" w14:textId="77777777" w:rsidR="00F75EB5" w:rsidRDefault="00F75EB5" w:rsidP="00F75EB5">
            <w:pPr>
              <w:rPr>
                <w:rFonts w:ascii="Arial" w:hAnsi="Arial" w:cs="Arial"/>
                <w:sz w:val="22"/>
                <w:szCs w:val="22"/>
              </w:rPr>
            </w:pPr>
          </w:p>
          <w:p w14:paraId="584DD593" w14:textId="61F3DE14" w:rsidR="00230F35" w:rsidRPr="00230F35" w:rsidRDefault="00230F35" w:rsidP="00F75EB5">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00431646">
              <w:rPr>
                <w:rFonts w:ascii="Arial" w:hAnsi="Arial" w:cs="Arial"/>
                <w:sz w:val="22"/>
                <w:szCs w:val="22"/>
              </w:rPr>
              <w:fldChar w:fldCharType="begin">
                <w:ffData>
                  <w:name w:val="Check13"/>
                  <w:enabled/>
                  <w:calcOnExit w:val="0"/>
                  <w:checkBox>
                    <w:sizeAuto/>
                    <w:default w:val="1"/>
                  </w:checkBox>
                </w:ffData>
              </w:fldChar>
            </w:r>
            <w:bookmarkStart w:id="0" w:name="Check13"/>
            <w:r w:rsidR="00431646">
              <w:rPr>
                <w:rFonts w:ascii="Arial" w:hAnsi="Arial" w:cs="Arial"/>
                <w:sz w:val="22"/>
                <w:szCs w:val="22"/>
              </w:rPr>
              <w:instrText xml:space="preserve"> FORMCHECKBOX </w:instrText>
            </w:r>
            <w:r w:rsidR="00AA4333">
              <w:rPr>
                <w:rFonts w:ascii="Arial" w:hAnsi="Arial" w:cs="Arial"/>
                <w:sz w:val="22"/>
                <w:szCs w:val="22"/>
              </w:rPr>
            </w:r>
            <w:r w:rsidR="00AA4333">
              <w:rPr>
                <w:rFonts w:ascii="Arial" w:hAnsi="Arial" w:cs="Arial"/>
                <w:sz w:val="22"/>
                <w:szCs w:val="22"/>
              </w:rPr>
              <w:fldChar w:fldCharType="separate"/>
            </w:r>
            <w:r w:rsidR="00431646">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AA4333">
              <w:rPr>
                <w:rFonts w:ascii="Arial" w:hAnsi="Arial" w:cs="Arial"/>
                <w:sz w:val="22"/>
                <w:szCs w:val="22"/>
              </w:rPr>
            </w:r>
            <w:r w:rsidR="00AA4333">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AA4333">
              <w:rPr>
                <w:rFonts w:ascii="Arial" w:hAnsi="Arial" w:cs="Arial"/>
                <w:sz w:val="22"/>
                <w:szCs w:val="22"/>
              </w:rPr>
            </w:r>
            <w:r w:rsidR="00AA4333">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AA4333">
              <w:rPr>
                <w:rFonts w:ascii="Arial" w:hAnsi="Arial" w:cs="Arial"/>
                <w:sz w:val="22"/>
                <w:szCs w:val="22"/>
              </w:rPr>
            </w:r>
            <w:r w:rsidR="00AA4333">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AA4333">
              <w:rPr>
                <w:rFonts w:ascii="Arial" w:hAnsi="Arial" w:cs="Arial"/>
                <w:sz w:val="22"/>
                <w:szCs w:val="22"/>
              </w:rPr>
            </w:r>
            <w:r w:rsidR="00AA4333">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AA4333">
              <w:rPr>
                <w:rFonts w:ascii="Arial" w:hAnsi="Arial" w:cs="Arial"/>
                <w:sz w:val="22"/>
                <w:szCs w:val="22"/>
              </w:rPr>
            </w:r>
            <w:r w:rsidR="00AA4333">
              <w:rPr>
                <w:rFonts w:ascii="Arial" w:hAnsi="Arial" w:cs="Arial"/>
                <w:sz w:val="22"/>
                <w:szCs w:val="22"/>
              </w:rPr>
              <w:fldChar w:fldCharType="separate"/>
            </w:r>
            <w:r w:rsidRPr="00230F35">
              <w:rPr>
                <w:rFonts w:ascii="Arial" w:hAnsi="Arial" w:cs="Arial"/>
                <w:sz w:val="22"/>
                <w:szCs w:val="22"/>
              </w:rPr>
              <w:fldChar w:fldCharType="end"/>
            </w:r>
            <w:bookmarkEnd w:id="5"/>
          </w:p>
        </w:tc>
      </w:tr>
      <w:tr w:rsidR="00901157" w:rsidRPr="00230F35" w14:paraId="6C315BC0" w14:textId="77777777" w:rsidTr="00A745B6">
        <w:trPr>
          <w:trHeight w:val="978"/>
        </w:trPr>
        <w:tc>
          <w:tcPr>
            <w:tcW w:w="8856" w:type="dxa"/>
            <w:gridSpan w:val="5"/>
            <w:shd w:val="clear" w:color="auto" w:fill="D9D9D9"/>
          </w:tcPr>
          <w:p w14:paraId="5C0C049B"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41996AF" w14:textId="639B47A5"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431646">
              <w:rPr>
                <w:rFonts w:ascii="Arial" w:hAnsi="Arial" w:cs="Arial"/>
                <w:sz w:val="22"/>
                <w:szCs w:val="22"/>
              </w:rPr>
              <w:t>Denize Jacques</w:t>
            </w:r>
            <w:r w:rsidRPr="00230F35">
              <w:rPr>
                <w:rFonts w:ascii="Arial" w:hAnsi="Arial" w:cs="Arial"/>
                <w:sz w:val="22"/>
                <w:szCs w:val="22"/>
              </w:rPr>
              <w:t>………………………………</w:t>
            </w:r>
            <w:r w:rsidR="00AE3217" w:rsidRPr="00230F35">
              <w:rPr>
                <w:rFonts w:ascii="Arial" w:hAnsi="Arial" w:cs="Arial"/>
                <w:sz w:val="22"/>
                <w:szCs w:val="22"/>
              </w:rPr>
              <w:t>………</w:t>
            </w:r>
          </w:p>
          <w:p w14:paraId="74B69262" w14:textId="6B322503"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2C55E9">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sidR="00431646">
              <w:rPr>
                <w:rFonts w:ascii="Segoe UI Emoji" w:hAnsi="Segoe UI Emoji" w:cs="Segoe UI Emoji"/>
                <w:color w:val="222222"/>
                <w:shd w:val="clear" w:color="auto" w:fill="FFFFFF"/>
              </w:rPr>
              <w:t>☑</w:t>
            </w:r>
          </w:p>
          <w:p w14:paraId="1B1ABF80"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14:paraId="7883AE4C" w14:textId="77777777" w:rsidTr="00A745B6">
        <w:trPr>
          <w:trHeight w:val="3972"/>
        </w:trPr>
        <w:tc>
          <w:tcPr>
            <w:tcW w:w="8856" w:type="dxa"/>
            <w:gridSpan w:val="5"/>
          </w:tcPr>
          <w:p w14:paraId="3C99D52D" w14:textId="77777777" w:rsidR="00A745B6" w:rsidRDefault="00A745B6" w:rsidP="00A745B6">
            <w:pPr>
              <w:rPr>
                <w:rFonts w:ascii="Arial" w:hAnsi="Arial"/>
                <w:b/>
              </w:rPr>
            </w:pPr>
          </w:p>
          <w:p w14:paraId="74940612"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745B6" w:rsidRPr="00116CE6" w14:paraId="65057601" w14:textId="77777777" w:rsidTr="00022345">
              <w:tc>
                <w:tcPr>
                  <w:tcW w:w="6970" w:type="dxa"/>
                </w:tcPr>
                <w:p w14:paraId="6DB9E1DD" w14:textId="77777777" w:rsidR="00A745B6" w:rsidRPr="00116CE6" w:rsidRDefault="00A745B6" w:rsidP="009C1A08">
                  <w:pPr>
                    <w:rPr>
                      <w:rFonts w:ascii="Arial" w:hAnsi="Arial"/>
                      <w:sz w:val="20"/>
                      <w:szCs w:val="20"/>
                    </w:rPr>
                  </w:pPr>
                </w:p>
                <w:p w14:paraId="0F1AC8E9"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19A3C3C" w14:textId="77777777" w:rsidR="00A745B6" w:rsidRPr="00116CE6" w:rsidRDefault="00A745B6" w:rsidP="009C1A08">
                  <w:pPr>
                    <w:rPr>
                      <w:rFonts w:ascii="Arial" w:hAnsi="Arial"/>
                      <w:sz w:val="20"/>
                      <w:szCs w:val="20"/>
                    </w:rPr>
                  </w:pPr>
                </w:p>
              </w:tc>
            </w:tr>
            <w:tr w:rsidR="00A745B6" w:rsidRPr="00116CE6" w14:paraId="2805240E" w14:textId="77777777" w:rsidTr="00022345">
              <w:tc>
                <w:tcPr>
                  <w:tcW w:w="6970" w:type="dxa"/>
                </w:tcPr>
                <w:p w14:paraId="1D8CE4A6" w14:textId="77777777" w:rsidR="00A745B6" w:rsidRPr="00116CE6" w:rsidRDefault="00A745B6" w:rsidP="009C1A08">
                  <w:pPr>
                    <w:rPr>
                      <w:rFonts w:ascii="Arial" w:hAnsi="Arial"/>
                      <w:sz w:val="20"/>
                      <w:szCs w:val="20"/>
                    </w:rPr>
                  </w:pPr>
                </w:p>
                <w:p w14:paraId="412C7771"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61EEFA4C" w14:textId="77777777" w:rsidR="00A745B6" w:rsidRPr="00116CE6" w:rsidRDefault="00A745B6" w:rsidP="009C1A08">
                  <w:pPr>
                    <w:rPr>
                      <w:rFonts w:ascii="Arial" w:hAnsi="Arial"/>
                      <w:sz w:val="20"/>
                      <w:szCs w:val="20"/>
                    </w:rPr>
                  </w:pPr>
                </w:p>
              </w:tc>
            </w:tr>
            <w:tr w:rsidR="00A745B6" w:rsidRPr="00116CE6" w14:paraId="64548B0E" w14:textId="77777777" w:rsidTr="00022345">
              <w:tc>
                <w:tcPr>
                  <w:tcW w:w="6970" w:type="dxa"/>
                </w:tcPr>
                <w:p w14:paraId="6844FCE2" w14:textId="77777777" w:rsidR="00A745B6" w:rsidRPr="00116CE6" w:rsidRDefault="00A745B6" w:rsidP="009C1A08">
                  <w:pPr>
                    <w:rPr>
                      <w:rFonts w:ascii="Arial" w:hAnsi="Arial"/>
                      <w:sz w:val="20"/>
                      <w:szCs w:val="20"/>
                    </w:rPr>
                  </w:pPr>
                </w:p>
                <w:p w14:paraId="39A6551A"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D1B889C" w14:textId="77777777" w:rsidR="00A745B6" w:rsidRPr="00116CE6" w:rsidRDefault="00A745B6" w:rsidP="009C1A08">
                  <w:pPr>
                    <w:rPr>
                      <w:rFonts w:ascii="Arial" w:hAnsi="Arial"/>
                      <w:sz w:val="20"/>
                      <w:szCs w:val="20"/>
                    </w:rPr>
                  </w:pPr>
                </w:p>
              </w:tc>
            </w:tr>
            <w:tr w:rsidR="00A745B6" w:rsidRPr="00116CE6" w14:paraId="1A10CEB8" w14:textId="77777777" w:rsidTr="00022345">
              <w:tc>
                <w:tcPr>
                  <w:tcW w:w="6970" w:type="dxa"/>
                </w:tcPr>
                <w:p w14:paraId="1A6795BE" w14:textId="77777777" w:rsidR="00A745B6" w:rsidRDefault="00A745B6" w:rsidP="009C1A08">
                  <w:pPr>
                    <w:rPr>
                      <w:rFonts w:ascii="Arial" w:hAnsi="Arial"/>
                      <w:sz w:val="20"/>
                      <w:szCs w:val="20"/>
                    </w:rPr>
                  </w:pPr>
                </w:p>
                <w:p w14:paraId="12E864F4"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7875B0B1" w14:textId="77777777" w:rsidR="00A745B6" w:rsidRPr="00116CE6" w:rsidRDefault="00A745B6" w:rsidP="009C1A08">
                  <w:pPr>
                    <w:rPr>
                      <w:rFonts w:ascii="Arial" w:hAnsi="Arial"/>
                      <w:sz w:val="20"/>
                      <w:szCs w:val="20"/>
                    </w:rPr>
                  </w:pPr>
                </w:p>
              </w:tc>
              <w:tc>
                <w:tcPr>
                  <w:tcW w:w="1660" w:type="dxa"/>
                </w:tcPr>
                <w:p w14:paraId="56085E26" w14:textId="77777777" w:rsidR="00A745B6" w:rsidRPr="00116CE6" w:rsidRDefault="00A745B6" w:rsidP="009C1A08">
                  <w:pPr>
                    <w:rPr>
                      <w:rFonts w:ascii="Arial" w:hAnsi="Arial"/>
                      <w:sz w:val="20"/>
                      <w:szCs w:val="20"/>
                    </w:rPr>
                  </w:pPr>
                </w:p>
              </w:tc>
            </w:tr>
          </w:tbl>
          <w:p w14:paraId="11D72670"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05EA5601"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9F22A80" w14:textId="77777777" w:rsidR="00A745B6" w:rsidRDefault="00A745B6" w:rsidP="002F467C">
            <w:pPr>
              <w:pStyle w:val="NormalWeb"/>
              <w:spacing w:before="0" w:beforeAutospacing="0" w:after="0" w:afterAutospacing="0"/>
              <w:rPr>
                <w:rFonts w:ascii="Arial" w:hAnsi="Arial" w:cs="Arial"/>
                <w:b/>
                <w:sz w:val="22"/>
                <w:szCs w:val="22"/>
              </w:rPr>
            </w:pPr>
          </w:p>
          <w:p w14:paraId="2A552494" w14:textId="77777777" w:rsidR="00B462B1" w:rsidRDefault="00B462B1" w:rsidP="002F467C">
            <w:pPr>
              <w:pStyle w:val="NormalWeb"/>
              <w:spacing w:before="0" w:beforeAutospacing="0" w:after="0" w:afterAutospacing="0"/>
              <w:rPr>
                <w:rFonts w:ascii="Arial" w:hAnsi="Arial" w:cs="Arial"/>
                <w:b/>
                <w:sz w:val="22"/>
                <w:szCs w:val="22"/>
              </w:rPr>
            </w:pPr>
          </w:p>
          <w:p w14:paraId="1F68FE76" w14:textId="77777777" w:rsidR="00F75EB5" w:rsidRDefault="00F75EB5" w:rsidP="002F467C">
            <w:pPr>
              <w:pStyle w:val="NormalWeb"/>
              <w:spacing w:before="0" w:beforeAutospacing="0" w:after="0" w:afterAutospacing="0"/>
              <w:rPr>
                <w:rFonts w:ascii="Arial" w:hAnsi="Arial" w:cs="Arial"/>
                <w:b/>
                <w:sz w:val="22"/>
                <w:szCs w:val="22"/>
              </w:rPr>
            </w:pPr>
          </w:p>
          <w:p w14:paraId="19F6AD4A" w14:textId="77777777" w:rsidR="00F75EB5" w:rsidRDefault="00F75EB5" w:rsidP="002F467C">
            <w:pPr>
              <w:pStyle w:val="NormalWeb"/>
              <w:spacing w:before="0" w:beforeAutospacing="0" w:after="0" w:afterAutospacing="0"/>
              <w:rPr>
                <w:rFonts w:ascii="Arial" w:hAnsi="Arial" w:cs="Arial"/>
                <w:b/>
                <w:sz w:val="22"/>
                <w:szCs w:val="22"/>
              </w:rPr>
            </w:pPr>
          </w:p>
          <w:p w14:paraId="2762C11B" w14:textId="77777777" w:rsidR="00B462B1" w:rsidRDefault="00B462B1" w:rsidP="002F467C">
            <w:pPr>
              <w:pStyle w:val="NormalWeb"/>
              <w:spacing w:before="0" w:beforeAutospacing="0" w:after="0" w:afterAutospacing="0"/>
              <w:rPr>
                <w:rFonts w:ascii="Arial" w:hAnsi="Arial" w:cs="Arial"/>
                <w:b/>
                <w:sz w:val="22"/>
                <w:szCs w:val="22"/>
              </w:rPr>
            </w:pPr>
          </w:p>
          <w:p w14:paraId="1296FEC1"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w:t>
            </w:r>
            <w:proofErr w:type="gramStart"/>
            <w:r w:rsidR="00D67BF8" w:rsidRPr="00230F35">
              <w:rPr>
                <w:rFonts w:ascii="Arial" w:hAnsi="Arial" w:cs="Arial"/>
                <w:b/>
                <w:sz w:val="22"/>
                <w:szCs w:val="22"/>
              </w:rPr>
              <w:t xml:space="preserve">1 </w:t>
            </w:r>
            <w:r w:rsidR="00590E9A" w:rsidRPr="00230F35">
              <w:rPr>
                <w:rFonts w:ascii="Arial" w:hAnsi="Arial" w:cs="Arial"/>
                <w:b/>
                <w:sz w:val="22"/>
                <w:szCs w:val="22"/>
              </w:rPr>
              <w:t>:</w:t>
            </w:r>
            <w:proofErr w:type="gramEnd"/>
          </w:p>
          <w:p w14:paraId="45B7F2B4"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3CE6ACE5" w14:textId="77777777" w:rsidR="00B56E7B" w:rsidRPr="00001C3B" w:rsidRDefault="00B56E7B" w:rsidP="00043549">
            <w:pPr>
              <w:pStyle w:val="NormalWeb"/>
              <w:rPr>
                <w:rFonts w:ascii="Arial" w:hAnsi="Arial" w:cs="Arial"/>
                <w:sz w:val="22"/>
                <w:szCs w:val="22"/>
              </w:rPr>
            </w:pPr>
          </w:p>
        </w:tc>
      </w:tr>
      <w:tr w:rsidR="00EC7546" w:rsidRPr="00230F35" w14:paraId="56C3025F" w14:textId="77777777" w:rsidTr="00A745B6">
        <w:trPr>
          <w:trHeight w:val="492"/>
        </w:trPr>
        <w:tc>
          <w:tcPr>
            <w:tcW w:w="6768" w:type="dxa"/>
            <w:gridSpan w:val="3"/>
          </w:tcPr>
          <w:p w14:paraId="6EC28308"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3729B9A0"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3533D18E" w14:textId="77777777" w:rsidTr="002F467C">
        <w:tc>
          <w:tcPr>
            <w:tcW w:w="8856" w:type="dxa"/>
            <w:gridSpan w:val="5"/>
          </w:tcPr>
          <w:p w14:paraId="123EC8C9"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0DA98B6F"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3C56CE95"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693FF8E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63BA5E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9588AC6"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64D0B16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0C5A1022" w14:textId="77777777" w:rsidTr="008D674F">
        <w:trPr>
          <w:trHeight w:val="720"/>
        </w:trPr>
        <w:tc>
          <w:tcPr>
            <w:tcW w:w="5211" w:type="dxa"/>
            <w:gridSpan w:val="2"/>
          </w:tcPr>
          <w:p w14:paraId="1FFB1373"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7E25D49A"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202314FB" w14:textId="77777777" w:rsidTr="009C1A08">
        <w:trPr>
          <w:trHeight w:val="720"/>
        </w:trPr>
        <w:tc>
          <w:tcPr>
            <w:tcW w:w="8856" w:type="dxa"/>
            <w:gridSpan w:val="5"/>
          </w:tcPr>
          <w:p w14:paraId="7629A950"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37514E69"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539DECC"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58250AFB"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18427DD8" w14:textId="77777777" w:rsidTr="00230F35">
        <w:trPr>
          <w:trHeight w:val="720"/>
        </w:trPr>
        <w:tc>
          <w:tcPr>
            <w:tcW w:w="5211" w:type="dxa"/>
            <w:gridSpan w:val="2"/>
          </w:tcPr>
          <w:p w14:paraId="7CE893D5"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017C4A7E"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49E2988B" w14:textId="476294E1" w:rsidR="00431646" w:rsidRDefault="00431646" w:rsidP="00FA07E9">
      <w:pPr>
        <w:pStyle w:val="NormalWeb"/>
        <w:spacing w:before="0" w:beforeAutospacing="0" w:after="0" w:afterAutospacing="0"/>
        <w:ind w:right="-334"/>
        <w:rPr>
          <w:rFonts w:ascii="Trebuchet MS" w:hAnsi="Trebuchet MS" w:cs="Tahoma"/>
          <w:bCs/>
          <w:sz w:val="24"/>
          <w:szCs w:val="24"/>
        </w:rPr>
      </w:pPr>
    </w:p>
    <w:p w14:paraId="0648B4F3" w14:textId="3CB12276" w:rsidR="00431646" w:rsidRPr="004523A2" w:rsidRDefault="00431646" w:rsidP="004523A2">
      <w:pPr>
        <w:pStyle w:val="NormalWeb"/>
        <w:spacing w:before="0" w:beforeAutospacing="0" w:after="60" w:afterAutospacing="0" w:line="480" w:lineRule="auto"/>
        <w:rPr>
          <w:rFonts w:ascii="Times New Roman" w:eastAsia="Times New Roman" w:hAnsi="Times New Roman"/>
          <w:lang w:eastAsia="ja-JP"/>
        </w:rPr>
      </w:pPr>
      <w:r>
        <w:rPr>
          <w:rFonts w:ascii="Trebuchet MS" w:hAnsi="Trebuchet MS" w:cs="Tahoma"/>
          <w:bCs/>
          <w:sz w:val="24"/>
          <w:szCs w:val="24"/>
        </w:rPr>
        <w:br w:type="page"/>
      </w:r>
      <w:r w:rsidR="004523A2" w:rsidRPr="004523A2">
        <w:rPr>
          <w:rFonts w:ascii="Times New Roman" w:hAnsi="Times New Roman"/>
          <w:b/>
          <w:sz w:val="24"/>
          <w:szCs w:val="24"/>
        </w:rPr>
        <w:t>Part One – Bibliographical Exercise</w:t>
      </w:r>
      <w:r w:rsidR="004523A2" w:rsidRPr="004523A2">
        <w:rPr>
          <w:rFonts w:ascii="Times New Roman" w:hAnsi="Times New Roman"/>
          <w:b/>
          <w:sz w:val="24"/>
          <w:szCs w:val="24"/>
        </w:rPr>
        <w:br/>
      </w:r>
    </w:p>
    <w:p w14:paraId="2E528115" w14:textId="165E0079" w:rsidR="00431646" w:rsidRPr="004523A2" w:rsidRDefault="001E4076" w:rsidP="00431646">
      <w:pPr>
        <w:spacing w:line="480" w:lineRule="auto"/>
        <w:rPr>
          <w:rFonts w:eastAsia="Times New Roman"/>
          <w:lang w:eastAsia="ja-JP"/>
        </w:rPr>
      </w:pPr>
      <w:r>
        <w:rPr>
          <w:rFonts w:eastAsia="Times New Roman"/>
          <w:color w:val="000000"/>
          <w:lang w:eastAsia="ja-JP"/>
        </w:rPr>
        <w:t>The</w:t>
      </w:r>
      <w:r w:rsidR="00431646" w:rsidRPr="004523A2">
        <w:rPr>
          <w:rFonts w:eastAsia="Times New Roman"/>
          <w:color w:val="000000"/>
          <w:lang w:eastAsia="ja-JP"/>
        </w:rPr>
        <w:t xml:space="preserve"> Domesday Book was commissioned in 1085 by William I and is a manuscript record of taxable land and resources of 13,418 sites across much of England and parts of Wales. </w:t>
      </w:r>
      <w:r w:rsidR="003A791B" w:rsidRPr="004523A2">
        <w:rPr>
          <w:rFonts w:eastAsia="Times New Roman"/>
          <w:color w:val="000000"/>
          <w:lang w:eastAsia="ja-JP"/>
        </w:rPr>
        <w:t xml:space="preserve">A main purpose of this </w:t>
      </w:r>
      <w:r w:rsidR="00431646" w:rsidRPr="004523A2">
        <w:rPr>
          <w:rFonts w:eastAsia="Times New Roman"/>
          <w:color w:val="000000"/>
          <w:lang w:eastAsia="ja-JP"/>
        </w:rPr>
        <w:t xml:space="preserve">was to reassert and validate the </w:t>
      </w:r>
      <w:r w:rsidR="003A791B" w:rsidRPr="004523A2">
        <w:rPr>
          <w:rFonts w:eastAsia="Times New Roman"/>
          <w:color w:val="000000"/>
          <w:lang w:eastAsia="ja-JP"/>
        </w:rPr>
        <w:t xml:space="preserve">rights of the </w:t>
      </w:r>
      <w:r w:rsidR="00431646" w:rsidRPr="004523A2">
        <w:rPr>
          <w:rFonts w:eastAsia="Times New Roman"/>
          <w:color w:val="000000"/>
          <w:lang w:eastAsia="ja-JP"/>
        </w:rPr>
        <w:t>crown</w:t>
      </w:r>
      <w:r w:rsidR="003A791B" w:rsidRPr="004523A2">
        <w:rPr>
          <w:rFonts w:eastAsia="Times New Roman"/>
          <w:color w:val="000000"/>
          <w:lang w:eastAsia="ja-JP"/>
        </w:rPr>
        <w:t xml:space="preserve">; </w:t>
      </w:r>
      <w:r w:rsidR="00431646" w:rsidRPr="004523A2">
        <w:rPr>
          <w:rFonts w:eastAsia="Times New Roman"/>
          <w:color w:val="000000"/>
          <w:lang w:eastAsia="ja-JP"/>
        </w:rPr>
        <w:t xml:space="preserve">through an assessment of the ownership of property and the accumulation of taxes during </w:t>
      </w:r>
      <w:r w:rsidRPr="004523A2">
        <w:rPr>
          <w:rFonts w:eastAsia="Times New Roman"/>
          <w:color w:val="000000"/>
          <w:lang w:eastAsia="ja-JP"/>
        </w:rPr>
        <w:t>Edward the Confessor</w:t>
      </w:r>
      <w:r>
        <w:rPr>
          <w:rFonts w:eastAsia="Times New Roman"/>
          <w:color w:val="000000"/>
          <w:lang w:eastAsia="ja-JP"/>
        </w:rPr>
        <w:t xml:space="preserve">’s </w:t>
      </w:r>
      <w:r w:rsidR="00431646" w:rsidRPr="004523A2">
        <w:rPr>
          <w:rFonts w:eastAsia="Times New Roman"/>
          <w:color w:val="000000"/>
          <w:lang w:eastAsia="ja-JP"/>
        </w:rPr>
        <w:t>reign, the survey determined what taxes William I could raise. It also gave an indication of th</w:t>
      </w:r>
      <w:r w:rsidR="003A791B" w:rsidRPr="004523A2">
        <w:rPr>
          <w:rFonts w:eastAsia="Times New Roman"/>
          <w:color w:val="000000"/>
          <w:lang w:eastAsia="ja-JP"/>
        </w:rPr>
        <w:t>e</w:t>
      </w:r>
      <w:r w:rsidR="00431646" w:rsidRPr="004523A2">
        <w:rPr>
          <w:rFonts w:eastAsia="Times New Roman"/>
          <w:color w:val="000000"/>
          <w:lang w:eastAsia="ja-JP"/>
        </w:rPr>
        <w:t xml:space="preserve"> soci</w:t>
      </w:r>
      <w:r>
        <w:rPr>
          <w:rFonts w:eastAsia="Times New Roman"/>
          <w:color w:val="000000"/>
          <w:lang w:eastAsia="ja-JP"/>
        </w:rPr>
        <w:t>o-economic</w:t>
      </w:r>
      <w:r w:rsidR="00431646" w:rsidRPr="004523A2">
        <w:rPr>
          <w:rFonts w:eastAsia="Times New Roman"/>
          <w:color w:val="000000"/>
          <w:lang w:eastAsia="ja-JP"/>
        </w:rPr>
        <w:t xml:space="preserve"> state </w:t>
      </w:r>
      <w:r w:rsidR="003A791B" w:rsidRPr="004523A2">
        <w:rPr>
          <w:rFonts w:eastAsia="Times New Roman"/>
          <w:color w:val="000000"/>
          <w:lang w:eastAsia="ja-JP"/>
        </w:rPr>
        <w:t xml:space="preserve">of England after the </w:t>
      </w:r>
      <w:r w:rsidR="00431646" w:rsidRPr="004523A2">
        <w:rPr>
          <w:rFonts w:eastAsia="Times New Roman"/>
          <w:color w:val="000000"/>
          <w:lang w:eastAsia="ja-JP"/>
        </w:rPr>
        <w:t>Norman conquest. Originally in two volumes, it uses heavily abbreviated Medieval Latin and many vernacular native terms. The text was not published until the 18th century, although the original manuscripts have been rebound numerous times.</w:t>
      </w:r>
    </w:p>
    <w:p w14:paraId="2E2EBBF3" w14:textId="77777777" w:rsidR="00431646" w:rsidRPr="004523A2" w:rsidRDefault="00431646" w:rsidP="00431646">
      <w:pPr>
        <w:spacing w:line="480" w:lineRule="auto"/>
        <w:rPr>
          <w:rFonts w:eastAsia="Times New Roman"/>
          <w:lang w:eastAsia="ja-JP"/>
        </w:rPr>
      </w:pPr>
    </w:p>
    <w:p w14:paraId="51ED3164" w14:textId="77777777" w:rsidR="00431646" w:rsidRPr="004523A2" w:rsidRDefault="00431646" w:rsidP="00431646">
      <w:pPr>
        <w:spacing w:line="480" w:lineRule="auto"/>
        <w:rPr>
          <w:rFonts w:eastAsia="Times New Roman"/>
          <w:lang w:eastAsia="ja-JP"/>
        </w:rPr>
      </w:pPr>
      <w:r w:rsidRPr="004523A2">
        <w:rPr>
          <w:rFonts w:eastAsia="Times New Roman"/>
          <w:color w:val="000000"/>
          <w:lang w:eastAsia="ja-JP"/>
        </w:rPr>
        <w:t>University libraries, the British Library catalogue, and the National Archives website were used to compile a bibliography of key editions of the Domesday Book text. In the instance of the Domesday text being published across many volumes, editions focusing on the county of Surrey or the town of Guildford have been chosen for this bibliography. </w:t>
      </w:r>
    </w:p>
    <w:p w14:paraId="138CBA8C" w14:textId="77777777" w:rsidR="00431646" w:rsidRPr="004523A2" w:rsidRDefault="00431646" w:rsidP="00431646">
      <w:pPr>
        <w:spacing w:line="480" w:lineRule="auto"/>
        <w:rPr>
          <w:rFonts w:eastAsia="Times New Roman"/>
          <w:lang w:eastAsia="ja-JP"/>
        </w:rPr>
      </w:pPr>
    </w:p>
    <w:p w14:paraId="18DD51F2" w14:textId="77777777" w:rsidR="00431646" w:rsidRPr="004523A2" w:rsidRDefault="00431646" w:rsidP="00431646">
      <w:pPr>
        <w:spacing w:before="240" w:after="240" w:line="480" w:lineRule="auto"/>
        <w:ind w:right="-100"/>
        <w:rPr>
          <w:rFonts w:eastAsia="Times New Roman"/>
          <w:lang w:eastAsia="ja-JP"/>
        </w:rPr>
      </w:pPr>
      <w:r w:rsidRPr="004523A2">
        <w:rPr>
          <w:rFonts w:eastAsia="Times New Roman"/>
          <w:b/>
          <w:bCs/>
          <w:color w:val="000000"/>
          <w:lang w:eastAsia="ja-JP"/>
        </w:rPr>
        <w:t xml:space="preserve">Farley, Abraham, ed, </w:t>
      </w:r>
      <w:r w:rsidRPr="004523A2">
        <w:rPr>
          <w:rFonts w:eastAsia="Times New Roman"/>
          <w:b/>
          <w:bCs/>
          <w:i/>
          <w:iCs/>
          <w:color w:val="000000"/>
          <w:lang w:eastAsia="ja-JP"/>
        </w:rPr>
        <w:t xml:space="preserve">Domesday-Book: </w:t>
      </w:r>
      <w:proofErr w:type="spellStart"/>
      <w:r w:rsidRPr="004523A2">
        <w:rPr>
          <w:rFonts w:eastAsia="Times New Roman"/>
          <w:b/>
          <w:bCs/>
          <w:i/>
          <w:iCs/>
          <w:color w:val="000000"/>
          <w:lang w:eastAsia="ja-JP"/>
        </w:rPr>
        <w:t>seu</w:t>
      </w:r>
      <w:proofErr w:type="spellEnd"/>
      <w:r w:rsidRPr="004523A2">
        <w:rPr>
          <w:rFonts w:eastAsia="Times New Roman"/>
          <w:b/>
          <w:bCs/>
          <w:i/>
          <w:iCs/>
          <w:color w:val="000000"/>
          <w:lang w:eastAsia="ja-JP"/>
        </w:rPr>
        <w:t xml:space="preserve"> liber </w:t>
      </w:r>
      <w:proofErr w:type="spellStart"/>
      <w:r w:rsidRPr="004523A2">
        <w:rPr>
          <w:rFonts w:eastAsia="Times New Roman"/>
          <w:b/>
          <w:bCs/>
          <w:i/>
          <w:iCs/>
          <w:color w:val="000000"/>
          <w:lang w:eastAsia="ja-JP"/>
        </w:rPr>
        <w:t>censualis</w:t>
      </w:r>
      <w:proofErr w:type="spellEnd"/>
      <w:r w:rsidRPr="004523A2">
        <w:rPr>
          <w:rFonts w:eastAsia="Times New Roman"/>
          <w:b/>
          <w:bCs/>
          <w:i/>
          <w:iCs/>
          <w:color w:val="000000"/>
          <w:lang w:eastAsia="ja-JP"/>
        </w:rPr>
        <w:t xml:space="preserve"> </w:t>
      </w:r>
      <w:proofErr w:type="spellStart"/>
      <w:r w:rsidRPr="004523A2">
        <w:rPr>
          <w:rFonts w:eastAsia="Times New Roman"/>
          <w:b/>
          <w:bCs/>
          <w:i/>
          <w:iCs/>
          <w:color w:val="000000"/>
          <w:lang w:eastAsia="ja-JP"/>
        </w:rPr>
        <w:t>Willelmi</w:t>
      </w:r>
      <w:proofErr w:type="spellEnd"/>
      <w:r w:rsidRPr="004523A2">
        <w:rPr>
          <w:rFonts w:eastAsia="Times New Roman"/>
          <w:b/>
          <w:bCs/>
          <w:i/>
          <w:iCs/>
          <w:color w:val="000000"/>
          <w:lang w:eastAsia="ja-JP"/>
        </w:rPr>
        <w:t xml:space="preserve"> </w:t>
      </w:r>
      <w:proofErr w:type="spellStart"/>
      <w:r w:rsidRPr="004523A2">
        <w:rPr>
          <w:rFonts w:eastAsia="Times New Roman"/>
          <w:b/>
          <w:bCs/>
          <w:i/>
          <w:iCs/>
          <w:color w:val="000000"/>
          <w:lang w:eastAsia="ja-JP"/>
        </w:rPr>
        <w:t>primi</w:t>
      </w:r>
      <w:proofErr w:type="spellEnd"/>
      <w:r w:rsidRPr="004523A2">
        <w:rPr>
          <w:rFonts w:eastAsia="Times New Roman"/>
          <w:b/>
          <w:bCs/>
          <w:i/>
          <w:iCs/>
          <w:color w:val="000000"/>
          <w:lang w:eastAsia="ja-JP"/>
        </w:rPr>
        <w:t xml:space="preserve"> </w:t>
      </w:r>
      <w:proofErr w:type="spellStart"/>
      <w:r w:rsidRPr="004523A2">
        <w:rPr>
          <w:rFonts w:eastAsia="Times New Roman"/>
          <w:b/>
          <w:bCs/>
          <w:i/>
          <w:iCs/>
          <w:color w:val="000000"/>
          <w:lang w:eastAsia="ja-JP"/>
        </w:rPr>
        <w:t>regis</w:t>
      </w:r>
      <w:proofErr w:type="spellEnd"/>
      <w:r w:rsidRPr="004523A2">
        <w:rPr>
          <w:rFonts w:eastAsia="Times New Roman"/>
          <w:b/>
          <w:bCs/>
          <w:i/>
          <w:iCs/>
          <w:color w:val="000000"/>
          <w:lang w:eastAsia="ja-JP"/>
        </w:rPr>
        <w:t xml:space="preserve"> </w:t>
      </w:r>
      <w:proofErr w:type="spellStart"/>
      <w:r w:rsidRPr="004523A2">
        <w:rPr>
          <w:rFonts w:eastAsia="Times New Roman"/>
          <w:b/>
          <w:bCs/>
          <w:i/>
          <w:iCs/>
          <w:color w:val="000000"/>
          <w:lang w:eastAsia="ja-JP"/>
        </w:rPr>
        <w:t>Angliae</w:t>
      </w:r>
      <w:proofErr w:type="spellEnd"/>
      <w:r w:rsidRPr="004523A2">
        <w:rPr>
          <w:rFonts w:eastAsia="Times New Roman"/>
          <w:b/>
          <w:bCs/>
          <w:i/>
          <w:iCs/>
          <w:color w:val="000000"/>
          <w:lang w:eastAsia="ja-JP"/>
        </w:rPr>
        <w:t xml:space="preserve">, inter </w:t>
      </w:r>
      <w:proofErr w:type="spellStart"/>
      <w:r w:rsidRPr="004523A2">
        <w:rPr>
          <w:rFonts w:eastAsia="Times New Roman"/>
          <w:b/>
          <w:bCs/>
          <w:i/>
          <w:iCs/>
          <w:color w:val="000000"/>
          <w:lang w:eastAsia="ja-JP"/>
        </w:rPr>
        <w:t>archivos</w:t>
      </w:r>
      <w:proofErr w:type="spellEnd"/>
      <w:r w:rsidRPr="004523A2">
        <w:rPr>
          <w:rFonts w:eastAsia="Times New Roman"/>
          <w:b/>
          <w:bCs/>
          <w:i/>
          <w:iCs/>
          <w:color w:val="000000"/>
          <w:lang w:eastAsia="ja-JP"/>
        </w:rPr>
        <w:t xml:space="preserve"> </w:t>
      </w:r>
      <w:proofErr w:type="spellStart"/>
      <w:r w:rsidRPr="004523A2">
        <w:rPr>
          <w:rFonts w:eastAsia="Times New Roman"/>
          <w:b/>
          <w:bCs/>
          <w:i/>
          <w:iCs/>
          <w:color w:val="000000"/>
          <w:lang w:eastAsia="ja-JP"/>
        </w:rPr>
        <w:t>regni</w:t>
      </w:r>
      <w:proofErr w:type="spellEnd"/>
      <w:r w:rsidRPr="004523A2">
        <w:rPr>
          <w:rFonts w:eastAsia="Times New Roman"/>
          <w:b/>
          <w:bCs/>
          <w:i/>
          <w:iCs/>
          <w:color w:val="000000"/>
          <w:lang w:eastAsia="ja-JP"/>
        </w:rPr>
        <w:t xml:space="preserve"> in domo </w:t>
      </w:r>
      <w:proofErr w:type="spellStart"/>
      <w:r w:rsidRPr="004523A2">
        <w:rPr>
          <w:rFonts w:eastAsia="Times New Roman"/>
          <w:b/>
          <w:bCs/>
          <w:i/>
          <w:iCs/>
          <w:color w:val="000000"/>
          <w:lang w:eastAsia="ja-JP"/>
        </w:rPr>
        <w:t>capitulari</w:t>
      </w:r>
      <w:proofErr w:type="spellEnd"/>
      <w:r w:rsidRPr="004523A2">
        <w:rPr>
          <w:rFonts w:eastAsia="Times New Roman"/>
          <w:b/>
          <w:bCs/>
          <w:i/>
          <w:iCs/>
          <w:color w:val="000000"/>
          <w:lang w:eastAsia="ja-JP"/>
        </w:rPr>
        <w:t xml:space="preserve"> </w:t>
      </w:r>
      <w:proofErr w:type="spellStart"/>
      <w:r w:rsidRPr="004523A2">
        <w:rPr>
          <w:rFonts w:eastAsia="Times New Roman"/>
          <w:b/>
          <w:bCs/>
          <w:i/>
          <w:iCs/>
          <w:color w:val="000000"/>
          <w:lang w:eastAsia="ja-JP"/>
        </w:rPr>
        <w:t>Westmonasterii</w:t>
      </w:r>
      <w:proofErr w:type="spellEnd"/>
      <w:r w:rsidRPr="004523A2">
        <w:rPr>
          <w:rFonts w:eastAsia="Times New Roman"/>
          <w:b/>
          <w:bCs/>
          <w:i/>
          <w:iCs/>
          <w:color w:val="000000"/>
          <w:lang w:eastAsia="ja-JP"/>
        </w:rPr>
        <w:t xml:space="preserve"> </w:t>
      </w:r>
      <w:proofErr w:type="spellStart"/>
      <w:r w:rsidRPr="004523A2">
        <w:rPr>
          <w:rFonts w:eastAsia="Times New Roman"/>
          <w:b/>
          <w:bCs/>
          <w:i/>
          <w:iCs/>
          <w:color w:val="000000"/>
          <w:lang w:eastAsia="ja-JP"/>
        </w:rPr>
        <w:t>asseruatus</w:t>
      </w:r>
      <w:proofErr w:type="spellEnd"/>
      <w:r w:rsidRPr="004523A2">
        <w:rPr>
          <w:rFonts w:eastAsia="Times New Roman"/>
          <w:b/>
          <w:bCs/>
          <w:i/>
          <w:iCs/>
          <w:color w:val="000000"/>
          <w:lang w:eastAsia="ja-JP"/>
        </w:rPr>
        <w:t xml:space="preserve"> </w:t>
      </w:r>
      <w:r w:rsidRPr="004523A2">
        <w:rPr>
          <w:rFonts w:eastAsia="Times New Roman"/>
          <w:b/>
          <w:bCs/>
          <w:color w:val="000000"/>
          <w:lang w:eastAsia="ja-JP"/>
        </w:rPr>
        <w:t>(London: 1783).</w:t>
      </w:r>
    </w:p>
    <w:p w14:paraId="7D9D7685" w14:textId="16D0F30D" w:rsidR="00431646" w:rsidRPr="004523A2" w:rsidRDefault="00431646" w:rsidP="00431646">
      <w:pPr>
        <w:spacing w:before="240" w:after="240" w:line="480" w:lineRule="auto"/>
        <w:ind w:left="720" w:right="-100"/>
        <w:jc w:val="both"/>
        <w:rPr>
          <w:rFonts w:eastAsia="Times New Roman"/>
          <w:lang w:eastAsia="ja-JP"/>
        </w:rPr>
      </w:pPr>
      <w:r w:rsidRPr="004523A2">
        <w:rPr>
          <w:rFonts w:eastAsia="Times New Roman"/>
          <w:color w:val="000000"/>
          <w:lang w:eastAsia="ja-JP"/>
        </w:rPr>
        <w:t xml:space="preserve">The first printed edition of the Domesday text, it was published in two volumes in 1783 and initially distributed only amongst members of Parliament. Marginalia were omitted and the publication did not include indices or other supplementary materials. The text uses the “Record Type” font, which was commissioned to imitate the Domesday script as accurately as possible. </w:t>
      </w:r>
    </w:p>
    <w:p w14:paraId="1CD8C2B5" w14:textId="77777777" w:rsidR="00431646" w:rsidRPr="004523A2" w:rsidRDefault="00431646" w:rsidP="00431646">
      <w:pPr>
        <w:spacing w:before="240" w:after="240" w:line="480" w:lineRule="auto"/>
        <w:ind w:left="720" w:right="-100"/>
        <w:jc w:val="both"/>
        <w:rPr>
          <w:rFonts w:eastAsia="Times New Roman"/>
          <w:lang w:eastAsia="ja-JP"/>
        </w:rPr>
      </w:pPr>
      <w:r w:rsidRPr="004523A2">
        <w:rPr>
          <w:rFonts w:eastAsia="Times New Roman"/>
          <w:color w:val="000000"/>
          <w:lang w:eastAsia="ja-JP"/>
        </w:rPr>
        <w:t>As the first published edition of the Domesday text, Farley’s publication made the Domesday text considerably more accessible than it had been previously. </w:t>
      </w:r>
    </w:p>
    <w:p w14:paraId="42B24CEE" w14:textId="77777777" w:rsidR="00431646" w:rsidRPr="004523A2" w:rsidRDefault="00431646" w:rsidP="00431646">
      <w:pPr>
        <w:spacing w:line="480" w:lineRule="auto"/>
        <w:rPr>
          <w:rFonts w:eastAsia="Times New Roman"/>
          <w:lang w:eastAsia="ja-JP"/>
        </w:rPr>
      </w:pPr>
    </w:p>
    <w:p w14:paraId="4D3E229F" w14:textId="77777777" w:rsidR="00431646" w:rsidRPr="004523A2" w:rsidRDefault="00431646" w:rsidP="00431646">
      <w:pPr>
        <w:spacing w:before="240" w:after="240" w:line="480" w:lineRule="auto"/>
        <w:ind w:right="-100"/>
        <w:rPr>
          <w:rFonts w:eastAsia="Times New Roman"/>
          <w:lang w:eastAsia="ja-JP"/>
        </w:rPr>
      </w:pPr>
      <w:r w:rsidRPr="004523A2">
        <w:rPr>
          <w:rFonts w:eastAsia="Times New Roman"/>
          <w:b/>
          <w:bCs/>
          <w:color w:val="000000"/>
          <w:lang w:eastAsia="ja-JP"/>
        </w:rPr>
        <w:t xml:space="preserve">Domesday-book, </w:t>
      </w:r>
      <w:proofErr w:type="spellStart"/>
      <w:r w:rsidRPr="004523A2">
        <w:rPr>
          <w:rFonts w:eastAsia="Times New Roman"/>
          <w:b/>
          <w:bCs/>
          <w:i/>
          <w:iCs/>
          <w:color w:val="000000"/>
          <w:lang w:eastAsia="ja-JP"/>
        </w:rPr>
        <w:t>Seu</w:t>
      </w:r>
      <w:proofErr w:type="spellEnd"/>
      <w:r w:rsidRPr="004523A2">
        <w:rPr>
          <w:rFonts w:eastAsia="Times New Roman"/>
          <w:b/>
          <w:bCs/>
          <w:i/>
          <w:iCs/>
          <w:color w:val="000000"/>
          <w:lang w:eastAsia="ja-JP"/>
        </w:rPr>
        <w:t xml:space="preserve">, Libri </w:t>
      </w:r>
      <w:proofErr w:type="spellStart"/>
      <w:r w:rsidRPr="004523A2">
        <w:rPr>
          <w:rFonts w:eastAsia="Times New Roman"/>
          <w:b/>
          <w:bCs/>
          <w:i/>
          <w:iCs/>
          <w:color w:val="000000"/>
          <w:lang w:eastAsia="ja-JP"/>
        </w:rPr>
        <w:t>Censualis</w:t>
      </w:r>
      <w:proofErr w:type="spellEnd"/>
      <w:r w:rsidRPr="004523A2">
        <w:rPr>
          <w:rFonts w:eastAsia="Times New Roman"/>
          <w:b/>
          <w:bCs/>
          <w:i/>
          <w:iCs/>
          <w:color w:val="000000"/>
          <w:lang w:eastAsia="ja-JP"/>
        </w:rPr>
        <w:t xml:space="preserve">, </w:t>
      </w:r>
      <w:proofErr w:type="spellStart"/>
      <w:r w:rsidRPr="004523A2">
        <w:rPr>
          <w:rFonts w:eastAsia="Times New Roman"/>
          <w:b/>
          <w:bCs/>
          <w:i/>
          <w:iCs/>
          <w:color w:val="000000"/>
          <w:lang w:eastAsia="ja-JP"/>
        </w:rPr>
        <w:t>Willelmi</w:t>
      </w:r>
      <w:proofErr w:type="spellEnd"/>
      <w:r w:rsidRPr="004523A2">
        <w:rPr>
          <w:rFonts w:eastAsia="Times New Roman"/>
          <w:b/>
          <w:bCs/>
          <w:i/>
          <w:iCs/>
          <w:color w:val="000000"/>
          <w:lang w:eastAsia="ja-JP"/>
        </w:rPr>
        <w:t xml:space="preserve"> </w:t>
      </w:r>
      <w:proofErr w:type="spellStart"/>
      <w:r w:rsidRPr="004523A2">
        <w:rPr>
          <w:rFonts w:eastAsia="Times New Roman"/>
          <w:b/>
          <w:bCs/>
          <w:i/>
          <w:iCs/>
          <w:color w:val="000000"/>
          <w:lang w:eastAsia="ja-JP"/>
        </w:rPr>
        <w:t>Primi</w:t>
      </w:r>
      <w:proofErr w:type="spellEnd"/>
      <w:r w:rsidRPr="004523A2">
        <w:rPr>
          <w:rFonts w:eastAsia="Times New Roman"/>
          <w:b/>
          <w:bCs/>
          <w:i/>
          <w:iCs/>
          <w:color w:val="000000"/>
          <w:lang w:eastAsia="ja-JP"/>
        </w:rPr>
        <w:t xml:space="preserve"> Regis </w:t>
      </w:r>
      <w:proofErr w:type="spellStart"/>
      <w:r w:rsidRPr="004523A2">
        <w:rPr>
          <w:rFonts w:eastAsia="Times New Roman"/>
          <w:b/>
          <w:bCs/>
          <w:i/>
          <w:iCs/>
          <w:color w:val="000000"/>
          <w:lang w:eastAsia="ja-JP"/>
        </w:rPr>
        <w:t>Angliæ</w:t>
      </w:r>
      <w:proofErr w:type="spellEnd"/>
      <w:r w:rsidRPr="004523A2">
        <w:rPr>
          <w:rFonts w:eastAsia="Times New Roman"/>
          <w:b/>
          <w:bCs/>
          <w:i/>
          <w:iCs/>
          <w:color w:val="000000"/>
          <w:lang w:eastAsia="ja-JP"/>
        </w:rPr>
        <w:t xml:space="preserve">, </w:t>
      </w:r>
      <w:proofErr w:type="spellStart"/>
      <w:r w:rsidRPr="004523A2">
        <w:rPr>
          <w:rFonts w:eastAsia="Times New Roman"/>
          <w:b/>
          <w:bCs/>
          <w:i/>
          <w:iCs/>
          <w:color w:val="000000"/>
          <w:lang w:eastAsia="ja-JP"/>
        </w:rPr>
        <w:t>Additamenta</w:t>
      </w:r>
      <w:proofErr w:type="spellEnd"/>
      <w:r w:rsidRPr="004523A2">
        <w:rPr>
          <w:rFonts w:eastAsia="Times New Roman"/>
          <w:b/>
          <w:bCs/>
          <w:i/>
          <w:iCs/>
          <w:color w:val="000000"/>
          <w:lang w:eastAsia="ja-JP"/>
        </w:rPr>
        <w:t xml:space="preserve"> Ex </w:t>
      </w:r>
      <w:proofErr w:type="spellStart"/>
      <w:r w:rsidRPr="004523A2">
        <w:rPr>
          <w:rFonts w:eastAsia="Times New Roman"/>
          <w:b/>
          <w:bCs/>
          <w:i/>
          <w:iCs/>
          <w:color w:val="000000"/>
          <w:lang w:eastAsia="ja-JP"/>
        </w:rPr>
        <w:t>Codic</w:t>
      </w:r>
      <w:proofErr w:type="spellEnd"/>
      <w:r w:rsidRPr="004523A2">
        <w:rPr>
          <w:rFonts w:eastAsia="Times New Roman"/>
          <w:b/>
          <w:bCs/>
          <w:i/>
          <w:iCs/>
          <w:color w:val="000000"/>
          <w:lang w:eastAsia="ja-JP"/>
        </w:rPr>
        <w:t xml:space="preserve">. </w:t>
      </w:r>
      <w:proofErr w:type="spellStart"/>
      <w:r w:rsidRPr="004523A2">
        <w:rPr>
          <w:rFonts w:eastAsia="Times New Roman"/>
          <w:b/>
          <w:bCs/>
          <w:i/>
          <w:iCs/>
          <w:color w:val="000000"/>
          <w:lang w:eastAsia="ja-JP"/>
        </w:rPr>
        <w:t>Antiquiss</w:t>
      </w:r>
      <w:proofErr w:type="spellEnd"/>
      <w:proofErr w:type="gramStart"/>
      <w:r w:rsidRPr="004523A2">
        <w:rPr>
          <w:rFonts w:eastAsia="Times New Roman"/>
          <w:b/>
          <w:bCs/>
          <w:i/>
          <w:iCs/>
          <w:color w:val="000000"/>
          <w:lang w:eastAsia="ja-JP"/>
        </w:rPr>
        <w:t>. :</w:t>
      </w:r>
      <w:proofErr w:type="gramEnd"/>
      <w:r w:rsidRPr="004523A2">
        <w:rPr>
          <w:rFonts w:eastAsia="Times New Roman"/>
          <w:b/>
          <w:bCs/>
          <w:i/>
          <w:iCs/>
          <w:color w:val="000000"/>
          <w:lang w:eastAsia="ja-JP"/>
        </w:rPr>
        <w:t xml:space="preserve"> Exon̕ Domesday. </w:t>
      </w:r>
      <w:proofErr w:type="spellStart"/>
      <w:r w:rsidRPr="004523A2">
        <w:rPr>
          <w:rFonts w:eastAsia="Times New Roman"/>
          <w:b/>
          <w:bCs/>
          <w:i/>
          <w:iCs/>
          <w:color w:val="000000"/>
          <w:lang w:eastAsia="ja-JP"/>
        </w:rPr>
        <w:t>Inquisitio</w:t>
      </w:r>
      <w:proofErr w:type="spellEnd"/>
      <w:r w:rsidRPr="004523A2">
        <w:rPr>
          <w:rFonts w:eastAsia="Times New Roman"/>
          <w:b/>
          <w:bCs/>
          <w:i/>
          <w:iCs/>
          <w:color w:val="000000"/>
          <w:lang w:eastAsia="ja-JP"/>
        </w:rPr>
        <w:t xml:space="preserve"> </w:t>
      </w:r>
      <w:proofErr w:type="spellStart"/>
      <w:r w:rsidRPr="004523A2">
        <w:rPr>
          <w:rFonts w:eastAsia="Times New Roman"/>
          <w:b/>
          <w:bCs/>
          <w:i/>
          <w:iCs/>
          <w:color w:val="000000"/>
          <w:lang w:eastAsia="ja-JP"/>
        </w:rPr>
        <w:t>Eliensis</w:t>
      </w:r>
      <w:proofErr w:type="spellEnd"/>
      <w:r w:rsidRPr="004523A2">
        <w:rPr>
          <w:rFonts w:eastAsia="Times New Roman"/>
          <w:b/>
          <w:bCs/>
          <w:i/>
          <w:iCs/>
          <w:color w:val="000000"/>
          <w:lang w:eastAsia="ja-JP"/>
        </w:rPr>
        <w:t xml:space="preserve">. Liber Winton̕. </w:t>
      </w:r>
      <w:proofErr w:type="spellStart"/>
      <w:r w:rsidRPr="004523A2">
        <w:rPr>
          <w:rFonts w:eastAsia="Times New Roman"/>
          <w:b/>
          <w:bCs/>
          <w:i/>
          <w:iCs/>
          <w:color w:val="000000"/>
          <w:lang w:eastAsia="ja-JP"/>
        </w:rPr>
        <w:t>Boldon</w:t>
      </w:r>
      <w:proofErr w:type="spellEnd"/>
      <w:r w:rsidRPr="004523A2">
        <w:rPr>
          <w:rFonts w:eastAsia="Times New Roman"/>
          <w:b/>
          <w:bCs/>
          <w:i/>
          <w:iCs/>
          <w:color w:val="000000"/>
          <w:lang w:eastAsia="ja-JP"/>
        </w:rPr>
        <w:t xml:space="preserve"> Book</w:t>
      </w:r>
      <w:r w:rsidRPr="004523A2">
        <w:rPr>
          <w:rFonts w:eastAsia="Times New Roman"/>
          <w:b/>
          <w:bCs/>
          <w:color w:val="000000"/>
          <w:lang w:eastAsia="ja-JP"/>
        </w:rPr>
        <w:t xml:space="preserve"> (London: George Eyre and Andrew Strahan, 1816.) </w:t>
      </w:r>
    </w:p>
    <w:p w14:paraId="63C317A2" w14:textId="0CEA121E" w:rsidR="00431646" w:rsidRPr="004523A2" w:rsidRDefault="00431646" w:rsidP="00431646">
      <w:pPr>
        <w:spacing w:before="240" w:after="240" w:line="480" w:lineRule="auto"/>
        <w:ind w:left="720" w:right="-100"/>
        <w:jc w:val="both"/>
        <w:rPr>
          <w:rFonts w:eastAsia="Times New Roman"/>
          <w:lang w:eastAsia="ja-JP"/>
        </w:rPr>
      </w:pPr>
      <w:r w:rsidRPr="004523A2">
        <w:rPr>
          <w:rFonts w:eastAsia="Times New Roman"/>
          <w:color w:val="000000"/>
          <w:lang w:eastAsia="ja-JP"/>
        </w:rPr>
        <w:t>This edition was published in 1817</w:t>
      </w:r>
      <w:r w:rsidR="00FA16CE">
        <w:rPr>
          <w:rFonts w:eastAsia="Times New Roman"/>
          <w:color w:val="000000"/>
          <w:lang w:eastAsia="ja-JP"/>
        </w:rPr>
        <w:t xml:space="preserve"> </w:t>
      </w:r>
      <w:r w:rsidR="00FA16CE" w:rsidRPr="004523A2">
        <w:rPr>
          <w:rFonts w:eastAsia="Times New Roman"/>
          <w:color w:val="000000"/>
          <w:lang w:eastAsia="ja-JP"/>
        </w:rPr>
        <w:t>by</w:t>
      </w:r>
      <w:bookmarkStart w:id="6" w:name="_GoBack"/>
      <w:bookmarkEnd w:id="6"/>
      <w:r w:rsidR="00FA16CE" w:rsidRPr="004523A2">
        <w:rPr>
          <w:rFonts w:eastAsia="Times New Roman"/>
          <w:color w:val="000000"/>
          <w:lang w:eastAsia="ja-JP"/>
        </w:rPr>
        <w:t xml:space="preserve"> the Records Commission</w:t>
      </w:r>
      <w:r w:rsidRPr="004523A2">
        <w:rPr>
          <w:rFonts w:eastAsia="Times New Roman"/>
          <w:color w:val="000000"/>
          <w:lang w:eastAsia="ja-JP"/>
        </w:rPr>
        <w:t xml:space="preserve">. As an addition to the publication of 1783, it includes indices and four other surveys associated with the Domesday Book: </w:t>
      </w:r>
      <w:proofErr w:type="gramStart"/>
      <w:r w:rsidRPr="004523A2">
        <w:rPr>
          <w:rFonts w:eastAsia="Times New Roman"/>
          <w:color w:val="000000"/>
          <w:lang w:eastAsia="ja-JP"/>
        </w:rPr>
        <w:t>the</w:t>
      </w:r>
      <w:proofErr w:type="gramEnd"/>
      <w:r w:rsidRPr="004523A2">
        <w:rPr>
          <w:rFonts w:eastAsia="Times New Roman"/>
          <w:color w:val="000000"/>
          <w:lang w:eastAsia="ja-JP"/>
        </w:rPr>
        <w:t xml:space="preserve"> Exon Domesday, the </w:t>
      </w:r>
      <w:proofErr w:type="spellStart"/>
      <w:r w:rsidRPr="004523A2">
        <w:rPr>
          <w:rFonts w:eastAsia="Times New Roman"/>
          <w:color w:val="000000"/>
          <w:lang w:eastAsia="ja-JP"/>
        </w:rPr>
        <w:t>Inquisitio</w:t>
      </w:r>
      <w:proofErr w:type="spellEnd"/>
      <w:r w:rsidRPr="004523A2">
        <w:rPr>
          <w:rFonts w:eastAsia="Times New Roman"/>
          <w:color w:val="000000"/>
          <w:lang w:eastAsia="ja-JP"/>
        </w:rPr>
        <w:t xml:space="preserve"> </w:t>
      </w:r>
      <w:proofErr w:type="spellStart"/>
      <w:r w:rsidRPr="004523A2">
        <w:rPr>
          <w:rFonts w:eastAsia="Times New Roman"/>
          <w:color w:val="000000"/>
          <w:lang w:eastAsia="ja-JP"/>
        </w:rPr>
        <w:t>Eliensis</w:t>
      </w:r>
      <w:proofErr w:type="spellEnd"/>
      <w:r w:rsidRPr="004523A2">
        <w:rPr>
          <w:rFonts w:eastAsia="Times New Roman"/>
          <w:color w:val="000000"/>
          <w:lang w:eastAsia="ja-JP"/>
        </w:rPr>
        <w:t xml:space="preserve">, the Liber Winton, and the </w:t>
      </w:r>
      <w:proofErr w:type="spellStart"/>
      <w:r w:rsidRPr="004523A2">
        <w:rPr>
          <w:rFonts w:eastAsia="Times New Roman"/>
          <w:color w:val="000000"/>
          <w:lang w:eastAsia="ja-JP"/>
        </w:rPr>
        <w:t>Boldon</w:t>
      </w:r>
      <w:proofErr w:type="spellEnd"/>
      <w:r w:rsidRPr="004523A2">
        <w:rPr>
          <w:rFonts w:eastAsia="Times New Roman"/>
          <w:color w:val="000000"/>
          <w:lang w:eastAsia="ja-JP"/>
        </w:rPr>
        <w:t xml:space="preserve"> Book. These additions make it easier to use than the previous edition, and thus more accessible. However, like the 1783, although the Record Type font reproduces the Domesday script with some level of accuracy, it is incapable of representing the variations of the text and the </w:t>
      </w:r>
      <w:proofErr w:type="gramStart"/>
      <w:r w:rsidRPr="004523A2">
        <w:rPr>
          <w:rFonts w:eastAsia="Times New Roman"/>
          <w:color w:val="000000"/>
          <w:lang w:eastAsia="ja-JP"/>
        </w:rPr>
        <w:t>folio, and</w:t>
      </w:r>
      <w:proofErr w:type="gramEnd"/>
      <w:r w:rsidRPr="004523A2">
        <w:rPr>
          <w:rFonts w:eastAsia="Times New Roman"/>
          <w:color w:val="000000"/>
          <w:lang w:eastAsia="ja-JP"/>
        </w:rPr>
        <w:t xml:space="preserve"> is therefore less useful in studying the context of the text.</w:t>
      </w:r>
    </w:p>
    <w:p w14:paraId="4E6E94F1" w14:textId="77777777" w:rsidR="00431646" w:rsidRPr="004523A2" w:rsidRDefault="00431646" w:rsidP="00431646">
      <w:pPr>
        <w:spacing w:line="480" w:lineRule="auto"/>
        <w:rPr>
          <w:rFonts w:eastAsia="Times New Roman"/>
          <w:lang w:eastAsia="ja-JP"/>
        </w:rPr>
      </w:pPr>
    </w:p>
    <w:p w14:paraId="0354BB65" w14:textId="77777777" w:rsidR="00431646" w:rsidRPr="004523A2" w:rsidRDefault="00431646" w:rsidP="00431646">
      <w:pPr>
        <w:spacing w:before="240" w:after="240" w:line="480" w:lineRule="auto"/>
        <w:ind w:right="-100"/>
        <w:rPr>
          <w:rFonts w:eastAsia="Times New Roman"/>
          <w:lang w:eastAsia="ja-JP"/>
        </w:rPr>
      </w:pPr>
      <w:r w:rsidRPr="004523A2">
        <w:rPr>
          <w:rFonts w:eastAsia="Times New Roman"/>
          <w:b/>
          <w:bCs/>
          <w:color w:val="000000"/>
          <w:lang w:eastAsia="ja-JP"/>
        </w:rPr>
        <w:t xml:space="preserve">James, Henry, ed, </w:t>
      </w:r>
      <w:r w:rsidRPr="004523A2">
        <w:rPr>
          <w:rFonts w:eastAsia="Times New Roman"/>
          <w:b/>
          <w:bCs/>
          <w:i/>
          <w:iCs/>
          <w:color w:val="000000"/>
          <w:lang w:eastAsia="ja-JP"/>
        </w:rPr>
        <w:t xml:space="preserve">Domesday Book: Or, The Great Survey of England of William the Conqueror, A.D. MLXXXVI. </w:t>
      </w:r>
      <w:proofErr w:type="spellStart"/>
      <w:r w:rsidRPr="004523A2">
        <w:rPr>
          <w:rFonts w:eastAsia="Times New Roman"/>
          <w:b/>
          <w:bCs/>
          <w:i/>
          <w:iCs/>
          <w:color w:val="000000"/>
          <w:lang w:eastAsia="ja-JP"/>
        </w:rPr>
        <w:t>Fac</w:t>
      </w:r>
      <w:proofErr w:type="spellEnd"/>
      <w:r w:rsidRPr="004523A2">
        <w:rPr>
          <w:rFonts w:eastAsia="Times New Roman"/>
          <w:b/>
          <w:bCs/>
          <w:i/>
          <w:iCs/>
          <w:color w:val="000000"/>
          <w:lang w:eastAsia="ja-JP"/>
        </w:rPr>
        <w:t>-simile of the part relating to Surrey</w:t>
      </w:r>
      <w:r w:rsidRPr="004523A2">
        <w:rPr>
          <w:rFonts w:eastAsia="Times New Roman"/>
          <w:b/>
          <w:bCs/>
          <w:color w:val="000000"/>
          <w:lang w:eastAsia="ja-JP"/>
        </w:rPr>
        <w:t xml:space="preserve"> (Southampton: Ordnance Survey Office, 1861.</w:t>
      </w:r>
    </w:p>
    <w:p w14:paraId="64A5BD00" w14:textId="19D002D4" w:rsidR="00431646" w:rsidRPr="004523A2" w:rsidRDefault="00431646" w:rsidP="00431646">
      <w:pPr>
        <w:spacing w:before="240" w:after="240" w:line="480" w:lineRule="auto"/>
        <w:ind w:left="720" w:right="-100"/>
        <w:jc w:val="both"/>
        <w:rPr>
          <w:rFonts w:eastAsia="Times New Roman"/>
          <w:lang w:eastAsia="ja-JP"/>
        </w:rPr>
      </w:pPr>
      <w:r w:rsidRPr="004523A2">
        <w:rPr>
          <w:rFonts w:eastAsia="Times New Roman"/>
          <w:color w:val="000000"/>
          <w:lang w:eastAsia="ja-JP"/>
        </w:rPr>
        <w:t xml:space="preserve">The Domesday Book was photographed between 1861 and 1863 by the Ordnance Survey, using the newly developed technique of photozincography. Advancements in technology made it possible to print in black and red, therefore replicating the colours of the original manuscript. As the first published photography of the Domesday text and an example of the newly invented technique of photozincography, </w:t>
      </w:r>
      <w:r w:rsidR="008F4855" w:rsidRPr="004523A2">
        <w:rPr>
          <w:rFonts w:eastAsia="Times New Roman"/>
          <w:color w:val="000000"/>
          <w:lang w:eastAsia="ja-JP"/>
        </w:rPr>
        <w:t xml:space="preserve">this edition </w:t>
      </w:r>
      <w:r w:rsidRPr="004523A2">
        <w:rPr>
          <w:rFonts w:eastAsia="Times New Roman"/>
          <w:color w:val="000000"/>
          <w:lang w:eastAsia="ja-JP"/>
        </w:rPr>
        <w:t>made the actual text of the Domesday more accessible to the public</w:t>
      </w:r>
      <w:r w:rsidR="008F4855" w:rsidRPr="004523A2">
        <w:rPr>
          <w:rFonts w:eastAsia="Times New Roman"/>
          <w:color w:val="000000"/>
          <w:lang w:eastAsia="ja-JP"/>
        </w:rPr>
        <w:t>.</w:t>
      </w:r>
    </w:p>
    <w:p w14:paraId="45508264" w14:textId="77777777" w:rsidR="00431646" w:rsidRPr="004523A2" w:rsidRDefault="00431646" w:rsidP="00431646">
      <w:pPr>
        <w:spacing w:line="480" w:lineRule="auto"/>
        <w:rPr>
          <w:rFonts w:eastAsia="Times New Roman"/>
          <w:lang w:eastAsia="ja-JP"/>
        </w:rPr>
      </w:pPr>
    </w:p>
    <w:p w14:paraId="3CA71B8F" w14:textId="77777777" w:rsidR="00431646" w:rsidRPr="004523A2" w:rsidRDefault="00431646" w:rsidP="00431646">
      <w:pPr>
        <w:spacing w:before="240" w:after="240" w:line="480" w:lineRule="auto"/>
        <w:ind w:right="-100"/>
        <w:rPr>
          <w:rFonts w:eastAsia="Times New Roman"/>
          <w:lang w:eastAsia="ja-JP"/>
        </w:rPr>
      </w:pPr>
      <w:r w:rsidRPr="004523A2">
        <w:rPr>
          <w:rFonts w:eastAsia="Times New Roman"/>
          <w:b/>
          <w:bCs/>
          <w:color w:val="000000"/>
          <w:lang w:eastAsia="ja-JP"/>
        </w:rPr>
        <w:t xml:space="preserve">Malden, H.E, ed. </w:t>
      </w:r>
      <w:r w:rsidRPr="004523A2">
        <w:rPr>
          <w:rFonts w:eastAsia="Times New Roman"/>
          <w:b/>
          <w:bCs/>
          <w:i/>
          <w:iCs/>
          <w:color w:val="000000"/>
          <w:lang w:eastAsia="ja-JP"/>
        </w:rPr>
        <w:t>The Victoria History of the County of Surrey: Volume One</w:t>
      </w:r>
      <w:r w:rsidRPr="004523A2">
        <w:rPr>
          <w:rFonts w:eastAsia="Times New Roman"/>
          <w:b/>
          <w:bCs/>
          <w:color w:val="000000"/>
          <w:lang w:eastAsia="ja-JP"/>
        </w:rPr>
        <w:t xml:space="preserve"> (Westminster: Archibald Constable and Company Limited, 1902).  </w:t>
      </w:r>
    </w:p>
    <w:p w14:paraId="71D8FFA2" w14:textId="77777777" w:rsidR="00431646" w:rsidRPr="004523A2" w:rsidRDefault="00431646" w:rsidP="00431646">
      <w:pPr>
        <w:spacing w:before="240" w:after="240" w:line="480" w:lineRule="auto"/>
        <w:ind w:left="720" w:right="-100"/>
        <w:jc w:val="both"/>
        <w:rPr>
          <w:rFonts w:eastAsia="Times New Roman"/>
          <w:lang w:eastAsia="ja-JP"/>
        </w:rPr>
      </w:pPr>
      <w:r w:rsidRPr="004523A2">
        <w:rPr>
          <w:rFonts w:eastAsia="Times New Roman"/>
          <w:color w:val="000000"/>
          <w:lang w:eastAsia="ja-JP"/>
        </w:rPr>
        <w:t>The Victoria History is a series of ongoing publications which aim to examine English history, county by county. Individual volumes are published for each county and many such volumes include a translation and discussion of the Domesday text. </w:t>
      </w:r>
    </w:p>
    <w:p w14:paraId="2CD3DD05" w14:textId="77777777" w:rsidR="00431646" w:rsidRPr="004523A2" w:rsidRDefault="00431646" w:rsidP="00431646">
      <w:pPr>
        <w:spacing w:before="240" w:after="240" w:line="480" w:lineRule="auto"/>
        <w:ind w:left="720" w:right="-100"/>
        <w:jc w:val="both"/>
        <w:rPr>
          <w:rFonts w:eastAsia="Times New Roman"/>
          <w:lang w:eastAsia="ja-JP"/>
        </w:rPr>
      </w:pPr>
      <w:r w:rsidRPr="004523A2">
        <w:rPr>
          <w:rFonts w:eastAsia="Times New Roman"/>
          <w:color w:val="000000"/>
          <w:lang w:eastAsia="ja-JP"/>
        </w:rPr>
        <w:t xml:space="preserve">This edition of the Domesday text is especially useful when researching the history of a </w:t>
      </w:r>
      <w:proofErr w:type="gramStart"/>
      <w:r w:rsidRPr="004523A2">
        <w:rPr>
          <w:rFonts w:eastAsia="Times New Roman"/>
          <w:color w:val="000000"/>
          <w:lang w:eastAsia="ja-JP"/>
        </w:rPr>
        <w:t>particular county</w:t>
      </w:r>
      <w:proofErr w:type="gramEnd"/>
      <w:r w:rsidRPr="004523A2">
        <w:rPr>
          <w:rFonts w:eastAsia="Times New Roman"/>
          <w:color w:val="000000"/>
          <w:lang w:eastAsia="ja-JP"/>
        </w:rPr>
        <w:t>, as it ties together various other sources and information. </w:t>
      </w:r>
    </w:p>
    <w:p w14:paraId="56D2C356" w14:textId="77777777" w:rsidR="00431646" w:rsidRPr="004523A2" w:rsidRDefault="00431646" w:rsidP="00431646">
      <w:pPr>
        <w:spacing w:line="480" w:lineRule="auto"/>
        <w:rPr>
          <w:rFonts w:eastAsia="Times New Roman"/>
          <w:lang w:eastAsia="ja-JP"/>
        </w:rPr>
      </w:pPr>
    </w:p>
    <w:p w14:paraId="6E9C8EC2" w14:textId="77777777" w:rsidR="00431646" w:rsidRPr="004523A2" w:rsidRDefault="00431646" w:rsidP="00431646">
      <w:pPr>
        <w:spacing w:before="240" w:after="240" w:line="480" w:lineRule="auto"/>
        <w:ind w:right="-100"/>
        <w:rPr>
          <w:rFonts w:eastAsia="Times New Roman"/>
          <w:lang w:eastAsia="ja-JP"/>
        </w:rPr>
      </w:pPr>
      <w:r w:rsidRPr="004523A2">
        <w:rPr>
          <w:rFonts w:eastAsia="Times New Roman"/>
          <w:b/>
          <w:bCs/>
          <w:color w:val="000000"/>
          <w:lang w:eastAsia="ja-JP"/>
        </w:rPr>
        <w:t xml:space="preserve">Morris, John, ed, </w:t>
      </w:r>
      <w:r w:rsidRPr="004523A2">
        <w:rPr>
          <w:rFonts w:eastAsia="Times New Roman"/>
          <w:b/>
          <w:bCs/>
          <w:i/>
          <w:iCs/>
          <w:color w:val="000000"/>
          <w:lang w:eastAsia="ja-JP"/>
        </w:rPr>
        <w:t>Domesday Book, Volume 3: Surrey</w:t>
      </w:r>
      <w:r w:rsidRPr="004523A2">
        <w:rPr>
          <w:rFonts w:eastAsia="Times New Roman"/>
          <w:b/>
          <w:bCs/>
          <w:color w:val="000000"/>
          <w:lang w:eastAsia="ja-JP"/>
        </w:rPr>
        <w:t xml:space="preserve"> (Chichester: Phillimore, 1975).</w:t>
      </w:r>
    </w:p>
    <w:p w14:paraId="071DA47D" w14:textId="1F778BAF" w:rsidR="00431646" w:rsidRPr="004523A2" w:rsidRDefault="00431646" w:rsidP="00431646">
      <w:pPr>
        <w:spacing w:before="240" w:after="240" w:line="480" w:lineRule="auto"/>
        <w:ind w:left="720" w:right="-100"/>
        <w:jc w:val="both"/>
        <w:rPr>
          <w:rFonts w:eastAsia="Times New Roman"/>
          <w:lang w:eastAsia="ja-JP"/>
        </w:rPr>
      </w:pPr>
      <w:r w:rsidRPr="004523A2">
        <w:rPr>
          <w:rFonts w:eastAsia="Times New Roman"/>
          <w:color w:val="000000"/>
          <w:lang w:eastAsia="ja-JP"/>
        </w:rPr>
        <w:t xml:space="preserve">Like the Victoria History series, the Phillimore series publishes the Domesday in separate volumes pertaining to individual counties. These volumes use the Abraham Farley transcription alongside a modern English translation. The Phillimore publications contain introductions, maps, and indices of places, persons, and subjects. The use of modern English </w:t>
      </w:r>
      <w:proofErr w:type="gramStart"/>
      <w:r w:rsidRPr="004523A2">
        <w:rPr>
          <w:rFonts w:eastAsia="Times New Roman"/>
          <w:color w:val="000000"/>
          <w:lang w:eastAsia="ja-JP"/>
        </w:rPr>
        <w:t>make</w:t>
      </w:r>
      <w:proofErr w:type="gramEnd"/>
      <w:r w:rsidRPr="004523A2">
        <w:rPr>
          <w:rFonts w:eastAsia="Times New Roman"/>
          <w:color w:val="000000"/>
          <w:lang w:eastAsia="ja-JP"/>
        </w:rPr>
        <w:t xml:space="preserve"> the text more accessible to the general public, but mean that certain details of the highly abbreviated medieval Latin text which cannot be accurately translated are lost. Additionally, the translation is not standardized across all volumes.</w:t>
      </w:r>
      <w:r w:rsidR="00934CEF" w:rsidRPr="004523A2">
        <w:rPr>
          <w:rStyle w:val="FootnoteReference"/>
          <w:rFonts w:eastAsia="Times New Roman"/>
          <w:color w:val="000000"/>
          <w:lang w:eastAsia="ja-JP"/>
        </w:rPr>
        <w:footnoteReference w:id="1"/>
      </w:r>
      <w:r w:rsidRPr="004523A2">
        <w:rPr>
          <w:rFonts w:eastAsia="Times New Roman"/>
          <w:color w:val="000000"/>
          <w:lang w:eastAsia="ja-JP"/>
        </w:rPr>
        <w:t xml:space="preserve"> Therefore, the Phillimore series serves as an accessible introduction to the Domesday text, but is more for a popular audience than a scholarly one. </w:t>
      </w:r>
    </w:p>
    <w:p w14:paraId="173BF434" w14:textId="77777777" w:rsidR="00431646" w:rsidRPr="004523A2" w:rsidRDefault="00431646" w:rsidP="00431646">
      <w:pPr>
        <w:spacing w:line="480" w:lineRule="auto"/>
        <w:rPr>
          <w:rFonts w:eastAsia="Times New Roman"/>
          <w:lang w:eastAsia="ja-JP"/>
        </w:rPr>
      </w:pPr>
    </w:p>
    <w:p w14:paraId="7214297B" w14:textId="77777777" w:rsidR="00431646" w:rsidRPr="004523A2" w:rsidRDefault="00431646" w:rsidP="00431646">
      <w:pPr>
        <w:spacing w:before="240" w:after="240" w:line="480" w:lineRule="auto"/>
        <w:ind w:right="-100"/>
        <w:rPr>
          <w:rFonts w:eastAsia="Times New Roman"/>
          <w:lang w:eastAsia="ja-JP"/>
        </w:rPr>
      </w:pPr>
      <w:r w:rsidRPr="004523A2">
        <w:rPr>
          <w:rFonts w:eastAsia="Times New Roman"/>
          <w:b/>
          <w:bCs/>
          <w:i/>
          <w:iCs/>
          <w:color w:val="000000"/>
          <w:lang w:eastAsia="ja-JP"/>
        </w:rPr>
        <w:t xml:space="preserve">Great Domesday Book: Surrey: County Edition </w:t>
      </w:r>
      <w:r w:rsidRPr="004523A2">
        <w:rPr>
          <w:rFonts w:eastAsia="Times New Roman"/>
          <w:b/>
          <w:bCs/>
          <w:color w:val="000000"/>
          <w:lang w:eastAsia="ja-JP"/>
        </w:rPr>
        <w:t>(London: Alecto Historical Editions, 1987).</w:t>
      </w:r>
    </w:p>
    <w:p w14:paraId="0A88558A" w14:textId="314A59D4" w:rsidR="00431646" w:rsidRPr="004523A2" w:rsidRDefault="00431646" w:rsidP="00431646">
      <w:pPr>
        <w:spacing w:before="240" w:after="240" w:line="480" w:lineRule="auto"/>
        <w:ind w:left="720" w:right="-100"/>
        <w:jc w:val="both"/>
        <w:rPr>
          <w:rFonts w:eastAsia="Times New Roman"/>
          <w:lang w:eastAsia="ja-JP"/>
        </w:rPr>
      </w:pPr>
      <w:r w:rsidRPr="004523A2">
        <w:rPr>
          <w:rFonts w:eastAsia="Times New Roman"/>
          <w:color w:val="000000"/>
          <w:lang w:eastAsia="ja-JP"/>
        </w:rPr>
        <w:t xml:space="preserve">Published between 1985 and 1992, the Alecto Editions of the Domesday Book feature high quality facsimiles of the Great and Little Domesday, and include a translation, extensive county introductions, maps, and historical essays. This extensive information is published across three volumes for each county. </w:t>
      </w:r>
      <w:r w:rsidR="00837B97" w:rsidRPr="004523A2">
        <w:rPr>
          <w:rFonts w:eastAsia="Times New Roman"/>
          <w:color w:val="000000"/>
          <w:lang w:eastAsia="ja-JP"/>
        </w:rPr>
        <w:t xml:space="preserve">The </w:t>
      </w:r>
      <w:r w:rsidRPr="004523A2">
        <w:rPr>
          <w:rFonts w:eastAsia="Times New Roman"/>
          <w:color w:val="000000"/>
          <w:lang w:eastAsia="ja-JP"/>
        </w:rPr>
        <w:t>Alecto edition</w:t>
      </w:r>
      <w:r w:rsidR="00837B97" w:rsidRPr="004523A2">
        <w:rPr>
          <w:rFonts w:eastAsia="Times New Roman"/>
          <w:color w:val="000000"/>
          <w:lang w:eastAsia="ja-JP"/>
        </w:rPr>
        <w:t xml:space="preserve"> facsimile is a highly accurate reproduction that, unlike the earlier photozincographic edition by the Ordnance Survey, manages to capture</w:t>
      </w:r>
      <w:r w:rsidRPr="004523A2">
        <w:rPr>
          <w:rFonts w:eastAsia="Times New Roman"/>
          <w:color w:val="000000"/>
          <w:lang w:eastAsia="ja-JP"/>
        </w:rPr>
        <w:t xml:space="preserve"> the density of the ink</w:t>
      </w:r>
      <w:r w:rsidR="00837B97" w:rsidRPr="004523A2">
        <w:rPr>
          <w:rFonts w:eastAsia="Times New Roman"/>
          <w:color w:val="000000"/>
          <w:lang w:eastAsia="ja-JP"/>
        </w:rPr>
        <w:t>,</w:t>
      </w:r>
      <w:r w:rsidR="00837B97" w:rsidRPr="004523A2">
        <w:rPr>
          <w:rStyle w:val="FootnoteReference"/>
          <w:rFonts w:eastAsia="Times New Roman"/>
          <w:color w:val="000000"/>
          <w:lang w:eastAsia="ja-JP"/>
        </w:rPr>
        <w:footnoteReference w:id="2"/>
      </w:r>
      <w:r w:rsidR="00837B97" w:rsidRPr="004523A2">
        <w:t xml:space="preserve"> </w:t>
      </w:r>
      <w:r w:rsidR="00837B97" w:rsidRPr="004523A2">
        <w:rPr>
          <w:rFonts w:eastAsia="Times New Roman"/>
          <w:color w:val="000000"/>
          <w:lang w:eastAsia="ja-JP"/>
        </w:rPr>
        <w:t>making it a useful resource in the study of the original manuscript.</w:t>
      </w:r>
    </w:p>
    <w:p w14:paraId="2B463A5E" w14:textId="77777777" w:rsidR="00431646" w:rsidRPr="004523A2" w:rsidRDefault="00431646" w:rsidP="00431646">
      <w:pPr>
        <w:spacing w:line="480" w:lineRule="auto"/>
        <w:rPr>
          <w:rFonts w:eastAsia="Times New Roman"/>
          <w:lang w:eastAsia="ja-JP"/>
        </w:rPr>
      </w:pPr>
    </w:p>
    <w:p w14:paraId="4039FA92" w14:textId="77777777" w:rsidR="00431646" w:rsidRPr="004523A2" w:rsidRDefault="00431646" w:rsidP="00431646">
      <w:pPr>
        <w:spacing w:before="240" w:after="240" w:line="480" w:lineRule="auto"/>
        <w:ind w:right="-100"/>
        <w:jc w:val="both"/>
        <w:rPr>
          <w:rFonts w:eastAsia="Times New Roman"/>
          <w:lang w:eastAsia="ja-JP"/>
        </w:rPr>
      </w:pPr>
      <w:r w:rsidRPr="004523A2">
        <w:rPr>
          <w:rFonts w:eastAsia="Times New Roman"/>
          <w:b/>
          <w:bCs/>
          <w:color w:val="000000"/>
          <w:lang w:eastAsia="ja-JP"/>
        </w:rPr>
        <w:t xml:space="preserve">Keats-Rohan, K.S.B, </w:t>
      </w:r>
      <w:r w:rsidRPr="004523A2">
        <w:rPr>
          <w:rFonts w:eastAsia="Times New Roman"/>
          <w:b/>
          <w:bCs/>
          <w:i/>
          <w:iCs/>
          <w:color w:val="000000"/>
          <w:lang w:eastAsia="ja-JP"/>
        </w:rPr>
        <w:t>The Continental Origins of English Landholders 1066–1166 Database and the COEL Database System</w:t>
      </w:r>
      <w:r w:rsidRPr="004523A2">
        <w:rPr>
          <w:rFonts w:eastAsia="Times New Roman"/>
          <w:b/>
          <w:bCs/>
          <w:color w:val="000000"/>
          <w:lang w:eastAsia="ja-JP"/>
        </w:rPr>
        <w:t xml:space="preserve"> (</w:t>
      </w:r>
      <w:proofErr w:type="spellStart"/>
      <w:r w:rsidRPr="004523A2">
        <w:rPr>
          <w:rFonts w:eastAsia="Times New Roman"/>
          <w:b/>
          <w:bCs/>
          <w:color w:val="000000"/>
          <w:lang w:eastAsia="ja-JP"/>
        </w:rPr>
        <w:t>Coel</w:t>
      </w:r>
      <w:proofErr w:type="spellEnd"/>
      <w:r w:rsidRPr="004523A2">
        <w:rPr>
          <w:rFonts w:eastAsia="Times New Roman"/>
          <w:b/>
          <w:bCs/>
          <w:color w:val="000000"/>
          <w:lang w:eastAsia="ja-JP"/>
        </w:rPr>
        <w:t xml:space="preserve"> Enterprises Ltd, 2002) [on CD-ROM]</w:t>
      </w:r>
    </w:p>
    <w:p w14:paraId="5E5FF257" w14:textId="097E5AF0" w:rsidR="00431646" w:rsidRPr="004523A2" w:rsidRDefault="00431646" w:rsidP="0077600A">
      <w:pPr>
        <w:spacing w:before="240" w:after="240" w:line="480" w:lineRule="auto"/>
        <w:ind w:left="720" w:right="-100"/>
        <w:jc w:val="both"/>
        <w:rPr>
          <w:rFonts w:eastAsia="Times New Roman"/>
          <w:color w:val="000000"/>
          <w:lang w:eastAsia="ja-JP"/>
        </w:rPr>
      </w:pPr>
      <w:r w:rsidRPr="004523A2">
        <w:rPr>
          <w:rFonts w:eastAsia="Times New Roman"/>
          <w:color w:val="000000"/>
          <w:lang w:eastAsia="ja-JP"/>
        </w:rPr>
        <w:t xml:space="preserve">The COEL database compiles primary and secondary sources regarding </w:t>
      </w:r>
      <w:r w:rsidRPr="004523A2">
        <w:rPr>
          <w:rFonts w:eastAsia="Times New Roman"/>
          <w:color w:val="000000"/>
          <w:shd w:val="clear" w:color="auto" w:fill="FFFFFF"/>
          <w:lang w:eastAsia="ja-JP"/>
        </w:rPr>
        <w:t xml:space="preserve">persons mentioned in English administrative documents from 1066-1166. </w:t>
      </w:r>
      <w:r w:rsidRPr="004523A2">
        <w:rPr>
          <w:rFonts w:eastAsia="Times New Roman"/>
          <w:color w:val="000000"/>
          <w:lang w:eastAsia="ja-JP"/>
        </w:rPr>
        <w:t xml:space="preserve">It features the </w:t>
      </w:r>
      <w:r w:rsidRPr="004523A2">
        <w:rPr>
          <w:rFonts w:eastAsia="Times New Roman"/>
          <w:color w:val="000000"/>
          <w:shd w:val="clear" w:color="auto" w:fill="FFFFFF"/>
          <w:lang w:eastAsia="ja-JP"/>
        </w:rPr>
        <w:t>full Latin texts of over 4000 documents, including entries of the Domesday Book that are</w:t>
      </w:r>
      <w:r w:rsidRPr="004523A2">
        <w:rPr>
          <w:rFonts w:eastAsia="Times New Roman"/>
          <w:color w:val="000000"/>
          <w:lang w:eastAsia="ja-JP"/>
        </w:rPr>
        <w:t xml:space="preserve"> of </w:t>
      </w:r>
      <w:proofErr w:type="spellStart"/>
      <w:r w:rsidRPr="004523A2">
        <w:rPr>
          <w:rFonts w:eastAsia="Times New Roman"/>
          <w:color w:val="000000"/>
          <w:lang w:eastAsia="ja-JP"/>
        </w:rPr>
        <w:t>prosopographical</w:t>
      </w:r>
      <w:proofErr w:type="spellEnd"/>
      <w:r w:rsidRPr="004523A2">
        <w:rPr>
          <w:rFonts w:eastAsia="Times New Roman"/>
          <w:color w:val="000000"/>
          <w:lang w:eastAsia="ja-JP"/>
        </w:rPr>
        <w:t xml:space="preserve"> interest</w:t>
      </w:r>
      <w:r w:rsidR="0077600A" w:rsidRPr="004523A2">
        <w:rPr>
          <w:rFonts w:eastAsia="Times New Roman"/>
          <w:color w:val="000000"/>
          <w:lang w:eastAsia="ja-JP"/>
        </w:rPr>
        <w:t xml:space="preserve">, and includes genealogical tables, visual aids, and a search function that can filter by family, person, or textual source, all of which are especially useful in research and cross-referencing. It is aimed at an academic </w:t>
      </w:r>
      <w:proofErr w:type="gramStart"/>
      <w:r w:rsidR="0077600A" w:rsidRPr="004523A2">
        <w:rPr>
          <w:rFonts w:eastAsia="Times New Roman"/>
          <w:color w:val="000000"/>
          <w:lang w:eastAsia="ja-JP"/>
        </w:rPr>
        <w:t>audience, and</w:t>
      </w:r>
      <w:proofErr w:type="gramEnd"/>
      <w:r w:rsidR="0077600A" w:rsidRPr="004523A2">
        <w:rPr>
          <w:rFonts w:eastAsia="Times New Roman"/>
          <w:color w:val="000000"/>
          <w:lang w:eastAsia="ja-JP"/>
        </w:rPr>
        <w:t xml:space="preserve"> is a valuable resource in understanding the people of the Domesday Book. </w:t>
      </w:r>
    </w:p>
    <w:p w14:paraId="20B6CD58" w14:textId="77777777" w:rsidR="0077600A" w:rsidRPr="004523A2" w:rsidRDefault="0077600A" w:rsidP="0077600A">
      <w:pPr>
        <w:spacing w:before="240" w:after="240" w:line="480" w:lineRule="auto"/>
        <w:ind w:left="720" w:right="-100"/>
        <w:jc w:val="both"/>
        <w:rPr>
          <w:rFonts w:eastAsia="Times New Roman"/>
          <w:lang w:eastAsia="ja-JP"/>
        </w:rPr>
      </w:pPr>
    </w:p>
    <w:p w14:paraId="21E0E978" w14:textId="77777777" w:rsidR="00431646" w:rsidRPr="004523A2" w:rsidRDefault="00431646" w:rsidP="00431646">
      <w:pPr>
        <w:spacing w:before="240" w:after="240" w:line="480" w:lineRule="auto"/>
        <w:ind w:right="-100"/>
        <w:jc w:val="both"/>
        <w:rPr>
          <w:rFonts w:eastAsia="Times New Roman"/>
          <w:lang w:eastAsia="ja-JP"/>
        </w:rPr>
      </w:pPr>
      <w:r w:rsidRPr="004523A2">
        <w:rPr>
          <w:rFonts w:eastAsia="Times New Roman"/>
          <w:b/>
          <w:bCs/>
          <w:color w:val="222222"/>
          <w:lang w:eastAsia="ja-JP"/>
        </w:rPr>
        <w:t xml:space="preserve">Williams, Ann, G H Martin, eds, </w:t>
      </w:r>
      <w:r w:rsidRPr="004523A2">
        <w:rPr>
          <w:rFonts w:eastAsia="Times New Roman"/>
          <w:b/>
          <w:bCs/>
          <w:i/>
          <w:iCs/>
          <w:color w:val="222222"/>
          <w:lang w:eastAsia="ja-JP"/>
        </w:rPr>
        <w:t xml:space="preserve">Domesday book: a complete translation </w:t>
      </w:r>
      <w:r w:rsidRPr="004523A2">
        <w:rPr>
          <w:rFonts w:eastAsia="Times New Roman"/>
          <w:b/>
          <w:bCs/>
          <w:color w:val="222222"/>
          <w:lang w:eastAsia="ja-JP"/>
        </w:rPr>
        <w:t>(London; New York: Penguin Books, 2003)</w:t>
      </w:r>
    </w:p>
    <w:p w14:paraId="4C696FB8" w14:textId="63640B11" w:rsidR="00431646" w:rsidRPr="004523A2" w:rsidRDefault="00431646" w:rsidP="00431646">
      <w:pPr>
        <w:spacing w:before="240" w:after="240" w:line="480" w:lineRule="auto"/>
        <w:ind w:left="720" w:right="-100"/>
        <w:jc w:val="both"/>
        <w:rPr>
          <w:rFonts w:eastAsia="Times New Roman"/>
          <w:lang w:eastAsia="ja-JP"/>
        </w:rPr>
      </w:pPr>
      <w:r w:rsidRPr="004523A2">
        <w:rPr>
          <w:rFonts w:eastAsia="Times New Roman"/>
          <w:color w:val="000000"/>
          <w:lang w:eastAsia="ja-JP"/>
        </w:rPr>
        <w:t xml:space="preserve">Penguin Books’ 21st century reproduction compiles the Alecto translation into a </w:t>
      </w:r>
      <w:r w:rsidR="00136C6C">
        <w:rPr>
          <w:rFonts w:eastAsia="Times New Roman"/>
          <w:color w:val="000000"/>
          <w:lang w:eastAsia="ja-JP"/>
        </w:rPr>
        <w:t>one</w:t>
      </w:r>
      <w:r w:rsidRPr="004523A2">
        <w:rPr>
          <w:rFonts w:eastAsia="Times New Roman"/>
          <w:color w:val="000000"/>
          <w:lang w:eastAsia="ja-JP"/>
        </w:rPr>
        <w:t xml:space="preserve"> volume with an introduction, explanatory notes, indices, and a glossary. Unlike other editions of the Domesday, it does not include the original medieval Latin text. Therefore, although the Penguin edition is accessible and useful in that it includes the translation in its entirely at a more affordable price than the previous Alecto editions, it is less useful in studying and understanding the original text of the Domesday. </w:t>
      </w:r>
    </w:p>
    <w:p w14:paraId="03EFB87E" w14:textId="77777777" w:rsidR="00431646" w:rsidRPr="004523A2" w:rsidRDefault="00431646" w:rsidP="00431646">
      <w:pPr>
        <w:spacing w:line="480" w:lineRule="auto"/>
        <w:rPr>
          <w:rFonts w:eastAsia="Times New Roman"/>
          <w:lang w:eastAsia="ja-JP"/>
        </w:rPr>
      </w:pPr>
    </w:p>
    <w:p w14:paraId="1E857AAA" w14:textId="77777777" w:rsidR="00431646" w:rsidRPr="004523A2" w:rsidRDefault="00431646" w:rsidP="00431646">
      <w:pPr>
        <w:spacing w:before="240" w:after="240" w:line="480" w:lineRule="auto"/>
        <w:ind w:right="-100"/>
        <w:jc w:val="both"/>
        <w:rPr>
          <w:rFonts w:eastAsia="Times New Roman"/>
          <w:lang w:eastAsia="ja-JP"/>
        </w:rPr>
      </w:pPr>
      <w:r w:rsidRPr="004523A2">
        <w:rPr>
          <w:rFonts w:eastAsia="Times New Roman"/>
          <w:b/>
          <w:bCs/>
          <w:i/>
          <w:iCs/>
          <w:color w:val="000000"/>
          <w:lang w:eastAsia="ja-JP"/>
        </w:rPr>
        <w:t>Domesday Explorer</w:t>
      </w:r>
      <w:r w:rsidRPr="004523A2">
        <w:rPr>
          <w:rFonts w:eastAsia="Times New Roman"/>
          <w:b/>
          <w:bCs/>
          <w:color w:val="000000"/>
          <w:lang w:eastAsia="ja-JP"/>
        </w:rPr>
        <w:t xml:space="preserve"> (Chichester: Phillimore, 2000) [on CD-ROM]</w:t>
      </w:r>
    </w:p>
    <w:p w14:paraId="01BF8AC7" w14:textId="30BC76A5" w:rsidR="00431646" w:rsidRPr="004523A2" w:rsidRDefault="00431646" w:rsidP="00431646">
      <w:pPr>
        <w:spacing w:before="240" w:after="240" w:line="480" w:lineRule="auto"/>
        <w:ind w:left="720" w:right="-100"/>
        <w:jc w:val="both"/>
        <w:rPr>
          <w:rFonts w:eastAsia="Times New Roman"/>
          <w:color w:val="000000"/>
          <w:lang w:eastAsia="ja-JP"/>
        </w:rPr>
      </w:pPr>
      <w:r w:rsidRPr="004523A2">
        <w:rPr>
          <w:rFonts w:eastAsia="Times New Roman"/>
          <w:color w:val="000000"/>
          <w:lang w:eastAsia="ja-JP"/>
        </w:rPr>
        <w:t xml:space="preserve">The Domesday Explorer software uses the Phillimore translation of the text, and features high resolution images of the Farley facsimile, searchable indices, geographic information, </w:t>
      </w:r>
      <w:r w:rsidR="008F4855" w:rsidRPr="004523A2">
        <w:rPr>
          <w:rFonts w:eastAsia="Times New Roman"/>
          <w:color w:val="000000"/>
          <w:lang w:eastAsia="ja-JP"/>
        </w:rPr>
        <w:t xml:space="preserve">and </w:t>
      </w:r>
      <w:r w:rsidRPr="004523A2">
        <w:rPr>
          <w:rFonts w:eastAsia="Times New Roman"/>
          <w:color w:val="000000"/>
          <w:lang w:eastAsia="ja-JP"/>
        </w:rPr>
        <w:t>in-depth statistics for each county. This makes it a</w:t>
      </w:r>
      <w:r w:rsidR="008F4855" w:rsidRPr="004523A2">
        <w:rPr>
          <w:rFonts w:eastAsia="Times New Roman"/>
          <w:color w:val="000000"/>
          <w:lang w:eastAsia="ja-JP"/>
        </w:rPr>
        <w:t>n especially valuable</w:t>
      </w:r>
      <w:r w:rsidRPr="004523A2">
        <w:rPr>
          <w:rFonts w:eastAsia="Times New Roman"/>
          <w:color w:val="000000"/>
          <w:lang w:eastAsia="ja-JP"/>
        </w:rPr>
        <w:t xml:space="preserve"> </w:t>
      </w:r>
      <w:r w:rsidR="008F4855" w:rsidRPr="004523A2">
        <w:rPr>
          <w:rFonts w:eastAsia="Times New Roman"/>
          <w:color w:val="000000"/>
          <w:lang w:eastAsia="ja-JP"/>
        </w:rPr>
        <w:t xml:space="preserve">resource for scholars, who can easily locate </w:t>
      </w:r>
      <w:proofErr w:type="gramStart"/>
      <w:r w:rsidR="008F4855" w:rsidRPr="004523A2">
        <w:rPr>
          <w:rFonts w:eastAsia="Times New Roman"/>
          <w:color w:val="000000"/>
          <w:lang w:eastAsia="ja-JP"/>
        </w:rPr>
        <w:t>particular passages</w:t>
      </w:r>
      <w:proofErr w:type="gramEnd"/>
      <w:r w:rsidR="008F4855" w:rsidRPr="004523A2">
        <w:rPr>
          <w:rFonts w:eastAsia="Times New Roman"/>
          <w:color w:val="000000"/>
          <w:lang w:eastAsia="ja-JP"/>
        </w:rPr>
        <w:t>, statistics, and references within</w:t>
      </w:r>
      <w:r w:rsidR="0077600A" w:rsidRPr="004523A2">
        <w:rPr>
          <w:rFonts w:eastAsia="Times New Roman"/>
          <w:color w:val="000000"/>
          <w:lang w:eastAsia="ja-JP"/>
        </w:rPr>
        <w:t xml:space="preserve"> bot the original text and the translation</w:t>
      </w:r>
      <w:r w:rsidR="008F4855" w:rsidRPr="004523A2">
        <w:rPr>
          <w:rFonts w:eastAsia="Times New Roman"/>
          <w:color w:val="000000"/>
          <w:lang w:eastAsia="ja-JP"/>
        </w:rPr>
        <w:t xml:space="preserve">. </w:t>
      </w:r>
    </w:p>
    <w:p w14:paraId="05D01623" w14:textId="77777777" w:rsidR="008F4855" w:rsidRPr="004523A2" w:rsidRDefault="008F4855" w:rsidP="00431646">
      <w:pPr>
        <w:spacing w:before="240" w:after="240" w:line="480" w:lineRule="auto"/>
        <w:ind w:left="720" w:right="-100"/>
        <w:jc w:val="both"/>
        <w:rPr>
          <w:rFonts w:eastAsia="Times New Roman"/>
          <w:lang w:eastAsia="ja-JP"/>
        </w:rPr>
      </w:pPr>
    </w:p>
    <w:p w14:paraId="2C3B9E8E" w14:textId="77777777" w:rsidR="00431646" w:rsidRPr="004523A2" w:rsidRDefault="00431646" w:rsidP="00431646">
      <w:pPr>
        <w:shd w:val="clear" w:color="auto" w:fill="FFFFFF"/>
        <w:spacing w:before="200" w:after="200" w:line="480" w:lineRule="auto"/>
        <w:rPr>
          <w:rFonts w:eastAsia="Times New Roman"/>
          <w:lang w:eastAsia="ja-JP"/>
        </w:rPr>
      </w:pPr>
      <w:r w:rsidRPr="004523A2">
        <w:rPr>
          <w:rFonts w:eastAsia="Times New Roman"/>
          <w:b/>
          <w:bCs/>
          <w:color w:val="000000"/>
          <w:shd w:val="clear" w:color="auto" w:fill="FFFFFF"/>
          <w:lang w:eastAsia="ja-JP"/>
        </w:rPr>
        <w:t xml:space="preserve">Anna Powell-Smith, </w:t>
      </w:r>
      <w:r w:rsidRPr="004523A2">
        <w:rPr>
          <w:rFonts w:eastAsia="Times New Roman"/>
          <w:b/>
          <w:bCs/>
          <w:i/>
          <w:iCs/>
          <w:color w:val="000000"/>
          <w:shd w:val="clear" w:color="auto" w:fill="FFFFFF"/>
          <w:lang w:eastAsia="ja-JP"/>
        </w:rPr>
        <w:t>Open Domesday</w:t>
      </w:r>
      <w:r w:rsidRPr="004523A2">
        <w:rPr>
          <w:rFonts w:eastAsia="Times New Roman"/>
          <w:b/>
          <w:bCs/>
          <w:color w:val="000000"/>
          <w:shd w:val="clear" w:color="auto" w:fill="FFFFFF"/>
          <w:lang w:eastAsia="ja-JP"/>
        </w:rPr>
        <w:t xml:space="preserve"> &lt;https://opendomesday.org/&gt; [accessed 12/01/2020].</w:t>
      </w:r>
    </w:p>
    <w:p w14:paraId="29F18EE5" w14:textId="1AEA39E9" w:rsidR="008F4855" w:rsidRPr="004523A2" w:rsidRDefault="00431646" w:rsidP="008F4855">
      <w:pPr>
        <w:shd w:val="clear" w:color="auto" w:fill="FFFFFF"/>
        <w:spacing w:before="200" w:line="480" w:lineRule="auto"/>
        <w:ind w:left="720"/>
        <w:rPr>
          <w:rFonts w:eastAsia="Times New Roman"/>
          <w:color w:val="000000"/>
          <w:shd w:val="clear" w:color="auto" w:fill="FFFF00"/>
          <w:lang w:eastAsia="ja-JP"/>
        </w:rPr>
      </w:pPr>
      <w:r w:rsidRPr="004523A2">
        <w:rPr>
          <w:rFonts w:eastAsia="Times New Roman"/>
          <w:color w:val="000000"/>
          <w:lang w:eastAsia="ja-JP"/>
        </w:rPr>
        <w:t>The Open Domesday is a free online database of the Domesday. Although its search function is not as extensive as the Domesday Explorer, it includes ima</w:t>
      </w:r>
      <w:r w:rsidRPr="004523A2">
        <w:rPr>
          <w:rFonts w:eastAsia="Times New Roman"/>
          <w:color w:val="000000"/>
          <w:shd w:val="clear" w:color="auto" w:fill="FFFFFF"/>
          <w:lang w:eastAsia="ja-JP"/>
        </w:rPr>
        <w:t>ges of the facsimile</w:t>
      </w:r>
      <w:r w:rsidRPr="004523A2">
        <w:rPr>
          <w:rFonts w:eastAsia="Times New Roman"/>
          <w:color w:val="000000"/>
          <w:lang w:eastAsia="ja-JP"/>
        </w:rPr>
        <w:t>, an interactive map, basic statistics, and searchable indices of places and people. However, it does not include an introduction or other supplementary materials and is, therefore, useful for quick referencing</w:t>
      </w:r>
      <w:r w:rsidR="008F4855" w:rsidRPr="004523A2">
        <w:rPr>
          <w:rFonts w:eastAsia="Times New Roman"/>
          <w:color w:val="000000"/>
          <w:lang w:eastAsia="ja-JP"/>
        </w:rPr>
        <w:t>.</w:t>
      </w:r>
    </w:p>
    <w:p w14:paraId="24ADEE01" w14:textId="77777777" w:rsidR="00431646" w:rsidRPr="004523A2" w:rsidRDefault="00431646" w:rsidP="00431646">
      <w:pPr>
        <w:shd w:val="clear" w:color="auto" w:fill="FFFFFF"/>
        <w:spacing w:after="200" w:line="480" w:lineRule="auto"/>
        <w:ind w:left="720"/>
        <w:rPr>
          <w:rFonts w:eastAsia="Times New Roman"/>
          <w:lang w:eastAsia="ja-JP"/>
        </w:rPr>
      </w:pPr>
      <w:r w:rsidRPr="004523A2">
        <w:rPr>
          <w:rFonts w:eastAsia="Times New Roman"/>
          <w:lang w:eastAsia="ja-JP"/>
        </w:rPr>
        <w:t> </w:t>
      </w:r>
    </w:p>
    <w:p w14:paraId="3F9059CE" w14:textId="77777777" w:rsidR="00431646" w:rsidRPr="004523A2" w:rsidRDefault="00431646" w:rsidP="00431646">
      <w:pPr>
        <w:spacing w:before="240" w:after="240" w:line="480" w:lineRule="auto"/>
        <w:ind w:right="-100"/>
        <w:rPr>
          <w:rFonts w:eastAsia="Times New Roman"/>
          <w:lang w:eastAsia="ja-JP"/>
        </w:rPr>
      </w:pPr>
      <w:r w:rsidRPr="004523A2">
        <w:rPr>
          <w:rFonts w:eastAsia="Times New Roman"/>
          <w:b/>
          <w:bCs/>
          <w:color w:val="222222"/>
          <w:lang w:eastAsia="ja-JP"/>
        </w:rPr>
        <w:t xml:space="preserve">The National Archive, London, </w:t>
      </w:r>
      <w:r w:rsidRPr="004523A2">
        <w:rPr>
          <w:rFonts w:eastAsia="Times New Roman"/>
          <w:b/>
          <w:bCs/>
          <w:i/>
          <w:iCs/>
          <w:color w:val="222222"/>
          <w:lang w:eastAsia="ja-JP"/>
        </w:rPr>
        <w:t xml:space="preserve">E 31/2/1/879 (Place name: </w:t>
      </w:r>
      <w:proofErr w:type="gramStart"/>
      <w:r w:rsidRPr="004523A2">
        <w:rPr>
          <w:rFonts w:eastAsia="Times New Roman"/>
          <w:b/>
          <w:bCs/>
          <w:i/>
          <w:iCs/>
          <w:color w:val="222222"/>
          <w:lang w:eastAsia="ja-JP"/>
        </w:rPr>
        <w:t>Stoke ,</w:t>
      </w:r>
      <w:proofErr w:type="gramEnd"/>
      <w:r w:rsidRPr="004523A2">
        <w:rPr>
          <w:rFonts w:eastAsia="Times New Roman"/>
          <w:b/>
          <w:bCs/>
          <w:i/>
          <w:iCs/>
          <w:color w:val="222222"/>
          <w:lang w:eastAsia="ja-JP"/>
        </w:rPr>
        <w:t xml:space="preserve"> Guildford, Surrey Folio: 30r Great Domesday Book)</w:t>
      </w:r>
      <w:r w:rsidRPr="004523A2">
        <w:rPr>
          <w:rFonts w:eastAsia="Times New Roman"/>
          <w:b/>
          <w:bCs/>
          <w:color w:val="222222"/>
          <w:lang w:eastAsia="ja-JP"/>
        </w:rPr>
        <w:t xml:space="preserve"> (12/08/2009) &lt;https://discovery.nationalarchives.gov.uk/details/r/D7300253&gt; [accessed 14/01/2020].</w:t>
      </w:r>
    </w:p>
    <w:p w14:paraId="1FD20B94" w14:textId="7C2C2575" w:rsidR="00431646" w:rsidRPr="004523A2" w:rsidRDefault="00431646" w:rsidP="00431646">
      <w:pPr>
        <w:spacing w:before="240" w:after="240" w:line="480" w:lineRule="auto"/>
        <w:ind w:left="720" w:right="-100"/>
        <w:jc w:val="both"/>
        <w:rPr>
          <w:rFonts w:eastAsia="Times New Roman"/>
          <w:lang w:eastAsia="ja-JP"/>
        </w:rPr>
      </w:pPr>
      <w:r w:rsidRPr="004523A2">
        <w:rPr>
          <w:rFonts w:eastAsia="Times New Roman"/>
          <w:color w:val="000000"/>
          <w:lang w:eastAsia="ja-JP"/>
        </w:rPr>
        <w:t xml:space="preserve">PDF copies of entries in the Domesday text are available to purchase online on the National Archive website. Unlike physical or software publications of the Domesday, </w:t>
      </w:r>
      <w:r w:rsidR="0077600A" w:rsidRPr="004523A2">
        <w:rPr>
          <w:rFonts w:eastAsia="Times New Roman"/>
          <w:color w:val="000000"/>
          <w:lang w:eastAsia="ja-JP"/>
        </w:rPr>
        <w:t xml:space="preserve">as an internet resource, it is very accessible to the general public. </w:t>
      </w:r>
    </w:p>
    <w:p w14:paraId="5812FB24" w14:textId="77777777" w:rsidR="00431646" w:rsidRPr="004523A2" w:rsidRDefault="00431646" w:rsidP="00431646">
      <w:pPr>
        <w:spacing w:line="480" w:lineRule="auto"/>
        <w:rPr>
          <w:rFonts w:eastAsia="Times New Roman"/>
          <w:lang w:eastAsia="ja-JP"/>
        </w:rPr>
      </w:pPr>
    </w:p>
    <w:p w14:paraId="0F68ED41" w14:textId="0B698E2C" w:rsidR="00EC7546" w:rsidRPr="004523A2" w:rsidRDefault="00431646" w:rsidP="008F4855">
      <w:pPr>
        <w:spacing w:before="240" w:after="240" w:line="480" w:lineRule="auto"/>
        <w:ind w:right="-100"/>
        <w:jc w:val="both"/>
        <w:rPr>
          <w:rFonts w:eastAsia="Times New Roman"/>
          <w:lang w:eastAsia="ja-JP"/>
        </w:rPr>
      </w:pPr>
      <w:r w:rsidRPr="004523A2">
        <w:rPr>
          <w:rFonts w:eastAsia="Times New Roman"/>
          <w:color w:val="000000"/>
          <w:lang w:eastAsia="ja-JP"/>
        </w:rPr>
        <w:t xml:space="preserve">In conclusion, </w:t>
      </w:r>
      <w:r w:rsidR="0031135D" w:rsidRPr="004523A2">
        <w:rPr>
          <w:rFonts w:eastAsia="Times New Roman"/>
          <w:color w:val="000000"/>
          <w:lang w:eastAsia="ja-JP"/>
        </w:rPr>
        <w:t xml:space="preserve">the Domesday Book has been published numerous times </w:t>
      </w:r>
      <w:r w:rsidRPr="004523A2">
        <w:rPr>
          <w:rFonts w:eastAsia="Times New Roman"/>
          <w:color w:val="000000"/>
          <w:lang w:eastAsia="ja-JP"/>
        </w:rPr>
        <w:t xml:space="preserve">since the 18th century, </w:t>
      </w:r>
      <w:r w:rsidR="0031135D" w:rsidRPr="004523A2">
        <w:rPr>
          <w:rFonts w:eastAsia="Times New Roman"/>
          <w:color w:val="000000"/>
          <w:lang w:eastAsia="ja-JP"/>
        </w:rPr>
        <w:t>for both popular and scholarly audiences and in a variety of formats. These publications have used</w:t>
      </w:r>
      <w:r w:rsidR="004523A2" w:rsidRPr="004523A2">
        <w:rPr>
          <w:rFonts w:eastAsia="Times New Roman"/>
          <w:color w:val="000000"/>
          <w:lang w:eastAsia="ja-JP"/>
        </w:rPr>
        <w:t>, to varying extents,</w:t>
      </w:r>
      <w:r w:rsidR="0031135D" w:rsidRPr="004523A2">
        <w:rPr>
          <w:rFonts w:eastAsia="Times New Roman"/>
          <w:color w:val="000000"/>
          <w:lang w:eastAsia="ja-JP"/>
        </w:rPr>
        <w:t xml:space="preserve"> a combination of facsimiles, transcription</w:t>
      </w:r>
      <w:r w:rsidR="002B2D7B" w:rsidRPr="004523A2">
        <w:rPr>
          <w:rFonts w:eastAsia="Times New Roman"/>
          <w:color w:val="000000"/>
          <w:lang w:eastAsia="ja-JP"/>
        </w:rPr>
        <w:t>s, and</w:t>
      </w:r>
      <w:r w:rsidR="004523A2" w:rsidRPr="004523A2">
        <w:rPr>
          <w:rFonts w:eastAsia="Times New Roman"/>
          <w:color w:val="000000"/>
          <w:lang w:eastAsia="ja-JP"/>
        </w:rPr>
        <w:t xml:space="preserve"> translations, as well as introductions, explanatory materials, maps, genealogical tables, and indices</w:t>
      </w:r>
      <w:r w:rsidR="002B2D7B" w:rsidRPr="004523A2">
        <w:rPr>
          <w:rFonts w:eastAsia="Times New Roman"/>
          <w:color w:val="000000"/>
          <w:lang w:eastAsia="ja-JP"/>
        </w:rPr>
        <w:t xml:space="preserve"> </w:t>
      </w:r>
      <w:r w:rsidR="0031135D" w:rsidRPr="004523A2">
        <w:rPr>
          <w:rFonts w:eastAsia="Times New Roman"/>
          <w:color w:val="000000"/>
          <w:lang w:eastAsia="ja-JP"/>
        </w:rPr>
        <w:t>to make the Domesday text more accessible to the modern reader. From this bibliographical exercise, i</w:t>
      </w:r>
      <w:r w:rsidRPr="004523A2">
        <w:rPr>
          <w:rFonts w:eastAsia="Times New Roman"/>
          <w:color w:val="000000"/>
          <w:lang w:eastAsia="ja-JP"/>
        </w:rPr>
        <w:t xml:space="preserve">t </w:t>
      </w:r>
      <w:r w:rsidR="004523A2" w:rsidRPr="004523A2">
        <w:rPr>
          <w:rFonts w:eastAsia="Times New Roman"/>
          <w:color w:val="000000"/>
          <w:lang w:eastAsia="ja-JP"/>
        </w:rPr>
        <w:t xml:space="preserve">is apparent </w:t>
      </w:r>
      <w:r w:rsidR="002B2D7B" w:rsidRPr="004523A2">
        <w:rPr>
          <w:rFonts w:eastAsia="Times New Roman"/>
          <w:color w:val="000000"/>
          <w:lang w:eastAsia="ja-JP"/>
        </w:rPr>
        <w:t>that the most appropriate edition of the Domesday to consult depends on the nature of the intended research and that, in order to gain a more complete understanding of the context, history, and textuality of the Greater and Little Domesday books, various editions should be consulted.</w:t>
      </w:r>
      <w:r w:rsidRPr="004523A2">
        <w:rPr>
          <w:rFonts w:eastAsia="Times New Roman"/>
          <w:color w:val="000000"/>
          <w:shd w:val="clear" w:color="auto" w:fill="FFFF00"/>
          <w:lang w:eastAsia="ja-JP"/>
        </w:rPr>
        <w:t xml:space="preserve"> </w:t>
      </w:r>
    </w:p>
    <w:sectPr w:rsidR="00EC7546" w:rsidRPr="004523A2" w:rsidSect="00431646">
      <w:footerReference w:type="default" r:id="rId9"/>
      <w:pgSz w:w="12240" w:h="15840"/>
      <w:pgMar w:top="1440" w:right="1440" w:bottom="1440" w:left="1440"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27FF5" w14:textId="77777777" w:rsidR="00891B68" w:rsidRDefault="00891B68" w:rsidP="00AD5D5A">
      <w:r>
        <w:separator/>
      </w:r>
    </w:p>
  </w:endnote>
  <w:endnote w:type="continuationSeparator" w:id="0">
    <w:p w14:paraId="56F0D5A9" w14:textId="77777777" w:rsidR="00891B68" w:rsidRDefault="00891B68"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Emoji">
    <w:panose1 w:val="020B0502040204020203"/>
    <w:charset w:val="00"/>
    <w:family w:val="swiss"/>
    <w:pitch w:val="variable"/>
    <w:sig w:usb0="00000003" w:usb1="02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EC49C" w14:textId="77777777" w:rsidR="001A33F7" w:rsidRDefault="001A33F7">
    <w:pPr>
      <w:pStyle w:val="Footer"/>
      <w:jc w:val="right"/>
    </w:pPr>
    <w:r>
      <w:fldChar w:fldCharType="begin"/>
    </w:r>
    <w:r>
      <w:instrText xml:space="preserve"> PAGE   \* MERGEFORMAT </w:instrText>
    </w:r>
    <w:r>
      <w:fldChar w:fldCharType="separate"/>
    </w:r>
    <w:r>
      <w:rPr>
        <w:noProof/>
      </w:rPr>
      <w:t>2</w:t>
    </w:r>
    <w:r>
      <w:rPr>
        <w:noProof/>
      </w:rPr>
      <w:fldChar w:fldCharType="end"/>
    </w:r>
  </w:p>
  <w:p w14:paraId="59E5BB49" w14:textId="3BF2435B" w:rsidR="009C1A08" w:rsidRPr="00337A70" w:rsidRDefault="009C1A08">
    <w:pPr>
      <w:pStyle w:val="Footer"/>
      <w:rPr>
        <w:rFonts w:ascii="Trebuchet MS" w:hAnsi="Trebuchet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5426DB" w14:textId="77777777" w:rsidR="00891B68" w:rsidRDefault="00891B68" w:rsidP="00AD5D5A">
      <w:r>
        <w:separator/>
      </w:r>
    </w:p>
  </w:footnote>
  <w:footnote w:type="continuationSeparator" w:id="0">
    <w:p w14:paraId="2DC17E84" w14:textId="77777777" w:rsidR="00891B68" w:rsidRDefault="00891B68" w:rsidP="00AD5D5A">
      <w:r>
        <w:continuationSeparator/>
      </w:r>
    </w:p>
  </w:footnote>
  <w:footnote w:id="1">
    <w:p w14:paraId="483682AE" w14:textId="1AA4D705" w:rsidR="00934CEF" w:rsidRPr="00934CEF" w:rsidRDefault="00934CEF">
      <w:pPr>
        <w:pStyle w:val="FootnoteText"/>
        <w:rPr>
          <w:sz w:val="22"/>
          <w:szCs w:val="22"/>
        </w:rPr>
      </w:pPr>
      <w:r w:rsidRPr="00934CEF">
        <w:rPr>
          <w:rStyle w:val="FootnoteReference"/>
          <w:sz w:val="22"/>
          <w:szCs w:val="22"/>
        </w:rPr>
        <w:footnoteRef/>
      </w:r>
      <w:r w:rsidRPr="00934CEF">
        <w:rPr>
          <w:sz w:val="22"/>
          <w:szCs w:val="22"/>
        </w:rPr>
        <w:t xml:space="preserve"> </w:t>
      </w:r>
      <w:proofErr w:type="spellStart"/>
      <w:r w:rsidRPr="00934CEF">
        <w:rPr>
          <w:color w:val="000000"/>
          <w:sz w:val="22"/>
          <w:szCs w:val="22"/>
        </w:rPr>
        <w:t>Roffe</w:t>
      </w:r>
      <w:proofErr w:type="spellEnd"/>
      <w:r w:rsidRPr="00934CEF">
        <w:rPr>
          <w:color w:val="000000"/>
          <w:sz w:val="22"/>
          <w:szCs w:val="22"/>
        </w:rPr>
        <w:t xml:space="preserve">, David. </w:t>
      </w:r>
      <w:r w:rsidRPr="00934CEF">
        <w:rPr>
          <w:i/>
          <w:iCs/>
          <w:color w:val="000000"/>
          <w:sz w:val="22"/>
          <w:szCs w:val="22"/>
        </w:rPr>
        <w:t>Decoding Domesday</w:t>
      </w:r>
      <w:r w:rsidRPr="00934CEF">
        <w:rPr>
          <w:color w:val="000000"/>
          <w:sz w:val="22"/>
          <w:szCs w:val="22"/>
        </w:rPr>
        <w:t xml:space="preserve"> (Woodbridge: The Boydell Press, 2015) 33.</w:t>
      </w:r>
    </w:p>
  </w:footnote>
  <w:footnote w:id="2">
    <w:p w14:paraId="5510D500" w14:textId="6F4E5EB1" w:rsidR="00837B97" w:rsidRDefault="00837B97">
      <w:pPr>
        <w:pStyle w:val="FootnoteText"/>
      </w:pPr>
      <w:r>
        <w:rPr>
          <w:rStyle w:val="FootnoteReference"/>
        </w:rPr>
        <w:footnoteRef/>
      </w:r>
      <w:r>
        <w:t xml:space="preserve"> </w:t>
      </w:r>
      <w:r w:rsidRPr="00934CEF">
        <w:rPr>
          <w:color w:val="000000"/>
          <w:sz w:val="22"/>
          <w:szCs w:val="22"/>
          <w:shd w:val="clear" w:color="auto" w:fill="FFFFFF"/>
        </w:rPr>
        <w:t xml:space="preserve">Roffe, David. </w:t>
      </w:r>
      <w:r w:rsidRPr="00934CEF">
        <w:rPr>
          <w:i/>
          <w:iCs/>
          <w:color w:val="000000"/>
          <w:sz w:val="22"/>
          <w:szCs w:val="22"/>
          <w:shd w:val="clear" w:color="auto" w:fill="FFFFFF"/>
        </w:rPr>
        <w:t>Domesday: The Inquest and the Book</w:t>
      </w:r>
      <w:r w:rsidRPr="00934CEF">
        <w:rPr>
          <w:color w:val="000000"/>
          <w:sz w:val="22"/>
          <w:szCs w:val="22"/>
          <w:shd w:val="clear" w:color="auto" w:fill="FFFFFF"/>
        </w:rPr>
        <w:t xml:space="preserve"> (Oxford: Oxford University Press, 2002) </w:t>
      </w:r>
      <w:r w:rsidRPr="00934CEF">
        <w:rPr>
          <w:color w:val="000000"/>
          <w:sz w:val="22"/>
          <w:szCs w:val="22"/>
        </w:rPr>
        <w:t>72.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0"/>
  </w:num>
  <w:num w:numId="3">
    <w:abstractNumId w:val="9"/>
  </w:num>
  <w:num w:numId="4">
    <w:abstractNumId w:val="6"/>
  </w:num>
  <w:num w:numId="5">
    <w:abstractNumId w:val="2"/>
  </w:num>
  <w:num w:numId="6">
    <w:abstractNumId w:val="4"/>
  </w:num>
  <w:num w:numId="7">
    <w:abstractNumId w:val="13"/>
  </w:num>
  <w:num w:numId="8">
    <w:abstractNumId w:val="21"/>
  </w:num>
  <w:num w:numId="9">
    <w:abstractNumId w:val="23"/>
  </w:num>
  <w:num w:numId="10">
    <w:abstractNumId w:val="5"/>
  </w:num>
  <w:num w:numId="11">
    <w:abstractNumId w:val="19"/>
  </w:num>
  <w:num w:numId="12">
    <w:abstractNumId w:val="22"/>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4097"/>
  </w:hdrShapeDefaults>
  <w:footnotePr>
    <w:footnote w:id="-1"/>
    <w:footnote w:id="0"/>
  </w:footnotePr>
  <w:endnotePr>
    <w:endnote w:id="-1"/>
    <w:endnote w:id="0"/>
  </w:endnotePr>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185F"/>
    <w:rsid w:val="00001C3B"/>
    <w:rsid w:val="00013545"/>
    <w:rsid w:val="00022345"/>
    <w:rsid w:val="00026363"/>
    <w:rsid w:val="000275E2"/>
    <w:rsid w:val="00043549"/>
    <w:rsid w:val="00046A16"/>
    <w:rsid w:val="00047074"/>
    <w:rsid w:val="00076A0B"/>
    <w:rsid w:val="000854DF"/>
    <w:rsid w:val="000A6D49"/>
    <w:rsid w:val="000E3682"/>
    <w:rsid w:val="000E3751"/>
    <w:rsid w:val="000E6A3A"/>
    <w:rsid w:val="0010199D"/>
    <w:rsid w:val="001070F2"/>
    <w:rsid w:val="00111283"/>
    <w:rsid w:val="0011161A"/>
    <w:rsid w:val="00136C6C"/>
    <w:rsid w:val="00165047"/>
    <w:rsid w:val="00172497"/>
    <w:rsid w:val="001A33F7"/>
    <w:rsid w:val="001C0B52"/>
    <w:rsid w:val="001C4B2D"/>
    <w:rsid w:val="001E0E06"/>
    <w:rsid w:val="001E4076"/>
    <w:rsid w:val="001F4CE1"/>
    <w:rsid w:val="002132DC"/>
    <w:rsid w:val="00216211"/>
    <w:rsid w:val="00222984"/>
    <w:rsid w:val="0022446F"/>
    <w:rsid w:val="00224B95"/>
    <w:rsid w:val="00230F35"/>
    <w:rsid w:val="0025530E"/>
    <w:rsid w:val="002715FA"/>
    <w:rsid w:val="00276002"/>
    <w:rsid w:val="00277421"/>
    <w:rsid w:val="00290783"/>
    <w:rsid w:val="002A4954"/>
    <w:rsid w:val="002B2D7B"/>
    <w:rsid w:val="002C1630"/>
    <w:rsid w:val="002C55E9"/>
    <w:rsid w:val="002D2A04"/>
    <w:rsid w:val="002E2BA0"/>
    <w:rsid w:val="002E67CE"/>
    <w:rsid w:val="002F1475"/>
    <w:rsid w:val="002F467C"/>
    <w:rsid w:val="00305185"/>
    <w:rsid w:val="00307B22"/>
    <w:rsid w:val="0031135D"/>
    <w:rsid w:val="00326631"/>
    <w:rsid w:val="00337A70"/>
    <w:rsid w:val="00341D2F"/>
    <w:rsid w:val="00351F4B"/>
    <w:rsid w:val="0038342D"/>
    <w:rsid w:val="003A791B"/>
    <w:rsid w:val="003C3F4F"/>
    <w:rsid w:val="003C7F6F"/>
    <w:rsid w:val="003D6255"/>
    <w:rsid w:val="003E08F3"/>
    <w:rsid w:val="003F0AD2"/>
    <w:rsid w:val="003F737B"/>
    <w:rsid w:val="0040732D"/>
    <w:rsid w:val="004250DD"/>
    <w:rsid w:val="00431646"/>
    <w:rsid w:val="0043758C"/>
    <w:rsid w:val="0044129B"/>
    <w:rsid w:val="00447497"/>
    <w:rsid w:val="004523A2"/>
    <w:rsid w:val="00460A5C"/>
    <w:rsid w:val="004627BA"/>
    <w:rsid w:val="004724D6"/>
    <w:rsid w:val="00475C78"/>
    <w:rsid w:val="00497745"/>
    <w:rsid w:val="004A024B"/>
    <w:rsid w:val="004B73BA"/>
    <w:rsid w:val="004C79CE"/>
    <w:rsid w:val="005171A3"/>
    <w:rsid w:val="00521E0F"/>
    <w:rsid w:val="00531109"/>
    <w:rsid w:val="00537B4C"/>
    <w:rsid w:val="005429EF"/>
    <w:rsid w:val="005627D4"/>
    <w:rsid w:val="0058726A"/>
    <w:rsid w:val="00590E9A"/>
    <w:rsid w:val="005942E9"/>
    <w:rsid w:val="005C6560"/>
    <w:rsid w:val="00610318"/>
    <w:rsid w:val="00632937"/>
    <w:rsid w:val="0064350C"/>
    <w:rsid w:val="0065654E"/>
    <w:rsid w:val="00662A40"/>
    <w:rsid w:val="006805EC"/>
    <w:rsid w:val="00691819"/>
    <w:rsid w:val="00693C4D"/>
    <w:rsid w:val="006A205D"/>
    <w:rsid w:val="006A65E9"/>
    <w:rsid w:val="006C0A3A"/>
    <w:rsid w:val="006C5E96"/>
    <w:rsid w:val="006E4F24"/>
    <w:rsid w:val="00751BE2"/>
    <w:rsid w:val="00762134"/>
    <w:rsid w:val="00765417"/>
    <w:rsid w:val="00770733"/>
    <w:rsid w:val="00773D0E"/>
    <w:rsid w:val="0077600A"/>
    <w:rsid w:val="007909CB"/>
    <w:rsid w:val="00790E2F"/>
    <w:rsid w:val="007B721A"/>
    <w:rsid w:val="007C098A"/>
    <w:rsid w:val="007C6F33"/>
    <w:rsid w:val="007D7715"/>
    <w:rsid w:val="00823895"/>
    <w:rsid w:val="0083442E"/>
    <w:rsid w:val="00837B97"/>
    <w:rsid w:val="00840B95"/>
    <w:rsid w:val="0084272E"/>
    <w:rsid w:val="00843DE9"/>
    <w:rsid w:val="00860711"/>
    <w:rsid w:val="00891B68"/>
    <w:rsid w:val="0089447F"/>
    <w:rsid w:val="008A4DCC"/>
    <w:rsid w:val="008B3A97"/>
    <w:rsid w:val="008D03F0"/>
    <w:rsid w:val="008D674F"/>
    <w:rsid w:val="008E484F"/>
    <w:rsid w:val="008E525C"/>
    <w:rsid w:val="008F4855"/>
    <w:rsid w:val="00901157"/>
    <w:rsid w:val="00914769"/>
    <w:rsid w:val="00934CEF"/>
    <w:rsid w:val="00973B44"/>
    <w:rsid w:val="009801D3"/>
    <w:rsid w:val="009A3D0A"/>
    <w:rsid w:val="009B2D10"/>
    <w:rsid w:val="009C01A3"/>
    <w:rsid w:val="009C1A08"/>
    <w:rsid w:val="009C396A"/>
    <w:rsid w:val="009F2623"/>
    <w:rsid w:val="00A02C62"/>
    <w:rsid w:val="00A06B94"/>
    <w:rsid w:val="00A2073F"/>
    <w:rsid w:val="00A303FE"/>
    <w:rsid w:val="00A41032"/>
    <w:rsid w:val="00A41AF9"/>
    <w:rsid w:val="00A507E4"/>
    <w:rsid w:val="00A62E68"/>
    <w:rsid w:val="00A745B6"/>
    <w:rsid w:val="00A972E4"/>
    <w:rsid w:val="00A9744A"/>
    <w:rsid w:val="00AC36E3"/>
    <w:rsid w:val="00AC6213"/>
    <w:rsid w:val="00AD5D5A"/>
    <w:rsid w:val="00AE3217"/>
    <w:rsid w:val="00AF3A67"/>
    <w:rsid w:val="00B11E29"/>
    <w:rsid w:val="00B34964"/>
    <w:rsid w:val="00B36F4A"/>
    <w:rsid w:val="00B42501"/>
    <w:rsid w:val="00B45FEF"/>
    <w:rsid w:val="00B462B1"/>
    <w:rsid w:val="00B56E7B"/>
    <w:rsid w:val="00B72F46"/>
    <w:rsid w:val="00B81E5D"/>
    <w:rsid w:val="00B96983"/>
    <w:rsid w:val="00B9724B"/>
    <w:rsid w:val="00BC17F1"/>
    <w:rsid w:val="00BC1AD8"/>
    <w:rsid w:val="00BE7B7A"/>
    <w:rsid w:val="00BF22DC"/>
    <w:rsid w:val="00BF3D29"/>
    <w:rsid w:val="00BF6291"/>
    <w:rsid w:val="00C129C7"/>
    <w:rsid w:val="00C22A88"/>
    <w:rsid w:val="00C65E7F"/>
    <w:rsid w:val="00C93CD4"/>
    <w:rsid w:val="00CB5E37"/>
    <w:rsid w:val="00CC52A3"/>
    <w:rsid w:val="00CE3B79"/>
    <w:rsid w:val="00D0754F"/>
    <w:rsid w:val="00D328AB"/>
    <w:rsid w:val="00D429CC"/>
    <w:rsid w:val="00D459DC"/>
    <w:rsid w:val="00D5466C"/>
    <w:rsid w:val="00D56EFA"/>
    <w:rsid w:val="00D67BF8"/>
    <w:rsid w:val="00DA3217"/>
    <w:rsid w:val="00DA3E0F"/>
    <w:rsid w:val="00DB185F"/>
    <w:rsid w:val="00DB43BB"/>
    <w:rsid w:val="00DC002C"/>
    <w:rsid w:val="00DD363B"/>
    <w:rsid w:val="00DE54B1"/>
    <w:rsid w:val="00E3766D"/>
    <w:rsid w:val="00E502BA"/>
    <w:rsid w:val="00E57529"/>
    <w:rsid w:val="00E67719"/>
    <w:rsid w:val="00E84F5D"/>
    <w:rsid w:val="00EC7546"/>
    <w:rsid w:val="00F1661E"/>
    <w:rsid w:val="00F2453C"/>
    <w:rsid w:val="00F346BE"/>
    <w:rsid w:val="00F73533"/>
    <w:rsid w:val="00F75EB5"/>
    <w:rsid w:val="00FA07E9"/>
    <w:rsid w:val="00FA16CE"/>
    <w:rsid w:val="00FA2A4C"/>
    <w:rsid w:val="00FA5D7B"/>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34C207B"/>
  <w15:chartTrackingRefBased/>
  <w15:docId w15:val="{B6BCCC73-CB48-4278-9934-F55439482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cs="Tahoma"/>
      <w:sz w:val="16"/>
      <w:szCs w:val="16"/>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cs="Tahoma"/>
      <w:sz w:val="22"/>
      <w:szCs w:val="20"/>
      <w:lang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rsid w:val="003A791B"/>
    <w:rPr>
      <w:sz w:val="20"/>
      <w:szCs w:val="20"/>
    </w:rPr>
  </w:style>
  <w:style w:type="character" w:customStyle="1" w:styleId="FootnoteTextChar">
    <w:name w:val="Footnote Text Char"/>
    <w:link w:val="FootnoteText"/>
    <w:rsid w:val="003A791B"/>
    <w:rPr>
      <w:lang w:eastAsia="zh-CN"/>
    </w:rPr>
  </w:style>
  <w:style w:type="character" w:styleId="FootnoteReference">
    <w:name w:val="footnote reference"/>
    <w:rsid w:val="003A79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994210863">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39E0A-65BF-4D13-92BC-9416316AF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1514</Words>
  <Characters>8824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denize jacques</cp:lastModifiedBy>
  <cp:revision>2</cp:revision>
  <cp:lastPrinted>2011-03-31T13:57:00Z</cp:lastPrinted>
  <dcterms:created xsi:type="dcterms:W3CDTF">2020-01-24T23:20:00Z</dcterms:created>
  <dcterms:modified xsi:type="dcterms:W3CDTF">2020-01-24T23:20:00Z</dcterms:modified>
</cp:coreProperties>
</file>