
<file path=[Content_Types].xml><?xml version="1.0" encoding="utf-8"?>
<Types xmlns="http://schemas.openxmlformats.org/package/2006/content-types">
  <Default Extension="xml" ContentType="application/xml"/>
  <Default Extension="png" ContentType="image/png"/>
  <Default Extension="jpeg" ContentType="image/jpe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jc w:val="both"/>
        <w:rPr>
          <w:rFonts w:ascii="Times New Roman" w:hAnsi="Times New Roman" w:cs="Times New Roman"/>
          <w:b/>
          <w:bCs/>
          <w:sz w:val="28"/>
          <w:szCs w:val="28"/>
          <w:lang w:val="en-US"/>
        </w:rPr>
      </w:pPr>
      <w:r>
        <w:rPr>
          <w:rFonts w:ascii="Calibri" w:hAnsi="Calibri" w:cs="Calibri"/>
          <w:b/>
          <w:bCs/>
          <w:sz w:val="48"/>
          <w:szCs w:val="48"/>
        </w:rPr>
        <w:drawing>
          <wp:inline distT="0" distB="0" distL="0" distR="0">
            <wp:extent cx="3840480" cy="1508760"/>
            <wp:effectExtent l="0" t="0" r="20320" b="1524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a:xfrm>
                      <a:off x="0" y="0"/>
                      <a:ext cx="3840480" cy="1508760"/>
                    </a:xfrm>
                    <a:prstGeom prst="rect">
                      <a:avLst/>
                    </a:prstGeom>
                    <a:noFill/>
                  </pic:spPr>
                </pic:pic>
              </a:graphicData>
            </a:graphic>
          </wp:inline>
        </w:drawing>
      </w:r>
    </w:p>
    <w:p>
      <w:pPr>
        <w:spacing w:line="360" w:lineRule="auto"/>
        <w:jc w:val="center"/>
        <w:rPr>
          <w:rFonts w:ascii="Times New Roman" w:hAnsi="Times New Roman" w:cs="Times New Roman"/>
          <w:b/>
          <w:bCs/>
          <w:sz w:val="28"/>
          <w:szCs w:val="28"/>
          <w:lang w:val="en-US"/>
        </w:rPr>
      </w:pPr>
    </w:p>
    <w:p>
      <w:pPr>
        <w:spacing w:line="360" w:lineRule="auto"/>
        <w:jc w:val="both"/>
        <w:rPr>
          <w:rFonts w:hint="eastAsia" w:ascii="Arial" w:hAnsi="Arial" w:cs="Arial"/>
          <w:b w:val="0"/>
          <w:bCs w:val="0"/>
          <w:sz w:val="44"/>
          <w:szCs w:val="44"/>
          <w:lang w:val="en-US" w:eastAsia="zh-CN"/>
        </w:rPr>
      </w:pPr>
      <w:r>
        <w:rPr>
          <w:rFonts w:hint="eastAsia" w:ascii="Arial" w:hAnsi="Arial" w:cs="Arial"/>
          <w:b w:val="0"/>
          <w:bCs w:val="0"/>
          <w:sz w:val="44"/>
          <w:szCs w:val="44"/>
          <w:lang w:val="en-US" w:eastAsia="zh-CN"/>
        </w:rPr>
        <w:t>Innovative Marketing Plan: IHG</w:t>
      </w:r>
    </w:p>
    <w:p>
      <w:pPr>
        <w:spacing w:line="360" w:lineRule="auto"/>
        <w:jc w:val="both"/>
        <w:rPr>
          <w:rFonts w:ascii="Times New Roman" w:hAnsi="Times New Roman" w:cs="Times New Roman"/>
          <w:sz w:val="24"/>
          <w:szCs w:val="24"/>
          <w:lang w:val="en-US"/>
        </w:rPr>
      </w:pPr>
    </w:p>
    <w:p>
      <w:pPr>
        <w:rPr>
          <w:rFonts w:hint="eastAsia" w:ascii="Arial" w:hAnsi="Arial" w:cs="Arial"/>
          <w:b w:val="0"/>
          <w:bCs w:val="0"/>
          <w:sz w:val="44"/>
          <w:szCs w:val="44"/>
          <w:lang w:eastAsia="zh-CN"/>
        </w:rPr>
      </w:pPr>
    </w:p>
    <w:p>
      <w:pPr>
        <w:spacing w:line="360" w:lineRule="auto"/>
        <w:jc w:val="both"/>
        <w:rPr>
          <w:rFonts w:ascii="Times New Roman" w:hAnsi="Times New Roman" w:cs="Times New Roman"/>
          <w:sz w:val="24"/>
          <w:szCs w:val="24"/>
          <w:lang w:val="en-US"/>
        </w:rPr>
      </w:pPr>
    </w:p>
    <w:p>
      <w:pPr>
        <w:spacing w:line="360" w:lineRule="auto"/>
        <w:jc w:val="both"/>
        <w:rPr>
          <w:rFonts w:ascii="Times New Roman" w:hAnsi="Times New Roman" w:cs="Times New Roman"/>
          <w:sz w:val="24"/>
          <w:szCs w:val="24"/>
          <w:lang w:val="en-US"/>
        </w:rPr>
      </w:pPr>
    </w:p>
    <w:p>
      <w:pPr>
        <w:spacing w:line="360" w:lineRule="auto"/>
        <w:jc w:val="both"/>
        <w:rPr>
          <w:rFonts w:ascii="Times New Roman" w:hAnsi="Times New Roman" w:cs="Times New Roman"/>
          <w:sz w:val="24"/>
          <w:szCs w:val="24"/>
          <w:lang w:val="en-US"/>
        </w:rPr>
      </w:pPr>
    </w:p>
    <w:p>
      <w:pPr>
        <w:rPr>
          <w:rFonts w:hint="eastAsia" w:ascii="Arial" w:hAnsi="Arial" w:cs="Arial"/>
          <w:b w:val="0"/>
          <w:bCs w:val="0"/>
          <w:sz w:val="44"/>
          <w:szCs w:val="44"/>
          <w:lang w:eastAsia="zh-CN"/>
        </w:rPr>
      </w:pPr>
    </w:p>
    <w:p>
      <w:pPr>
        <w:rPr>
          <w:rFonts w:hint="eastAsia" w:ascii="Arial" w:hAnsi="Arial" w:cs="Arial"/>
          <w:b w:val="0"/>
          <w:bCs w:val="0"/>
          <w:sz w:val="44"/>
          <w:szCs w:val="44"/>
          <w:lang w:eastAsia="zh-CN"/>
        </w:rPr>
      </w:pPr>
    </w:p>
    <w:p>
      <w:pPr>
        <w:rPr>
          <w:rFonts w:ascii="Arial" w:hAnsi="Arial" w:cs="Arial"/>
          <w:b w:val="0"/>
          <w:bCs w:val="0"/>
          <w:sz w:val="44"/>
          <w:szCs w:val="44"/>
          <w:lang w:eastAsia="zh-CN"/>
        </w:rPr>
      </w:pPr>
      <w:r>
        <w:rPr>
          <w:rFonts w:hint="eastAsia" w:ascii="Arial" w:hAnsi="Arial" w:cs="Arial"/>
          <w:b w:val="0"/>
          <w:bCs w:val="0"/>
          <w:sz w:val="44"/>
          <w:szCs w:val="44"/>
          <w:lang w:eastAsia="zh-CN"/>
        </w:rPr>
        <w:t>Student name：Y</w:t>
      </w:r>
      <w:r>
        <w:rPr>
          <w:rFonts w:hint="default" w:ascii="Arial" w:hAnsi="Arial" w:cs="Arial"/>
          <w:b w:val="0"/>
          <w:bCs w:val="0"/>
          <w:sz w:val="44"/>
          <w:szCs w:val="44"/>
          <w:lang w:eastAsia="zh-CN"/>
        </w:rPr>
        <w:t>aodong LI</w:t>
      </w:r>
    </w:p>
    <w:p>
      <w:pPr>
        <w:rPr>
          <w:rFonts w:ascii="Arial" w:hAnsi="Arial" w:cs="Arial"/>
          <w:sz w:val="44"/>
          <w:szCs w:val="44"/>
          <w:lang w:eastAsia="zh-CN"/>
        </w:rPr>
      </w:pPr>
      <w:r>
        <w:rPr>
          <w:rFonts w:hint="eastAsia" w:ascii="Arial" w:hAnsi="Arial" w:cs="Arial"/>
          <w:sz w:val="44"/>
          <w:szCs w:val="44"/>
          <w:lang w:eastAsia="zh-CN"/>
        </w:rPr>
        <w:t>Student Number：210826</w:t>
      </w:r>
      <w:r>
        <w:rPr>
          <w:rFonts w:hint="default" w:ascii="Arial" w:hAnsi="Arial" w:cs="Arial"/>
          <w:sz w:val="44"/>
          <w:szCs w:val="44"/>
          <w:lang w:eastAsia="zh-CN"/>
        </w:rPr>
        <w:t>5</w:t>
      </w:r>
    </w:p>
    <w:p>
      <w:pPr>
        <w:rPr>
          <w:rFonts w:ascii="Arial" w:hAnsi="Arial" w:cs="Arial"/>
          <w:sz w:val="44"/>
          <w:szCs w:val="44"/>
          <w:lang w:eastAsia="zh-CN"/>
        </w:rPr>
      </w:pPr>
      <w:r>
        <w:rPr>
          <w:rFonts w:ascii="Arial" w:hAnsi="Arial" w:cs="Arial"/>
          <w:sz w:val="44"/>
          <w:szCs w:val="44"/>
          <w:lang w:eastAsia="en-GB"/>
        </w:rPr>
        <w:t>Submission</w:t>
      </w:r>
      <w:r>
        <w:rPr>
          <w:rFonts w:hint="eastAsia" w:ascii="Arial" w:hAnsi="Arial" w:cs="Arial"/>
          <w:sz w:val="44"/>
          <w:szCs w:val="44"/>
          <w:lang w:eastAsia="en-GB"/>
        </w:rPr>
        <w:t xml:space="preserve"> Date</w:t>
      </w:r>
      <w:r>
        <w:rPr>
          <w:rFonts w:hint="eastAsia" w:ascii="Arial" w:hAnsi="Arial" w:cs="Arial"/>
          <w:sz w:val="44"/>
          <w:szCs w:val="44"/>
          <w:lang w:eastAsia="zh-CN"/>
        </w:rPr>
        <w:t xml:space="preserve">： 9 May </w:t>
      </w:r>
      <w:r>
        <w:rPr>
          <w:rFonts w:ascii="Arial" w:hAnsi="Arial" w:cs="Arial"/>
          <w:sz w:val="44"/>
          <w:szCs w:val="44"/>
        </w:rPr>
        <w:t xml:space="preserve"> 202</w:t>
      </w:r>
      <w:r>
        <w:rPr>
          <w:rFonts w:hint="eastAsia" w:ascii="Arial" w:hAnsi="Arial" w:cs="Arial"/>
          <w:sz w:val="44"/>
          <w:szCs w:val="44"/>
          <w:lang w:eastAsia="zh-CN"/>
        </w:rPr>
        <w:t>2</w:t>
      </w:r>
    </w:p>
    <w:p>
      <w:pPr>
        <w:spacing w:line="360" w:lineRule="auto"/>
        <w:jc w:val="both"/>
        <w:rPr>
          <w:rFonts w:ascii="Times New Roman" w:hAnsi="Times New Roman" w:cs="Times New Roman"/>
          <w:sz w:val="24"/>
          <w:szCs w:val="24"/>
          <w:lang w:val="en-US"/>
        </w:rPr>
      </w:pPr>
    </w:p>
    <w:p>
      <w:pPr>
        <w:spacing w:line="360" w:lineRule="auto"/>
        <w:jc w:val="both"/>
        <w:rPr>
          <w:rFonts w:ascii="Times New Roman" w:hAnsi="Times New Roman" w:cs="Times New Roman"/>
          <w:sz w:val="24"/>
          <w:szCs w:val="24"/>
          <w:lang w:val="en-US"/>
        </w:rPr>
      </w:pP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bookmarkStart w:id="67" w:name="_GoBack"/>
      <w:bookmarkEnd w:id="67"/>
    </w:p>
    <w:p>
      <w:pPr>
        <w:spacing w:line="360" w:lineRule="auto"/>
        <w:jc w:val="both"/>
        <w:rPr>
          <w:rFonts w:ascii="Times New Roman" w:hAnsi="Times New Roman" w:cs="Times New Roman"/>
          <w:sz w:val="24"/>
          <w:szCs w:val="24"/>
        </w:rPr>
      </w:pPr>
    </w:p>
    <w:p>
      <w:pPr>
        <w:spacing w:line="360" w:lineRule="auto"/>
        <w:jc w:val="both"/>
        <w:rPr>
          <w:rFonts w:hint="eastAsia" w:ascii="Times New Roman" w:hAnsi="Times New Roman" w:cs="Times New Roman" w:eastAsiaTheme="minorEastAsia"/>
          <w:b/>
          <w:bCs/>
          <w:sz w:val="24"/>
          <w:szCs w:val="24"/>
          <w:lang w:eastAsia="zh-CN"/>
        </w:rPr>
      </w:pPr>
      <w:r>
        <w:rPr>
          <w:rFonts w:hint="eastAsia" w:ascii="Times New Roman" w:hAnsi="Times New Roman" w:cs="Times New Roman" w:eastAsiaTheme="minorEastAsia"/>
          <w:b/>
          <w:bCs/>
          <w:sz w:val="24"/>
          <w:szCs w:val="24"/>
          <w:lang w:eastAsia="zh-CN"/>
        </w:rPr>
        <w:t>Executive summary</w:t>
      </w:r>
    </w:p>
    <w:p>
      <w:pPr>
        <w:spacing w:line="360" w:lineRule="auto"/>
        <w:jc w:val="both"/>
        <w:rPr>
          <w:rFonts w:ascii="Times New Roman" w:hAnsi="Times New Roman" w:eastAsia="Calibri" w:cs="Times New Roman"/>
          <w:sz w:val="24"/>
          <w:szCs w:val="24"/>
        </w:rPr>
      </w:pPr>
      <w:r>
        <w:rPr>
          <w:rFonts w:ascii="Times New Roman" w:hAnsi="Times New Roman" w:eastAsia="Calibri" w:cs="Times New Roman"/>
          <w:sz w:val="24"/>
          <w:szCs w:val="24"/>
        </w:rPr>
        <w:t>This report develops a well-informed strategic marketing plan for IHG company. The plan is provided based on the SOSTAC framework. The Covid-19 pandemic has resulted in reduction in household income and job losses resulting in reduced spending power of the UK population</w:t>
      </w:r>
      <w:r>
        <w:rPr>
          <w:rFonts w:ascii="Times New Roman" w:hAnsi="Times New Roman" w:cs="Times New Roman"/>
          <w:sz w:val="24"/>
          <w:szCs w:val="24"/>
        </w:rPr>
        <w:t xml:space="preserve">. The </w:t>
      </w:r>
      <w:r>
        <w:rPr>
          <w:rFonts w:ascii="Times New Roman" w:hAnsi="Times New Roman" w:eastAsia="Calibri" w:cs="Times New Roman"/>
          <w:sz w:val="24"/>
          <w:szCs w:val="24"/>
        </w:rPr>
        <w:t>strict visa requirements by the UK government for immigrant workers has made it difficult for immigrant workers who left the UK to return besides making those within the UK to shy away from reporting to work.</w:t>
      </w:r>
      <w:r>
        <w:rPr>
          <w:rFonts w:ascii="Times New Roman" w:hAnsi="Times New Roman" w:cs="Times New Roman"/>
          <w:sz w:val="24"/>
          <w:szCs w:val="24"/>
        </w:rPr>
        <w:t xml:space="preserve"> </w:t>
      </w:r>
      <w:r>
        <w:rPr>
          <w:rFonts w:ascii="Times New Roman" w:hAnsi="Times New Roman" w:eastAsia="Calibri" w:cs="Times New Roman"/>
          <w:sz w:val="24"/>
          <w:szCs w:val="24"/>
        </w:rPr>
        <w:t>IHG is experiencing stiff competition more so from home sharing brands such as Airbnb and suffering from overdependence on room occupancy for revenue generation. The objective for this marketing plan is to increase revenue earnings by the hotel from customers aged 55 years and older by at least 20% by the end of 2023. In terms of strategy the report recommends Brand extension and internationalisation. The tactics are outlined with respect to the 4Ps of price, promotion, place and product in this case is a service.</w:t>
      </w:r>
    </w:p>
    <w:p>
      <w:pPr>
        <w:spacing w:after="0" w:line="240" w:lineRule="auto"/>
        <w:jc w:val="center"/>
        <w:rPr>
          <w:rFonts w:ascii="Times New Roman" w:hAnsi="Times New Roman" w:cs="Times New Roman"/>
          <w:sz w:val="24"/>
          <w:szCs w:val="24"/>
        </w:rPr>
      </w:pPr>
      <w:bookmarkStart w:id="0" w:name="_Toc102390645"/>
      <w:bookmarkStart w:id="1" w:name="_Toc102390283"/>
      <w:r>
        <w:rPr>
          <w:rFonts w:ascii="Times New Roman" w:hAnsi="Times New Roman" w:cs="Times New Roman"/>
          <w:sz w:val="24"/>
          <w:szCs w:val="24"/>
        </w:rPr>
        <w:br w:type="column"/>
      </w:r>
    </w:p>
    <w:sdt>
      <w:sdtPr>
        <w:rPr>
          <w:rFonts w:ascii="Times New Roman" w:hAnsi="Times New Roman" w:eastAsia="宋体" w:cs="Times New Roman"/>
          <w:b/>
          <w:bCs/>
          <w:color w:val="2F5597" w:themeColor="accent1" w:themeShade="BF"/>
          <w:sz w:val="24"/>
          <w:szCs w:val="24"/>
        </w:rPr>
        <w:id w:val="147482824"/>
      </w:sdtPr>
      <w:sdtEndPr>
        <w:rPr>
          <w:rFonts w:ascii="Times New Roman" w:hAnsi="Times New Roman" w:cs="Times New Roman" w:eastAsiaTheme="majorEastAsia"/>
          <w:b w:val="0"/>
          <w:bCs/>
          <w:color w:val="2F5597" w:themeColor="accent1" w:themeShade="BF"/>
          <w:sz w:val="32"/>
          <w:szCs w:val="32"/>
        </w:rPr>
      </w:sdtEndPr>
      <w:sdtContent>
        <w:p>
          <w:pPr>
            <w:spacing w:after="0" w:line="240" w:lineRule="auto"/>
            <w:jc w:val="center"/>
            <w:rPr>
              <w:rFonts w:ascii="Times New Roman" w:hAnsi="Times New Roman" w:cs="Times New Roman"/>
              <w:b/>
              <w:bCs/>
              <w:sz w:val="24"/>
              <w:szCs w:val="24"/>
            </w:rPr>
          </w:pPr>
          <w:r>
            <w:rPr>
              <w:rFonts w:ascii="Times New Roman" w:hAnsi="Times New Roman" w:eastAsia="宋体" w:cs="Times New Roman"/>
              <w:b/>
              <w:bCs/>
              <w:sz w:val="24"/>
              <w:szCs w:val="24"/>
            </w:rPr>
            <w:t>Table of Contents</w:t>
          </w:r>
        </w:p>
        <w:p>
          <w:pPr>
            <w:pStyle w:val="7"/>
            <w:tabs>
              <w:tab w:val="right" w:leader="dot" w:pos="9016"/>
            </w:tabs>
            <w:rPr>
              <w:rFonts w:ascii="Times New Roman" w:hAnsi="Times New Roman" w:cs="Times New Roman" w:eastAsiaTheme="minorEastAsia"/>
            </w:rPr>
          </w:pPr>
          <w:r>
            <w:rPr>
              <w:rFonts w:ascii="Times New Roman" w:hAnsi="Times New Roman" w:eastAsia="宋体" w:cs="Times New Roman"/>
              <w:sz w:val="20"/>
              <w:szCs w:val="20"/>
            </w:rPr>
            <w:fldChar w:fldCharType="begin"/>
          </w:r>
          <w:r>
            <w:rPr>
              <w:rFonts w:ascii="Times New Roman" w:hAnsi="Times New Roman" w:cs="Times New Roman"/>
            </w:rPr>
            <w:instrText xml:space="preserve">TOC \o "1-3" \h \u </w:instrText>
          </w:r>
          <w:r>
            <w:rPr>
              <w:rFonts w:ascii="Times New Roman" w:hAnsi="Times New Roman" w:eastAsia="宋体" w:cs="Times New Roman"/>
              <w:sz w:val="20"/>
              <w:szCs w:val="20"/>
            </w:rPr>
            <w:fldChar w:fldCharType="separate"/>
          </w:r>
          <w:r>
            <w:fldChar w:fldCharType="begin"/>
          </w:r>
          <w:r>
            <w:instrText xml:space="preserve"> HYPERLINK \l "_Toc102942401" </w:instrText>
          </w:r>
          <w:r>
            <w:fldChar w:fldCharType="separate"/>
          </w:r>
          <w:r>
            <w:rPr>
              <w:rStyle w:val="11"/>
              <w:rFonts w:ascii="Times New Roman" w:hAnsi="Times New Roman" w:cs="Times New Roman"/>
              <w:color w:val="auto"/>
            </w:rPr>
            <w:t>1. Introduction</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_Toc102942401 \h </w:instrText>
          </w:r>
          <w:r>
            <w:rPr>
              <w:rFonts w:ascii="Times New Roman" w:hAnsi="Times New Roman" w:cs="Times New Roman"/>
            </w:rPr>
            <w:fldChar w:fldCharType="separate"/>
          </w:r>
          <w:r>
            <w:rPr>
              <w:rFonts w:ascii="Times New Roman" w:hAnsi="Times New Roman" w:cs="Times New Roman"/>
            </w:rPr>
            <w:t>4</w:t>
          </w:r>
          <w:r>
            <w:rPr>
              <w:rFonts w:ascii="Times New Roman" w:hAnsi="Times New Roman" w:cs="Times New Roman"/>
            </w:rPr>
            <w:fldChar w:fldCharType="end"/>
          </w:r>
          <w:r>
            <w:rPr>
              <w:rFonts w:ascii="Times New Roman" w:hAnsi="Times New Roman" w:cs="Times New Roman"/>
            </w:rPr>
            <w:fldChar w:fldCharType="end"/>
          </w:r>
        </w:p>
        <w:p>
          <w:pPr>
            <w:pStyle w:val="7"/>
            <w:tabs>
              <w:tab w:val="right" w:leader="dot" w:pos="9016"/>
            </w:tabs>
            <w:rPr>
              <w:rFonts w:ascii="Times New Roman" w:hAnsi="Times New Roman" w:cs="Times New Roman" w:eastAsiaTheme="minorEastAsia"/>
            </w:rPr>
          </w:pPr>
          <w:r>
            <w:fldChar w:fldCharType="begin"/>
          </w:r>
          <w:r>
            <w:instrText xml:space="preserve"> HYPERLINK \l "_Toc102942402" </w:instrText>
          </w:r>
          <w:r>
            <w:fldChar w:fldCharType="separate"/>
          </w:r>
          <w:r>
            <w:rPr>
              <w:rStyle w:val="11"/>
              <w:rFonts w:ascii="Times New Roman" w:hAnsi="Times New Roman" w:cs="Times New Roman"/>
              <w:color w:val="auto"/>
            </w:rPr>
            <w:t>2. Situational analysis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_Toc102942402 \h </w:instrText>
          </w:r>
          <w:r>
            <w:rPr>
              <w:rFonts w:ascii="Times New Roman" w:hAnsi="Times New Roman" w:cs="Times New Roman"/>
            </w:rPr>
            <w:fldChar w:fldCharType="separate"/>
          </w:r>
          <w:r>
            <w:rPr>
              <w:rFonts w:ascii="Times New Roman" w:hAnsi="Times New Roman" w:cs="Times New Roman"/>
            </w:rPr>
            <w:t>4</w:t>
          </w:r>
          <w:r>
            <w:rPr>
              <w:rFonts w:ascii="Times New Roman" w:hAnsi="Times New Roman" w:cs="Times New Roman"/>
            </w:rPr>
            <w:fldChar w:fldCharType="end"/>
          </w:r>
          <w:r>
            <w:rPr>
              <w:rFonts w:ascii="Times New Roman" w:hAnsi="Times New Roman" w:cs="Times New Roman"/>
            </w:rPr>
            <w:fldChar w:fldCharType="end"/>
          </w:r>
        </w:p>
        <w:p>
          <w:pPr>
            <w:pStyle w:val="7"/>
            <w:tabs>
              <w:tab w:val="right" w:leader="dot" w:pos="9016"/>
            </w:tabs>
            <w:rPr>
              <w:rFonts w:ascii="Times New Roman" w:hAnsi="Times New Roman" w:cs="Times New Roman" w:eastAsiaTheme="minorEastAsia"/>
            </w:rPr>
          </w:pPr>
          <w:r>
            <w:fldChar w:fldCharType="begin"/>
          </w:r>
          <w:r>
            <w:instrText xml:space="preserve"> HYPERLINK \l "_Toc102942403" </w:instrText>
          </w:r>
          <w:r>
            <w:fldChar w:fldCharType="separate"/>
          </w:r>
          <w:r>
            <w:rPr>
              <w:rStyle w:val="11"/>
              <w:rFonts w:ascii="Times New Roman" w:hAnsi="Times New Roman" w:cs="Times New Roman"/>
              <w:color w:val="auto"/>
            </w:rPr>
            <w:t>3. Objective</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_Toc102942403 \h </w:instrText>
          </w:r>
          <w:r>
            <w:rPr>
              <w:rFonts w:ascii="Times New Roman" w:hAnsi="Times New Roman" w:cs="Times New Roman"/>
            </w:rPr>
            <w:fldChar w:fldCharType="separate"/>
          </w:r>
          <w:r>
            <w:rPr>
              <w:rFonts w:ascii="Times New Roman" w:hAnsi="Times New Roman" w:cs="Times New Roman"/>
            </w:rPr>
            <w:t>6</w:t>
          </w:r>
          <w:r>
            <w:rPr>
              <w:rFonts w:ascii="Times New Roman" w:hAnsi="Times New Roman" w:cs="Times New Roman"/>
            </w:rPr>
            <w:fldChar w:fldCharType="end"/>
          </w:r>
          <w:r>
            <w:rPr>
              <w:rFonts w:ascii="Times New Roman" w:hAnsi="Times New Roman" w:cs="Times New Roman"/>
            </w:rPr>
            <w:fldChar w:fldCharType="end"/>
          </w:r>
        </w:p>
        <w:p>
          <w:pPr>
            <w:pStyle w:val="7"/>
            <w:tabs>
              <w:tab w:val="right" w:leader="dot" w:pos="9016"/>
            </w:tabs>
            <w:rPr>
              <w:rFonts w:ascii="Times New Roman" w:hAnsi="Times New Roman" w:cs="Times New Roman" w:eastAsiaTheme="minorEastAsia"/>
            </w:rPr>
          </w:pPr>
          <w:r>
            <w:fldChar w:fldCharType="begin"/>
          </w:r>
          <w:r>
            <w:instrText xml:space="preserve"> HYPERLINK \l "_Toc102942404" </w:instrText>
          </w:r>
          <w:r>
            <w:fldChar w:fldCharType="separate"/>
          </w:r>
          <w:r>
            <w:rPr>
              <w:rStyle w:val="11"/>
              <w:rFonts w:ascii="Times New Roman" w:hAnsi="Times New Roman" w:cs="Times New Roman"/>
              <w:color w:val="auto"/>
            </w:rPr>
            <w:t>4. Strategies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_Toc102942404 \h </w:instrText>
          </w:r>
          <w:r>
            <w:rPr>
              <w:rFonts w:ascii="Times New Roman" w:hAnsi="Times New Roman" w:cs="Times New Roman"/>
            </w:rPr>
            <w:fldChar w:fldCharType="separate"/>
          </w:r>
          <w:r>
            <w:rPr>
              <w:rFonts w:ascii="Times New Roman" w:hAnsi="Times New Roman" w:cs="Times New Roman"/>
            </w:rPr>
            <w:t>6</w:t>
          </w:r>
          <w:r>
            <w:rPr>
              <w:rFonts w:ascii="Times New Roman" w:hAnsi="Times New Roman" w:cs="Times New Roman"/>
            </w:rPr>
            <w:fldChar w:fldCharType="end"/>
          </w:r>
          <w:r>
            <w:rPr>
              <w:rFonts w:ascii="Times New Roman" w:hAnsi="Times New Roman" w:cs="Times New Roman"/>
            </w:rPr>
            <w:fldChar w:fldCharType="end"/>
          </w:r>
        </w:p>
        <w:p>
          <w:pPr>
            <w:pStyle w:val="8"/>
            <w:tabs>
              <w:tab w:val="right" w:leader="dot" w:pos="9016"/>
            </w:tabs>
            <w:rPr>
              <w:rFonts w:ascii="Times New Roman" w:hAnsi="Times New Roman" w:cs="Times New Roman" w:eastAsiaTheme="minorEastAsia"/>
            </w:rPr>
          </w:pPr>
          <w:r>
            <w:fldChar w:fldCharType="begin"/>
          </w:r>
          <w:r>
            <w:instrText xml:space="preserve"> HYPERLINK \l "_Toc102942405" </w:instrText>
          </w:r>
          <w:r>
            <w:fldChar w:fldCharType="separate"/>
          </w:r>
          <w:r>
            <w:rPr>
              <w:rStyle w:val="11"/>
              <w:rFonts w:ascii="Times New Roman" w:hAnsi="Times New Roman" w:cs="Times New Roman"/>
              <w:color w:val="auto"/>
            </w:rPr>
            <w:t>4.1 Segmentation, targeting and positioning</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_Toc102942405 \h </w:instrText>
          </w:r>
          <w:r>
            <w:rPr>
              <w:rFonts w:ascii="Times New Roman" w:hAnsi="Times New Roman" w:cs="Times New Roman"/>
            </w:rPr>
            <w:fldChar w:fldCharType="separate"/>
          </w:r>
          <w:r>
            <w:rPr>
              <w:rFonts w:ascii="Times New Roman" w:hAnsi="Times New Roman" w:cs="Times New Roman"/>
            </w:rPr>
            <w:t>6</w:t>
          </w:r>
          <w:r>
            <w:rPr>
              <w:rFonts w:ascii="Times New Roman" w:hAnsi="Times New Roman" w:cs="Times New Roman"/>
            </w:rPr>
            <w:fldChar w:fldCharType="end"/>
          </w:r>
          <w:r>
            <w:rPr>
              <w:rFonts w:ascii="Times New Roman" w:hAnsi="Times New Roman" w:cs="Times New Roman"/>
            </w:rPr>
            <w:fldChar w:fldCharType="end"/>
          </w:r>
        </w:p>
        <w:p>
          <w:pPr>
            <w:pStyle w:val="8"/>
            <w:tabs>
              <w:tab w:val="right" w:leader="dot" w:pos="9016"/>
            </w:tabs>
            <w:rPr>
              <w:rFonts w:ascii="Times New Roman" w:hAnsi="Times New Roman" w:cs="Times New Roman" w:eastAsiaTheme="minorEastAsia"/>
            </w:rPr>
          </w:pPr>
          <w:r>
            <w:fldChar w:fldCharType="begin"/>
          </w:r>
          <w:r>
            <w:instrText xml:space="preserve"> HYPERLINK \l "_Toc102942406" </w:instrText>
          </w:r>
          <w:r>
            <w:fldChar w:fldCharType="separate"/>
          </w:r>
          <w:r>
            <w:rPr>
              <w:rStyle w:val="11"/>
              <w:rFonts w:ascii="Times New Roman" w:hAnsi="Times New Roman" w:cs="Times New Roman"/>
              <w:color w:val="auto"/>
            </w:rPr>
            <w:t>4.2 Brand extension</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_Toc102942406 \h </w:instrText>
          </w:r>
          <w:r>
            <w:rPr>
              <w:rFonts w:ascii="Times New Roman" w:hAnsi="Times New Roman" w:cs="Times New Roman"/>
            </w:rPr>
            <w:fldChar w:fldCharType="separate"/>
          </w:r>
          <w:r>
            <w:rPr>
              <w:rFonts w:ascii="Times New Roman" w:hAnsi="Times New Roman" w:cs="Times New Roman"/>
            </w:rPr>
            <w:t>7</w:t>
          </w:r>
          <w:r>
            <w:rPr>
              <w:rFonts w:ascii="Times New Roman" w:hAnsi="Times New Roman" w:cs="Times New Roman"/>
            </w:rPr>
            <w:fldChar w:fldCharType="end"/>
          </w:r>
          <w:r>
            <w:rPr>
              <w:rFonts w:ascii="Times New Roman" w:hAnsi="Times New Roman" w:cs="Times New Roman"/>
            </w:rPr>
            <w:fldChar w:fldCharType="end"/>
          </w:r>
        </w:p>
        <w:p>
          <w:pPr>
            <w:pStyle w:val="8"/>
            <w:tabs>
              <w:tab w:val="right" w:leader="dot" w:pos="9016"/>
            </w:tabs>
            <w:rPr>
              <w:rFonts w:ascii="Times New Roman" w:hAnsi="Times New Roman" w:cs="Times New Roman" w:eastAsiaTheme="minorEastAsia"/>
            </w:rPr>
          </w:pPr>
          <w:r>
            <w:fldChar w:fldCharType="begin"/>
          </w:r>
          <w:r>
            <w:instrText xml:space="preserve"> HYPERLINK \l "_Toc102942407" </w:instrText>
          </w:r>
          <w:r>
            <w:fldChar w:fldCharType="separate"/>
          </w:r>
          <w:r>
            <w:rPr>
              <w:rStyle w:val="11"/>
              <w:rFonts w:ascii="Times New Roman" w:hAnsi="Times New Roman" w:cs="Times New Roman"/>
              <w:color w:val="auto"/>
            </w:rPr>
            <w:t>4.3 Internationalisation of operations (Ansoff’s matrix).</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_Toc102942407 \h </w:instrText>
          </w:r>
          <w:r>
            <w:rPr>
              <w:rFonts w:ascii="Times New Roman" w:hAnsi="Times New Roman" w:cs="Times New Roman"/>
            </w:rPr>
            <w:fldChar w:fldCharType="separate"/>
          </w:r>
          <w:r>
            <w:rPr>
              <w:rFonts w:ascii="Times New Roman" w:hAnsi="Times New Roman" w:cs="Times New Roman"/>
            </w:rPr>
            <w:t>9</w:t>
          </w:r>
          <w:r>
            <w:rPr>
              <w:rFonts w:ascii="Times New Roman" w:hAnsi="Times New Roman" w:cs="Times New Roman"/>
            </w:rPr>
            <w:fldChar w:fldCharType="end"/>
          </w:r>
          <w:r>
            <w:rPr>
              <w:rFonts w:ascii="Times New Roman" w:hAnsi="Times New Roman" w:cs="Times New Roman"/>
            </w:rPr>
            <w:fldChar w:fldCharType="end"/>
          </w:r>
        </w:p>
        <w:p>
          <w:pPr>
            <w:pStyle w:val="7"/>
            <w:tabs>
              <w:tab w:val="right" w:leader="dot" w:pos="9016"/>
            </w:tabs>
            <w:rPr>
              <w:rFonts w:ascii="Times New Roman" w:hAnsi="Times New Roman" w:cs="Times New Roman" w:eastAsiaTheme="minorEastAsia"/>
            </w:rPr>
          </w:pPr>
          <w:r>
            <w:fldChar w:fldCharType="begin"/>
          </w:r>
          <w:r>
            <w:instrText xml:space="preserve"> HYPERLINK \l "_Toc102942408" </w:instrText>
          </w:r>
          <w:r>
            <w:fldChar w:fldCharType="separate"/>
          </w:r>
          <w:r>
            <w:rPr>
              <w:rStyle w:val="11"/>
              <w:rFonts w:ascii="Times New Roman" w:hAnsi="Times New Roman" w:cs="Times New Roman"/>
              <w:color w:val="auto"/>
            </w:rPr>
            <w:t>5. Tactics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_Toc102942408 \h </w:instrText>
          </w:r>
          <w:r>
            <w:rPr>
              <w:rFonts w:ascii="Times New Roman" w:hAnsi="Times New Roman" w:cs="Times New Roman"/>
            </w:rPr>
            <w:fldChar w:fldCharType="separate"/>
          </w:r>
          <w:r>
            <w:rPr>
              <w:rFonts w:ascii="Times New Roman" w:hAnsi="Times New Roman" w:cs="Times New Roman"/>
            </w:rPr>
            <w:t>9</w:t>
          </w:r>
          <w:r>
            <w:rPr>
              <w:rFonts w:ascii="Times New Roman" w:hAnsi="Times New Roman" w:cs="Times New Roman"/>
            </w:rPr>
            <w:fldChar w:fldCharType="end"/>
          </w:r>
          <w:r>
            <w:rPr>
              <w:rFonts w:ascii="Times New Roman" w:hAnsi="Times New Roman" w:cs="Times New Roman"/>
            </w:rPr>
            <w:fldChar w:fldCharType="end"/>
          </w:r>
        </w:p>
        <w:p>
          <w:pPr>
            <w:pStyle w:val="8"/>
            <w:tabs>
              <w:tab w:val="right" w:leader="dot" w:pos="9016"/>
            </w:tabs>
            <w:rPr>
              <w:rFonts w:ascii="Times New Roman" w:hAnsi="Times New Roman" w:cs="Times New Roman" w:eastAsiaTheme="minorEastAsia"/>
            </w:rPr>
          </w:pPr>
          <w:r>
            <w:fldChar w:fldCharType="begin"/>
          </w:r>
          <w:r>
            <w:instrText xml:space="preserve"> HYPERLINK \l "_Toc102942409" </w:instrText>
          </w:r>
          <w:r>
            <w:fldChar w:fldCharType="separate"/>
          </w:r>
          <w:r>
            <w:rPr>
              <w:rStyle w:val="11"/>
              <w:rFonts w:ascii="Times New Roman" w:hAnsi="Times New Roman" w:cs="Times New Roman"/>
              <w:color w:val="auto"/>
            </w:rPr>
            <w:t>5.1 Products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_Toc102942409 \h </w:instrText>
          </w:r>
          <w:r>
            <w:rPr>
              <w:rFonts w:ascii="Times New Roman" w:hAnsi="Times New Roman" w:cs="Times New Roman"/>
            </w:rPr>
            <w:fldChar w:fldCharType="separate"/>
          </w:r>
          <w:r>
            <w:rPr>
              <w:rFonts w:ascii="Times New Roman" w:hAnsi="Times New Roman" w:cs="Times New Roman"/>
            </w:rPr>
            <w:t>9</w:t>
          </w:r>
          <w:r>
            <w:rPr>
              <w:rFonts w:ascii="Times New Roman" w:hAnsi="Times New Roman" w:cs="Times New Roman"/>
            </w:rPr>
            <w:fldChar w:fldCharType="end"/>
          </w:r>
          <w:r>
            <w:rPr>
              <w:rFonts w:ascii="Times New Roman" w:hAnsi="Times New Roman" w:cs="Times New Roman"/>
            </w:rPr>
            <w:fldChar w:fldCharType="end"/>
          </w:r>
        </w:p>
        <w:p>
          <w:pPr>
            <w:pStyle w:val="8"/>
            <w:tabs>
              <w:tab w:val="right" w:leader="dot" w:pos="9016"/>
            </w:tabs>
            <w:rPr>
              <w:rFonts w:ascii="Times New Roman" w:hAnsi="Times New Roman" w:cs="Times New Roman" w:eastAsiaTheme="minorEastAsia"/>
            </w:rPr>
          </w:pPr>
          <w:r>
            <w:fldChar w:fldCharType="begin"/>
          </w:r>
          <w:r>
            <w:instrText xml:space="preserve"> HYPERLINK \l "_Toc102942410" </w:instrText>
          </w:r>
          <w:r>
            <w:fldChar w:fldCharType="separate"/>
          </w:r>
          <w:r>
            <w:rPr>
              <w:rStyle w:val="11"/>
              <w:rFonts w:ascii="Times New Roman" w:hAnsi="Times New Roman" w:cs="Times New Roman"/>
              <w:color w:val="auto"/>
            </w:rPr>
            <w:t>5.2 Price</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_Toc102942410 \h </w:instrText>
          </w:r>
          <w:r>
            <w:rPr>
              <w:rFonts w:ascii="Times New Roman" w:hAnsi="Times New Roman" w:cs="Times New Roman"/>
            </w:rPr>
            <w:fldChar w:fldCharType="separate"/>
          </w:r>
          <w:r>
            <w:rPr>
              <w:rFonts w:ascii="Times New Roman" w:hAnsi="Times New Roman" w:cs="Times New Roman"/>
            </w:rPr>
            <w:t>10</w:t>
          </w:r>
          <w:r>
            <w:rPr>
              <w:rFonts w:ascii="Times New Roman" w:hAnsi="Times New Roman" w:cs="Times New Roman"/>
            </w:rPr>
            <w:fldChar w:fldCharType="end"/>
          </w:r>
          <w:r>
            <w:rPr>
              <w:rFonts w:ascii="Times New Roman" w:hAnsi="Times New Roman" w:cs="Times New Roman"/>
            </w:rPr>
            <w:fldChar w:fldCharType="end"/>
          </w:r>
        </w:p>
        <w:p>
          <w:pPr>
            <w:pStyle w:val="8"/>
            <w:tabs>
              <w:tab w:val="right" w:leader="dot" w:pos="9016"/>
            </w:tabs>
            <w:rPr>
              <w:rFonts w:ascii="Times New Roman" w:hAnsi="Times New Roman" w:cs="Times New Roman" w:eastAsiaTheme="minorEastAsia"/>
            </w:rPr>
          </w:pPr>
          <w:r>
            <w:fldChar w:fldCharType="begin"/>
          </w:r>
          <w:r>
            <w:instrText xml:space="preserve"> HYPERLINK \l "_Toc102942411" </w:instrText>
          </w:r>
          <w:r>
            <w:fldChar w:fldCharType="separate"/>
          </w:r>
          <w:r>
            <w:rPr>
              <w:rStyle w:val="11"/>
              <w:rFonts w:ascii="Times New Roman" w:hAnsi="Times New Roman" w:cs="Times New Roman"/>
              <w:color w:val="auto"/>
            </w:rPr>
            <w:t>5.3 Place</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_Toc102942411 \h </w:instrText>
          </w:r>
          <w:r>
            <w:rPr>
              <w:rFonts w:ascii="Times New Roman" w:hAnsi="Times New Roman" w:cs="Times New Roman"/>
            </w:rPr>
            <w:fldChar w:fldCharType="separate"/>
          </w:r>
          <w:r>
            <w:rPr>
              <w:rFonts w:ascii="Times New Roman" w:hAnsi="Times New Roman" w:cs="Times New Roman"/>
            </w:rPr>
            <w:t>10</w:t>
          </w:r>
          <w:r>
            <w:rPr>
              <w:rFonts w:ascii="Times New Roman" w:hAnsi="Times New Roman" w:cs="Times New Roman"/>
            </w:rPr>
            <w:fldChar w:fldCharType="end"/>
          </w:r>
          <w:r>
            <w:rPr>
              <w:rFonts w:ascii="Times New Roman" w:hAnsi="Times New Roman" w:cs="Times New Roman"/>
            </w:rPr>
            <w:fldChar w:fldCharType="end"/>
          </w:r>
        </w:p>
        <w:p>
          <w:pPr>
            <w:pStyle w:val="8"/>
            <w:tabs>
              <w:tab w:val="right" w:leader="dot" w:pos="9016"/>
            </w:tabs>
            <w:rPr>
              <w:rFonts w:ascii="Times New Roman" w:hAnsi="Times New Roman" w:cs="Times New Roman" w:eastAsiaTheme="minorEastAsia"/>
            </w:rPr>
          </w:pPr>
          <w:r>
            <w:fldChar w:fldCharType="begin"/>
          </w:r>
          <w:r>
            <w:instrText xml:space="preserve"> HYPERLINK \l "_Toc102942412" </w:instrText>
          </w:r>
          <w:r>
            <w:fldChar w:fldCharType="separate"/>
          </w:r>
          <w:r>
            <w:rPr>
              <w:rStyle w:val="11"/>
              <w:rFonts w:ascii="Times New Roman" w:hAnsi="Times New Roman" w:cs="Times New Roman"/>
              <w:color w:val="auto"/>
            </w:rPr>
            <w:t>5.4 Promotions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_Toc102942412 \h </w:instrText>
          </w:r>
          <w:r>
            <w:rPr>
              <w:rFonts w:ascii="Times New Roman" w:hAnsi="Times New Roman" w:cs="Times New Roman"/>
            </w:rPr>
            <w:fldChar w:fldCharType="separate"/>
          </w:r>
          <w:r>
            <w:rPr>
              <w:rFonts w:ascii="Times New Roman" w:hAnsi="Times New Roman" w:cs="Times New Roman"/>
            </w:rPr>
            <w:t>10</w:t>
          </w:r>
          <w:r>
            <w:rPr>
              <w:rFonts w:ascii="Times New Roman" w:hAnsi="Times New Roman" w:cs="Times New Roman"/>
            </w:rPr>
            <w:fldChar w:fldCharType="end"/>
          </w:r>
          <w:r>
            <w:rPr>
              <w:rFonts w:ascii="Times New Roman" w:hAnsi="Times New Roman" w:cs="Times New Roman"/>
            </w:rPr>
            <w:fldChar w:fldCharType="end"/>
          </w:r>
        </w:p>
        <w:p>
          <w:pPr>
            <w:pStyle w:val="7"/>
            <w:tabs>
              <w:tab w:val="right" w:leader="dot" w:pos="9016"/>
            </w:tabs>
            <w:rPr>
              <w:rFonts w:ascii="Times New Roman" w:hAnsi="Times New Roman" w:cs="Times New Roman" w:eastAsiaTheme="minorEastAsia"/>
            </w:rPr>
          </w:pPr>
          <w:r>
            <w:fldChar w:fldCharType="begin"/>
          </w:r>
          <w:r>
            <w:instrText xml:space="preserve"> HYPERLINK \l "_Toc102942413" </w:instrText>
          </w:r>
          <w:r>
            <w:fldChar w:fldCharType="separate"/>
          </w:r>
          <w:r>
            <w:rPr>
              <w:rStyle w:val="11"/>
              <w:rFonts w:ascii="Times New Roman" w:hAnsi="Times New Roman" w:cs="Times New Roman"/>
              <w:color w:val="auto"/>
            </w:rPr>
            <w:t>6. Action</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_Toc102942413 \h </w:instrText>
          </w:r>
          <w:r>
            <w:rPr>
              <w:rFonts w:ascii="Times New Roman" w:hAnsi="Times New Roman" w:cs="Times New Roman"/>
            </w:rPr>
            <w:fldChar w:fldCharType="separate"/>
          </w:r>
          <w:r>
            <w:rPr>
              <w:rFonts w:ascii="Times New Roman" w:hAnsi="Times New Roman" w:cs="Times New Roman"/>
            </w:rPr>
            <w:t>10</w:t>
          </w:r>
          <w:r>
            <w:rPr>
              <w:rFonts w:ascii="Times New Roman" w:hAnsi="Times New Roman" w:cs="Times New Roman"/>
            </w:rPr>
            <w:fldChar w:fldCharType="end"/>
          </w:r>
          <w:r>
            <w:rPr>
              <w:rFonts w:ascii="Times New Roman" w:hAnsi="Times New Roman" w:cs="Times New Roman"/>
            </w:rPr>
            <w:fldChar w:fldCharType="end"/>
          </w:r>
        </w:p>
        <w:p>
          <w:pPr>
            <w:pStyle w:val="7"/>
            <w:tabs>
              <w:tab w:val="right" w:leader="dot" w:pos="9016"/>
            </w:tabs>
            <w:rPr>
              <w:rFonts w:ascii="Times New Roman" w:hAnsi="Times New Roman" w:cs="Times New Roman" w:eastAsiaTheme="minorEastAsia"/>
            </w:rPr>
          </w:pPr>
          <w:r>
            <w:fldChar w:fldCharType="begin"/>
          </w:r>
          <w:r>
            <w:instrText xml:space="preserve"> HYPERLINK \l "_Toc102942414" </w:instrText>
          </w:r>
          <w:r>
            <w:fldChar w:fldCharType="separate"/>
          </w:r>
          <w:r>
            <w:rPr>
              <w:rStyle w:val="11"/>
              <w:rFonts w:ascii="Times New Roman" w:hAnsi="Times New Roman" w:cs="Times New Roman"/>
              <w:color w:val="auto"/>
            </w:rPr>
            <w:t>7. Control</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_Toc102942414 \h </w:instrText>
          </w:r>
          <w:r>
            <w:rPr>
              <w:rFonts w:ascii="Times New Roman" w:hAnsi="Times New Roman" w:cs="Times New Roman"/>
            </w:rPr>
            <w:fldChar w:fldCharType="separate"/>
          </w:r>
          <w:r>
            <w:rPr>
              <w:rFonts w:ascii="Times New Roman" w:hAnsi="Times New Roman" w:cs="Times New Roman"/>
            </w:rPr>
            <w:t>11</w:t>
          </w:r>
          <w:r>
            <w:rPr>
              <w:rFonts w:ascii="Times New Roman" w:hAnsi="Times New Roman" w:cs="Times New Roman"/>
            </w:rPr>
            <w:fldChar w:fldCharType="end"/>
          </w:r>
          <w:r>
            <w:rPr>
              <w:rFonts w:ascii="Times New Roman" w:hAnsi="Times New Roman" w:cs="Times New Roman"/>
            </w:rPr>
            <w:fldChar w:fldCharType="end"/>
          </w:r>
        </w:p>
        <w:p>
          <w:pPr>
            <w:pStyle w:val="7"/>
            <w:tabs>
              <w:tab w:val="right" w:leader="dot" w:pos="9016"/>
            </w:tabs>
            <w:rPr>
              <w:rFonts w:ascii="Times New Roman" w:hAnsi="Times New Roman" w:cs="Times New Roman" w:eastAsiaTheme="minorEastAsia"/>
            </w:rPr>
          </w:pPr>
          <w:r>
            <w:fldChar w:fldCharType="begin"/>
          </w:r>
          <w:r>
            <w:instrText xml:space="preserve"> HYPERLINK \l "_Toc102942415" </w:instrText>
          </w:r>
          <w:r>
            <w:fldChar w:fldCharType="separate"/>
          </w:r>
          <w:r>
            <w:rPr>
              <w:rStyle w:val="11"/>
              <w:rFonts w:ascii="Times New Roman" w:hAnsi="Times New Roman" w:cs="Times New Roman"/>
              <w:color w:val="auto"/>
              <w:kern w:val="36"/>
            </w:rPr>
            <w:t>8. Conclusion</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_Toc102942415 \h </w:instrText>
          </w:r>
          <w:r>
            <w:rPr>
              <w:rFonts w:ascii="Times New Roman" w:hAnsi="Times New Roman" w:cs="Times New Roman"/>
            </w:rPr>
            <w:fldChar w:fldCharType="separate"/>
          </w:r>
          <w:r>
            <w:rPr>
              <w:rFonts w:ascii="Times New Roman" w:hAnsi="Times New Roman" w:cs="Times New Roman"/>
            </w:rPr>
            <w:t>12</w:t>
          </w:r>
          <w:r>
            <w:rPr>
              <w:rFonts w:ascii="Times New Roman" w:hAnsi="Times New Roman" w:cs="Times New Roman"/>
            </w:rPr>
            <w:fldChar w:fldCharType="end"/>
          </w:r>
          <w:r>
            <w:rPr>
              <w:rFonts w:ascii="Times New Roman" w:hAnsi="Times New Roman" w:cs="Times New Roman"/>
            </w:rPr>
            <w:fldChar w:fldCharType="end"/>
          </w:r>
        </w:p>
        <w:p>
          <w:pPr>
            <w:pStyle w:val="7"/>
            <w:tabs>
              <w:tab w:val="right" w:leader="dot" w:pos="9016"/>
            </w:tabs>
            <w:rPr>
              <w:rFonts w:ascii="Times New Roman" w:hAnsi="Times New Roman" w:cs="Times New Roman" w:eastAsiaTheme="minorEastAsia"/>
            </w:rPr>
          </w:pPr>
          <w:r>
            <w:fldChar w:fldCharType="begin"/>
          </w:r>
          <w:r>
            <w:instrText xml:space="preserve"> HYPERLINK \l "_Toc102942416" </w:instrText>
          </w:r>
          <w:r>
            <w:fldChar w:fldCharType="separate"/>
          </w:r>
          <w:r>
            <w:rPr>
              <w:rStyle w:val="11"/>
              <w:rFonts w:ascii="Times New Roman" w:hAnsi="Times New Roman" w:cs="Times New Roman"/>
              <w:color w:val="auto"/>
            </w:rPr>
            <w:t>References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_Toc102942416 \h </w:instrText>
          </w:r>
          <w:r>
            <w:rPr>
              <w:rFonts w:ascii="Times New Roman" w:hAnsi="Times New Roman" w:cs="Times New Roman"/>
            </w:rPr>
            <w:fldChar w:fldCharType="separate"/>
          </w:r>
          <w:r>
            <w:rPr>
              <w:rFonts w:ascii="Times New Roman" w:hAnsi="Times New Roman" w:cs="Times New Roman"/>
            </w:rPr>
            <w:t>13</w:t>
          </w:r>
          <w:r>
            <w:rPr>
              <w:rFonts w:ascii="Times New Roman" w:hAnsi="Times New Roman" w:cs="Times New Roman"/>
            </w:rPr>
            <w:fldChar w:fldCharType="end"/>
          </w:r>
          <w:r>
            <w:rPr>
              <w:rFonts w:ascii="Times New Roman" w:hAnsi="Times New Roman" w:cs="Times New Roman"/>
            </w:rPr>
            <w:fldChar w:fldCharType="end"/>
          </w:r>
        </w:p>
        <w:p>
          <w:pPr>
            <w:pStyle w:val="18"/>
            <w:jc w:val="center"/>
            <w:rPr>
              <w:rFonts w:ascii="Times New Roman" w:hAnsi="Times New Roman" w:cs="Times New Roman"/>
              <w:color w:val="auto"/>
            </w:rPr>
          </w:pPr>
          <w:r>
            <w:rPr>
              <w:rFonts w:ascii="Times New Roman" w:hAnsi="Times New Roman" w:cs="Times New Roman"/>
              <w:color w:val="auto"/>
            </w:rPr>
            <w:fldChar w:fldCharType="end"/>
          </w:r>
        </w:p>
      </w:sdtContent>
    </w:sdt>
    <w:p>
      <w:pPr>
        <w:pStyle w:val="2"/>
        <w:spacing w:line="360" w:lineRule="auto"/>
        <w:rPr>
          <w:rFonts w:cs="Times New Roman"/>
          <w:szCs w:val="24"/>
        </w:rPr>
      </w:pPr>
    </w:p>
    <w:p>
      <w:pPr>
        <w:rPr>
          <w:rFonts w:ascii="Times New Roman" w:hAnsi="Times New Roman" w:cs="Times New Roman"/>
          <w:szCs w:val="24"/>
        </w:rPr>
      </w:pPr>
    </w:p>
    <w:p>
      <w:pPr>
        <w:rPr>
          <w:rFonts w:ascii="Times New Roman" w:hAnsi="Times New Roman" w:cs="Times New Roman"/>
          <w:szCs w:val="24"/>
        </w:rPr>
      </w:pPr>
    </w:p>
    <w:p>
      <w:pPr>
        <w:rPr>
          <w:rFonts w:ascii="Times New Roman" w:hAnsi="Times New Roman" w:cs="Times New Roman"/>
          <w:szCs w:val="24"/>
        </w:rPr>
      </w:pPr>
    </w:p>
    <w:p>
      <w:pPr>
        <w:rPr>
          <w:rFonts w:ascii="Times New Roman" w:hAnsi="Times New Roman" w:cs="Times New Roman"/>
          <w:szCs w:val="24"/>
        </w:rPr>
      </w:pPr>
    </w:p>
    <w:p>
      <w:pPr>
        <w:rPr>
          <w:rFonts w:ascii="Times New Roman" w:hAnsi="Times New Roman" w:cs="Times New Roman"/>
          <w:szCs w:val="24"/>
        </w:rPr>
      </w:pPr>
    </w:p>
    <w:p>
      <w:pPr>
        <w:rPr>
          <w:rFonts w:ascii="Times New Roman" w:hAnsi="Times New Roman" w:cs="Times New Roman"/>
          <w:szCs w:val="24"/>
        </w:rPr>
      </w:pPr>
    </w:p>
    <w:p>
      <w:pPr>
        <w:rPr>
          <w:rFonts w:ascii="Times New Roman" w:hAnsi="Times New Roman" w:cs="Times New Roman"/>
          <w:szCs w:val="24"/>
        </w:rPr>
      </w:pPr>
    </w:p>
    <w:p>
      <w:pPr>
        <w:rPr>
          <w:rFonts w:ascii="Times New Roman" w:hAnsi="Times New Roman" w:cs="Times New Roman"/>
          <w:szCs w:val="24"/>
        </w:rPr>
      </w:pPr>
    </w:p>
    <w:p>
      <w:pPr>
        <w:rPr>
          <w:rFonts w:ascii="Times New Roman" w:hAnsi="Times New Roman" w:cs="Times New Roman"/>
          <w:szCs w:val="24"/>
        </w:rPr>
      </w:pPr>
    </w:p>
    <w:p>
      <w:pPr>
        <w:rPr>
          <w:rFonts w:ascii="Times New Roman" w:hAnsi="Times New Roman" w:cs="Times New Roman"/>
          <w:szCs w:val="24"/>
        </w:rPr>
      </w:pPr>
    </w:p>
    <w:p>
      <w:pPr>
        <w:rPr>
          <w:rFonts w:ascii="Times New Roman" w:hAnsi="Times New Roman" w:cs="Times New Roman"/>
          <w:szCs w:val="24"/>
        </w:rPr>
      </w:pPr>
    </w:p>
    <w:p>
      <w:pPr>
        <w:rPr>
          <w:rFonts w:ascii="Times New Roman" w:hAnsi="Times New Roman" w:cs="Times New Roman"/>
          <w:szCs w:val="24"/>
        </w:rPr>
      </w:pPr>
    </w:p>
    <w:p>
      <w:pPr>
        <w:rPr>
          <w:rFonts w:ascii="Times New Roman" w:hAnsi="Times New Roman" w:cs="Times New Roman"/>
          <w:szCs w:val="24"/>
        </w:rPr>
      </w:pPr>
    </w:p>
    <w:p>
      <w:pPr>
        <w:pStyle w:val="2"/>
        <w:spacing w:line="360" w:lineRule="auto"/>
        <w:rPr>
          <w:rFonts w:cs="Times New Roman"/>
          <w:szCs w:val="24"/>
        </w:rPr>
      </w:pPr>
      <w:bookmarkStart w:id="2" w:name="_Toc102942401"/>
      <w:r>
        <w:rPr>
          <w:rFonts w:cs="Times New Roman"/>
          <w:szCs w:val="24"/>
        </w:rPr>
        <w:t>1. Introduction</w:t>
      </w:r>
      <w:bookmarkEnd w:id="0"/>
      <w:bookmarkEnd w:id="1"/>
      <w:bookmarkEnd w:id="2"/>
      <w:r>
        <w:rPr>
          <w:rFonts w:cs="Times New Roman"/>
          <w:szCs w:val="24"/>
        </w:rPr>
        <w:t xml:space="preserve">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report, by using the SOSTAC model, seeks to outline an innovative strategic marketing plan which fulfills organisational objectives besides utilising key resources and capabilities that were highlighted in the audit carried out in task 1. Similar to task 1, the current report is also based on the Intercontinental Hotels Group (IHG). The report begins by providing a situational analysis of the hotel before presenting organisational objective to be addressed, the strategies and tactics for achieving the objectives, and finally action and control. </w:t>
      </w:r>
    </w:p>
    <w:p>
      <w:pPr>
        <w:pStyle w:val="2"/>
        <w:spacing w:line="360" w:lineRule="auto"/>
        <w:rPr>
          <w:rFonts w:cs="Times New Roman"/>
          <w:szCs w:val="24"/>
        </w:rPr>
      </w:pPr>
      <w:bookmarkStart w:id="3" w:name="_Toc102942402"/>
      <w:bookmarkStart w:id="4" w:name="_Toc102390284"/>
      <w:bookmarkStart w:id="5" w:name="_Toc102390646"/>
      <w:r>
        <w:rPr>
          <w:rFonts w:cs="Times New Roman"/>
          <w:szCs w:val="24"/>
        </w:rPr>
        <w:t>2. Situational analysis</w:t>
      </w:r>
      <w:bookmarkEnd w:id="3"/>
      <w:bookmarkEnd w:id="4"/>
      <w:bookmarkEnd w:id="5"/>
      <w:r>
        <w:rPr>
          <w:rFonts w:cs="Times New Roman"/>
          <w:szCs w:val="24"/>
        </w:rPr>
        <w:t xml:space="preserve">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section provides the situational analysis of the IHG hotel borrowing largely from the information obtained from the audit carried out in task 1. First, based on PESTEL analysis carried out in task 1, it is evident that the Covid-19 pandemic has had a huge impact on the economic performance of IHG. First, the pandemic has resulted in reduction in household incomes. This is because, while the global economy is continuing to recover following easing of most of the restrictions related to the pandemic, it can be argued that IHG hotel is still experiencing the effects of the pandemic especially given the company is operating within the industry which was one of the most affected. A report by McKinsey &amp; Company (2020) pointed out that about 7.6 million people (24% of UK’s total workforce) lost their jobs as a result of the pandemic. For IHG, the job losses result in reduced spending power of the UK population thereby implying that there are relatively low disposable incomes that the consumers spend on holidaying among other related activities. This is therefore an indication that the pandemic has had knock-on effects on the revenue generation and profitability levels of the hotel. This was evident when IHG announced closures of a number of its hotel brands including Crowne Plaza and Regent among others. See figure 1 below for the illustration of the large economic declines experienced in the hospitality industry. In summary, while the hospitality sector is gradually recovering from the adverse economic impacts of the pandemic, it is notable that players in the hospitality sector including IHG are yet to recover fully from such effects. </w:t>
      </w:r>
    </w:p>
    <w:p>
      <w:pPr>
        <w:spacing w:line="360" w:lineRule="auto"/>
        <w:jc w:val="both"/>
        <w:rPr>
          <w:rFonts w:ascii="Times New Roman" w:hAnsi="Times New Roman" w:cs="Times New Roman"/>
          <w:sz w:val="24"/>
          <w:szCs w:val="24"/>
        </w:rPr>
      </w:pPr>
      <w:r>
        <w:rPr>
          <w:rFonts w:ascii="Times New Roman" w:hAnsi="Times New Roman" w:cs="Times New Roman"/>
          <w:sz w:val="24"/>
          <w:szCs w:val="24"/>
          <w:lang w:eastAsia="zh-CN"/>
        </w:rPr>
        <w:drawing>
          <wp:inline distT="0" distB="0" distL="0" distR="0">
            <wp:extent cx="5731510" cy="328485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a:xfrm>
                      <a:off x="0" y="0"/>
                      <a:ext cx="5731510" cy="3284855"/>
                    </a:xfrm>
                    <a:prstGeom prst="rect">
                      <a:avLst/>
                    </a:prstGeom>
                    <a:noFill/>
                    <a:ln>
                      <a:noFill/>
                    </a:ln>
                  </pic:spPr>
                </pic:pic>
              </a:graphicData>
            </a:graphic>
          </wp:inline>
        </w:drawing>
      </w:r>
      <w:r>
        <w:rPr>
          <w:rFonts w:ascii="Times New Roman" w:hAnsi="Times New Roman" w:cs="Times New Roman"/>
          <w:sz w:val="24"/>
          <w:szCs w:val="24"/>
        </w:rPr>
        <w:t xml:space="preserve"> </w:t>
      </w:r>
    </w:p>
    <w:p>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Figure 1: Economic declines in the hospitality industry</w:t>
      </w:r>
    </w:p>
    <w:p>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Source: McKinsey &amp; Company (2020).</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Secondly, it is also notable that a number of political factors have an influence on the operations and profitability of IHG within the UK market. This is was evident for instance, during the Covid-19 period where the UK government introduced a number of measures aimed at mitigating the spread of the virus. Even though most of the restrictions have been eased, the UK government still requires people to self-isolate whenever they are deemed to have come into contact with people who are infected with the corona virus (Martin, 2021). This requirement has made the British economy to be in the middle of what British media terms as “pingdemic”. Specifically, there is rising numbers of people who are alerted or pinged by their corona virus warning apps who in turn have to self-isolate thereby leading to staff shortages for companies operating within the UK including IHG. For instance, in mid-July 2021 alone, close to 618,903 people in both England and Wales were alerted to go for self-isolation thereby depriving the businesses of the much-needed labour (Martin, 2021). At the same time, the strict visa requirements by the UK government for immigrant workers has made it difficult for immigrant workers who left the UK to return besides making those within the UK to shy away from reporting to work. This has also further compounded the labour shortage issue in the country (Gov.UK, 2022). For IHG, the shortage of labour implies that the company has to spend more on wages as a means of attracting new talents while at the same time retaining existing employees (Makortoff (2021).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Secondly, in regards to Porter’s five forces analysis framework, it is notable that IHG experienced stiff competition more so from home sharing brands such as Airbnb. The rise in Airbnb popularity has in turn resulted in reduced hotel occupancy. For example, a study carried out by </w:t>
      </w:r>
      <w:r>
        <w:rPr>
          <w:rFonts w:ascii="Times New Roman" w:hAnsi="Times New Roman" w:cs="Times New Roman"/>
          <w:sz w:val="24"/>
          <w:szCs w:val="24"/>
          <w:shd w:val="clear" w:color="auto" w:fill="FFFFFF"/>
        </w:rPr>
        <w:t>Farronato and Fradkin</w:t>
      </w:r>
      <w:r>
        <w:rPr>
          <w:rFonts w:ascii="Times New Roman" w:hAnsi="Times New Roman" w:cs="Times New Roman"/>
          <w:sz w:val="24"/>
          <w:szCs w:val="24"/>
        </w:rPr>
        <w:t xml:space="preserve"> (2018) indicated that, in the year 2014, Airbnb resulted in the reduction in hotel profits in the United States by about 37%. Moreover, studies have revealed that the high competitive rivalry has seen an upward trend especially during the Covid-19 period given most visitors are looking to stay in spaces that they do not share with other strangers in order to minimise chances of contracting the Covid-19 virus (Oliver, 2020).  The study by Oliver (2020) further identified that there is growing number of visitors who are preferring to stay in private homes where they can prepare their own means as opposed to staying in hotels. It is therefore notable that Airbnb among other home sharing brands have resulted in reduced hotel occupancy for hotel brands such as IHG.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Finally, internal environment analysis of the firm with the aid of Porter’s value chain analysis framework revealed that IHG is overdependent on room occupancy for revenue generation. The above view is echoed by IHG (2022) who point out that more than 85% of IHG’s gross revenue earnings is attributable to room revenue. Given the dynamism of the global market, there is need for IHG to diversify its sources of revenue as a means of enhancing the company’s resilience to economic disruptions caused by events such as Covid-19.</w:t>
      </w:r>
    </w:p>
    <w:p>
      <w:pPr>
        <w:pStyle w:val="2"/>
        <w:spacing w:line="360" w:lineRule="auto"/>
        <w:rPr>
          <w:rFonts w:cs="Times New Roman"/>
          <w:szCs w:val="24"/>
        </w:rPr>
      </w:pPr>
      <w:bookmarkStart w:id="6" w:name="_Toc102390285"/>
      <w:bookmarkStart w:id="7" w:name="_Toc102390647"/>
      <w:bookmarkStart w:id="8" w:name="_Toc102942403"/>
      <w:r>
        <w:rPr>
          <w:rFonts w:cs="Times New Roman"/>
          <w:szCs w:val="24"/>
        </w:rPr>
        <w:t>3. Objective</w:t>
      </w:r>
      <w:bookmarkEnd w:id="6"/>
      <w:bookmarkEnd w:id="7"/>
      <w:bookmarkEnd w:id="8"/>
    </w:p>
    <w:p>
      <w:pPr>
        <w:spacing w:line="360" w:lineRule="auto"/>
        <w:jc w:val="both"/>
        <w:rPr>
          <w:rFonts w:ascii="Times New Roman" w:hAnsi="Times New Roman" w:cs="Times New Roman"/>
          <w:sz w:val="24"/>
          <w:szCs w:val="24"/>
        </w:rPr>
      </w:pPr>
      <w:r>
        <w:rPr>
          <w:rFonts w:ascii="Times New Roman" w:hAnsi="Times New Roman" w:cs="Times New Roman"/>
          <w:sz w:val="24"/>
          <w:szCs w:val="24"/>
        </w:rPr>
        <w:t>The objective around which the marketing plan is based is as follows:</w:t>
      </w:r>
    </w:p>
    <w:p>
      <w:pPr>
        <w:pStyle w:val="16"/>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acquire 10,000 new customers in the age group of 55 years and above, at a cost of </w:t>
      </w:r>
      <w:r>
        <w:rPr>
          <w:rStyle w:val="23"/>
          <w:rFonts w:ascii="Times New Roman" w:hAnsi="Times New Roman" w:cs="Times New Roman"/>
          <w:sz w:val="24"/>
          <w:szCs w:val="24"/>
        </w:rPr>
        <w:t>£30 per acquisition and an average profitability of 5% at the end of the financial year</w:t>
      </w:r>
    </w:p>
    <w:p>
      <w:pPr>
        <w:pStyle w:val="2"/>
        <w:spacing w:line="360" w:lineRule="auto"/>
        <w:rPr>
          <w:rFonts w:cs="Times New Roman"/>
          <w:szCs w:val="24"/>
        </w:rPr>
      </w:pPr>
      <w:bookmarkStart w:id="9" w:name="_Toc102942404"/>
      <w:bookmarkStart w:id="10" w:name="_Toc102390648"/>
      <w:bookmarkStart w:id="11" w:name="_Toc102390286"/>
      <w:r>
        <w:rPr>
          <w:rFonts w:cs="Times New Roman"/>
          <w:szCs w:val="24"/>
        </w:rPr>
        <w:t>4. Strategies</w:t>
      </w:r>
      <w:bookmarkEnd w:id="9"/>
      <w:bookmarkEnd w:id="10"/>
      <w:bookmarkEnd w:id="11"/>
      <w:r>
        <w:rPr>
          <w:rFonts w:cs="Times New Roman"/>
          <w:szCs w:val="24"/>
        </w:rPr>
        <w:t xml:space="preserve">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 number of strategies can be employed in meeting the above objective. These are discussed as follows. </w:t>
      </w:r>
    </w:p>
    <w:p>
      <w:pPr>
        <w:pStyle w:val="3"/>
        <w:rPr>
          <w:rFonts w:cs="Times New Roman"/>
        </w:rPr>
      </w:pPr>
      <w:bookmarkStart w:id="12" w:name="_Toc102942405"/>
      <w:r>
        <w:rPr>
          <w:rFonts w:cs="Times New Roman"/>
        </w:rPr>
        <w:t>4.1 Segmentation, targeting and positioning</w:t>
      </w:r>
      <w:bookmarkEnd w:id="12"/>
      <w:r>
        <w:rPr>
          <w:rFonts w:cs="Times New Roman"/>
        </w:rPr>
        <w:t xml:space="preserve">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hotel will segment its market based on demographic factors. Precisely, the market will be segmented based on age of customers. In this regard, the hotel will divide its market into three segments, those aged 25 years and below, those aged 26 years-to 54 years and those who are aged 55 years and above.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Specifically, the company will target those aged 55 years and above. The need to target this market segment is corroborated by a number of market reports which reveal that older customers spend more on holidaying and hospitality services in general compared to younger generations. For instance, a report by TripAdvisor revealed that millennials spend less than half on accommodation than baby boomers (TripAdvisor, 2018). To this end, IHG will position itself as a provider of variety of high-quality hospitality services ranging from hotel services and products which are tailored to meet the specific needs of current and prospective customers aged 55 and above.</w:t>
      </w:r>
    </w:p>
    <w:p>
      <w:pPr>
        <w:pStyle w:val="3"/>
        <w:spacing w:line="360" w:lineRule="auto"/>
        <w:rPr>
          <w:rFonts w:cs="Times New Roman"/>
          <w:szCs w:val="24"/>
        </w:rPr>
      </w:pPr>
      <w:bookmarkStart w:id="13" w:name="_Toc102942406"/>
      <w:bookmarkStart w:id="14" w:name="_Toc102390287"/>
      <w:bookmarkStart w:id="15" w:name="_Toc102390649"/>
      <w:r>
        <w:rPr>
          <w:rFonts w:cs="Times New Roman"/>
          <w:szCs w:val="24"/>
        </w:rPr>
        <w:t>4.2 Brand extension</w:t>
      </w:r>
      <w:bookmarkEnd w:id="13"/>
      <w:bookmarkEnd w:id="14"/>
      <w:bookmarkEnd w:id="15"/>
      <w:r>
        <w:rPr>
          <w:rFonts w:cs="Times New Roman"/>
          <w:szCs w:val="24"/>
        </w:rPr>
        <w:t xml:space="preserve"> </w:t>
      </w:r>
    </w:p>
    <w:p>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rPr>
        <w:t xml:space="preserve">First, in reducing IHG’s overdependence on room revenue, the company should consider employing brand extension strategy. According to Aaker (1990), brand extension takes place when a company uses one of its established brand names on a new product or product category. The use of brand extension strategy especially for established brands is supported by Lane Keller (2014) who state that strong and established brands are characterised by abstract associations which can be transferred to secondary brands (extensions). A case in point is Nivea which has abstract associations of ‘gentle’, ‘mild’, ‘caring’ and ‘protective’. The company has been able to utilise these abstract associations in extending its brand to include both skin and personal care products which have succeeded in the global market. The need for IHG to employ brand extension strategy in diversifying its revenue sources is supported by the associative network theory which is based on the premise that there exist reciprocal spillover effects and that, knowledge about a brand is viewed as involving a network of nodes connected by links representing the associations between the concepts (Aaker, 1996). The theory further denotes that, when a consumer is exposed to a mother brand or the secondary brands, these nodes are likely to be activated thereby making consumers to associate the secondary brand with the mother brand and vice versa. Similarly, given IHG is an international and strong brand with relatively favourable reputation in the global market, the company should consider diversifying its product portfolio to include related product categories. Specifically, IHG should consider expanding its food and beverage unit to include more products so as to generate more revenue. Secondly, the company, by leveraging on its strong IHG brand which is associated with abstract associations of ‘high quality’ ‘premium services’ and ‘reliability’ among other aspects, should also sell branded hair products and lotions, as well as hotel branded items including t-shirts, robes among others. In other words, IHG should seek to become a house of brands just like other companies such as P&amp;G, Google, Unilever and Coca-Cola among others. As explained by Aaker and </w:t>
      </w:r>
      <w:r>
        <w:rPr>
          <w:rFonts w:ascii="Times New Roman" w:hAnsi="Times New Roman" w:cs="Times New Roman"/>
          <w:sz w:val="24"/>
          <w:szCs w:val="24"/>
          <w:shd w:val="clear" w:color="auto" w:fill="FFFFFF"/>
        </w:rPr>
        <w:t>Joachimsthaler (2000), employing branded house architecture help in ensuring that the products being sold under the master brand contribute to the strength of the master. At the same time, the architecture also increases chances of success of new products because these products are able to benefit from the mother brand’s associations (Aaker, 1990). See figure 1 below for illustration of brand architecture.</w:t>
      </w:r>
    </w:p>
    <w:p>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lang w:eastAsia="zh-CN"/>
        </w:rPr>
        <w:drawing>
          <wp:inline distT="0" distB="0" distL="0" distR="0">
            <wp:extent cx="5731510" cy="4150995"/>
            <wp:effectExtent l="0" t="0" r="2540" b="1905"/>
            <wp:docPr id="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pic:cNvPicPr>
                      <a:picLocks noChangeAspect="1"/>
                    </pic:cNvPicPr>
                  </pic:nvPicPr>
                  <pic:blipFill>
                    <a:blip r:embed="rId6"/>
                    <a:stretch>
                      <a:fillRect/>
                    </a:stretch>
                  </pic:blipFill>
                  <pic:spPr>
                    <a:xfrm>
                      <a:off x="0" y="0"/>
                      <a:ext cx="5731510" cy="4150995"/>
                    </a:xfrm>
                    <a:prstGeom prst="rect">
                      <a:avLst/>
                    </a:prstGeom>
                    <a:noFill/>
                    <a:ln>
                      <a:noFill/>
                    </a:ln>
                  </pic:spPr>
                </pic:pic>
              </a:graphicData>
            </a:graphic>
          </wp:inline>
        </w:drawing>
      </w:r>
    </w:p>
    <w:p>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Figure 1: Brand architecture</w:t>
      </w:r>
    </w:p>
    <w:p>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Source:  </w:t>
      </w:r>
      <w:r>
        <w:rPr>
          <w:rFonts w:ascii="Times New Roman" w:hAnsi="Times New Roman" w:cs="Times New Roman"/>
          <w:sz w:val="24"/>
          <w:szCs w:val="24"/>
        </w:rPr>
        <w:t xml:space="preserve">Aaker and </w:t>
      </w:r>
      <w:r>
        <w:rPr>
          <w:rFonts w:ascii="Times New Roman" w:hAnsi="Times New Roman" w:cs="Times New Roman"/>
          <w:sz w:val="24"/>
          <w:szCs w:val="24"/>
          <w:shd w:val="clear" w:color="auto" w:fill="FFFFFF"/>
        </w:rPr>
        <w:t>Joachimsthaler (2000).</w:t>
      </w:r>
    </w:p>
    <w:p>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However, as warned by Lane Keller (2014), IHG should realise that every brand has brand boundaries. As such, the company should ensure that its brand extension approaches are informed by both points-of-parity (POPs) and points-of-difference (PODs) features. It has been established that most brand extension strategies fail because they tend to be based on a few PODs or POPs and as such, fail to take note of other features which play a critical role in the success of the new products. A case in point is the failure of Bic Perfumes which failed because the extension was based largely on portability of the perfumes (POD) thereby ignoring key POD features including image (Lane Keller, 2014). Other most commonly cited examples of brand extension failures include failure of: Amazon Fire Phone and Amazon Destinations among other extension strategies. </w:t>
      </w:r>
    </w:p>
    <w:p>
      <w:pPr>
        <w:pStyle w:val="3"/>
        <w:rPr>
          <w:rFonts w:cs="Times New Roman"/>
        </w:rPr>
      </w:pPr>
      <w:bookmarkStart w:id="16" w:name="_Toc102942407"/>
      <w:bookmarkStart w:id="17" w:name="_Toc102390650"/>
      <w:bookmarkStart w:id="18" w:name="_Toc102390288"/>
      <w:r>
        <w:rPr>
          <w:rFonts w:cs="Times New Roman"/>
        </w:rPr>
        <w:t>4.3 Internationalisation of operations (Ansoff’s matrix).</w:t>
      </w:r>
      <w:bookmarkEnd w:id="16"/>
      <w:bookmarkEnd w:id="17"/>
      <w:bookmarkEnd w:id="18"/>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 further diversify the company’s sources of revenue, IHG should consider expanding into foreign markets. Precisely, Ansoff’s matrix should be employed in this regard. According to Hussain et al. (2013), Ansoff’s matrix comprises of four different avenues through which companies can realise growth. These are: market development, product development, market penetration and diversification. Specifically, IHG should employ product development, market development and diversification strategies. In markets where the company is operating currently, IHG should seek to increase revenue earnings introducing new products as already discussed under brand extension strategy above (product development). Also, in new markets, the company should sell its existing products besides introducing additional new products (market development and diversification) as a means of enhancing revenue earnings (Hussain et al., 2013).  </w:t>
      </w:r>
    </w:p>
    <w:p>
      <w:pPr>
        <w:pStyle w:val="2"/>
        <w:spacing w:line="360" w:lineRule="auto"/>
        <w:rPr>
          <w:rFonts w:cs="Times New Roman"/>
          <w:szCs w:val="24"/>
        </w:rPr>
      </w:pPr>
      <w:bookmarkStart w:id="19" w:name="_Toc102390289"/>
      <w:bookmarkStart w:id="20" w:name="_Toc102390651"/>
      <w:bookmarkStart w:id="21" w:name="_Toc102942408"/>
      <w:r>
        <w:rPr>
          <w:rFonts w:cs="Times New Roman"/>
          <w:szCs w:val="24"/>
        </w:rPr>
        <w:t>5. Tactics</w:t>
      </w:r>
      <w:bookmarkEnd w:id="19"/>
      <w:bookmarkEnd w:id="20"/>
      <w:bookmarkEnd w:id="21"/>
      <w:r>
        <w:rPr>
          <w:rFonts w:cs="Times New Roman"/>
          <w:szCs w:val="24"/>
        </w:rPr>
        <w:t xml:space="preserve">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Here, IHG should employ the 4Ps of marketing in ensuring the success of the marketing plan. See details below.</w:t>
      </w:r>
    </w:p>
    <w:p>
      <w:pPr>
        <w:pStyle w:val="3"/>
        <w:spacing w:line="360" w:lineRule="auto"/>
        <w:rPr>
          <w:rFonts w:cs="Times New Roman"/>
          <w:szCs w:val="24"/>
        </w:rPr>
      </w:pPr>
      <w:bookmarkStart w:id="22" w:name="_Toc102942409"/>
      <w:bookmarkStart w:id="23" w:name="_Toc102390652"/>
      <w:bookmarkStart w:id="24" w:name="_Toc102390290"/>
      <w:r>
        <w:rPr>
          <w:rFonts w:cs="Times New Roman"/>
          <w:szCs w:val="24"/>
        </w:rPr>
        <w:t>5.1 Products</w:t>
      </w:r>
      <w:bookmarkEnd w:id="22"/>
      <w:bookmarkEnd w:id="23"/>
      <w:bookmarkEnd w:id="24"/>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IHG should see to it that its product strategies are well-suited to meet the ever-changing needs and preferences of the old customers. To this end, the company should realise that one of its unique value propositions is the provision of high-quality hotel services. This is therefore an indication that current and prospective customers have high expectations of the quality of service offered by the company. Therefore, in ensuring that the quality of services meet and exceed the expectations of the targeted market segement, IHG should see to it that it has good visibility and control over its supply chain activities. Given the company operates on a global scale, failure to have good visibility over the supply chain may pave way for opportunistic behaviours by some players within the supply chain. Therefore, the company should seek to reduce the number of intermediaries along its supply chain besides emphasising on quality on all its operations. </w:t>
      </w:r>
    </w:p>
    <w:p>
      <w:pPr>
        <w:pStyle w:val="3"/>
        <w:spacing w:line="360" w:lineRule="auto"/>
        <w:rPr>
          <w:rFonts w:cs="Times New Roman"/>
          <w:szCs w:val="24"/>
        </w:rPr>
      </w:pPr>
      <w:bookmarkStart w:id="25" w:name="_Toc102390291"/>
      <w:bookmarkStart w:id="26" w:name="_Toc102390653"/>
      <w:bookmarkStart w:id="27" w:name="_Toc102942410"/>
      <w:r>
        <w:rPr>
          <w:rFonts w:cs="Times New Roman"/>
          <w:szCs w:val="24"/>
        </w:rPr>
        <w:t>5.2 Price</w:t>
      </w:r>
      <w:bookmarkEnd w:id="25"/>
      <w:bookmarkEnd w:id="26"/>
      <w:bookmarkEnd w:id="27"/>
      <w:r>
        <w:rPr>
          <w:rFonts w:cs="Times New Roman"/>
          <w:szCs w:val="24"/>
        </w:rPr>
        <w:t xml:space="preserve">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Secondly, IHG should realise that pricing is a marketing aspect that has influence on the company’s overall brand equity. For instance, given the company has been successful in positioning itself in the market as a provider of high quality and differentiated products at premium prices, the pricing should reflect this positioning so as to avoid negative spillover effects on the overall brand equity (Aaker, 1990). Therefore, IHG should employ value-based pricing strategy so as to ensure that the prices of its products reflect the value that the given services provide to the customers. </w:t>
      </w:r>
    </w:p>
    <w:p>
      <w:pPr>
        <w:pStyle w:val="3"/>
        <w:spacing w:line="360" w:lineRule="auto"/>
        <w:rPr>
          <w:rFonts w:cs="Times New Roman"/>
          <w:szCs w:val="24"/>
        </w:rPr>
      </w:pPr>
      <w:bookmarkStart w:id="28" w:name="_Toc102942411"/>
      <w:bookmarkStart w:id="29" w:name="_Toc102390654"/>
      <w:bookmarkStart w:id="30" w:name="_Toc102390292"/>
      <w:r>
        <w:rPr>
          <w:rFonts w:cs="Times New Roman"/>
          <w:szCs w:val="24"/>
        </w:rPr>
        <w:t>5.3 Place</w:t>
      </w:r>
      <w:bookmarkEnd w:id="28"/>
      <w:bookmarkEnd w:id="29"/>
      <w:bookmarkEnd w:id="30"/>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Here, IHG should ensure that information about the company’s product and service offerings are readily available on the company’s website and also readily available from the company’s staff. More importantly, the company’s customers should be able to make reservations for rooms and services with ease and from many different platforms including website among other platforms so as to ensure customer convenience. More importantly, information about the company should also be readily available on the company’s social media pages. </w:t>
      </w:r>
    </w:p>
    <w:p>
      <w:pPr>
        <w:pStyle w:val="3"/>
        <w:spacing w:line="360" w:lineRule="auto"/>
        <w:rPr>
          <w:rFonts w:cs="Times New Roman"/>
          <w:szCs w:val="24"/>
        </w:rPr>
      </w:pPr>
      <w:bookmarkStart w:id="31" w:name="_Toc102390293"/>
      <w:bookmarkStart w:id="32" w:name="_Toc102390655"/>
      <w:bookmarkStart w:id="33" w:name="_Toc102942412"/>
      <w:r>
        <w:rPr>
          <w:rFonts w:cs="Times New Roman"/>
          <w:szCs w:val="24"/>
        </w:rPr>
        <w:t>5.4 Promotions</w:t>
      </w:r>
      <w:bookmarkEnd w:id="31"/>
      <w:bookmarkEnd w:id="32"/>
      <w:bookmarkEnd w:id="33"/>
      <w:r>
        <w:rPr>
          <w:rFonts w:cs="Times New Roman"/>
          <w:szCs w:val="24"/>
        </w:rPr>
        <w:t xml:space="preserve">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Finally, IHG should employ a number of promotional strategies including direct marketing strategies, experiential marketing as well as point of sale marketing in order to not only boost brand awareness but also improve sales. </w:t>
      </w:r>
    </w:p>
    <w:p>
      <w:pPr>
        <w:pStyle w:val="2"/>
        <w:spacing w:line="360" w:lineRule="auto"/>
        <w:rPr>
          <w:rFonts w:cs="Times New Roman"/>
          <w:szCs w:val="24"/>
        </w:rPr>
      </w:pPr>
      <w:bookmarkStart w:id="34" w:name="_Toc102942413"/>
      <w:bookmarkStart w:id="35" w:name="_Toc102390656"/>
      <w:bookmarkStart w:id="36" w:name="_Toc102390294"/>
      <w:r>
        <w:rPr>
          <w:rFonts w:cs="Times New Roman"/>
          <w:szCs w:val="24"/>
        </w:rPr>
        <w:t>6. Action</w:t>
      </w:r>
      <w:bookmarkEnd w:id="34"/>
      <w:bookmarkEnd w:id="35"/>
      <w:bookmarkEnd w:id="36"/>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Table 1 below provides a summary of the activities involved in the implementation of IHG’s marketing plan.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Table 1: Gantt chart showing activities and timelines for IHG’s marketing plan</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Source: Compiled by report</w:t>
      </w:r>
    </w:p>
    <w:p>
      <w:pPr>
        <w:spacing w:line="360" w:lineRule="auto"/>
        <w:jc w:val="both"/>
        <w:rPr>
          <w:rFonts w:ascii="Times New Roman" w:hAnsi="Times New Roman" w:cs="Times New Roman"/>
          <w:sz w:val="24"/>
          <w:szCs w:val="24"/>
        </w:rPr>
      </w:pPr>
    </w:p>
    <w:tbl>
      <w:tblPr>
        <w:tblStyle w:val="13"/>
        <w:tblW w:w="11021" w:type="dxa"/>
        <w:tblInd w:w="-70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3299"/>
        <w:gridCol w:w="780"/>
        <w:gridCol w:w="608"/>
        <w:gridCol w:w="989"/>
        <w:gridCol w:w="869"/>
        <w:gridCol w:w="608"/>
        <w:gridCol w:w="1056"/>
        <w:gridCol w:w="792"/>
        <w:gridCol w:w="688"/>
        <w:gridCol w:w="133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1230" w:hRule="atLeast"/>
        </w:trPr>
        <w:tc>
          <w:tcPr>
            <w:tcW w:w="3320" w:type="dxa"/>
            <w:tcBorders>
              <w:top w:val="single" w:color="auto" w:sz="4" w:space="0"/>
              <w:left w:val="single" w:color="auto" w:sz="4" w:space="0"/>
              <w:bottom w:val="single" w:color="auto" w:sz="4" w:space="0"/>
              <w:right w:val="single" w:color="auto" w:sz="4" w:space="0"/>
            </w:tcBorders>
          </w:tcPr>
          <w:p>
            <w:pPr>
              <w:spacing w:after="0" w:line="360" w:lineRule="auto"/>
              <w:jc w:val="both"/>
              <w:rPr>
                <w:rFonts w:ascii="Times New Roman" w:hAnsi="Times New Roman" w:eastAsia="Calibri" w:cs="Times New Roman"/>
                <w:b/>
                <w:sz w:val="24"/>
                <w:szCs w:val="24"/>
              </w:rPr>
            </w:pPr>
            <w:r>
              <w:rPr>
                <w:rFonts w:ascii="Times New Roman" w:hAnsi="Times New Roman" w:eastAsia="Calibri" w:cs="Times New Roman"/>
                <w:b/>
                <w:sz w:val="24"/>
                <w:szCs w:val="24"/>
              </w:rPr>
              <w:t>Activity/Time</w:t>
            </w:r>
          </w:p>
        </w:tc>
        <w:tc>
          <w:tcPr>
            <w:tcW w:w="1397" w:type="dxa"/>
            <w:gridSpan w:val="2"/>
            <w:tcBorders>
              <w:top w:val="single" w:color="auto" w:sz="4" w:space="0"/>
              <w:left w:val="single" w:color="auto" w:sz="4" w:space="0"/>
              <w:bottom w:val="single" w:color="auto" w:sz="4" w:space="0"/>
              <w:right w:val="single" w:color="auto" w:sz="4" w:space="0"/>
            </w:tcBorders>
          </w:tcPr>
          <w:p>
            <w:pPr>
              <w:spacing w:after="0" w:line="360" w:lineRule="auto"/>
              <w:jc w:val="both"/>
              <w:rPr>
                <w:rFonts w:ascii="Times New Roman" w:hAnsi="Times New Roman" w:eastAsia="Calibri" w:cs="Times New Roman"/>
                <w:b/>
                <w:sz w:val="24"/>
                <w:szCs w:val="24"/>
              </w:rPr>
            </w:pPr>
            <w:r>
              <w:rPr>
                <w:rFonts w:ascii="Times New Roman" w:hAnsi="Times New Roman" w:eastAsia="Calibri" w:cs="Times New Roman"/>
                <w:b/>
                <w:sz w:val="24"/>
                <w:szCs w:val="24"/>
              </w:rPr>
              <w:t>Jan-Feb 2023</w:t>
            </w:r>
          </w:p>
        </w:tc>
        <w:tc>
          <w:tcPr>
            <w:tcW w:w="970" w:type="dxa"/>
            <w:tcBorders>
              <w:top w:val="single" w:color="auto" w:sz="4" w:space="0"/>
              <w:left w:val="single" w:color="auto" w:sz="4" w:space="0"/>
              <w:bottom w:val="single" w:color="auto" w:sz="4" w:space="0"/>
              <w:right w:val="single" w:color="auto" w:sz="4" w:space="0"/>
            </w:tcBorders>
          </w:tcPr>
          <w:p>
            <w:pPr>
              <w:spacing w:after="0" w:line="360" w:lineRule="auto"/>
              <w:jc w:val="both"/>
              <w:rPr>
                <w:rFonts w:ascii="Times New Roman" w:hAnsi="Times New Roman" w:eastAsia="Calibri" w:cs="Times New Roman"/>
                <w:b/>
                <w:sz w:val="24"/>
                <w:szCs w:val="24"/>
              </w:rPr>
            </w:pPr>
            <w:r>
              <w:rPr>
                <w:rFonts w:ascii="Times New Roman" w:hAnsi="Times New Roman" w:eastAsia="Calibri" w:cs="Times New Roman"/>
                <w:b/>
                <w:sz w:val="24"/>
                <w:szCs w:val="24"/>
              </w:rPr>
              <w:t>March-April 2023</w:t>
            </w:r>
          </w:p>
        </w:tc>
        <w:tc>
          <w:tcPr>
            <w:tcW w:w="1485" w:type="dxa"/>
            <w:gridSpan w:val="2"/>
            <w:tcBorders>
              <w:top w:val="single" w:color="auto" w:sz="4" w:space="0"/>
              <w:left w:val="single" w:color="auto" w:sz="4" w:space="0"/>
              <w:bottom w:val="single" w:color="auto" w:sz="4" w:space="0"/>
              <w:right w:val="single" w:color="auto" w:sz="4" w:space="0"/>
            </w:tcBorders>
          </w:tcPr>
          <w:p>
            <w:pPr>
              <w:spacing w:after="0" w:line="360" w:lineRule="auto"/>
              <w:jc w:val="both"/>
              <w:rPr>
                <w:rFonts w:ascii="Times New Roman" w:hAnsi="Times New Roman" w:eastAsia="Calibri" w:cs="Times New Roman"/>
                <w:b/>
                <w:sz w:val="24"/>
                <w:szCs w:val="24"/>
              </w:rPr>
            </w:pPr>
            <w:r>
              <w:rPr>
                <w:rFonts w:ascii="Times New Roman" w:hAnsi="Times New Roman" w:eastAsia="Calibri" w:cs="Times New Roman"/>
                <w:b/>
                <w:sz w:val="24"/>
                <w:szCs w:val="24"/>
              </w:rPr>
              <w:t>May-July 2023</w:t>
            </w:r>
          </w:p>
        </w:tc>
        <w:tc>
          <w:tcPr>
            <w:tcW w:w="1034" w:type="dxa"/>
            <w:tcBorders>
              <w:top w:val="single" w:color="auto" w:sz="4" w:space="0"/>
              <w:left w:val="single" w:color="auto" w:sz="4" w:space="0"/>
              <w:bottom w:val="single" w:color="auto" w:sz="4" w:space="0"/>
              <w:right w:val="single" w:color="auto" w:sz="4" w:space="0"/>
            </w:tcBorders>
          </w:tcPr>
          <w:p>
            <w:pPr>
              <w:spacing w:after="0" w:line="360" w:lineRule="auto"/>
              <w:jc w:val="both"/>
              <w:rPr>
                <w:rFonts w:ascii="Times New Roman" w:hAnsi="Times New Roman" w:eastAsia="Calibri" w:cs="Times New Roman"/>
                <w:b/>
                <w:sz w:val="24"/>
                <w:szCs w:val="24"/>
              </w:rPr>
            </w:pPr>
            <w:r>
              <w:rPr>
                <w:rFonts w:ascii="Times New Roman" w:hAnsi="Times New Roman" w:eastAsia="Calibri" w:cs="Times New Roman"/>
                <w:b/>
                <w:sz w:val="24"/>
                <w:szCs w:val="24"/>
              </w:rPr>
              <w:t>August-October 2023</w:t>
            </w:r>
          </w:p>
        </w:tc>
        <w:tc>
          <w:tcPr>
            <w:tcW w:w="1482" w:type="dxa"/>
            <w:gridSpan w:val="2"/>
            <w:tcBorders>
              <w:top w:val="single" w:color="auto" w:sz="4" w:space="0"/>
              <w:left w:val="single" w:color="auto" w:sz="4" w:space="0"/>
              <w:bottom w:val="single" w:color="auto" w:sz="4" w:space="0"/>
              <w:right w:val="single" w:color="auto" w:sz="4" w:space="0"/>
            </w:tcBorders>
          </w:tcPr>
          <w:p>
            <w:pPr>
              <w:spacing w:after="0" w:line="360" w:lineRule="auto"/>
              <w:jc w:val="both"/>
              <w:rPr>
                <w:rFonts w:ascii="Times New Roman" w:hAnsi="Times New Roman" w:eastAsia="Calibri" w:cs="Times New Roman"/>
                <w:b/>
                <w:sz w:val="24"/>
                <w:szCs w:val="24"/>
              </w:rPr>
            </w:pPr>
            <w:r>
              <w:rPr>
                <w:rFonts w:ascii="Times New Roman" w:hAnsi="Times New Roman" w:eastAsia="Calibri" w:cs="Times New Roman"/>
                <w:b/>
                <w:sz w:val="24"/>
                <w:szCs w:val="24"/>
              </w:rPr>
              <w:t>October-November 2023</w:t>
            </w:r>
          </w:p>
        </w:tc>
        <w:tc>
          <w:tcPr>
            <w:tcW w:w="1333" w:type="dxa"/>
            <w:tcBorders>
              <w:top w:val="single" w:color="auto" w:sz="4" w:space="0"/>
              <w:left w:val="single" w:color="auto" w:sz="4" w:space="0"/>
              <w:bottom w:val="single" w:color="auto" w:sz="4" w:space="0"/>
              <w:right w:val="single" w:color="auto" w:sz="4" w:space="0"/>
            </w:tcBorders>
          </w:tcPr>
          <w:p>
            <w:pPr>
              <w:spacing w:after="0" w:line="360" w:lineRule="auto"/>
              <w:jc w:val="both"/>
              <w:rPr>
                <w:rFonts w:ascii="Times New Roman" w:hAnsi="Times New Roman" w:eastAsia="Calibri" w:cs="Times New Roman"/>
                <w:b/>
                <w:sz w:val="24"/>
                <w:szCs w:val="24"/>
              </w:rPr>
            </w:pPr>
            <w:r>
              <w:rPr>
                <w:rFonts w:ascii="Times New Roman" w:hAnsi="Times New Roman" w:eastAsia="Calibri" w:cs="Times New Roman"/>
                <w:b/>
                <w:sz w:val="24"/>
                <w:szCs w:val="24"/>
              </w:rPr>
              <w:t>December 2023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1245" w:hRule="atLeast"/>
        </w:trPr>
        <w:tc>
          <w:tcPr>
            <w:tcW w:w="3320" w:type="dxa"/>
            <w:tcBorders>
              <w:top w:val="single" w:color="auto" w:sz="4" w:space="0"/>
              <w:left w:val="single" w:color="auto" w:sz="4" w:space="0"/>
              <w:bottom w:val="single" w:color="auto" w:sz="4" w:space="0"/>
              <w:right w:val="single" w:color="auto" w:sz="4" w:space="0"/>
            </w:tcBorders>
          </w:tcPr>
          <w:p>
            <w:pPr>
              <w:spacing w:after="0" w:line="360" w:lineRule="auto"/>
              <w:jc w:val="both"/>
              <w:rPr>
                <w:rFonts w:ascii="Times New Roman" w:hAnsi="Times New Roman" w:eastAsia="Calibri" w:cs="Times New Roman"/>
                <w:sz w:val="24"/>
                <w:szCs w:val="24"/>
              </w:rPr>
            </w:pPr>
            <w:r>
              <w:rPr>
                <w:rFonts w:ascii="Times New Roman" w:hAnsi="Times New Roman" w:eastAsia="Calibri" w:cs="Times New Roman"/>
                <w:sz w:val="24"/>
                <w:szCs w:val="24"/>
              </w:rPr>
              <w:t>Feasibility studies in new markets and R&amp;D on new product and product categories</w:t>
            </w:r>
          </w:p>
        </w:tc>
        <w:tc>
          <w:tcPr>
            <w:tcW w:w="1397" w:type="dxa"/>
            <w:gridSpan w:val="2"/>
            <w:tcBorders>
              <w:top w:val="single" w:color="auto" w:sz="4" w:space="0"/>
              <w:left w:val="single" w:color="auto" w:sz="4" w:space="0"/>
              <w:bottom w:val="single" w:color="auto" w:sz="4" w:space="0"/>
              <w:right w:val="single" w:color="auto" w:sz="4" w:space="0"/>
            </w:tcBorders>
            <w:shd w:val="clear" w:color="auto" w:fill="000000"/>
          </w:tcPr>
          <w:p>
            <w:pPr>
              <w:spacing w:after="0" w:line="360" w:lineRule="auto"/>
              <w:jc w:val="both"/>
              <w:rPr>
                <w:rFonts w:ascii="Times New Roman" w:hAnsi="Times New Roman" w:eastAsia="Calibri" w:cs="Times New Roman"/>
                <w:sz w:val="24"/>
                <w:szCs w:val="24"/>
              </w:rPr>
            </w:pPr>
          </w:p>
        </w:tc>
        <w:tc>
          <w:tcPr>
            <w:tcW w:w="970" w:type="dxa"/>
            <w:tcBorders>
              <w:top w:val="single" w:color="auto" w:sz="4" w:space="0"/>
              <w:left w:val="single" w:color="auto" w:sz="4" w:space="0"/>
              <w:bottom w:val="single" w:color="auto" w:sz="4" w:space="0"/>
              <w:right w:val="single" w:color="auto" w:sz="4" w:space="0"/>
            </w:tcBorders>
            <w:shd w:val="clear" w:color="auto" w:fill="000000"/>
          </w:tcPr>
          <w:p>
            <w:pPr>
              <w:spacing w:after="0" w:line="360" w:lineRule="auto"/>
              <w:jc w:val="both"/>
              <w:rPr>
                <w:rFonts w:ascii="Times New Roman" w:hAnsi="Times New Roman" w:eastAsia="Calibri" w:cs="Times New Roman"/>
                <w:sz w:val="24"/>
                <w:szCs w:val="24"/>
              </w:rPr>
            </w:pPr>
          </w:p>
        </w:tc>
        <w:tc>
          <w:tcPr>
            <w:tcW w:w="1485" w:type="dxa"/>
            <w:gridSpan w:val="2"/>
            <w:tcBorders>
              <w:top w:val="single" w:color="auto" w:sz="4" w:space="0"/>
              <w:left w:val="single" w:color="auto" w:sz="4" w:space="0"/>
              <w:bottom w:val="single" w:color="auto" w:sz="4" w:space="0"/>
              <w:right w:val="single" w:color="auto" w:sz="4" w:space="0"/>
            </w:tcBorders>
            <w:shd w:val="clear" w:color="auto" w:fill="000000" w:themeFill="text1"/>
          </w:tcPr>
          <w:p>
            <w:pPr>
              <w:spacing w:after="0" w:line="360" w:lineRule="auto"/>
              <w:jc w:val="both"/>
              <w:rPr>
                <w:rFonts w:ascii="Times New Roman" w:hAnsi="Times New Roman" w:eastAsia="Calibri" w:cs="Times New Roman"/>
                <w:sz w:val="24"/>
                <w:szCs w:val="24"/>
              </w:rPr>
            </w:pPr>
          </w:p>
          <w:p>
            <w:pPr>
              <w:spacing w:after="0" w:line="360" w:lineRule="auto"/>
              <w:jc w:val="both"/>
              <w:rPr>
                <w:rFonts w:ascii="Times New Roman" w:hAnsi="Times New Roman" w:eastAsia="Calibri" w:cs="Times New Roman"/>
                <w:sz w:val="24"/>
                <w:szCs w:val="24"/>
              </w:rPr>
            </w:pPr>
          </w:p>
        </w:tc>
        <w:tc>
          <w:tcPr>
            <w:tcW w:w="1034" w:type="dxa"/>
            <w:tcBorders>
              <w:top w:val="single" w:color="auto" w:sz="4" w:space="0"/>
              <w:left w:val="single" w:color="auto" w:sz="4" w:space="0"/>
              <w:bottom w:val="single" w:color="auto" w:sz="4" w:space="0"/>
              <w:right w:val="single" w:color="auto" w:sz="4" w:space="0"/>
            </w:tcBorders>
          </w:tcPr>
          <w:p>
            <w:pPr>
              <w:spacing w:after="0" w:line="360" w:lineRule="auto"/>
              <w:jc w:val="both"/>
              <w:rPr>
                <w:rFonts w:ascii="Times New Roman" w:hAnsi="Times New Roman" w:eastAsia="Calibri" w:cs="Times New Roman"/>
                <w:sz w:val="24"/>
                <w:szCs w:val="24"/>
              </w:rPr>
            </w:pPr>
          </w:p>
        </w:tc>
        <w:tc>
          <w:tcPr>
            <w:tcW w:w="1482" w:type="dxa"/>
            <w:gridSpan w:val="2"/>
            <w:tcBorders>
              <w:top w:val="single" w:color="auto" w:sz="4" w:space="0"/>
              <w:left w:val="single" w:color="auto" w:sz="4" w:space="0"/>
              <w:bottom w:val="single" w:color="auto" w:sz="4" w:space="0"/>
              <w:right w:val="single" w:color="auto" w:sz="4" w:space="0"/>
            </w:tcBorders>
          </w:tcPr>
          <w:p>
            <w:pPr>
              <w:spacing w:after="0" w:line="360" w:lineRule="auto"/>
              <w:jc w:val="both"/>
              <w:rPr>
                <w:rFonts w:ascii="Times New Roman" w:hAnsi="Times New Roman" w:eastAsia="Calibri" w:cs="Times New Roman"/>
                <w:sz w:val="24"/>
                <w:szCs w:val="24"/>
              </w:rPr>
            </w:pPr>
          </w:p>
        </w:tc>
        <w:tc>
          <w:tcPr>
            <w:tcW w:w="1333" w:type="dxa"/>
            <w:tcBorders>
              <w:top w:val="single" w:color="auto" w:sz="4" w:space="0"/>
              <w:left w:val="single" w:color="auto" w:sz="4" w:space="0"/>
              <w:bottom w:val="single" w:color="auto" w:sz="4" w:space="0"/>
              <w:right w:val="single" w:color="auto" w:sz="4" w:space="0"/>
            </w:tcBorders>
          </w:tcPr>
          <w:p>
            <w:pPr>
              <w:spacing w:after="0" w:line="360" w:lineRule="auto"/>
              <w:jc w:val="both"/>
              <w:rPr>
                <w:rFonts w:ascii="Times New Roman" w:hAnsi="Times New Roman" w:eastAsia="Calibri" w:cs="Times New Roman"/>
                <w:sz w:val="24"/>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548" w:hRule="atLeast"/>
        </w:trPr>
        <w:tc>
          <w:tcPr>
            <w:tcW w:w="3320" w:type="dxa"/>
            <w:tcBorders>
              <w:top w:val="single" w:color="auto" w:sz="4" w:space="0"/>
              <w:left w:val="single" w:color="auto" w:sz="4" w:space="0"/>
              <w:bottom w:val="single" w:color="auto" w:sz="4" w:space="0"/>
              <w:right w:val="single" w:color="auto" w:sz="4" w:space="0"/>
            </w:tcBorders>
          </w:tcPr>
          <w:p>
            <w:pPr>
              <w:spacing w:after="0" w:line="360" w:lineRule="auto"/>
              <w:jc w:val="both"/>
              <w:rPr>
                <w:rFonts w:ascii="Times New Roman" w:hAnsi="Times New Roman" w:eastAsia="Calibri" w:cs="Times New Roman"/>
                <w:sz w:val="24"/>
                <w:szCs w:val="24"/>
              </w:rPr>
            </w:pPr>
            <w:r>
              <w:rPr>
                <w:rFonts w:ascii="Times New Roman" w:hAnsi="Times New Roman" w:eastAsia="Calibri" w:cs="Times New Roman"/>
                <w:sz w:val="24"/>
                <w:szCs w:val="24"/>
              </w:rPr>
              <w:t>Promotions</w:t>
            </w:r>
          </w:p>
          <w:p>
            <w:pPr>
              <w:spacing w:after="0" w:line="360" w:lineRule="auto"/>
              <w:jc w:val="both"/>
              <w:rPr>
                <w:rFonts w:ascii="Times New Roman" w:hAnsi="Times New Roman" w:eastAsia="Calibri" w:cs="Times New Roman"/>
                <w:sz w:val="24"/>
                <w:szCs w:val="24"/>
              </w:rPr>
            </w:pPr>
          </w:p>
        </w:tc>
        <w:tc>
          <w:tcPr>
            <w:tcW w:w="1397" w:type="dxa"/>
            <w:gridSpan w:val="2"/>
            <w:tcBorders>
              <w:top w:val="single" w:color="auto" w:sz="4" w:space="0"/>
              <w:left w:val="single" w:color="auto" w:sz="4" w:space="0"/>
              <w:bottom w:val="single" w:color="auto" w:sz="4" w:space="0"/>
              <w:right w:val="single" w:color="auto" w:sz="4" w:space="0"/>
            </w:tcBorders>
          </w:tcPr>
          <w:p>
            <w:pPr>
              <w:spacing w:after="0" w:line="360" w:lineRule="auto"/>
              <w:jc w:val="both"/>
              <w:rPr>
                <w:rFonts w:ascii="Times New Roman" w:hAnsi="Times New Roman" w:eastAsia="Calibri" w:cs="Times New Roman"/>
                <w:sz w:val="24"/>
                <w:szCs w:val="24"/>
              </w:rPr>
            </w:pPr>
          </w:p>
        </w:tc>
        <w:tc>
          <w:tcPr>
            <w:tcW w:w="970" w:type="dxa"/>
            <w:tcBorders>
              <w:top w:val="single" w:color="auto" w:sz="4" w:space="0"/>
              <w:left w:val="single" w:color="auto" w:sz="4" w:space="0"/>
              <w:bottom w:val="single" w:color="auto" w:sz="4" w:space="0"/>
              <w:right w:val="single" w:color="auto" w:sz="4" w:space="0"/>
            </w:tcBorders>
          </w:tcPr>
          <w:p>
            <w:pPr>
              <w:spacing w:after="0" w:line="360" w:lineRule="auto"/>
              <w:jc w:val="both"/>
              <w:rPr>
                <w:rFonts w:ascii="Times New Roman" w:hAnsi="Times New Roman" w:eastAsia="Calibri" w:cs="Times New Roman"/>
                <w:sz w:val="24"/>
                <w:szCs w:val="24"/>
              </w:rPr>
            </w:pPr>
          </w:p>
        </w:tc>
        <w:tc>
          <w:tcPr>
            <w:tcW w:w="1485" w:type="dxa"/>
            <w:gridSpan w:val="2"/>
            <w:tcBorders>
              <w:top w:val="single" w:color="auto" w:sz="4" w:space="0"/>
              <w:left w:val="single" w:color="auto" w:sz="4" w:space="0"/>
              <w:bottom w:val="single" w:color="auto" w:sz="4" w:space="0"/>
              <w:right w:val="single" w:color="auto" w:sz="4" w:space="0"/>
            </w:tcBorders>
            <w:shd w:val="clear" w:color="auto" w:fill="A5A5A5" w:themeFill="background1" w:themeFillShade="A6"/>
          </w:tcPr>
          <w:p>
            <w:pPr>
              <w:spacing w:after="0" w:line="360" w:lineRule="auto"/>
              <w:jc w:val="both"/>
              <w:rPr>
                <w:rFonts w:ascii="Times New Roman" w:hAnsi="Times New Roman" w:eastAsia="Calibri" w:cs="Times New Roman"/>
                <w:sz w:val="24"/>
                <w:szCs w:val="24"/>
              </w:rPr>
            </w:pPr>
          </w:p>
        </w:tc>
        <w:tc>
          <w:tcPr>
            <w:tcW w:w="1034" w:type="dxa"/>
            <w:tcBorders>
              <w:top w:val="single" w:color="auto" w:sz="4" w:space="0"/>
              <w:left w:val="single" w:color="auto" w:sz="4" w:space="0"/>
              <w:bottom w:val="single" w:color="auto" w:sz="4" w:space="0"/>
              <w:right w:val="single" w:color="auto" w:sz="4" w:space="0"/>
            </w:tcBorders>
            <w:shd w:val="clear" w:color="auto" w:fill="A5A5A5" w:themeFill="background1" w:themeFillShade="A6"/>
          </w:tcPr>
          <w:p>
            <w:pPr>
              <w:spacing w:after="0" w:line="360" w:lineRule="auto"/>
              <w:jc w:val="both"/>
              <w:rPr>
                <w:rFonts w:ascii="Times New Roman" w:hAnsi="Times New Roman" w:eastAsia="Calibri" w:cs="Times New Roman"/>
                <w:sz w:val="24"/>
                <w:szCs w:val="24"/>
              </w:rPr>
            </w:pPr>
          </w:p>
        </w:tc>
        <w:tc>
          <w:tcPr>
            <w:tcW w:w="1482" w:type="dxa"/>
            <w:gridSpan w:val="2"/>
            <w:tcBorders>
              <w:top w:val="single" w:color="auto" w:sz="4" w:space="0"/>
              <w:left w:val="single" w:color="auto" w:sz="4" w:space="0"/>
              <w:bottom w:val="single" w:color="auto" w:sz="4" w:space="0"/>
              <w:right w:val="single" w:color="auto" w:sz="4" w:space="0"/>
            </w:tcBorders>
            <w:shd w:val="clear" w:color="auto" w:fill="A5A5A5" w:themeFill="background1" w:themeFillShade="A6"/>
          </w:tcPr>
          <w:p>
            <w:pPr>
              <w:spacing w:after="0" w:line="360" w:lineRule="auto"/>
              <w:jc w:val="both"/>
              <w:rPr>
                <w:rFonts w:ascii="Times New Roman" w:hAnsi="Times New Roman" w:eastAsia="Calibri" w:cs="Times New Roman"/>
                <w:sz w:val="24"/>
                <w:szCs w:val="24"/>
              </w:rPr>
            </w:pPr>
          </w:p>
        </w:tc>
        <w:tc>
          <w:tcPr>
            <w:tcW w:w="1333" w:type="dxa"/>
            <w:tcBorders>
              <w:top w:val="single" w:color="auto" w:sz="4" w:space="0"/>
              <w:left w:val="single" w:color="auto" w:sz="4" w:space="0"/>
              <w:bottom w:val="single" w:color="auto" w:sz="4" w:space="0"/>
              <w:right w:val="single" w:color="auto" w:sz="4" w:space="0"/>
            </w:tcBorders>
            <w:shd w:val="clear" w:color="auto" w:fill="A5A5A5" w:themeFill="background1" w:themeFillShade="A6"/>
          </w:tcPr>
          <w:p>
            <w:pPr>
              <w:spacing w:after="0" w:line="360" w:lineRule="auto"/>
              <w:jc w:val="both"/>
              <w:rPr>
                <w:rFonts w:ascii="Times New Roman" w:hAnsi="Times New Roman" w:eastAsia="Calibri" w:cs="Times New Roman"/>
                <w:sz w:val="24"/>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825" w:hRule="atLeast"/>
        </w:trPr>
        <w:tc>
          <w:tcPr>
            <w:tcW w:w="3320" w:type="dxa"/>
            <w:tcBorders>
              <w:top w:val="single" w:color="auto" w:sz="4" w:space="0"/>
              <w:left w:val="single" w:color="auto" w:sz="4" w:space="0"/>
              <w:bottom w:val="single" w:color="auto" w:sz="4" w:space="0"/>
              <w:right w:val="single" w:color="auto" w:sz="4" w:space="0"/>
            </w:tcBorders>
          </w:tcPr>
          <w:p>
            <w:pPr>
              <w:spacing w:after="0" w:line="360" w:lineRule="auto"/>
              <w:jc w:val="both"/>
              <w:rPr>
                <w:rFonts w:ascii="Times New Roman" w:hAnsi="Times New Roman" w:eastAsia="Calibri" w:cs="Times New Roman"/>
                <w:sz w:val="24"/>
                <w:szCs w:val="24"/>
              </w:rPr>
            </w:pPr>
            <w:r>
              <w:rPr>
                <w:rFonts w:ascii="Times New Roman" w:hAnsi="Times New Roman" w:eastAsia="Calibri" w:cs="Times New Roman"/>
                <w:sz w:val="24"/>
                <w:szCs w:val="24"/>
              </w:rPr>
              <w:t>Staff training</w:t>
            </w:r>
          </w:p>
        </w:tc>
        <w:tc>
          <w:tcPr>
            <w:tcW w:w="1397" w:type="dxa"/>
            <w:gridSpan w:val="2"/>
            <w:tcBorders>
              <w:top w:val="single" w:color="auto" w:sz="4" w:space="0"/>
              <w:left w:val="single" w:color="auto" w:sz="4" w:space="0"/>
              <w:bottom w:val="single" w:color="auto" w:sz="4" w:space="0"/>
              <w:right w:val="single" w:color="auto" w:sz="4" w:space="0"/>
            </w:tcBorders>
          </w:tcPr>
          <w:p>
            <w:pPr>
              <w:spacing w:after="0" w:line="360" w:lineRule="auto"/>
              <w:jc w:val="both"/>
              <w:rPr>
                <w:rFonts w:ascii="Times New Roman" w:hAnsi="Times New Roman" w:eastAsia="Calibri" w:cs="Times New Roman"/>
                <w:sz w:val="24"/>
                <w:szCs w:val="24"/>
              </w:rPr>
            </w:pPr>
          </w:p>
        </w:tc>
        <w:tc>
          <w:tcPr>
            <w:tcW w:w="970" w:type="dxa"/>
            <w:tcBorders>
              <w:top w:val="single" w:color="auto" w:sz="4" w:space="0"/>
              <w:left w:val="single" w:color="auto" w:sz="4" w:space="0"/>
              <w:bottom w:val="single" w:color="auto" w:sz="4" w:space="0"/>
              <w:right w:val="single" w:color="auto" w:sz="4" w:space="0"/>
            </w:tcBorders>
            <w:shd w:val="clear" w:color="auto" w:fill="70AD47" w:themeFill="accent6"/>
          </w:tcPr>
          <w:p>
            <w:pPr>
              <w:spacing w:after="0" w:line="360" w:lineRule="auto"/>
              <w:jc w:val="both"/>
              <w:rPr>
                <w:rFonts w:ascii="Times New Roman" w:hAnsi="Times New Roman" w:eastAsia="Calibri" w:cs="Times New Roman"/>
                <w:sz w:val="24"/>
                <w:szCs w:val="24"/>
              </w:rPr>
            </w:pPr>
          </w:p>
        </w:tc>
        <w:tc>
          <w:tcPr>
            <w:tcW w:w="1485" w:type="dxa"/>
            <w:gridSpan w:val="2"/>
            <w:tcBorders>
              <w:top w:val="nil"/>
              <w:left w:val="nil"/>
              <w:bottom w:val="nil"/>
              <w:right w:val="nil"/>
            </w:tcBorders>
            <w:shd w:val="clear" w:color="auto" w:fill="70AD47" w:themeFill="accent6"/>
            <w:vAlign w:val="bottom"/>
          </w:tcPr>
          <w:p>
            <w:pPr>
              <w:spacing w:after="0" w:line="360" w:lineRule="auto"/>
              <w:jc w:val="both"/>
              <w:rPr>
                <w:rFonts w:ascii="Times New Roman" w:hAnsi="Times New Roman" w:eastAsia="Calibri" w:cs="Times New Roman"/>
                <w:sz w:val="24"/>
                <w:szCs w:val="24"/>
              </w:rPr>
            </w:pPr>
            <w:r>
              <w:rPr>
                <w:rFonts w:ascii="Times New Roman" w:hAnsi="Times New Roman" w:eastAsia="Times New Roman" w:cs="Times New Roman"/>
                <w:sz w:val="24"/>
                <w:szCs w:val="24"/>
              </w:rPr>
              <w:t> </w:t>
            </w:r>
          </w:p>
        </w:tc>
        <w:tc>
          <w:tcPr>
            <w:tcW w:w="1034" w:type="dxa"/>
            <w:tcBorders>
              <w:top w:val="nil"/>
              <w:left w:val="nil"/>
              <w:bottom w:val="nil"/>
              <w:right w:val="nil"/>
            </w:tcBorders>
            <w:shd w:val="clear" w:color="auto" w:fill="70AD47" w:themeFill="accent6"/>
            <w:vAlign w:val="bottom"/>
          </w:tcPr>
          <w:p>
            <w:pPr>
              <w:spacing w:after="0" w:line="360" w:lineRule="auto"/>
              <w:jc w:val="both"/>
              <w:rPr>
                <w:rFonts w:ascii="Times New Roman" w:hAnsi="Times New Roman" w:eastAsia="Calibri" w:cs="Times New Roman"/>
                <w:sz w:val="24"/>
                <w:szCs w:val="24"/>
              </w:rPr>
            </w:pPr>
            <w:r>
              <w:rPr>
                <w:rFonts w:ascii="Times New Roman" w:hAnsi="Times New Roman" w:eastAsia="Times New Roman" w:cs="Times New Roman"/>
                <w:sz w:val="24"/>
                <w:szCs w:val="24"/>
              </w:rPr>
              <w:t> </w:t>
            </w:r>
          </w:p>
        </w:tc>
        <w:tc>
          <w:tcPr>
            <w:tcW w:w="1482" w:type="dxa"/>
            <w:gridSpan w:val="2"/>
            <w:tcBorders>
              <w:top w:val="nil"/>
              <w:left w:val="nil"/>
              <w:bottom w:val="nil"/>
              <w:right w:val="nil"/>
            </w:tcBorders>
            <w:shd w:val="clear" w:color="auto" w:fill="70AD47" w:themeFill="accent6"/>
            <w:vAlign w:val="bottom"/>
          </w:tcPr>
          <w:p>
            <w:pPr>
              <w:spacing w:after="0" w:line="360" w:lineRule="auto"/>
              <w:jc w:val="both"/>
              <w:rPr>
                <w:rFonts w:ascii="Times New Roman" w:hAnsi="Times New Roman" w:eastAsia="Calibri" w:cs="Times New Roman"/>
                <w:sz w:val="24"/>
                <w:szCs w:val="24"/>
              </w:rPr>
            </w:pPr>
            <w:r>
              <w:rPr>
                <w:rFonts w:ascii="Times New Roman" w:hAnsi="Times New Roman" w:eastAsia="Times New Roman" w:cs="Times New Roman"/>
                <w:sz w:val="24"/>
                <w:szCs w:val="24"/>
              </w:rPr>
              <w:t> </w:t>
            </w:r>
          </w:p>
        </w:tc>
        <w:tc>
          <w:tcPr>
            <w:tcW w:w="1333" w:type="dxa"/>
            <w:tcBorders>
              <w:top w:val="single" w:color="auto" w:sz="4" w:space="0"/>
              <w:left w:val="single" w:color="auto" w:sz="4" w:space="0"/>
              <w:bottom w:val="single" w:color="auto" w:sz="4" w:space="0"/>
              <w:right w:val="single" w:color="auto" w:sz="4" w:space="0"/>
            </w:tcBorders>
          </w:tcPr>
          <w:p>
            <w:pPr>
              <w:spacing w:after="0" w:line="360" w:lineRule="auto"/>
              <w:jc w:val="both"/>
              <w:rPr>
                <w:rFonts w:ascii="Times New Roman" w:hAnsi="Times New Roman" w:eastAsia="Calibri" w:cs="Times New Roman"/>
                <w:sz w:val="24"/>
                <w:szCs w:val="24"/>
              </w:rPr>
            </w:pPr>
          </w:p>
          <w:p>
            <w:pPr>
              <w:spacing w:after="0" w:line="360" w:lineRule="auto"/>
              <w:jc w:val="both"/>
              <w:rPr>
                <w:rFonts w:ascii="Times New Roman" w:hAnsi="Times New Roman" w:eastAsia="Calibri" w:cs="Times New Roman"/>
                <w:sz w:val="24"/>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1088" w:hRule="atLeast"/>
        </w:trPr>
        <w:tc>
          <w:tcPr>
            <w:tcW w:w="3320" w:type="dxa"/>
            <w:tcBorders>
              <w:top w:val="single" w:color="auto" w:sz="4" w:space="0"/>
              <w:left w:val="single" w:color="auto" w:sz="4" w:space="0"/>
              <w:bottom w:val="single" w:color="auto" w:sz="4" w:space="0"/>
              <w:right w:val="single" w:color="auto" w:sz="4" w:space="0"/>
            </w:tcBorders>
          </w:tcPr>
          <w:p>
            <w:pPr>
              <w:spacing w:after="0" w:line="360" w:lineRule="auto"/>
              <w:jc w:val="both"/>
              <w:rPr>
                <w:rFonts w:ascii="Times New Roman" w:hAnsi="Times New Roman" w:eastAsia="Calibri" w:cs="Times New Roman"/>
                <w:sz w:val="24"/>
                <w:szCs w:val="24"/>
              </w:rPr>
            </w:pPr>
            <w:r>
              <w:rPr>
                <w:rFonts w:ascii="Times New Roman" w:hAnsi="Times New Roman" w:eastAsia="Calibri" w:cs="Times New Roman"/>
                <w:sz w:val="24"/>
                <w:szCs w:val="24"/>
              </w:rPr>
              <w:t>Customer perception surveys</w:t>
            </w:r>
          </w:p>
        </w:tc>
        <w:tc>
          <w:tcPr>
            <w:tcW w:w="785" w:type="dxa"/>
            <w:tcBorders>
              <w:top w:val="single" w:color="auto" w:sz="4" w:space="0"/>
              <w:left w:val="single" w:color="auto" w:sz="4" w:space="0"/>
              <w:bottom w:val="single" w:color="auto" w:sz="4" w:space="0"/>
              <w:right w:val="single" w:color="auto" w:sz="4" w:space="0"/>
            </w:tcBorders>
            <w:shd w:val="clear" w:color="auto" w:fill="000000"/>
          </w:tcPr>
          <w:p>
            <w:pPr>
              <w:spacing w:after="0" w:line="360" w:lineRule="auto"/>
              <w:jc w:val="both"/>
              <w:rPr>
                <w:rFonts w:ascii="Times New Roman" w:hAnsi="Times New Roman" w:eastAsia="Calibri" w:cs="Times New Roman"/>
                <w:sz w:val="24"/>
                <w:szCs w:val="24"/>
              </w:rPr>
            </w:pPr>
          </w:p>
        </w:tc>
        <w:tc>
          <w:tcPr>
            <w:tcW w:w="611" w:type="dxa"/>
            <w:tcBorders>
              <w:top w:val="single" w:color="auto" w:sz="4" w:space="0"/>
              <w:left w:val="single" w:color="auto" w:sz="4" w:space="0"/>
              <w:bottom w:val="single" w:color="auto" w:sz="4" w:space="0"/>
              <w:right w:val="single" w:color="auto" w:sz="4" w:space="0"/>
            </w:tcBorders>
          </w:tcPr>
          <w:p>
            <w:pPr>
              <w:spacing w:after="0" w:line="360" w:lineRule="auto"/>
              <w:jc w:val="both"/>
              <w:rPr>
                <w:rFonts w:ascii="Times New Roman" w:hAnsi="Times New Roman" w:eastAsia="Calibri" w:cs="Times New Roman"/>
                <w:sz w:val="24"/>
                <w:szCs w:val="24"/>
              </w:rPr>
            </w:pPr>
          </w:p>
        </w:tc>
        <w:tc>
          <w:tcPr>
            <w:tcW w:w="970" w:type="dxa"/>
            <w:tcBorders>
              <w:top w:val="single" w:color="auto" w:sz="4" w:space="0"/>
              <w:left w:val="single" w:color="auto" w:sz="4" w:space="0"/>
              <w:bottom w:val="single" w:color="auto" w:sz="4" w:space="0"/>
              <w:right w:val="single" w:color="auto" w:sz="4" w:space="0"/>
            </w:tcBorders>
          </w:tcPr>
          <w:p>
            <w:pPr>
              <w:spacing w:after="0" w:line="360" w:lineRule="auto"/>
              <w:jc w:val="both"/>
              <w:rPr>
                <w:rFonts w:ascii="Times New Roman" w:hAnsi="Times New Roman" w:eastAsia="Calibri" w:cs="Times New Roman"/>
                <w:sz w:val="24"/>
                <w:szCs w:val="24"/>
              </w:rPr>
            </w:pPr>
          </w:p>
        </w:tc>
        <w:tc>
          <w:tcPr>
            <w:tcW w:w="874" w:type="dxa"/>
            <w:tcBorders>
              <w:top w:val="single" w:color="auto" w:sz="4" w:space="0"/>
              <w:left w:val="single" w:color="auto" w:sz="4" w:space="0"/>
              <w:bottom w:val="single" w:color="auto" w:sz="4" w:space="0"/>
              <w:right w:val="single" w:color="auto" w:sz="4" w:space="0"/>
            </w:tcBorders>
            <w:shd w:val="clear" w:color="auto" w:fill="000000"/>
          </w:tcPr>
          <w:p>
            <w:pPr>
              <w:spacing w:after="0" w:line="360" w:lineRule="auto"/>
              <w:jc w:val="both"/>
              <w:rPr>
                <w:rFonts w:ascii="Times New Roman" w:hAnsi="Times New Roman" w:eastAsia="Calibri" w:cs="Times New Roman"/>
                <w:sz w:val="24"/>
                <w:szCs w:val="24"/>
              </w:rPr>
            </w:pPr>
          </w:p>
        </w:tc>
        <w:tc>
          <w:tcPr>
            <w:tcW w:w="611" w:type="dxa"/>
            <w:tcBorders>
              <w:top w:val="single" w:color="auto" w:sz="4" w:space="0"/>
              <w:left w:val="single" w:color="auto" w:sz="4" w:space="0"/>
              <w:bottom w:val="single" w:color="auto" w:sz="4" w:space="0"/>
              <w:right w:val="single" w:color="auto" w:sz="4" w:space="0"/>
            </w:tcBorders>
          </w:tcPr>
          <w:p>
            <w:pPr>
              <w:spacing w:after="0" w:line="360" w:lineRule="auto"/>
              <w:jc w:val="both"/>
              <w:rPr>
                <w:rFonts w:ascii="Times New Roman" w:hAnsi="Times New Roman" w:eastAsia="Calibri" w:cs="Times New Roman"/>
                <w:sz w:val="24"/>
                <w:szCs w:val="24"/>
              </w:rPr>
            </w:pPr>
          </w:p>
        </w:tc>
        <w:tc>
          <w:tcPr>
            <w:tcW w:w="1034" w:type="dxa"/>
            <w:tcBorders>
              <w:top w:val="single" w:color="auto" w:sz="4" w:space="0"/>
              <w:left w:val="single" w:color="auto" w:sz="4" w:space="0"/>
              <w:bottom w:val="single" w:color="auto" w:sz="4" w:space="0"/>
              <w:right w:val="single" w:color="auto" w:sz="4" w:space="0"/>
            </w:tcBorders>
          </w:tcPr>
          <w:p>
            <w:pPr>
              <w:spacing w:after="0" w:line="360" w:lineRule="auto"/>
              <w:jc w:val="both"/>
              <w:rPr>
                <w:rFonts w:ascii="Times New Roman" w:hAnsi="Times New Roman" w:eastAsia="Calibri" w:cs="Times New Roman"/>
                <w:sz w:val="24"/>
                <w:szCs w:val="24"/>
              </w:rPr>
            </w:pPr>
          </w:p>
        </w:tc>
        <w:tc>
          <w:tcPr>
            <w:tcW w:w="792" w:type="dxa"/>
            <w:tcBorders>
              <w:top w:val="single" w:color="auto" w:sz="4" w:space="0"/>
              <w:left w:val="single" w:color="auto" w:sz="4" w:space="0"/>
              <w:bottom w:val="single" w:color="auto" w:sz="4" w:space="0"/>
              <w:right w:val="single" w:color="auto" w:sz="4" w:space="0"/>
            </w:tcBorders>
            <w:shd w:val="clear" w:color="auto" w:fill="000000"/>
          </w:tcPr>
          <w:p>
            <w:pPr>
              <w:spacing w:after="0" w:line="360" w:lineRule="auto"/>
              <w:jc w:val="both"/>
              <w:rPr>
                <w:rFonts w:ascii="Times New Roman" w:hAnsi="Times New Roman" w:eastAsia="Calibri" w:cs="Times New Roman"/>
                <w:sz w:val="24"/>
                <w:szCs w:val="24"/>
              </w:rPr>
            </w:pPr>
          </w:p>
        </w:tc>
        <w:tc>
          <w:tcPr>
            <w:tcW w:w="689" w:type="dxa"/>
            <w:tcBorders>
              <w:top w:val="single" w:color="auto" w:sz="4" w:space="0"/>
              <w:left w:val="single" w:color="auto" w:sz="4" w:space="0"/>
              <w:bottom w:val="single" w:color="auto" w:sz="4" w:space="0"/>
              <w:right w:val="single" w:color="auto" w:sz="4" w:space="0"/>
            </w:tcBorders>
          </w:tcPr>
          <w:p>
            <w:pPr>
              <w:spacing w:after="0" w:line="360" w:lineRule="auto"/>
              <w:jc w:val="both"/>
              <w:rPr>
                <w:rFonts w:ascii="Times New Roman" w:hAnsi="Times New Roman" w:eastAsia="Calibri" w:cs="Times New Roman"/>
                <w:sz w:val="24"/>
                <w:szCs w:val="24"/>
              </w:rPr>
            </w:pPr>
          </w:p>
        </w:tc>
        <w:tc>
          <w:tcPr>
            <w:tcW w:w="1333" w:type="dxa"/>
            <w:tcBorders>
              <w:top w:val="single" w:color="auto" w:sz="4" w:space="0"/>
              <w:left w:val="single" w:color="auto" w:sz="4" w:space="0"/>
              <w:bottom w:val="single" w:color="auto" w:sz="4" w:space="0"/>
              <w:right w:val="single" w:color="auto" w:sz="4" w:space="0"/>
            </w:tcBorders>
            <w:shd w:val="clear" w:color="auto" w:fill="000000" w:themeFill="text1"/>
          </w:tcPr>
          <w:p>
            <w:pPr>
              <w:spacing w:after="0" w:line="360" w:lineRule="auto"/>
              <w:jc w:val="both"/>
              <w:rPr>
                <w:rFonts w:ascii="Times New Roman" w:hAnsi="Times New Roman" w:eastAsia="Calibri" w:cs="Times New Roman"/>
                <w:sz w:val="24"/>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1142" w:hRule="atLeast"/>
        </w:trPr>
        <w:tc>
          <w:tcPr>
            <w:tcW w:w="3320" w:type="dxa"/>
            <w:tcBorders>
              <w:top w:val="single" w:color="auto" w:sz="4" w:space="0"/>
              <w:left w:val="single" w:color="auto" w:sz="4" w:space="0"/>
              <w:bottom w:val="single" w:color="auto" w:sz="4" w:space="0"/>
              <w:right w:val="single" w:color="auto" w:sz="4" w:space="0"/>
            </w:tcBorders>
          </w:tcPr>
          <w:p>
            <w:pPr>
              <w:spacing w:after="0" w:line="360" w:lineRule="auto"/>
              <w:jc w:val="both"/>
              <w:rPr>
                <w:rFonts w:ascii="Times New Roman" w:hAnsi="Times New Roman" w:eastAsia="Calibri" w:cs="Times New Roman"/>
                <w:sz w:val="24"/>
                <w:szCs w:val="24"/>
              </w:rPr>
            </w:pPr>
            <w:r>
              <w:rPr>
                <w:rFonts w:ascii="Times New Roman" w:hAnsi="Times New Roman" w:eastAsia="Calibri" w:cs="Times New Roman"/>
                <w:sz w:val="24"/>
                <w:szCs w:val="24"/>
              </w:rPr>
              <w:t>Launch of new products in existing and foreign marikets</w:t>
            </w:r>
          </w:p>
        </w:tc>
        <w:tc>
          <w:tcPr>
            <w:tcW w:w="1397" w:type="dxa"/>
            <w:gridSpan w:val="2"/>
            <w:tcBorders>
              <w:top w:val="single" w:color="auto" w:sz="4" w:space="0"/>
              <w:left w:val="single" w:color="auto" w:sz="4" w:space="0"/>
              <w:bottom w:val="single" w:color="auto" w:sz="4" w:space="0"/>
              <w:right w:val="single" w:color="auto" w:sz="4" w:space="0"/>
            </w:tcBorders>
            <w:shd w:val="clear" w:color="auto" w:fill="FFFFFF" w:themeFill="background1"/>
          </w:tcPr>
          <w:p>
            <w:pPr>
              <w:spacing w:after="0" w:line="360" w:lineRule="auto"/>
              <w:jc w:val="both"/>
              <w:rPr>
                <w:rFonts w:ascii="Times New Roman" w:hAnsi="Times New Roman" w:eastAsia="Calibri" w:cs="Times New Roman"/>
                <w:sz w:val="24"/>
                <w:szCs w:val="24"/>
              </w:rPr>
            </w:pPr>
          </w:p>
        </w:tc>
        <w:tc>
          <w:tcPr>
            <w:tcW w:w="970" w:type="dxa"/>
            <w:tcBorders>
              <w:top w:val="single" w:color="auto" w:sz="4" w:space="0"/>
              <w:left w:val="single" w:color="auto" w:sz="4" w:space="0"/>
              <w:bottom w:val="single" w:color="auto" w:sz="4" w:space="0"/>
              <w:right w:val="single" w:color="auto" w:sz="4" w:space="0"/>
            </w:tcBorders>
            <w:shd w:val="clear" w:color="auto" w:fill="ED7D31" w:themeFill="accent2"/>
          </w:tcPr>
          <w:p>
            <w:pPr>
              <w:spacing w:after="0" w:line="360" w:lineRule="auto"/>
              <w:jc w:val="both"/>
              <w:rPr>
                <w:rFonts w:ascii="Times New Roman" w:hAnsi="Times New Roman" w:eastAsia="Calibri" w:cs="Times New Roman"/>
                <w:sz w:val="24"/>
                <w:szCs w:val="24"/>
              </w:rPr>
            </w:pPr>
          </w:p>
        </w:tc>
        <w:tc>
          <w:tcPr>
            <w:tcW w:w="1485" w:type="dxa"/>
            <w:gridSpan w:val="2"/>
            <w:tcBorders>
              <w:top w:val="single" w:color="auto" w:sz="4" w:space="0"/>
              <w:left w:val="single" w:color="auto" w:sz="4" w:space="0"/>
              <w:bottom w:val="single" w:color="auto" w:sz="4" w:space="0"/>
              <w:right w:val="single" w:color="auto" w:sz="4" w:space="0"/>
            </w:tcBorders>
            <w:shd w:val="clear" w:color="auto" w:fill="FFFFFF" w:themeFill="background1"/>
          </w:tcPr>
          <w:p>
            <w:pPr>
              <w:spacing w:after="0" w:line="360" w:lineRule="auto"/>
              <w:jc w:val="both"/>
              <w:rPr>
                <w:rFonts w:ascii="Times New Roman" w:hAnsi="Times New Roman" w:eastAsia="Calibri" w:cs="Times New Roman"/>
                <w:sz w:val="24"/>
                <w:szCs w:val="24"/>
              </w:rPr>
            </w:pPr>
          </w:p>
        </w:tc>
        <w:tc>
          <w:tcPr>
            <w:tcW w:w="1034" w:type="dxa"/>
            <w:tcBorders>
              <w:top w:val="single" w:color="auto" w:sz="4" w:space="0"/>
              <w:left w:val="single" w:color="auto" w:sz="4" w:space="0"/>
              <w:bottom w:val="single" w:color="auto" w:sz="4" w:space="0"/>
              <w:right w:val="single" w:color="auto" w:sz="4" w:space="0"/>
            </w:tcBorders>
            <w:shd w:val="clear" w:color="auto" w:fill="FFFFFF" w:themeFill="background1"/>
          </w:tcPr>
          <w:p>
            <w:pPr>
              <w:spacing w:after="0" w:line="360" w:lineRule="auto"/>
              <w:jc w:val="both"/>
              <w:rPr>
                <w:rFonts w:ascii="Times New Roman" w:hAnsi="Times New Roman" w:eastAsia="Calibri" w:cs="Times New Roman"/>
                <w:sz w:val="24"/>
                <w:szCs w:val="24"/>
              </w:rPr>
            </w:pPr>
          </w:p>
        </w:tc>
        <w:tc>
          <w:tcPr>
            <w:tcW w:w="1482" w:type="dxa"/>
            <w:gridSpan w:val="2"/>
            <w:tcBorders>
              <w:top w:val="single" w:color="auto" w:sz="4" w:space="0"/>
              <w:left w:val="single" w:color="auto" w:sz="4" w:space="0"/>
              <w:bottom w:val="single" w:color="auto" w:sz="4" w:space="0"/>
              <w:right w:val="single" w:color="auto" w:sz="4" w:space="0"/>
            </w:tcBorders>
            <w:shd w:val="clear" w:color="auto" w:fill="FFFFFF" w:themeFill="background1"/>
          </w:tcPr>
          <w:p>
            <w:pPr>
              <w:spacing w:after="0" w:line="360" w:lineRule="auto"/>
              <w:jc w:val="both"/>
              <w:rPr>
                <w:rFonts w:ascii="Times New Roman" w:hAnsi="Times New Roman" w:eastAsia="Calibri" w:cs="Times New Roman"/>
                <w:sz w:val="24"/>
                <w:szCs w:val="24"/>
              </w:rPr>
            </w:pPr>
          </w:p>
        </w:tc>
        <w:tc>
          <w:tcPr>
            <w:tcW w:w="1333" w:type="dxa"/>
            <w:tcBorders>
              <w:top w:val="single" w:color="auto" w:sz="4" w:space="0"/>
              <w:left w:val="single" w:color="auto" w:sz="4" w:space="0"/>
              <w:bottom w:val="single" w:color="auto" w:sz="4" w:space="0"/>
              <w:right w:val="single" w:color="auto" w:sz="4" w:space="0"/>
            </w:tcBorders>
            <w:shd w:val="clear" w:color="auto" w:fill="FFFFFF" w:themeFill="background1"/>
          </w:tcPr>
          <w:p>
            <w:pPr>
              <w:spacing w:after="0" w:line="360" w:lineRule="auto"/>
              <w:jc w:val="both"/>
              <w:rPr>
                <w:rFonts w:ascii="Times New Roman" w:hAnsi="Times New Roman" w:eastAsia="Calibri" w:cs="Times New Roman"/>
                <w:sz w:val="24"/>
                <w:szCs w:val="24"/>
              </w:rPr>
            </w:pPr>
          </w:p>
        </w:tc>
      </w:tr>
    </w:tbl>
    <w:p>
      <w:pPr>
        <w:spacing w:line="360" w:lineRule="auto"/>
        <w:jc w:val="both"/>
        <w:rPr>
          <w:rFonts w:ascii="Times New Roman" w:hAnsi="Times New Roman" w:cs="Times New Roman"/>
          <w:sz w:val="24"/>
          <w:szCs w:val="24"/>
        </w:rPr>
      </w:pPr>
    </w:p>
    <w:p>
      <w:pPr>
        <w:pStyle w:val="2"/>
        <w:spacing w:line="360" w:lineRule="auto"/>
        <w:rPr>
          <w:rFonts w:cs="Times New Roman"/>
          <w:szCs w:val="24"/>
        </w:rPr>
      </w:pPr>
      <w:bookmarkStart w:id="37" w:name="_Toc102942414"/>
      <w:bookmarkStart w:id="38" w:name="_Toc102390657"/>
      <w:bookmarkStart w:id="39" w:name="_Toc102390295"/>
      <w:r>
        <w:rPr>
          <w:rFonts w:cs="Times New Roman"/>
          <w:szCs w:val="24"/>
        </w:rPr>
        <w:t>7. Control</w:t>
      </w:r>
      <w:bookmarkEnd w:id="37"/>
      <w:bookmarkEnd w:id="38"/>
      <w:bookmarkEnd w:id="39"/>
      <w:r>
        <w:rPr>
          <w:rFonts w:cs="Times New Roman"/>
          <w:szCs w:val="24"/>
        </w:rPr>
        <w:t xml:space="preserve">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Table 2 below provides a summary of the key performance indicators that can be used in tracking the achievement of the objective.</w:t>
      </w:r>
    </w:p>
    <w:p>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Table 2: Key performance indicators for implementation of IHG’s marketing plan</w:t>
      </w:r>
    </w:p>
    <w:p>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Source: Compiled by report</w:t>
      </w:r>
    </w:p>
    <w:tbl>
      <w:tblPr>
        <w:tblStyle w:val="13"/>
        <w:tblW w:w="1029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089"/>
        <w:gridCol w:w="1899"/>
        <w:gridCol w:w="1813"/>
        <w:gridCol w:w="2072"/>
        <w:gridCol w:w="2417"/>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82" w:hRule="atLeast"/>
        </w:trPr>
        <w:tc>
          <w:tcPr>
            <w:tcW w:w="2089" w:type="dxa"/>
            <w:tcBorders>
              <w:top w:val="single" w:color="auto" w:sz="4" w:space="0"/>
              <w:left w:val="single" w:color="auto" w:sz="4" w:space="0"/>
              <w:bottom w:val="single" w:color="auto" w:sz="4" w:space="0"/>
              <w:right w:val="single" w:color="auto" w:sz="4" w:space="0"/>
            </w:tcBorders>
          </w:tcPr>
          <w:p>
            <w:pPr>
              <w:spacing w:after="0" w:line="240" w:lineRule="auto"/>
              <w:rPr>
                <w:rFonts w:ascii="Times New Roman" w:hAnsi="Times New Roman" w:eastAsia="Times New Roman" w:cs="Times New Roman"/>
              </w:rPr>
            </w:pPr>
            <w:bookmarkStart w:id="40" w:name="_Toc102390296"/>
            <w:r>
              <w:rPr>
                <w:rFonts w:ascii="Times New Roman" w:hAnsi="Times New Roman" w:eastAsia="Times New Roman" w:cs="Times New Roman"/>
              </w:rPr>
              <w:t>Objective</w:t>
            </w:r>
            <w:bookmarkEnd w:id="40"/>
          </w:p>
        </w:tc>
        <w:tc>
          <w:tcPr>
            <w:tcW w:w="1899" w:type="dxa"/>
            <w:tcBorders>
              <w:top w:val="single" w:color="auto" w:sz="4" w:space="0"/>
              <w:left w:val="single" w:color="auto" w:sz="4" w:space="0"/>
              <w:bottom w:val="single" w:color="auto" w:sz="4" w:space="0"/>
              <w:right w:val="single" w:color="auto" w:sz="4" w:space="0"/>
            </w:tcBorders>
          </w:tcPr>
          <w:p>
            <w:pPr>
              <w:spacing w:after="0" w:line="240" w:lineRule="auto"/>
              <w:rPr>
                <w:rFonts w:ascii="Times New Roman" w:hAnsi="Times New Roman" w:eastAsia="Times New Roman" w:cs="Times New Roman"/>
              </w:rPr>
            </w:pPr>
            <w:bookmarkStart w:id="41" w:name="_Toc102390297"/>
            <w:r>
              <w:rPr>
                <w:rFonts w:ascii="Times New Roman" w:hAnsi="Times New Roman" w:eastAsia="Times New Roman" w:cs="Times New Roman"/>
              </w:rPr>
              <w:t>Strategy</w:t>
            </w:r>
            <w:bookmarkEnd w:id="41"/>
          </w:p>
        </w:tc>
        <w:tc>
          <w:tcPr>
            <w:tcW w:w="1813" w:type="dxa"/>
            <w:tcBorders>
              <w:top w:val="single" w:color="auto" w:sz="4" w:space="0"/>
              <w:left w:val="single" w:color="auto" w:sz="4" w:space="0"/>
              <w:bottom w:val="single" w:color="auto" w:sz="4" w:space="0"/>
              <w:right w:val="single" w:color="auto" w:sz="4" w:space="0"/>
            </w:tcBorders>
          </w:tcPr>
          <w:p>
            <w:pPr>
              <w:spacing w:after="0" w:line="240" w:lineRule="auto"/>
              <w:rPr>
                <w:rFonts w:ascii="Times New Roman" w:hAnsi="Times New Roman" w:eastAsia="Times New Roman" w:cs="Times New Roman"/>
              </w:rPr>
            </w:pPr>
            <w:bookmarkStart w:id="42" w:name="_Toc102390298"/>
            <w:r>
              <w:rPr>
                <w:rFonts w:ascii="Times New Roman" w:hAnsi="Times New Roman" w:eastAsia="Times New Roman" w:cs="Times New Roman"/>
              </w:rPr>
              <w:t>Activity</w:t>
            </w:r>
            <w:bookmarkEnd w:id="42"/>
          </w:p>
        </w:tc>
        <w:tc>
          <w:tcPr>
            <w:tcW w:w="2072" w:type="dxa"/>
            <w:tcBorders>
              <w:top w:val="single" w:color="auto" w:sz="4" w:space="0"/>
              <w:left w:val="single" w:color="auto" w:sz="4" w:space="0"/>
              <w:bottom w:val="single" w:color="auto" w:sz="4" w:space="0"/>
              <w:right w:val="single" w:color="auto" w:sz="4" w:space="0"/>
            </w:tcBorders>
          </w:tcPr>
          <w:p>
            <w:pPr>
              <w:spacing w:after="0" w:line="240" w:lineRule="auto"/>
              <w:rPr>
                <w:rFonts w:ascii="Times New Roman" w:hAnsi="Times New Roman" w:eastAsia="Times New Roman" w:cs="Times New Roman"/>
              </w:rPr>
            </w:pPr>
            <w:bookmarkStart w:id="43" w:name="_Toc102390299"/>
            <w:r>
              <w:rPr>
                <w:rFonts w:ascii="Times New Roman" w:hAnsi="Times New Roman" w:eastAsia="Times New Roman" w:cs="Times New Roman"/>
              </w:rPr>
              <w:t>KPI (Performance indicator)</w:t>
            </w:r>
            <w:bookmarkEnd w:id="43"/>
          </w:p>
        </w:tc>
        <w:tc>
          <w:tcPr>
            <w:tcW w:w="2417" w:type="dxa"/>
            <w:tcBorders>
              <w:top w:val="single" w:color="auto" w:sz="4" w:space="0"/>
              <w:left w:val="single" w:color="auto" w:sz="4" w:space="0"/>
              <w:bottom w:val="single" w:color="auto" w:sz="4" w:space="0"/>
              <w:right w:val="single" w:color="auto" w:sz="4" w:space="0"/>
            </w:tcBorders>
          </w:tcPr>
          <w:p>
            <w:pPr>
              <w:spacing w:after="0" w:line="240" w:lineRule="auto"/>
              <w:rPr>
                <w:rFonts w:ascii="Times New Roman" w:hAnsi="Times New Roman" w:eastAsia="Times New Roman" w:cs="Times New Roman"/>
              </w:rPr>
            </w:pPr>
            <w:bookmarkStart w:id="44" w:name="_Toc102390300"/>
            <w:r>
              <w:rPr>
                <w:rFonts w:ascii="Times New Roman" w:hAnsi="Times New Roman" w:eastAsia="Times New Roman" w:cs="Times New Roman"/>
              </w:rPr>
              <w:t>Monitoring</w:t>
            </w:r>
            <w:bookmarkEnd w:id="44"/>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327" w:hRule="atLeast"/>
        </w:trPr>
        <w:tc>
          <w:tcPr>
            <w:tcW w:w="2089" w:type="dxa"/>
            <w:vMerge w:val="restart"/>
            <w:tcBorders>
              <w:top w:val="nil"/>
              <w:left w:val="single" w:color="auto" w:sz="4" w:space="0"/>
              <w:right w:val="single" w:color="auto" w:sz="4" w:space="0"/>
            </w:tcBorders>
          </w:tcPr>
          <w:p>
            <w:pPr>
              <w:pStyle w:val="16"/>
              <w:spacing w:line="360" w:lineRule="auto"/>
              <w:ind w:left="0"/>
              <w:jc w:val="both"/>
              <w:rPr>
                <w:rFonts w:ascii="Times New Roman" w:hAnsi="Times New Roman" w:eastAsia="Times New Roman" w:cs="Times New Roman"/>
              </w:rPr>
            </w:pPr>
            <w:r>
              <w:rPr>
                <w:rFonts w:ascii="Times New Roman" w:hAnsi="Times New Roman" w:cs="Times New Roman"/>
                <w:sz w:val="24"/>
                <w:szCs w:val="24"/>
              </w:rPr>
              <w:t>To diversify revenue sources and realise at least 20% growth in revenue earnings from customers aged 55 and above by the end of 2023.</w:t>
            </w:r>
          </w:p>
          <w:p>
            <w:pPr>
              <w:spacing w:after="0" w:line="240" w:lineRule="auto"/>
              <w:rPr>
                <w:rFonts w:ascii="Times New Roman" w:hAnsi="Times New Roman" w:eastAsia="Calibri" w:cs="Times New Roman"/>
              </w:rPr>
            </w:pPr>
            <w:r>
              <w:rPr>
                <w:rFonts w:ascii="Times New Roman" w:hAnsi="Times New Roman" w:eastAsia="Times New Roman" w:cs="Times New Roman"/>
              </w:rPr>
              <w:t xml:space="preserve"> </w:t>
            </w:r>
          </w:p>
        </w:tc>
        <w:tc>
          <w:tcPr>
            <w:tcW w:w="1899" w:type="dxa"/>
            <w:vMerge w:val="restart"/>
            <w:tcBorders>
              <w:top w:val="nil"/>
              <w:left w:val="single" w:color="auto" w:sz="4" w:space="0"/>
              <w:bottom w:val="single" w:color="auto" w:sz="4" w:space="0"/>
              <w:right w:val="single" w:color="auto" w:sz="4" w:space="0"/>
            </w:tcBorders>
          </w:tcPr>
          <w:p>
            <w:pPr>
              <w:spacing w:after="0" w:line="240" w:lineRule="auto"/>
              <w:rPr>
                <w:rFonts w:ascii="Times New Roman" w:hAnsi="Times New Roman" w:eastAsia="Times New Roman" w:cs="Times New Roman"/>
              </w:rPr>
            </w:pPr>
            <w:bookmarkStart w:id="45" w:name="_Toc102390301"/>
            <w:r>
              <w:rPr>
                <w:rFonts w:ascii="Times New Roman" w:hAnsi="Times New Roman" w:eastAsia="Times New Roman" w:cs="Times New Roman"/>
              </w:rPr>
              <w:t>Brand extension strategy</w:t>
            </w:r>
            <w:bookmarkEnd w:id="45"/>
          </w:p>
          <w:p>
            <w:pPr>
              <w:spacing w:after="0" w:line="240" w:lineRule="auto"/>
              <w:rPr>
                <w:rFonts w:ascii="Times New Roman" w:hAnsi="Times New Roman" w:eastAsia="Times New Roman" w:cs="Times New Roman"/>
                <w:highlight w:val="yellow"/>
              </w:rPr>
            </w:pPr>
          </w:p>
        </w:tc>
        <w:tc>
          <w:tcPr>
            <w:tcW w:w="1813" w:type="dxa"/>
            <w:tcBorders>
              <w:top w:val="single" w:color="auto" w:sz="4" w:space="0"/>
              <w:left w:val="single" w:color="auto" w:sz="4" w:space="0"/>
              <w:bottom w:val="single" w:color="auto" w:sz="4" w:space="0"/>
              <w:right w:val="single" w:color="auto" w:sz="4" w:space="0"/>
            </w:tcBorders>
          </w:tcPr>
          <w:p>
            <w:pPr>
              <w:spacing w:after="0" w:line="240" w:lineRule="auto"/>
              <w:rPr>
                <w:rFonts w:ascii="Times New Roman" w:hAnsi="Times New Roman" w:eastAsia="Times New Roman" w:cs="Times New Roman"/>
              </w:rPr>
            </w:pPr>
            <w:bookmarkStart w:id="46" w:name="_Toc102390302"/>
            <w:r>
              <w:rPr>
                <w:rFonts w:ascii="Times New Roman" w:hAnsi="Times New Roman" w:eastAsia="Times New Roman" w:cs="Times New Roman"/>
              </w:rPr>
              <w:t>Launching of new products under the IHG brand</w:t>
            </w:r>
            <w:bookmarkEnd w:id="46"/>
          </w:p>
        </w:tc>
        <w:tc>
          <w:tcPr>
            <w:tcW w:w="2072" w:type="dxa"/>
            <w:tcBorders>
              <w:top w:val="single" w:color="auto" w:sz="4" w:space="0"/>
              <w:left w:val="single" w:color="auto" w:sz="4" w:space="0"/>
              <w:bottom w:val="single" w:color="auto" w:sz="4" w:space="0"/>
              <w:right w:val="single" w:color="auto" w:sz="4" w:space="0"/>
            </w:tcBorders>
          </w:tcPr>
          <w:p>
            <w:pPr>
              <w:spacing w:after="0" w:line="240" w:lineRule="auto"/>
              <w:rPr>
                <w:rFonts w:ascii="Times New Roman" w:hAnsi="Times New Roman" w:eastAsia="Times New Roman" w:cs="Times New Roman"/>
              </w:rPr>
            </w:pPr>
            <w:bookmarkStart w:id="47" w:name="_Toc102390303"/>
            <w:r>
              <w:rPr>
                <w:rFonts w:ascii="Times New Roman" w:hAnsi="Times New Roman" w:eastAsia="Times New Roman" w:cs="Times New Roman"/>
              </w:rPr>
              <w:t>Increase in IHG sales</w:t>
            </w:r>
            <w:bookmarkEnd w:id="47"/>
          </w:p>
          <w:p>
            <w:pPr>
              <w:spacing w:after="0" w:line="240" w:lineRule="auto"/>
              <w:rPr>
                <w:rFonts w:ascii="Times New Roman" w:hAnsi="Times New Roman" w:eastAsia="Times New Roman" w:cs="Times New Roman"/>
              </w:rPr>
            </w:pPr>
            <w:bookmarkStart w:id="48" w:name="_Toc102390304"/>
            <w:r>
              <w:rPr>
                <w:rFonts w:ascii="Times New Roman" w:hAnsi="Times New Roman" w:eastAsia="Times New Roman" w:cs="Times New Roman"/>
              </w:rPr>
              <w:t>Increase in the percentage of revenue from customers aged 55 years and above.</w:t>
            </w:r>
            <w:bookmarkEnd w:id="48"/>
          </w:p>
        </w:tc>
        <w:tc>
          <w:tcPr>
            <w:tcW w:w="2417" w:type="dxa"/>
            <w:tcBorders>
              <w:top w:val="single" w:color="auto" w:sz="4" w:space="0"/>
              <w:left w:val="single" w:color="auto" w:sz="4" w:space="0"/>
              <w:bottom w:val="single" w:color="auto" w:sz="4" w:space="0"/>
              <w:right w:val="single" w:color="auto" w:sz="4" w:space="0"/>
            </w:tcBorders>
          </w:tcPr>
          <w:p>
            <w:pPr>
              <w:spacing w:after="0" w:line="240" w:lineRule="auto"/>
              <w:rPr>
                <w:rFonts w:ascii="Times New Roman" w:hAnsi="Times New Roman" w:eastAsia="Times New Roman" w:cs="Times New Roman"/>
              </w:rPr>
            </w:pPr>
            <w:bookmarkStart w:id="49" w:name="_Toc102390305"/>
            <w:r>
              <w:rPr>
                <w:rFonts w:ascii="Times New Roman" w:hAnsi="Times New Roman" w:eastAsia="Times New Roman" w:cs="Times New Roman"/>
              </w:rPr>
              <w:t>Number of new successful products launched under the IHG mother brand.</w:t>
            </w:r>
            <w:bookmarkEnd w:id="49"/>
          </w:p>
          <w:p>
            <w:pPr>
              <w:spacing w:after="0" w:line="240" w:lineRule="auto"/>
              <w:rPr>
                <w:rFonts w:ascii="Times New Roman" w:hAnsi="Times New Roman" w:eastAsia="Times New Roman" w:cs="Times New Roman"/>
              </w:rPr>
            </w:pPr>
            <w:bookmarkStart w:id="50" w:name="_Toc102390306"/>
            <w:r>
              <w:rPr>
                <w:rFonts w:ascii="Times New Roman" w:hAnsi="Times New Roman" w:eastAsia="Times New Roman" w:cs="Times New Roman"/>
              </w:rPr>
              <w:t xml:space="preserve">Percentage of revenue generated from </w:t>
            </w:r>
            <w:bookmarkEnd w:id="50"/>
            <w:r>
              <w:rPr>
                <w:rFonts w:ascii="Times New Roman" w:hAnsi="Times New Roman" w:eastAsia="Times New Roman" w:cs="Times New Roman"/>
              </w:rPr>
              <w:t>old customers (55 years and above).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187" w:hRule="atLeast"/>
        </w:trPr>
        <w:tc>
          <w:tcPr>
            <w:tcW w:w="0" w:type="auto"/>
            <w:vMerge w:val="continue"/>
            <w:tcBorders>
              <w:left w:val="single" w:color="auto" w:sz="4" w:space="0"/>
              <w:right w:val="single" w:color="auto" w:sz="4" w:space="0"/>
            </w:tcBorders>
            <w:vAlign w:val="center"/>
          </w:tcPr>
          <w:p>
            <w:pPr>
              <w:spacing w:after="0" w:line="240" w:lineRule="auto"/>
              <w:rPr>
                <w:rFonts w:ascii="Times New Roman" w:hAnsi="Times New Roman" w:eastAsia="Calibri" w:cs="Times New Roman"/>
              </w:rPr>
            </w:pPr>
          </w:p>
        </w:tc>
        <w:tc>
          <w:tcPr>
            <w:tcW w:w="0" w:type="auto"/>
            <w:vMerge w:val="continue"/>
            <w:tcBorders>
              <w:top w:val="nil"/>
              <w:left w:val="single" w:color="auto" w:sz="4" w:space="0"/>
              <w:bottom w:val="single" w:color="auto" w:sz="4" w:space="0"/>
              <w:right w:val="single" w:color="auto" w:sz="4" w:space="0"/>
            </w:tcBorders>
            <w:vAlign w:val="center"/>
          </w:tcPr>
          <w:p>
            <w:pPr>
              <w:spacing w:after="0" w:line="240" w:lineRule="auto"/>
              <w:rPr>
                <w:rFonts w:ascii="Times New Roman" w:hAnsi="Times New Roman" w:eastAsia="Times New Roman" w:cs="Times New Roman"/>
                <w:highlight w:val="yellow"/>
              </w:rPr>
            </w:pPr>
          </w:p>
        </w:tc>
        <w:tc>
          <w:tcPr>
            <w:tcW w:w="1813" w:type="dxa"/>
            <w:tcBorders>
              <w:top w:val="single" w:color="auto" w:sz="4" w:space="0"/>
              <w:left w:val="single" w:color="auto" w:sz="4" w:space="0"/>
              <w:bottom w:val="single" w:color="auto" w:sz="4" w:space="0"/>
              <w:right w:val="single" w:color="auto" w:sz="4" w:space="0"/>
            </w:tcBorders>
          </w:tcPr>
          <w:p>
            <w:pPr>
              <w:spacing w:after="0" w:line="240" w:lineRule="auto"/>
              <w:rPr>
                <w:rFonts w:ascii="Times New Roman" w:hAnsi="Times New Roman" w:eastAsia="Calibri" w:cs="Times New Roman"/>
              </w:rPr>
            </w:pPr>
            <w:r>
              <w:rPr>
                <w:rFonts w:ascii="Times New Roman" w:hAnsi="Times New Roman" w:eastAsia="Calibri" w:cs="Times New Roman"/>
              </w:rPr>
              <w:t>Staff training</w:t>
            </w:r>
          </w:p>
        </w:tc>
        <w:tc>
          <w:tcPr>
            <w:tcW w:w="2072" w:type="dxa"/>
            <w:tcBorders>
              <w:top w:val="single" w:color="auto" w:sz="4" w:space="0"/>
              <w:left w:val="single" w:color="auto" w:sz="4" w:space="0"/>
              <w:bottom w:val="single" w:color="auto" w:sz="4" w:space="0"/>
              <w:right w:val="single" w:color="auto" w:sz="4" w:space="0"/>
            </w:tcBorders>
          </w:tcPr>
          <w:p>
            <w:pPr>
              <w:spacing w:after="0" w:line="240" w:lineRule="auto"/>
              <w:rPr>
                <w:rFonts w:ascii="Times New Roman" w:hAnsi="Times New Roman" w:eastAsia="Times New Roman" w:cs="Times New Roman"/>
              </w:rPr>
            </w:pPr>
            <w:bookmarkStart w:id="51" w:name="_Toc102390307"/>
            <w:r>
              <w:rPr>
                <w:rFonts w:ascii="Times New Roman" w:hAnsi="Times New Roman" w:eastAsia="Times New Roman" w:cs="Times New Roman"/>
              </w:rPr>
              <w:t>Efficiency in service delivery High product quality</w:t>
            </w:r>
            <w:bookmarkEnd w:id="51"/>
            <w:r>
              <w:rPr>
                <w:rFonts w:ascii="Times New Roman" w:hAnsi="Times New Roman" w:eastAsia="Times New Roman" w:cs="Times New Roman"/>
              </w:rPr>
              <w:t xml:space="preserve">  </w:t>
            </w:r>
          </w:p>
        </w:tc>
        <w:tc>
          <w:tcPr>
            <w:tcW w:w="2417" w:type="dxa"/>
            <w:tcBorders>
              <w:top w:val="single" w:color="auto" w:sz="4" w:space="0"/>
              <w:left w:val="single" w:color="auto" w:sz="4" w:space="0"/>
              <w:bottom w:val="single" w:color="auto" w:sz="4" w:space="0"/>
              <w:right w:val="single" w:color="auto" w:sz="4" w:space="0"/>
            </w:tcBorders>
          </w:tcPr>
          <w:p>
            <w:pPr>
              <w:spacing w:after="0" w:line="240" w:lineRule="auto"/>
              <w:rPr>
                <w:rFonts w:ascii="Times New Roman" w:hAnsi="Times New Roman" w:eastAsia="Times New Roman" w:cs="Times New Roman"/>
              </w:rPr>
            </w:pPr>
            <w:bookmarkStart w:id="52" w:name="_Toc102390308"/>
            <w:r>
              <w:rPr>
                <w:rFonts w:ascii="Times New Roman" w:hAnsi="Times New Roman" w:eastAsia="Times New Roman" w:cs="Times New Roman"/>
              </w:rPr>
              <w:t>Ability of staff to meet customer expectations.</w:t>
            </w:r>
            <w:bookmarkEnd w:id="52"/>
            <w:r>
              <w:rPr>
                <w:rFonts w:ascii="Times New Roman" w:hAnsi="Times New Roman" w:eastAsia="Times New Roman" w:cs="Times New Roman"/>
              </w:rPr>
              <w:t xml:space="preserve">  </w:t>
            </w:r>
          </w:p>
          <w:p>
            <w:pPr>
              <w:spacing w:after="0" w:line="240" w:lineRule="auto"/>
              <w:rPr>
                <w:rFonts w:ascii="Times New Roman" w:hAnsi="Times New Roman" w:eastAsia="Times New Roman" w:cs="Times New Roman"/>
              </w:rPr>
            </w:pPr>
            <w:bookmarkStart w:id="53" w:name="_Toc102390309"/>
            <w:r>
              <w:rPr>
                <w:rFonts w:ascii="Times New Roman" w:hAnsi="Times New Roman" w:eastAsia="Times New Roman" w:cs="Times New Roman"/>
              </w:rPr>
              <w:t>Positive feedback from customer perception surveys</w:t>
            </w:r>
            <w:bookmarkEnd w:id="53"/>
            <w:r>
              <w:rPr>
                <w:rFonts w:ascii="Times New Roman" w:hAnsi="Times New Roman" w:eastAsia="Times New Roman" w:cs="Times New Roman"/>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737" w:hRule="atLeast"/>
        </w:trPr>
        <w:tc>
          <w:tcPr>
            <w:tcW w:w="2089" w:type="dxa"/>
            <w:vMerge w:val="continue"/>
            <w:tcBorders>
              <w:left w:val="single" w:color="auto" w:sz="4" w:space="0"/>
              <w:bottom w:val="single" w:color="auto" w:sz="4" w:space="0"/>
              <w:right w:val="single" w:color="auto" w:sz="4" w:space="0"/>
            </w:tcBorders>
          </w:tcPr>
          <w:p>
            <w:pPr>
              <w:spacing w:after="0" w:line="240" w:lineRule="auto"/>
              <w:rPr>
                <w:rFonts w:ascii="Times New Roman" w:hAnsi="Times New Roman" w:eastAsia="Times New Roman" w:cs="Times New Roman"/>
              </w:rPr>
            </w:pPr>
          </w:p>
        </w:tc>
        <w:tc>
          <w:tcPr>
            <w:tcW w:w="1899" w:type="dxa"/>
            <w:vMerge w:val="restart"/>
            <w:tcBorders>
              <w:top w:val="nil"/>
              <w:left w:val="single" w:color="auto" w:sz="4" w:space="0"/>
              <w:bottom w:val="single" w:color="auto" w:sz="4" w:space="0"/>
              <w:right w:val="single" w:color="auto" w:sz="4" w:space="0"/>
            </w:tcBorders>
          </w:tcPr>
          <w:p>
            <w:pPr>
              <w:spacing w:after="0" w:line="240" w:lineRule="auto"/>
              <w:rPr>
                <w:rFonts w:ascii="Times New Roman" w:hAnsi="Times New Roman" w:eastAsia="Times New Roman" w:cs="Times New Roman"/>
              </w:rPr>
            </w:pPr>
            <w:bookmarkStart w:id="54" w:name="_Toc102390310"/>
            <w:r>
              <w:rPr>
                <w:rFonts w:ascii="Times New Roman" w:hAnsi="Times New Roman" w:eastAsia="Times New Roman" w:cs="Times New Roman"/>
              </w:rPr>
              <w:t>Ansoff Matrix-Product development strategy/market development and diversification</w:t>
            </w:r>
            <w:bookmarkEnd w:id="54"/>
          </w:p>
        </w:tc>
        <w:tc>
          <w:tcPr>
            <w:tcW w:w="1813" w:type="dxa"/>
            <w:tcBorders>
              <w:top w:val="single" w:color="auto" w:sz="4" w:space="0"/>
              <w:left w:val="single" w:color="auto" w:sz="4" w:space="0"/>
              <w:bottom w:val="single" w:color="auto" w:sz="4" w:space="0"/>
              <w:right w:val="single" w:color="auto" w:sz="4" w:space="0"/>
            </w:tcBorders>
          </w:tcPr>
          <w:p>
            <w:pPr>
              <w:spacing w:after="0" w:line="240" w:lineRule="auto"/>
              <w:rPr>
                <w:rFonts w:ascii="Times New Roman" w:hAnsi="Times New Roman" w:eastAsia="Times New Roman" w:cs="Times New Roman"/>
              </w:rPr>
            </w:pPr>
            <w:bookmarkStart w:id="55" w:name="_Toc102390311"/>
            <w:r>
              <w:rPr>
                <w:rFonts w:ascii="Times New Roman" w:hAnsi="Times New Roman" w:eastAsia="Times New Roman" w:cs="Times New Roman"/>
              </w:rPr>
              <w:t>Launch of new innovative products under the IHG brand</w:t>
            </w:r>
            <w:bookmarkEnd w:id="55"/>
          </w:p>
        </w:tc>
        <w:tc>
          <w:tcPr>
            <w:tcW w:w="2072" w:type="dxa"/>
            <w:tcBorders>
              <w:top w:val="single" w:color="auto" w:sz="4" w:space="0"/>
              <w:left w:val="single" w:color="auto" w:sz="4" w:space="0"/>
              <w:bottom w:val="single" w:color="auto" w:sz="4" w:space="0"/>
              <w:right w:val="single" w:color="auto" w:sz="4" w:space="0"/>
            </w:tcBorders>
          </w:tcPr>
          <w:p>
            <w:pPr>
              <w:spacing w:after="0" w:line="240" w:lineRule="auto"/>
              <w:rPr>
                <w:rFonts w:ascii="Times New Roman" w:hAnsi="Times New Roman" w:eastAsia="Times New Roman" w:cs="Times New Roman"/>
              </w:rPr>
            </w:pPr>
            <w:bookmarkStart w:id="56" w:name="_Toc102390312"/>
            <w:r>
              <w:rPr>
                <w:rFonts w:ascii="Times New Roman" w:hAnsi="Times New Roman" w:eastAsia="Times New Roman" w:cs="Times New Roman"/>
              </w:rPr>
              <w:t>The number of new and successful products launched under the mother brand.</w:t>
            </w:r>
            <w:bookmarkEnd w:id="56"/>
          </w:p>
        </w:tc>
        <w:tc>
          <w:tcPr>
            <w:tcW w:w="2417" w:type="dxa"/>
            <w:tcBorders>
              <w:top w:val="single" w:color="auto" w:sz="4" w:space="0"/>
              <w:left w:val="single" w:color="auto" w:sz="4" w:space="0"/>
              <w:bottom w:val="single" w:color="auto" w:sz="4" w:space="0"/>
              <w:right w:val="single" w:color="auto" w:sz="4" w:space="0"/>
            </w:tcBorders>
          </w:tcPr>
          <w:p>
            <w:pPr>
              <w:spacing w:after="0" w:line="240" w:lineRule="auto"/>
              <w:rPr>
                <w:rFonts w:ascii="Times New Roman" w:hAnsi="Times New Roman" w:eastAsia="Times New Roman" w:cs="Times New Roman"/>
              </w:rPr>
            </w:pPr>
            <w:bookmarkStart w:id="57" w:name="_Toc102390313"/>
            <w:r>
              <w:rPr>
                <w:rFonts w:ascii="Times New Roman" w:hAnsi="Times New Roman" w:eastAsia="Times New Roman" w:cs="Times New Roman"/>
              </w:rPr>
              <w:t>Sales volume if the newly introduced products</w:t>
            </w:r>
            <w:bookmarkEnd w:id="57"/>
            <w:r>
              <w:rPr>
                <w:rFonts w:ascii="Times New Roman" w:hAnsi="Times New Roman" w:eastAsia="Times New Roman" w:cs="Times New Roman"/>
              </w:rPr>
              <w:t xml:space="preser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28" w:hRule="atLeast"/>
        </w:trPr>
        <w:tc>
          <w:tcPr>
            <w:tcW w:w="2089" w:type="dxa"/>
            <w:tcBorders>
              <w:top w:val="single" w:color="auto" w:sz="4" w:space="0"/>
              <w:left w:val="single" w:color="auto" w:sz="4" w:space="0"/>
              <w:bottom w:val="single" w:color="auto" w:sz="4" w:space="0"/>
              <w:right w:val="single" w:color="auto" w:sz="4" w:space="0"/>
            </w:tcBorders>
          </w:tcPr>
          <w:p>
            <w:pPr>
              <w:spacing w:after="0" w:line="240" w:lineRule="auto"/>
              <w:rPr>
                <w:rFonts w:ascii="Times New Roman" w:hAnsi="Times New Roman" w:eastAsia="Times New Roman" w:cs="Times New Roman"/>
              </w:rPr>
            </w:pPr>
          </w:p>
        </w:tc>
        <w:tc>
          <w:tcPr>
            <w:tcW w:w="0" w:type="auto"/>
            <w:vMerge w:val="continue"/>
            <w:tcBorders>
              <w:top w:val="nil"/>
              <w:left w:val="single" w:color="auto" w:sz="4" w:space="0"/>
              <w:bottom w:val="single" w:color="auto" w:sz="4" w:space="0"/>
              <w:right w:val="single" w:color="auto" w:sz="4" w:space="0"/>
            </w:tcBorders>
            <w:vAlign w:val="center"/>
          </w:tcPr>
          <w:p>
            <w:pPr>
              <w:spacing w:after="0" w:line="240" w:lineRule="auto"/>
              <w:rPr>
                <w:rFonts w:ascii="Times New Roman" w:hAnsi="Times New Roman" w:eastAsia="Times New Roman" w:cs="Times New Roman"/>
              </w:rPr>
            </w:pPr>
          </w:p>
        </w:tc>
        <w:tc>
          <w:tcPr>
            <w:tcW w:w="1813" w:type="dxa"/>
            <w:tcBorders>
              <w:top w:val="single" w:color="auto" w:sz="4" w:space="0"/>
              <w:left w:val="single" w:color="auto" w:sz="4" w:space="0"/>
              <w:bottom w:val="single" w:color="auto" w:sz="4" w:space="0"/>
              <w:right w:val="single" w:color="auto" w:sz="4" w:space="0"/>
            </w:tcBorders>
          </w:tcPr>
          <w:p>
            <w:pPr>
              <w:spacing w:after="0" w:line="240" w:lineRule="auto"/>
              <w:rPr>
                <w:rFonts w:ascii="Times New Roman" w:hAnsi="Times New Roman" w:eastAsia="Times New Roman" w:cs="Times New Roman"/>
              </w:rPr>
            </w:pPr>
            <w:bookmarkStart w:id="58" w:name="_Toc102390314"/>
            <w:r>
              <w:rPr>
                <w:rFonts w:ascii="Times New Roman" w:hAnsi="Times New Roman" w:eastAsia="Times New Roman" w:cs="Times New Roman"/>
              </w:rPr>
              <w:t>Promotions</w:t>
            </w:r>
            <w:bookmarkEnd w:id="58"/>
          </w:p>
        </w:tc>
        <w:tc>
          <w:tcPr>
            <w:tcW w:w="2072" w:type="dxa"/>
            <w:tcBorders>
              <w:top w:val="single" w:color="auto" w:sz="4" w:space="0"/>
              <w:left w:val="single" w:color="auto" w:sz="4" w:space="0"/>
              <w:bottom w:val="single" w:color="auto" w:sz="4" w:space="0"/>
              <w:right w:val="single" w:color="auto" w:sz="4" w:space="0"/>
            </w:tcBorders>
          </w:tcPr>
          <w:p>
            <w:pPr>
              <w:spacing w:after="0" w:line="240" w:lineRule="auto"/>
              <w:rPr>
                <w:rFonts w:ascii="Times New Roman" w:hAnsi="Times New Roman" w:eastAsia="Times New Roman" w:cs="Times New Roman"/>
              </w:rPr>
            </w:pPr>
            <w:bookmarkStart w:id="59" w:name="_Toc102390315"/>
            <w:r>
              <w:rPr>
                <w:rFonts w:ascii="Times New Roman" w:hAnsi="Times New Roman" w:eastAsia="Times New Roman" w:cs="Times New Roman"/>
              </w:rPr>
              <w:t>Product/brand awareness</w:t>
            </w:r>
            <w:bookmarkEnd w:id="59"/>
            <w:r>
              <w:rPr>
                <w:rFonts w:ascii="Times New Roman" w:hAnsi="Times New Roman" w:eastAsia="Times New Roman" w:cs="Times New Roman"/>
              </w:rPr>
              <w:t xml:space="preserve"> </w:t>
            </w:r>
          </w:p>
          <w:p>
            <w:pPr>
              <w:spacing w:after="0" w:line="240" w:lineRule="auto"/>
              <w:rPr>
                <w:rFonts w:ascii="Times New Roman" w:hAnsi="Times New Roman" w:eastAsia="Times New Roman" w:cs="Times New Roman"/>
              </w:rPr>
            </w:pPr>
          </w:p>
        </w:tc>
        <w:tc>
          <w:tcPr>
            <w:tcW w:w="2417" w:type="dxa"/>
            <w:tcBorders>
              <w:top w:val="single" w:color="auto" w:sz="4" w:space="0"/>
              <w:left w:val="single" w:color="auto" w:sz="4" w:space="0"/>
              <w:bottom w:val="single" w:color="auto" w:sz="4" w:space="0"/>
              <w:right w:val="single" w:color="auto" w:sz="4" w:space="0"/>
            </w:tcBorders>
          </w:tcPr>
          <w:p>
            <w:pPr>
              <w:spacing w:after="0" w:line="240" w:lineRule="auto"/>
              <w:rPr>
                <w:rFonts w:ascii="Times New Roman" w:hAnsi="Times New Roman" w:eastAsia="Times New Roman" w:cs="Times New Roman"/>
              </w:rPr>
            </w:pPr>
            <w:bookmarkStart w:id="60" w:name="_Toc102390316"/>
            <w:r>
              <w:rPr>
                <w:rFonts w:ascii="Times New Roman" w:hAnsi="Times New Roman" w:eastAsia="Times New Roman" w:cs="Times New Roman"/>
              </w:rPr>
              <w:t>Customer perception surveys and market surveys to assess the brand awareness of IHG in the global market</w:t>
            </w:r>
            <w:bookmarkEnd w:id="60"/>
          </w:p>
        </w:tc>
      </w:tr>
    </w:tbl>
    <w:p>
      <w:pPr>
        <w:spacing w:line="360" w:lineRule="auto"/>
        <w:jc w:val="both"/>
        <w:rPr>
          <w:rFonts w:ascii="Times New Roman" w:hAnsi="Times New Roman" w:cs="Times New Roman"/>
          <w:sz w:val="24"/>
          <w:szCs w:val="24"/>
        </w:rPr>
      </w:pPr>
    </w:p>
    <w:p>
      <w:pPr>
        <w:pStyle w:val="2"/>
        <w:spacing w:line="360" w:lineRule="auto"/>
        <w:rPr>
          <w:rFonts w:cs="Times New Roman"/>
          <w:kern w:val="36"/>
          <w:szCs w:val="24"/>
        </w:rPr>
      </w:pPr>
      <w:bookmarkStart w:id="61" w:name="_Toc102390317"/>
      <w:bookmarkStart w:id="62" w:name="_Toc102942415"/>
      <w:bookmarkStart w:id="63" w:name="_Toc102390658"/>
      <w:r>
        <w:rPr>
          <w:rFonts w:cs="Times New Roman"/>
          <w:kern w:val="36"/>
          <w:szCs w:val="24"/>
        </w:rPr>
        <w:t>8. Conclusion</w:t>
      </w:r>
      <w:bookmarkEnd w:id="61"/>
      <w:bookmarkEnd w:id="62"/>
      <w:bookmarkEnd w:id="63"/>
    </w:p>
    <w:p>
      <w:pPr>
        <w:spacing w:line="360" w:lineRule="auto"/>
        <w:jc w:val="both"/>
        <w:rPr>
          <w:rFonts w:ascii="Times New Roman" w:hAnsi="Times New Roman" w:eastAsia="Calibri" w:cs="Times New Roman"/>
          <w:sz w:val="24"/>
          <w:szCs w:val="24"/>
        </w:rPr>
      </w:pPr>
      <w:r>
        <w:rPr>
          <w:rFonts w:ascii="Times New Roman" w:hAnsi="Times New Roman" w:eastAsia="Calibri" w:cs="Times New Roman"/>
          <w:sz w:val="24"/>
          <w:szCs w:val="24"/>
        </w:rPr>
        <w:t>This report develops a well-informed strategic marketing plan for IHG company. The plan is provided based on the SOSTAC framework. In terms of situational analysis, the Covid-19 pandemic has had a huge impact on the economic performance of IHG</w:t>
      </w:r>
      <w:r>
        <w:rPr>
          <w:rFonts w:ascii="Times New Roman" w:hAnsi="Times New Roman" w:cs="Times New Roman"/>
          <w:sz w:val="24"/>
          <w:szCs w:val="24"/>
        </w:rPr>
        <w:t xml:space="preserve"> </w:t>
      </w:r>
      <w:r>
        <w:rPr>
          <w:rFonts w:ascii="Times New Roman" w:hAnsi="Times New Roman" w:eastAsia="Calibri" w:cs="Times New Roman"/>
          <w:sz w:val="24"/>
          <w:szCs w:val="24"/>
        </w:rPr>
        <w:t>resulted in reduction in household income.</w:t>
      </w:r>
      <w:r>
        <w:rPr>
          <w:rFonts w:ascii="Times New Roman" w:hAnsi="Times New Roman" w:cs="Times New Roman"/>
          <w:sz w:val="24"/>
          <w:szCs w:val="24"/>
        </w:rPr>
        <w:t xml:space="preserve"> </w:t>
      </w:r>
      <w:r>
        <w:rPr>
          <w:rFonts w:ascii="Times New Roman" w:hAnsi="Times New Roman" w:eastAsia="Calibri" w:cs="Times New Roman"/>
          <w:sz w:val="24"/>
          <w:szCs w:val="24"/>
        </w:rPr>
        <w:t>job losses result in reduced spending power of the UK population</w:t>
      </w:r>
      <w:r>
        <w:rPr>
          <w:rFonts w:ascii="Times New Roman" w:hAnsi="Times New Roman" w:cs="Times New Roman"/>
          <w:sz w:val="24"/>
          <w:szCs w:val="24"/>
        </w:rPr>
        <w:t xml:space="preserve">. The </w:t>
      </w:r>
      <w:r>
        <w:rPr>
          <w:rFonts w:ascii="Times New Roman" w:hAnsi="Times New Roman" w:eastAsia="Calibri" w:cs="Times New Roman"/>
          <w:sz w:val="24"/>
          <w:szCs w:val="24"/>
        </w:rPr>
        <w:t>strict visa requirements by the UK government for immigrant workers has made it difficult for immigrant workers who left the UK to return besides making those within the UK to shy away from reporting to work.</w:t>
      </w:r>
      <w:r>
        <w:rPr>
          <w:rFonts w:ascii="Times New Roman" w:hAnsi="Times New Roman" w:cs="Times New Roman"/>
          <w:sz w:val="24"/>
          <w:szCs w:val="24"/>
        </w:rPr>
        <w:t xml:space="preserve"> </w:t>
      </w:r>
      <w:r>
        <w:rPr>
          <w:rFonts w:ascii="Times New Roman" w:hAnsi="Times New Roman" w:eastAsia="Calibri" w:cs="Times New Roman"/>
          <w:sz w:val="24"/>
          <w:szCs w:val="24"/>
        </w:rPr>
        <w:t>IHG is experiencing stiff competition more so from home sharing brands such as Airbnb and suffering from overdependence on room occupancy for revenue generation. The objective around which the marketing plan is based is to increase revenue earnings by at least 20% from customers aged 55 years and older by the end of the year 2023. In terms of strategy, the report recommends Brand extension and internationalisation. The tactics are outlined with respect to the 4Ps of price, promotion, place and product in this case is a service.</w:t>
      </w:r>
    </w:p>
    <w:p>
      <w:pPr>
        <w:pStyle w:val="2"/>
        <w:rPr>
          <w:rFonts w:cs="Times New Roman"/>
          <w:szCs w:val="24"/>
        </w:rPr>
      </w:pPr>
      <w:bookmarkStart w:id="64" w:name="_Toc102390659"/>
      <w:bookmarkStart w:id="65" w:name="_Toc102390318"/>
      <w:bookmarkStart w:id="66" w:name="_Toc102942416"/>
      <w:r>
        <w:rPr>
          <w:rFonts w:cs="Times New Roman"/>
        </w:rPr>
        <w:br w:type="column"/>
      </w:r>
      <w:r>
        <w:rPr>
          <w:rFonts w:cs="Times New Roman"/>
        </w:rPr>
        <w:t>References</w:t>
      </w:r>
      <w:bookmarkEnd w:id="64"/>
      <w:bookmarkEnd w:id="65"/>
      <w:bookmarkEnd w:id="66"/>
      <w:r>
        <w:rPr>
          <w:rFonts w:cs="Times New Roman"/>
        </w:rPr>
        <w:t xml:space="preserve"> </w:t>
      </w:r>
    </w:p>
    <w:p>
      <w:pPr>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Aaker, D. (1990) ‘Brand extensions: The good, the bad, and the ugly’,</w:t>
      </w:r>
      <w:r>
        <w:rPr>
          <w:rFonts w:hint="eastAsia" w:ascii="Times New Roman" w:hAnsi="Times New Roman" w:cs="Times New Roman" w:eastAsiaTheme="minorEastAsia"/>
          <w:sz w:val="24"/>
          <w:szCs w:val="24"/>
          <w:shd w:val="clear" w:color="auto" w:fill="FFFFFF"/>
          <w:lang w:eastAsia="zh-CN"/>
        </w:rPr>
        <w:t xml:space="preserve"> </w:t>
      </w:r>
      <w:r>
        <w:rPr>
          <w:rFonts w:ascii="Times New Roman" w:hAnsi="Times New Roman" w:cs="Times New Roman"/>
          <w:i/>
          <w:iCs/>
          <w:sz w:val="24"/>
          <w:szCs w:val="24"/>
          <w:shd w:val="clear" w:color="auto" w:fill="FFFFFF"/>
        </w:rPr>
        <w:t>MIT Sloan Management Review</w:t>
      </w:r>
      <w:r>
        <w:rPr>
          <w:rFonts w:ascii="Times New Roman" w:hAnsi="Times New Roman" w:cs="Times New Roman"/>
          <w:sz w:val="24"/>
          <w:szCs w:val="24"/>
          <w:shd w:val="clear" w:color="auto" w:fill="FFFFFF"/>
        </w:rPr>
        <w:t>,</w:t>
      </w:r>
      <w:r>
        <w:rPr>
          <w:rFonts w:hint="eastAsia" w:ascii="Times New Roman" w:hAnsi="Times New Roman" w:cs="Times New Roman" w:eastAsiaTheme="minorEastAsia"/>
          <w:sz w:val="24"/>
          <w:szCs w:val="24"/>
          <w:shd w:val="clear" w:color="auto" w:fill="FFFFFF"/>
          <w:lang w:eastAsia="zh-CN"/>
        </w:rPr>
        <w:t xml:space="preserve"> </w:t>
      </w:r>
      <w:r>
        <w:rPr>
          <w:rFonts w:ascii="Times New Roman" w:hAnsi="Times New Roman" w:cs="Times New Roman"/>
          <w:i/>
          <w:iCs/>
          <w:sz w:val="24"/>
          <w:szCs w:val="24"/>
          <w:shd w:val="clear" w:color="auto" w:fill="FFFFFF"/>
        </w:rPr>
        <w:t>31</w:t>
      </w:r>
      <w:r>
        <w:rPr>
          <w:rFonts w:ascii="Times New Roman" w:hAnsi="Times New Roman" w:cs="Times New Roman"/>
          <w:sz w:val="24"/>
          <w:szCs w:val="24"/>
          <w:shd w:val="clear" w:color="auto" w:fill="FFFFFF"/>
        </w:rPr>
        <w:t xml:space="preserve">(4), </w:t>
      </w:r>
      <w:r>
        <w:rPr>
          <w:rFonts w:hint="eastAsia" w:ascii="Times New Roman" w:hAnsi="Times New Roman" w:cs="Times New Roman" w:eastAsiaTheme="minorEastAsia"/>
          <w:sz w:val="24"/>
          <w:szCs w:val="24"/>
          <w:shd w:val="clear" w:color="auto" w:fill="FFFFFF"/>
          <w:lang w:eastAsia="zh-CN"/>
        </w:rPr>
        <w:t xml:space="preserve">pp. </w:t>
      </w:r>
      <w:r>
        <w:rPr>
          <w:rFonts w:ascii="Times New Roman" w:hAnsi="Times New Roman" w:cs="Times New Roman"/>
          <w:sz w:val="24"/>
          <w:szCs w:val="24"/>
          <w:shd w:val="clear" w:color="auto" w:fill="FFFFFF"/>
        </w:rPr>
        <w:t>47.</w:t>
      </w:r>
    </w:p>
    <w:p>
      <w:pPr>
        <w:jc w:val="both"/>
        <w:rPr>
          <w:rFonts w:ascii="Times New Roman" w:hAnsi="Times New Roman" w:cs="Times New Roman"/>
          <w:sz w:val="24"/>
          <w:szCs w:val="24"/>
        </w:rPr>
      </w:pPr>
      <w:r>
        <w:rPr>
          <w:rFonts w:ascii="Times New Roman" w:hAnsi="Times New Roman" w:eastAsia="Calibri" w:cs="Times New Roman"/>
          <w:sz w:val="24"/>
          <w:szCs w:val="24"/>
          <w:shd w:val="clear" w:color="auto" w:fill="FFFFFF"/>
        </w:rPr>
        <w:t xml:space="preserve">Aaker, D. A. (1996) </w:t>
      </w:r>
      <w:r>
        <w:rPr>
          <w:rFonts w:ascii="Times New Roman" w:hAnsi="Times New Roman" w:eastAsia="Calibri" w:cs="Times New Roman"/>
          <w:i/>
          <w:iCs/>
          <w:sz w:val="24"/>
          <w:szCs w:val="24"/>
          <w:shd w:val="clear" w:color="auto" w:fill="FFFFFF"/>
        </w:rPr>
        <w:t>Building Strong Brands</w:t>
      </w:r>
      <w:r>
        <w:rPr>
          <w:rFonts w:ascii="Times New Roman" w:hAnsi="Times New Roman" w:eastAsia="Calibri" w:cs="Times New Roman"/>
          <w:sz w:val="24"/>
          <w:szCs w:val="24"/>
          <w:shd w:val="clear" w:color="auto" w:fill="FFFFFF"/>
        </w:rPr>
        <w:t>. New York: The Free Press.</w:t>
      </w:r>
    </w:p>
    <w:p>
      <w:pPr>
        <w:shd w:val="clear" w:color="auto" w:fill="FFFFFF"/>
        <w:spacing w:after="100" w:afterAutospacing="1" w:line="360" w:lineRule="auto"/>
        <w:jc w:val="both"/>
        <w:rPr>
          <w:rFonts w:ascii="Times New Roman" w:hAnsi="Times New Roman" w:eastAsia="Calibri" w:cs="Times New Roman"/>
          <w:sz w:val="24"/>
          <w:szCs w:val="24"/>
          <w:shd w:val="clear" w:color="auto" w:fill="FFFFFF"/>
        </w:rPr>
      </w:pPr>
      <w:r>
        <w:rPr>
          <w:rFonts w:ascii="Times New Roman" w:hAnsi="Times New Roman" w:eastAsia="Calibri" w:cs="Times New Roman"/>
          <w:sz w:val="24"/>
          <w:szCs w:val="24"/>
          <w:shd w:val="clear" w:color="auto" w:fill="FFFFFF"/>
        </w:rPr>
        <w:t xml:space="preserve">Aaker, D. A., &amp; Joachimsthaler, E. (2000) ‘The brand relationship spectrum: The key to the brand architecture challenge’, </w:t>
      </w:r>
      <w:r>
        <w:rPr>
          <w:rFonts w:ascii="Times New Roman" w:hAnsi="Times New Roman" w:eastAsia="Calibri" w:cs="Times New Roman"/>
          <w:i/>
          <w:iCs/>
          <w:sz w:val="24"/>
          <w:szCs w:val="24"/>
          <w:shd w:val="clear" w:color="auto" w:fill="FFFFFF"/>
        </w:rPr>
        <w:t>California management review</w:t>
      </w:r>
      <w:r>
        <w:rPr>
          <w:rFonts w:ascii="Times New Roman" w:hAnsi="Times New Roman" w:eastAsia="Calibri" w:cs="Times New Roman"/>
          <w:sz w:val="24"/>
          <w:szCs w:val="24"/>
          <w:shd w:val="clear" w:color="auto" w:fill="FFFFFF"/>
        </w:rPr>
        <w:t xml:space="preserve">, </w:t>
      </w:r>
      <w:r>
        <w:rPr>
          <w:rFonts w:ascii="Times New Roman" w:hAnsi="Times New Roman" w:eastAsia="Calibri" w:cs="Times New Roman"/>
          <w:i/>
          <w:iCs/>
          <w:sz w:val="24"/>
          <w:szCs w:val="24"/>
          <w:shd w:val="clear" w:color="auto" w:fill="FFFFFF"/>
        </w:rPr>
        <w:t>42</w:t>
      </w:r>
      <w:r>
        <w:rPr>
          <w:rFonts w:ascii="Times New Roman" w:hAnsi="Times New Roman" w:eastAsia="Calibri" w:cs="Times New Roman"/>
          <w:sz w:val="24"/>
          <w:szCs w:val="24"/>
          <w:shd w:val="clear" w:color="auto" w:fill="FFFFFF"/>
        </w:rPr>
        <w:t>(4), pp. 8-23.</w:t>
      </w:r>
    </w:p>
    <w:p>
      <w:pPr>
        <w:shd w:val="clear" w:color="auto" w:fill="FFFFFF"/>
        <w:spacing w:after="100" w:afterAutospacing="1" w:line="360" w:lineRule="auto"/>
        <w:jc w:val="both"/>
        <w:rPr>
          <w:rFonts w:ascii="Times New Roman" w:hAnsi="Times New Roman" w:cs="Times New Roman"/>
          <w:sz w:val="24"/>
          <w:szCs w:val="24"/>
          <w:shd w:val="clear" w:color="auto" w:fill="FFFFFF"/>
        </w:rPr>
      </w:pPr>
      <w:r>
        <w:rPr>
          <w:rFonts w:ascii="Times New Roman" w:hAnsi="Times New Roman" w:eastAsia="Calibri" w:cs="Times New Roman"/>
          <w:sz w:val="24"/>
          <w:szCs w:val="24"/>
          <w:shd w:val="clear" w:color="auto" w:fill="FFFFFF"/>
        </w:rPr>
        <w:t xml:space="preserve">Aaker, D. A., &amp; Keller, K. L. (1990) ‘Consumer evaluations of brand extensions’, </w:t>
      </w:r>
      <w:r>
        <w:rPr>
          <w:rFonts w:ascii="Times New Roman" w:hAnsi="Times New Roman" w:cs="Times New Roman"/>
          <w:i/>
          <w:iCs/>
          <w:sz w:val="24"/>
          <w:szCs w:val="24"/>
          <w:shd w:val="clear" w:color="auto" w:fill="FFFFFF"/>
        </w:rPr>
        <w:t>Journal of marketing</w:t>
      </w:r>
      <w:r>
        <w:rPr>
          <w:rFonts w:ascii="Times New Roman" w:hAnsi="Times New Roman" w:cs="Times New Roman"/>
          <w:sz w:val="24"/>
          <w:szCs w:val="24"/>
          <w:shd w:val="clear" w:color="auto" w:fill="FFFFFF"/>
        </w:rPr>
        <w:t xml:space="preserve">, </w:t>
      </w:r>
      <w:r>
        <w:rPr>
          <w:rFonts w:ascii="Times New Roman" w:hAnsi="Times New Roman" w:cs="Times New Roman"/>
          <w:i/>
          <w:iCs/>
          <w:sz w:val="24"/>
          <w:szCs w:val="24"/>
          <w:shd w:val="clear" w:color="auto" w:fill="FFFFFF"/>
        </w:rPr>
        <w:t>54</w:t>
      </w:r>
      <w:r>
        <w:rPr>
          <w:rFonts w:ascii="Times New Roman" w:hAnsi="Times New Roman" w:cs="Times New Roman"/>
          <w:sz w:val="24"/>
          <w:szCs w:val="24"/>
          <w:shd w:val="clear" w:color="auto" w:fill="FFFFFF"/>
        </w:rPr>
        <w:t xml:space="preserve">(1), </w:t>
      </w:r>
      <w:r>
        <w:rPr>
          <w:rFonts w:ascii="Times New Roman" w:hAnsi="Times New Roman" w:eastAsia="Calibri" w:cs="Times New Roman"/>
          <w:sz w:val="24"/>
          <w:szCs w:val="24"/>
          <w:shd w:val="clear" w:color="auto" w:fill="FFFFFF"/>
        </w:rPr>
        <w:t>pp. 27-41.</w:t>
      </w:r>
    </w:p>
    <w:p>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Farronato, C., &amp; Fradkin, A. (2018) </w:t>
      </w:r>
      <w:r>
        <w:rPr>
          <w:rFonts w:ascii="Times New Roman" w:hAnsi="Times New Roman" w:cs="Times New Roman"/>
          <w:i/>
          <w:iCs/>
          <w:sz w:val="24"/>
          <w:szCs w:val="24"/>
          <w:shd w:val="clear" w:color="auto" w:fill="FFFFFF"/>
        </w:rPr>
        <w:t>The welfare effects of peer entry in the accommodation market: The case of airbnb</w:t>
      </w:r>
      <w:r>
        <w:rPr>
          <w:rFonts w:ascii="Times New Roman" w:hAnsi="Times New Roman" w:cs="Times New Roman"/>
          <w:sz w:val="24"/>
          <w:szCs w:val="24"/>
          <w:shd w:val="clear" w:color="auto" w:fill="FFFFFF"/>
        </w:rPr>
        <w:t xml:space="preserve"> (No. w24361). National Bureau of Economic Research. Available at: </w:t>
      </w:r>
      <w:r>
        <w:rPr>
          <w:rStyle w:val="17"/>
          <w:rFonts w:ascii="Times New Roman" w:hAnsi="Times New Roman" w:cs="Times New Roman"/>
          <w:color w:val="auto"/>
          <w:sz w:val="24"/>
          <w:szCs w:val="24"/>
          <w:u w:val="none"/>
          <w:shd w:val="clear" w:color="auto" w:fill="FFFFFF"/>
        </w:rPr>
        <w:t>https://www.nber.org/system/files/working_papers/w24361/w24361.pdf</w:t>
      </w:r>
      <w:r>
        <w:rPr>
          <w:rFonts w:ascii="Times New Roman" w:hAnsi="Times New Roman" w:cs="Times New Roman"/>
          <w:sz w:val="24"/>
          <w:szCs w:val="24"/>
          <w:shd w:val="clear" w:color="auto" w:fill="FFFFFF"/>
        </w:rPr>
        <w:t xml:space="preserve"> (Accessed 30 March 2022).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Gov.UK. (2022) Coronavirus (COVID-19): advice for UK visa applicants and temporary UK residents. Available at: </w:t>
      </w:r>
      <w:r>
        <w:rPr>
          <w:rStyle w:val="17"/>
          <w:rFonts w:ascii="Times New Roman" w:hAnsi="Times New Roman" w:cs="Times New Roman"/>
          <w:color w:val="auto"/>
          <w:sz w:val="24"/>
          <w:szCs w:val="24"/>
          <w:u w:val="none"/>
        </w:rPr>
        <w:t>https://www.gov.uk/guidance/coronavirus-covid-19-advice-for-uk-visa-applicants-and-temporary-uk-residents#outside-uk</w:t>
      </w:r>
      <w:r>
        <w:rPr>
          <w:rFonts w:ascii="Times New Roman" w:hAnsi="Times New Roman" w:cs="Times New Roman"/>
          <w:sz w:val="24"/>
          <w:szCs w:val="24"/>
        </w:rPr>
        <w:t xml:space="preserve"> (Accessed 27 March 2022). </w:t>
      </w:r>
    </w:p>
    <w:p>
      <w:pPr>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Hussain, S., Khattak, J., Rizwan, A., &amp; Latif, M. A. (2013). </w:t>
      </w:r>
      <w:r>
        <w:rPr>
          <w:rFonts w:ascii="Times New Roman" w:hAnsi="Times New Roman" w:cs="Times New Roman" w:eastAsiaTheme="minorEastAsia"/>
          <w:sz w:val="24"/>
          <w:szCs w:val="24"/>
          <w:shd w:val="clear" w:color="auto" w:fill="FFFFFF"/>
          <w:lang w:eastAsia="zh-CN"/>
        </w:rPr>
        <w:t>‘</w:t>
      </w:r>
      <w:r>
        <w:rPr>
          <w:rFonts w:ascii="Times New Roman" w:hAnsi="Times New Roman" w:cs="Times New Roman"/>
          <w:sz w:val="24"/>
          <w:szCs w:val="24"/>
          <w:shd w:val="clear" w:color="auto" w:fill="FFFFFF"/>
        </w:rPr>
        <w:t>ANSOFF matrix, environment, and growth-an interactive triangle</w:t>
      </w:r>
      <w:r>
        <w:rPr>
          <w:rFonts w:ascii="Times New Roman" w:hAnsi="Times New Roman" w:cs="Times New Roman" w:eastAsiaTheme="minorEastAsia"/>
          <w:sz w:val="24"/>
          <w:szCs w:val="24"/>
          <w:shd w:val="clear" w:color="auto" w:fill="FFFFFF"/>
          <w:lang w:eastAsia="zh-CN"/>
        </w:rPr>
        <w:t>’</w:t>
      </w:r>
      <w:r>
        <w:rPr>
          <w:rFonts w:hint="eastAsia" w:ascii="Times New Roman" w:hAnsi="Times New Roman" w:cs="Times New Roman" w:eastAsiaTheme="minorEastAsia"/>
          <w:sz w:val="24"/>
          <w:szCs w:val="24"/>
          <w:shd w:val="clear" w:color="auto" w:fill="FFFFFF"/>
          <w:lang w:eastAsia="zh-CN"/>
        </w:rPr>
        <w:t xml:space="preserve">, </w:t>
      </w:r>
      <w:r>
        <w:rPr>
          <w:rFonts w:ascii="Times New Roman" w:hAnsi="Times New Roman" w:cs="Times New Roman"/>
          <w:i/>
          <w:iCs/>
          <w:sz w:val="24"/>
          <w:szCs w:val="24"/>
          <w:shd w:val="clear" w:color="auto" w:fill="FFFFFF"/>
        </w:rPr>
        <w:t>Management and Administrative Sciences Review</w:t>
      </w:r>
      <w:r>
        <w:rPr>
          <w:rFonts w:ascii="Times New Roman" w:hAnsi="Times New Roman" w:cs="Times New Roman"/>
          <w:sz w:val="24"/>
          <w:szCs w:val="24"/>
          <w:shd w:val="clear" w:color="auto" w:fill="FFFFFF"/>
        </w:rPr>
        <w:t>,</w:t>
      </w:r>
      <w:r>
        <w:rPr>
          <w:rFonts w:hint="eastAsia" w:ascii="Times New Roman" w:hAnsi="Times New Roman" w:cs="Times New Roman" w:eastAsiaTheme="minorEastAsia"/>
          <w:sz w:val="24"/>
          <w:szCs w:val="24"/>
          <w:shd w:val="clear" w:color="auto" w:fill="FFFFFF"/>
          <w:lang w:eastAsia="zh-CN"/>
        </w:rPr>
        <w:t xml:space="preserve"> </w:t>
      </w:r>
      <w:r>
        <w:rPr>
          <w:rFonts w:ascii="Times New Roman" w:hAnsi="Times New Roman" w:cs="Times New Roman"/>
          <w:i/>
          <w:iCs/>
          <w:sz w:val="24"/>
          <w:szCs w:val="24"/>
          <w:shd w:val="clear" w:color="auto" w:fill="FFFFFF"/>
        </w:rPr>
        <w:t>2</w:t>
      </w:r>
      <w:r>
        <w:rPr>
          <w:rFonts w:ascii="Times New Roman" w:hAnsi="Times New Roman" w:cs="Times New Roman"/>
          <w:sz w:val="24"/>
          <w:szCs w:val="24"/>
          <w:shd w:val="clear" w:color="auto" w:fill="FFFFFF"/>
        </w:rPr>
        <w:t>(2), 196-206.</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IHG (2022a) </w:t>
      </w:r>
      <w:r>
        <w:rPr>
          <w:rFonts w:ascii="Times New Roman" w:hAnsi="Times New Roman" w:cs="Times New Roman"/>
          <w:i/>
          <w:iCs/>
          <w:sz w:val="24"/>
          <w:szCs w:val="24"/>
        </w:rPr>
        <w:t>Our Strategy</w:t>
      </w:r>
      <w:r>
        <w:rPr>
          <w:rFonts w:ascii="Times New Roman" w:hAnsi="Times New Roman" w:cs="Times New Roman"/>
          <w:sz w:val="24"/>
          <w:szCs w:val="24"/>
        </w:rPr>
        <w:t xml:space="preserve">. Available at: </w:t>
      </w:r>
      <w:r>
        <w:fldChar w:fldCharType="begin"/>
      </w:r>
      <w:r>
        <w:instrText xml:space="preserve"> HYPERLINK "https://www.ihgplc.com/en/about-us/our-strategy" </w:instrText>
      </w:r>
      <w:r>
        <w:fldChar w:fldCharType="separate"/>
      </w:r>
      <w:r>
        <w:rPr>
          <w:rStyle w:val="17"/>
          <w:rFonts w:ascii="Times New Roman" w:hAnsi="Times New Roman" w:cs="Times New Roman"/>
          <w:color w:val="auto"/>
          <w:sz w:val="24"/>
          <w:szCs w:val="24"/>
          <w:u w:val="none"/>
        </w:rPr>
        <w:t>https://www.ihgplc.com/en/about-us/our-strategy</w:t>
      </w:r>
      <w:r>
        <w:rPr>
          <w:rStyle w:val="17"/>
          <w:rFonts w:ascii="Times New Roman" w:hAnsi="Times New Roman" w:cs="Times New Roman"/>
          <w:color w:val="auto"/>
          <w:sz w:val="24"/>
          <w:szCs w:val="24"/>
          <w:u w:val="none"/>
        </w:rPr>
        <w:fldChar w:fldCharType="end"/>
      </w:r>
      <w:r>
        <w:rPr>
          <w:rFonts w:ascii="Times New Roman" w:hAnsi="Times New Roman" w:cs="Times New Roman"/>
          <w:sz w:val="24"/>
          <w:szCs w:val="24"/>
        </w:rPr>
        <w:t xml:space="preserve"> (Accessed 27 March 2022). </w:t>
      </w:r>
    </w:p>
    <w:p>
      <w:pPr>
        <w:spacing w:line="360" w:lineRule="auto"/>
        <w:jc w:val="both"/>
        <w:rPr>
          <w:rFonts w:ascii="Times New Roman" w:hAnsi="Times New Roman" w:cs="Times New Roman"/>
          <w:sz w:val="24"/>
          <w:szCs w:val="24"/>
        </w:rPr>
      </w:pPr>
      <w:r>
        <w:rPr>
          <w:rFonts w:ascii="Times New Roman" w:hAnsi="Times New Roman" w:cs="Times New Roman"/>
          <w:sz w:val="24"/>
          <w:szCs w:val="24"/>
          <w:shd w:val="clear" w:color="auto" w:fill="FFFFFF"/>
        </w:rPr>
        <w:t xml:space="preserve">Lane Keller, K. (2014) ‘Designing and implementing brand architecture strategies’, </w:t>
      </w:r>
      <w:r>
        <w:rPr>
          <w:rFonts w:ascii="Times New Roman" w:hAnsi="Times New Roman" w:cs="Times New Roman"/>
          <w:i/>
          <w:iCs/>
          <w:sz w:val="24"/>
          <w:szCs w:val="24"/>
          <w:shd w:val="clear" w:color="auto" w:fill="FFFFFF"/>
        </w:rPr>
        <w:t>Journal of Brand Management</w:t>
      </w:r>
      <w:r>
        <w:rPr>
          <w:rFonts w:ascii="Times New Roman" w:hAnsi="Times New Roman" w:cs="Times New Roman"/>
          <w:sz w:val="24"/>
          <w:szCs w:val="24"/>
          <w:shd w:val="clear" w:color="auto" w:fill="FFFFFF"/>
        </w:rPr>
        <w:t xml:space="preserve">, </w:t>
      </w:r>
      <w:r>
        <w:rPr>
          <w:rFonts w:ascii="Times New Roman" w:hAnsi="Times New Roman" w:cs="Times New Roman"/>
          <w:i/>
          <w:iCs/>
          <w:sz w:val="24"/>
          <w:szCs w:val="24"/>
          <w:shd w:val="clear" w:color="auto" w:fill="FFFFFF"/>
        </w:rPr>
        <w:t>21</w:t>
      </w:r>
      <w:r>
        <w:rPr>
          <w:rFonts w:ascii="Times New Roman" w:hAnsi="Times New Roman" w:cs="Times New Roman"/>
          <w:sz w:val="24"/>
          <w:szCs w:val="24"/>
          <w:shd w:val="clear" w:color="auto" w:fill="FFFFFF"/>
        </w:rPr>
        <w:t>(9), pp. 702-715.</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Makortoff, K. (2021) Staff shortages spreading to all corners of UK business, survey finds. </w:t>
      </w:r>
      <w:r>
        <w:rPr>
          <w:rFonts w:ascii="Times New Roman" w:hAnsi="Times New Roman" w:cs="Times New Roman"/>
          <w:i/>
          <w:iCs/>
          <w:sz w:val="24"/>
          <w:szCs w:val="24"/>
        </w:rPr>
        <w:t xml:space="preserve">The Guardian. </w:t>
      </w:r>
      <w:r>
        <w:rPr>
          <w:rFonts w:ascii="Times New Roman" w:hAnsi="Times New Roman" w:cs="Times New Roman"/>
          <w:sz w:val="24"/>
          <w:szCs w:val="24"/>
        </w:rPr>
        <w:t xml:space="preserve">Available at: </w:t>
      </w:r>
      <w:r>
        <w:rPr>
          <w:rStyle w:val="17"/>
          <w:rFonts w:ascii="Times New Roman" w:hAnsi="Times New Roman" w:cs="Times New Roman"/>
          <w:color w:val="auto"/>
          <w:sz w:val="24"/>
          <w:szCs w:val="24"/>
          <w:u w:val="none"/>
        </w:rPr>
        <w:t>https://www.theguardian.com/business/2021/oct/04/staff-shortages-spreading-to-all-corners-of-uk-business-survey-finds</w:t>
      </w:r>
      <w:r>
        <w:rPr>
          <w:rFonts w:ascii="Times New Roman" w:hAnsi="Times New Roman" w:cs="Times New Roman"/>
          <w:sz w:val="24"/>
          <w:szCs w:val="24"/>
        </w:rPr>
        <w:t xml:space="preserve"> (Accessed 28 March 2021).  </w:t>
      </w:r>
    </w:p>
    <w:p>
      <w:pPr>
        <w:jc w:val="both"/>
        <w:rPr>
          <w:rFonts w:ascii="Times New Roman" w:hAnsi="Times New Roman" w:cs="Times New Roman"/>
          <w:sz w:val="24"/>
          <w:szCs w:val="24"/>
        </w:rPr>
      </w:pPr>
      <w:r>
        <w:rPr>
          <w:rFonts w:ascii="Times New Roman" w:hAnsi="Times New Roman" w:cs="Times New Roman"/>
          <w:sz w:val="24"/>
          <w:szCs w:val="24"/>
        </w:rPr>
        <w:t xml:space="preserve">Martin, N. (2021) UK COVID 'pingdemic' sparks labor shortage. </w:t>
      </w:r>
      <w:r>
        <w:rPr>
          <w:rFonts w:ascii="Times New Roman" w:hAnsi="Times New Roman" w:cs="Times New Roman"/>
          <w:i/>
          <w:iCs/>
          <w:sz w:val="24"/>
          <w:szCs w:val="24"/>
        </w:rPr>
        <w:t>DW.</w:t>
      </w:r>
      <w:r>
        <w:rPr>
          <w:rFonts w:ascii="Times New Roman" w:hAnsi="Times New Roman" w:cs="Times New Roman"/>
          <w:sz w:val="24"/>
          <w:szCs w:val="24"/>
        </w:rPr>
        <w:t xml:space="preserve"> Available at: </w:t>
      </w:r>
      <w:r>
        <w:rPr>
          <w:rStyle w:val="17"/>
          <w:rFonts w:ascii="Times New Roman" w:hAnsi="Times New Roman" w:cs="Times New Roman"/>
          <w:color w:val="auto"/>
          <w:sz w:val="24"/>
          <w:szCs w:val="24"/>
          <w:u w:val="none"/>
        </w:rPr>
        <w:t>https://www.dw.com/en/uk-covid-pingdemic-sparks-labor-shortage/a-58659449</w:t>
      </w:r>
      <w:r>
        <w:rPr>
          <w:rFonts w:ascii="Times New Roman" w:hAnsi="Times New Roman" w:cs="Times New Roman"/>
          <w:sz w:val="24"/>
          <w:szCs w:val="24"/>
        </w:rPr>
        <w:t xml:space="preserve"> (Accessed 30 March 2022). </w:t>
      </w:r>
    </w:p>
    <w:p>
      <w:pPr>
        <w:spacing w:line="360" w:lineRule="auto"/>
        <w:jc w:val="both"/>
        <w:rPr>
          <w:rFonts w:ascii="Times New Roman" w:hAnsi="Times New Roman" w:cs="Times New Roman"/>
        </w:rPr>
      </w:pPr>
      <w:r>
        <w:rPr>
          <w:rFonts w:ascii="Times New Roman" w:hAnsi="Times New Roman" w:cs="Times New Roman"/>
          <w:sz w:val="24"/>
          <w:szCs w:val="24"/>
          <w:shd w:val="clear" w:color="auto" w:fill="FFFFFF"/>
        </w:rPr>
        <w:t xml:space="preserve">Oliver, D. (2020) </w:t>
      </w:r>
      <w:r>
        <w:rPr>
          <w:rFonts w:ascii="Times New Roman" w:hAnsi="Times New Roman" w:cs="Times New Roman"/>
          <w:sz w:val="24"/>
          <w:szCs w:val="24"/>
        </w:rPr>
        <w:t xml:space="preserve">Travelers are flocking to Airbnb, Vrbo more than hotels during COVID-19 pandemic. But why? </w:t>
      </w:r>
      <w:r>
        <w:rPr>
          <w:rFonts w:ascii="Times New Roman" w:hAnsi="Times New Roman" w:cs="Times New Roman"/>
          <w:i/>
          <w:iCs/>
          <w:sz w:val="24"/>
          <w:szCs w:val="24"/>
        </w:rPr>
        <w:t>USA Today</w:t>
      </w:r>
      <w:r>
        <w:rPr>
          <w:rFonts w:ascii="Times New Roman" w:hAnsi="Times New Roman" w:cs="Times New Roman"/>
          <w:sz w:val="24"/>
          <w:szCs w:val="24"/>
        </w:rPr>
        <w:t xml:space="preserve">. Available at: </w:t>
      </w:r>
      <w:r>
        <w:rPr>
          <w:rStyle w:val="17"/>
          <w:rFonts w:ascii="Times New Roman" w:hAnsi="Times New Roman" w:cs="Times New Roman"/>
          <w:color w:val="auto"/>
          <w:sz w:val="24"/>
          <w:szCs w:val="24"/>
          <w:u w:val="none"/>
        </w:rPr>
        <w:t>https://www.usatoday.com/story/travel/hotels/2020/08/26/airbnb-vrbo-more-popular-than-hotels-during-covid-19-pandemic/5607312002/</w:t>
      </w:r>
      <w:r>
        <w:rPr>
          <w:rFonts w:ascii="Times New Roman" w:hAnsi="Times New Roman" w:cs="Times New Roman"/>
          <w:sz w:val="24"/>
          <w:szCs w:val="24"/>
        </w:rPr>
        <w:t xml:space="preserve"> (Accessed 29 March 2022).</w:t>
      </w:r>
      <w:r>
        <w:rPr>
          <w:rFonts w:ascii="Times New Roman" w:hAnsi="Times New Roman" w:cs="Times New Roman"/>
        </w:rPr>
        <w:t xml:space="preserve"> </w:t>
      </w:r>
    </w:p>
    <w:sectPr>
      <w:pgSz w:w="11906" w:h="16838"/>
      <w:pgMar w:top="1440" w:right="1440" w:bottom="1440" w:left="1440" w:header="708" w:footer="708" w:gutter="0"/>
      <w:pgNumType w:start="1"/>
      <w:cols w:space="708"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DejaVu Sans">
    <w:altName w:val="苹方-简"/>
    <w:panose1 w:val="02020603050405020304"/>
    <w:charset w:val="00"/>
    <w:family w:val="roman"/>
    <w:pitch w:val="default"/>
    <w:sig w:usb0="20007A87" w:usb1="80000000" w:usb2="00000008" w:usb3="00000000" w:csb0="000001FF" w:csb1="00000000"/>
  </w:font>
  <w:font w:name="方正书宋_GBK">
    <w:panose1 w:val="02000000000000000000"/>
    <w:charset w:val="86"/>
    <w:family w:val="auto"/>
    <w:pitch w:val="default"/>
    <w:sig w:usb0="A00002BF" w:usb1="38CF7CFA" w:usb2="00082016" w:usb3="00000000" w:csb0="00040001" w:csb1="00000000"/>
  </w:font>
  <w:font w:name="方正黑体_GBK">
    <w:altName w:val="苹方-简"/>
    <w:panose1 w:val="02000000000000000000"/>
    <w:charset w:val="00"/>
    <w:family w:val="auto"/>
    <w:pitch w:val="default"/>
    <w:sig w:usb0="00000001" w:usb1="08000000" w:usb2="00000000" w:usb3="00000000" w:csb0="00040000" w:csb1="00000000"/>
  </w:font>
  <w:font w:name="Cambria">
    <w:altName w:val="苹方-简"/>
    <w:panose1 w:val="02040503050406030204"/>
    <w:charset w:val="00"/>
    <w:family w:val="roman"/>
    <w:pitch w:val="default"/>
    <w:sig w:usb0="00000000" w:usb1="00000000" w:usb2="00000000" w:usb3="00000000" w:csb0="0000019F"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Symbol">
    <w:altName w:val="Kingsoft Sign"/>
    <w:panose1 w:val="05050102010706020507"/>
    <w:charset w:val="02"/>
    <w:family w:val="roman"/>
    <w:pitch w:val="default"/>
    <w:sig w:usb0="00000000" w:usb1="00000000" w:usb2="00000000" w:usb3="00000000" w:csb0="80000000" w:csb1="00000000"/>
  </w:font>
  <w:font w:name="Courier New">
    <w:panose1 w:val="02070609020205090404"/>
    <w:charset w:val="00"/>
    <w:family w:val="modern"/>
    <w:pitch w:val="default"/>
    <w:sig w:usb0="E0000AFF" w:usb1="40007843" w:usb2="00000001" w:usb3="00000000" w:csb0="400001BF" w:csb1="DFF70000"/>
  </w:font>
  <w:font w:name="Wingdings">
    <w:panose1 w:val="05000000000000000000"/>
    <w:charset w:val="02"/>
    <w:family w:val="auto"/>
    <w:pitch w:val="default"/>
    <w:sig w:usb0="00000000" w:usb1="00000000" w:usb2="00000000" w:usb3="00000000" w:csb0="80000000" w:csb1="00000000"/>
  </w:font>
  <w:font w:name="等线 Light">
    <w:altName w:val="汉仪中等线KW"/>
    <w:panose1 w:val="02010600030101010101"/>
    <w:charset w:val="86"/>
    <w:family w:val="auto"/>
    <w:pitch w:val="default"/>
    <w:sig w:usb0="00000000" w:usb1="00000000" w:usb2="00000016" w:usb3="00000000" w:csb0="0004000F" w:csb1="00000000"/>
  </w:font>
  <w:font w:name="Calibri Light">
    <w:altName w:val="Helvetica Neue"/>
    <w:panose1 w:val="020F0302020204030204"/>
    <w:charset w:val="00"/>
    <w:family w:val="swiss"/>
    <w:pitch w:val="default"/>
    <w:sig w:usb0="00000000" w:usb1="00000000" w:usb2="00000009" w:usb3="00000000" w:csb0="000001FF" w:csb1="00000000"/>
  </w:font>
  <w:font w:name="等线">
    <w:altName w:val="汉仪中等线KW"/>
    <w:panose1 w:val="02010600030101010101"/>
    <w:charset w:val="86"/>
    <w:family w:val="auto"/>
    <w:pitch w:val="default"/>
    <w:sig w:usb0="00000000" w:usb1="00000000" w:usb2="00000016" w:usb3="00000000" w:csb0="0004000F" w:csb1="00000000"/>
  </w:font>
  <w:font w:name="冬青黑体简体中文">
    <w:panose1 w:val="020B0300000000000000"/>
    <w:charset w:val="86"/>
    <w:family w:val="auto"/>
    <w:pitch w:val="default"/>
    <w:sig w:usb0="A00002BF" w:usb1="1ACF7CFA" w:usb2="00000016" w:usb3="00000000" w:csb0="00060007" w:csb1="00000000"/>
  </w:font>
  <w:font w:name="Kingsoft Sign">
    <w:panose1 w:val="05050102010706020507"/>
    <w:charset w:val="00"/>
    <w:family w:val="auto"/>
    <w:pitch w:val="default"/>
    <w:sig w:usb0="00000000" w:usb1="10000000" w:usb2="00000000" w:usb3="00000000" w:csb0="00000001" w:csb1="00000000"/>
  </w:font>
  <w:font w:name="Calibri">
    <w:altName w:val="Helvetica Neue"/>
    <w:panose1 w:val="020F0502020204030204"/>
    <w:charset w:val="86"/>
    <w:family w:val="swiss"/>
    <w:pitch w:val="default"/>
    <w:sig w:usb0="00000000" w:usb1="00000000" w:usb2="00000001" w:usb3="00000000" w:csb0="0000019F" w:csb1="00000000"/>
  </w:font>
  <w:font w:name="等线">
    <w:altName w:val="汉仪中等线KW"/>
    <w:panose1 w:val="00000000000000000000"/>
    <w:charset w:val="00"/>
    <w:family w:val="auto"/>
    <w:pitch w:val="default"/>
    <w:sig w:usb0="00000000" w:usb1="00000000" w:usb2="00000000" w:usb3="00000000" w:csb0="00000000" w:csb1="00000000"/>
  </w:font>
  <w:font w:name="汉仪中等线KW">
    <w:panose1 w:val="01010104010101010101"/>
    <w:charset w:val="86"/>
    <w:family w:val="auto"/>
    <w:pitch w:val="default"/>
    <w:sig w:usb0="800002BF" w:usb1="004F7CFA" w:usb2="00000000" w:usb3="00000000" w:csb0="00040001" w:csb1="00000000"/>
  </w:font>
  <w:font w:name="Tahoma">
    <w:panose1 w:val="020B0804030504040204"/>
    <w:charset w:val="00"/>
    <w:family w:val="swiss"/>
    <w:pitch w:val="default"/>
    <w:sig w:usb0="E1002AFF" w:usb1="C000605B" w:usb2="00000029" w:usb3="00000000" w:csb0="200101FF" w:csb1="20280000"/>
  </w:font>
  <w:font w:name="Arial">
    <w:panose1 w:val="020B0604020202090204"/>
    <w:charset w:val="00"/>
    <w:family w:val="swiss"/>
    <w:pitch w:val="default"/>
    <w:sig w:usb0="E0000AFF" w:usb1="00007843" w:usb2="00000001" w:usb3="00000000" w:csb0="400001BF" w:csb1="DFF70000"/>
  </w:font>
  <w:font w:name="宋体-简">
    <w:panose1 w:val="02010800040101010101"/>
    <w:charset w:val="86"/>
    <w:family w:val="auto"/>
    <w:pitch w:val="default"/>
    <w:sig w:usb0="00000001" w:usb1="080F0000" w:usb2="00000000" w:usb3="00000000" w:csb0="00040000"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0C30081"/>
    <w:multiLevelType w:val="multilevel"/>
    <w:tmpl w:val="50C30081"/>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2"/>
  <w:removePersonalInformation/>
  <w:doNotDisplayPageBoundaries w:val="1"/>
  <w:bordersDoNotSurroundHeader w:val="1"/>
  <w:bordersDoNotSurroundFooter w:val="1"/>
  <w:documentProtection w:enforcement="0"/>
  <w:defaultTabStop w:val="720"/>
  <w:noPunctuationKerning w:val="1"/>
  <w:characterSpacingControl w:val="doNotCompress"/>
  <w:compat>
    <w:doNotExpandShiftReturn/>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10540"/>
    <w:rsid w:val="00031DD2"/>
    <w:rsid w:val="00123E49"/>
    <w:rsid w:val="00333270"/>
    <w:rsid w:val="003A0AF7"/>
    <w:rsid w:val="003E38C8"/>
    <w:rsid w:val="00410540"/>
    <w:rsid w:val="00475ADE"/>
    <w:rsid w:val="004B0879"/>
    <w:rsid w:val="00557435"/>
    <w:rsid w:val="00665B04"/>
    <w:rsid w:val="008A0430"/>
    <w:rsid w:val="008C7F6C"/>
    <w:rsid w:val="009B2B9C"/>
    <w:rsid w:val="00A469A3"/>
    <w:rsid w:val="00A808BD"/>
    <w:rsid w:val="00BA7373"/>
    <w:rsid w:val="00BF2C51"/>
    <w:rsid w:val="00D17332"/>
    <w:rsid w:val="00D6581B"/>
    <w:rsid w:val="00D92BFA"/>
    <w:rsid w:val="00DE5D3F"/>
    <w:rsid w:val="00E261CE"/>
    <w:rsid w:val="00EF6FCF"/>
    <w:rsid w:val="00F57C95"/>
    <w:rsid w:val="00F67CFD"/>
    <w:rsid w:val="0A8E023C"/>
    <w:rsid w:val="277D694C"/>
    <w:rsid w:val="6B79D848"/>
    <w:rsid w:val="6F51652A"/>
    <w:rsid w:val="794D69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name="Balloon Text"/>
    <w:lsdException w:unhideWhenUsed="0" w:uiPriority="9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US" w:eastAsia="en-US" w:bidi="ar-SA"/>
    </w:rPr>
  </w:style>
  <w:style w:type="paragraph" w:styleId="2">
    <w:name w:val="heading 1"/>
    <w:basedOn w:val="1"/>
    <w:next w:val="1"/>
    <w:link w:val="14"/>
    <w:qFormat/>
    <w:uiPriority w:val="9"/>
    <w:pPr>
      <w:keepNext/>
      <w:keepLines/>
      <w:spacing w:before="240" w:after="0"/>
      <w:jc w:val="both"/>
      <w:outlineLvl w:val="0"/>
    </w:pPr>
    <w:rPr>
      <w:rFonts w:ascii="Times New Roman" w:hAnsi="Times New Roman" w:eastAsiaTheme="majorEastAsia" w:cstheme="majorBidi"/>
      <w:b/>
      <w:sz w:val="24"/>
      <w:szCs w:val="32"/>
    </w:rPr>
  </w:style>
  <w:style w:type="paragraph" w:styleId="3">
    <w:name w:val="heading 2"/>
    <w:basedOn w:val="1"/>
    <w:next w:val="1"/>
    <w:link w:val="15"/>
    <w:unhideWhenUsed/>
    <w:qFormat/>
    <w:uiPriority w:val="9"/>
    <w:pPr>
      <w:keepNext/>
      <w:keepLines/>
      <w:spacing w:before="40" w:after="0"/>
      <w:jc w:val="both"/>
      <w:outlineLvl w:val="1"/>
    </w:pPr>
    <w:rPr>
      <w:rFonts w:ascii="Times New Roman" w:hAnsi="Times New Roman" w:eastAsiaTheme="majorEastAsia" w:cstheme="majorBidi"/>
      <w:b/>
      <w:sz w:val="24"/>
      <w:szCs w:val="26"/>
    </w:rPr>
  </w:style>
  <w:style w:type="character" w:default="1" w:styleId="10">
    <w:name w:val="Default Paragraph Font"/>
    <w:unhideWhenUsed/>
    <w:uiPriority w:val="1"/>
  </w:style>
  <w:style w:type="table" w:default="1" w:styleId="12">
    <w:name w:val="Normal Table"/>
    <w:unhideWhenUsed/>
    <w:qFormat/>
    <w:uiPriority w:val="99"/>
    <w:tblPr>
      <w:tblCellMar>
        <w:top w:w="0" w:type="dxa"/>
        <w:left w:w="108" w:type="dxa"/>
        <w:bottom w:w="0" w:type="dxa"/>
        <w:right w:w="108" w:type="dxa"/>
      </w:tblCellMar>
    </w:tblPr>
  </w:style>
  <w:style w:type="paragraph" w:styleId="4">
    <w:name w:val="Balloon Text"/>
    <w:basedOn w:val="1"/>
    <w:link w:val="24"/>
    <w:unhideWhenUsed/>
    <w:qFormat/>
    <w:uiPriority w:val="99"/>
    <w:pPr>
      <w:spacing w:after="0" w:line="240" w:lineRule="auto"/>
    </w:pPr>
    <w:rPr>
      <w:sz w:val="18"/>
      <w:szCs w:val="18"/>
    </w:rPr>
  </w:style>
  <w:style w:type="paragraph" w:styleId="5">
    <w:name w:val="footer"/>
    <w:basedOn w:val="1"/>
    <w:link w:val="20"/>
    <w:unhideWhenUsed/>
    <w:qFormat/>
    <w:uiPriority w:val="99"/>
    <w:pPr>
      <w:tabs>
        <w:tab w:val="center" w:pos="4680"/>
        <w:tab w:val="right" w:pos="9360"/>
      </w:tabs>
      <w:spacing w:after="0" w:line="240" w:lineRule="auto"/>
    </w:pPr>
  </w:style>
  <w:style w:type="paragraph" w:styleId="6">
    <w:name w:val="header"/>
    <w:basedOn w:val="1"/>
    <w:link w:val="19"/>
    <w:unhideWhenUsed/>
    <w:uiPriority w:val="99"/>
    <w:pPr>
      <w:tabs>
        <w:tab w:val="center" w:pos="4680"/>
        <w:tab w:val="right" w:pos="9360"/>
      </w:tabs>
      <w:spacing w:after="0" w:line="240" w:lineRule="auto"/>
    </w:pPr>
  </w:style>
  <w:style w:type="paragraph" w:styleId="7">
    <w:name w:val="toc 1"/>
    <w:basedOn w:val="1"/>
    <w:next w:val="1"/>
    <w:unhideWhenUsed/>
    <w:uiPriority w:val="39"/>
    <w:pPr>
      <w:spacing w:after="100"/>
    </w:pPr>
  </w:style>
  <w:style w:type="paragraph" w:styleId="8">
    <w:name w:val="toc 2"/>
    <w:basedOn w:val="1"/>
    <w:next w:val="1"/>
    <w:unhideWhenUsed/>
    <w:uiPriority w:val="39"/>
    <w:pPr>
      <w:spacing w:after="100"/>
      <w:ind w:left="220"/>
    </w:pPr>
  </w:style>
  <w:style w:type="paragraph" w:styleId="9">
    <w:name w:val="Normal (Web)"/>
    <w:basedOn w:val="1"/>
    <w:unhideWhenUsed/>
    <w:qFormat/>
    <w:uiPriority w:val="99"/>
    <w:pPr>
      <w:spacing w:before="100" w:beforeAutospacing="1" w:after="100" w:afterAutospacing="1" w:line="240" w:lineRule="auto"/>
    </w:pPr>
    <w:rPr>
      <w:rFonts w:ascii="Times New Roman" w:hAnsi="Times New Roman" w:eastAsia="Times New Roman" w:cs="Times New Roman"/>
      <w:sz w:val="24"/>
      <w:szCs w:val="24"/>
    </w:rPr>
  </w:style>
  <w:style w:type="character" w:styleId="11">
    <w:name w:val="Hyperlink"/>
    <w:basedOn w:val="10"/>
    <w:unhideWhenUsed/>
    <w:uiPriority w:val="99"/>
    <w:rPr>
      <w:color w:val="0563C1" w:themeColor="hyperlink"/>
      <w:u w:val="single"/>
      <w14:textFill>
        <w14:solidFill>
          <w14:schemeClr w14:val="hlink"/>
        </w14:solidFill>
      </w14:textFill>
    </w:rPr>
  </w:style>
  <w:style w:type="table" w:styleId="13">
    <w:name w:val="Table Grid"/>
    <w:basedOn w:val="12"/>
    <w:uiPriority w:val="99"/>
    <w:rPr>
      <w:rFonts w:eastAsia="Times New Roma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character" w:customStyle="1" w:styleId="14">
    <w:name w:val="标题 1 Char"/>
    <w:basedOn w:val="10"/>
    <w:link w:val="2"/>
    <w:qFormat/>
    <w:uiPriority w:val="9"/>
    <w:rPr>
      <w:rFonts w:ascii="Times New Roman" w:hAnsi="Times New Roman" w:eastAsiaTheme="majorEastAsia" w:cstheme="majorBidi"/>
      <w:b/>
      <w:sz w:val="24"/>
      <w:szCs w:val="32"/>
    </w:rPr>
  </w:style>
  <w:style w:type="character" w:customStyle="1" w:styleId="15">
    <w:name w:val="标题 2 Char"/>
    <w:basedOn w:val="10"/>
    <w:link w:val="3"/>
    <w:qFormat/>
    <w:uiPriority w:val="9"/>
    <w:rPr>
      <w:rFonts w:ascii="Times New Roman" w:hAnsi="Times New Roman" w:eastAsiaTheme="majorEastAsia" w:cstheme="majorBidi"/>
      <w:b/>
      <w:sz w:val="24"/>
      <w:szCs w:val="26"/>
    </w:rPr>
  </w:style>
  <w:style w:type="paragraph" w:customStyle="1" w:styleId="16">
    <w:name w:val="List Paragraph"/>
    <w:basedOn w:val="1"/>
    <w:qFormat/>
    <w:uiPriority w:val="34"/>
    <w:pPr>
      <w:ind w:left="720"/>
      <w:contextualSpacing/>
    </w:pPr>
  </w:style>
  <w:style w:type="character" w:customStyle="1" w:styleId="17">
    <w:name w:val="15"/>
    <w:basedOn w:val="10"/>
    <w:qFormat/>
    <w:uiPriority w:val="0"/>
    <w:rPr>
      <w:rFonts w:hint="default" w:ascii="Calibri" w:hAnsi="Calibri" w:cs="Calibri"/>
      <w:color w:val="0000FF"/>
      <w:u w:val="single"/>
    </w:rPr>
  </w:style>
  <w:style w:type="paragraph" w:customStyle="1" w:styleId="18">
    <w:name w:val="TOC Heading1"/>
    <w:basedOn w:val="2"/>
    <w:next w:val="1"/>
    <w:unhideWhenUsed/>
    <w:qFormat/>
    <w:uiPriority w:val="39"/>
    <w:pPr>
      <w:jc w:val="left"/>
      <w:outlineLvl w:val="9"/>
    </w:pPr>
    <w:rPr>
      <w:rFonts w:asciiTheme="majorHAnsi" w:hAnsiTheme="majorHAnsi"/>
      <w:b w:val="0"/>
      <w:color w:val="2F5597" w:themeColor="accent1" w:themeShade="BF"/>
      <w:sz w:val="32"/>
    </w:rPr>
  </w:style>
  <w:style w:type="character" w:customStyle="1" w:styleId="19">
    <w:name w:val="页眉 Char"/>
    <w:basedOn w:val="10"/>
    <w:link w:val="6"/>
    <w:qFormat/>
    <w:uiPriority w:val="99"/>
  </w:style>
  <w:style w:type="character" w:customStyle="1" w:styleId="20">
    <w:name w:val="页脚 Char"/>
    <w:basedOn w:val="10"/>
    <w:link w:val="5"/>
    <w:qFormat/>
    <w:uiPriority w:val="99"/>
  </w:style>
  <w:style w:type="paragraph" w:customStyle="1" w:styleId="21">
    <w:name w:val="WPSOffice手动目录 1"/>
    <w:qFormat/>
    <w:uiPriority w:val="0"/>
    <w:rPr>
      <w:rFonts w:ascii="Times New Roman" w:hAnsi="Times New Roman" w:eastAsia="宋体" w:cs="Times New Roman"/>
      <w:lang w:val="en-US" w:eastAsia="en-US" w:bidi="ar-SA"/>
    </w:rPr>
  </w:style>
  <w:style w:type="paragraph" w:customStyle="1" w:styleId="22">
    <w:name w:val="WPSOffice手动目录 2"/>
    <w:qFormat/>
    <w:uiPriority w:val="0"/>
    <w:pPr>
      <w:ind w:left="200" w:leftChars="200"/>
    </w:pPr>
    <w:rPr>
      <w:rFonts w:ascii="Times New Roman" w:hAnsi="Times New Roman" w:eastAsia="宋体" w:cs="Times New Roman"/>
      <w:lang w:val="en-US" w:eastAsia="en-US" w:bidi="ar-SA"/>
    </w:rPr>
  </w:style>
  <w:style w:type="character" w:customStyle="1" w:styleId="23">
    <w:name w:val="lrzxr"/>
    <w:basedOn w:val="10"/>
    <w:qFormat/>
    <w:uiPriority w:val="0"/>
  </w:style>
  <w:style w:type="character" w:customStyle="1" w:styleId="24">
    <w:name w:val="批注框文本 Char"/>
    <w:basedOn w:val="10"/>
    <w:link w:val="4"/>
    <w:semiHidden/>
    <w:qFormat/>
    <w:uiPriority w:val="99"/>
    <w:rPr>
      <w:rFonts w:asciiTheme="minorHAnsi" w:hAnsiTheme="minorHAnsi" w:eastAsiaTheme="minorHAnsi" w:cstheme="minorBidi"/>
      <w:sz w:val="18"/>
      <w:szCs w:val="18"/>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numbering" Target="numbering.xml"/><Relationship Id="rId7" Type="http://schemas.openxmlformats.org/officeDocument/2006/relationships/customXml" Target="../customXml/item1.xml"/><Relationship Id="rId6" Type="http://schemas.openxmlformats.org/officeDocument/2006/relationships/image" Target="media/image3.jpeg"/><Relationship Id="rId5" Type="http://schemas.openxmlformats.org/officeDocument/2006/relationships/image" Target="media/image2.jpe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14</Pages>
  <Words>3254</Words>
  <Characters>18552</Characters>
  <Lines>154</Lines>
  <Paragraphs>43</Paragraphs>
  <ScaleCrop>false</ScaleCrop>
  <LinksUpToDate>false</LinksUpToDate>
  <CharactersWithSpaces>21763</CharactersWithSpaces>
  <Application>WPS Office_3.9.6.6441_F1E327BC-269C-435d-A152-05C5408002CA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2022-05-08T20:45:00Z</dcterms:created>
  <dcterms:modified xsi:type="dcterms:W3CDTF">2022-05-09T01:49:54Z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2052-3.9.6.6441</vt:lpwstr>
  </property>
</Properties>
</file>