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Assessment Component 2b  </w:t>
      </w:r>
    </w:p>
    <w:p w:rsidR="00000000" w:rsidDel="00000000" w:rsidP="00000000" w:rsidRDefault="00000000" w:rsidRPr="00000000" w14:paraId="00000002">
      <w:pP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Using the psychological evidence on prejudice and discrimination as a framework, critically discuss how government education policy relevant to an education setting of your choice could use psychological theories of prejudice and discrimination to combat prejudice and discrimination at policy level. </w:t>
      </w:r>
    </w:p>
    <w:p w:rsidR="00000000" w:rsidDel="00000000" w:rsidP="00000000" w:rsidRDefault="00000000" w:rsidRPr="00000000" w14:paraId="000000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not one single definition of education policy as it is a complex web of both product and process providing schools with legislation, statutory and non-statutory guidance to support the operation of education systems. Education policies are often representative of political and societal pressures and seek to transform individuals, as Bell and Stevenson suggest “policy is political: it is about the power to determine what is done” (2006, p. 9). Moreover, they maintain that “education has a crucial role in promoting a sense of individual and collective welfare and through this a sense of social cohesion” (p. 62). If education has such a “crucial role” then it is pertinent to critically reflect upon its policies and the psychological frameworks of prejudice and discrimination as “prejudice and discrimination can affect people’s opportunities, their social resources, self-worth and motivation, and their engagement with wider society” (Abrams 2010, p.6). </w:t>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Wales a new education policy,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has been co-constructed with practitioners, academics and central government to provide schools with a macro level of curriculum requirements. Teachers have traditionally been viewed as passive recipients of education policy and merely respond to top down policy directives, however the reality in Wales is much more focused upon policy sense-making and teacher agency (Bunten, 2014). The policy legislation sets out core learning expectations for all learners in Wales from the age of three to sixteen. It aims to ensure a consistent approach to teaching and learning, providing schools with the autonomy to design and deliver school level curriculum and assessment arrangements. This level of policy development provides schools with much flex and opportunity to ensure that their curriculum meets the needs of their local context. However, pan-Wales there is a need for a level of consistency to ensure that such interpretation of education policy, and inevitably a school curriculum, is not left to chance. Education policy can be described as having a “social function - concerned not solely with matters of welfare, but with matters of ideology too” (Bell and Stevenson, 2006, p. 58). There is a general consensus that education policy can serve to challenge or reinforce the status quo (Bell and Stevenson, 2006) and there is a clear need to take heed of Bunten (2014, p. 206) who stated “the ways in which a policy is interpreted and enacted at the classroom level by teachers may be very different than the intentions of its author”. </w:t>
      </w:r>
    </w:p>
    <w:p w:rsidR="00000000" w:rsidDel="00000000" w:rsidP="00000000" w:rsidRDefault="00000000" w:rsidRPr="00000000" w14:paraId="000000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a distinct possibility that the government education policy which provides schools with autonomy may in fact cause prejudice and discrimination through a lack of direction regarding the specific teaching of race and diversity. Dumas, Dixson and Mayorga (2016) in their editorial paper about education policy, politics and race, identified issues of race in education policies. They explained how education policy can raise questions about societal values and equitable access to education and that “educational policy reflects, and is an instantiation, of that “common sense”” (p. 5). Therefore, it could be argued that such a “common sense” approach to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would ensure the new curriculum provides an equitable right for all children to understand the diverse nature of Wales and how such diversity has shaped society. </w:t>
      </w:r>
    </w:p>
    <w:p w:rsidR="00000000" w:rsidDel="00000000" w:rsidP="00000000" w:rsidRDefault="00000000" w:rsidRPr="00000000" w14:paraId="000000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potential gap in policy has been identified by Kirsty Williams, Education Minister, who recently set up a working group entitled </w:t>
      </w:r>
      <w:r w:rsidDel="00000000" w:rsidR="00000000" w:rsidRPr="00000000">
        <w:rPr>
          <w:rFonts w:ascii="Calibri" w:cs="Calibri" w:eastAsia="Calibri" w:hAnsi="Calibri"/>
          <w:i w:val="1"/>
          <w:sz w:val="24"/>
          <w:szCs w:val="24"/>
          <w:rtl w:val="0"/>
        </w:rPr>
        <w:t xml:space="preserve">‘Communities, contributions and cynefin: Black, Asian and minority ethnic (BAME) experiences and the new curriculum’</w:t>
      </w:r>
      <w:r w:rsidDel="00000000" w:rsidR="00000000" w:rsidRPr="00000000">
        <w:rPr>
          <w:rFonts w:ascii="Calibri" w:cs="Calibri" w:eastAsia="Calibri" w:hAnsi="Calibri"/>
          <w:sz w:val="24"/>
          <w:szCs w:val="24"/>
          <w:rtl w:val="0"/>
        </w:rPr>
        <w:t xml:space="preserve">. The BAME Working Group has been asked to provide advice on and improve the teaching of themes relating to BAME communities and experiences across all parts of the school curriculum. It could be argued that there is a real risk, that as there are no statutory requirements for teaching specific subject matter, BAME themes could be marginalised in the new curriculum. This may result in children across Wales moving through their education without developing an understanding of the history of racism or understanding diversity. Alternatively, it could be viewed that the potential outcomes and subsequent direction of the working group could be seen to be the very antithesis of the autonomy that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upholds. It is therefore important to explore the psychological theories and research associated with prejudice and discrimination in an attempt to combat prejudice and discrimination which may exist at this policy level, as Jackson and Allen-Handy (2018) shared “research and policy-making should be natural companions” (p. 645).</w:t>
      </w:r>
    </w:p>
    <w:p w:rsidR="00000000" w:rsidDel="00000000" w:rsidP="00000000" w:rsidRDefault="00000000" w:rsidRPr="00000000" w14:paraId="0000000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Duckitt (1992) identified four primary causal processes of prejudice: internal, inherent and fundamental psychological processes; social and intergroup dynamics; social transmission; and individual differences. He argued that “each of these causal processes provides a partial but essential contribution to the explanation of prejudice” (p. 1190). It could be maintained that to truly attempt to combat prejudice at a policy level requires an understanding of, what Duckitt calls, the “bewildering variety of theories and approaches” (p. 1191) in order to seek to combat the very ills they describe. </w:t>
      </w:r>
    </w:p>
    <w:p w:rsidR="00000000" w:rsidDel="00000000" w:rsidP="00000000" w:rsidRDefault="00000000" w:rsidRPr="00000000" w14:paraId="0000000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psychological theories of prejudice and discrimination relating to racism identify prejudice as thoughts and ideas and racial discrimination as behaviour. This behaviour can be both explicit or subtle, direct or indirect. “Discrimination may also occur as the result of institutional procedures rather than individual behaviours” (Blank, Dabady and Citro, 2004, p. 56). Schools as institutions each have their own culture and accepted norms and behaviours, often influenced by government policy. As such these policies should be influenced by theories of prejudice and discrimination in order to combat prejudice and discrimination which may exist at a policy level. Dovidio and Gaertner (1999) discuss the decline in overt examples of prejudice over the last thirty-five years and refer to more contemporary forms of prejudice which exist in subtle and covert ways. They reference that the beliefs that influence contemporary forms of prejudice may be from either individual or intergroup processes and that “these negative biases may occur spontaneously, automatically, and without full awareness” (p. 101). Whereas Dovidio and Gaertner (1999) suggest that education policies have been successful in combating the traditional form of prejudice, addressing the contemporary forms require various strategies that engage, motivate and challenge individuals to recognise their prejudice and bias and redirect them to improvement. In support Augoustinos claims that: </w:t>
      </w:r>
    </w:p>
    <w:p w:rsidR="00000000" w:rsidDel="00000000" w:rsidP="00000000" w:rsidRDefault="00000000" w:rsidRPr="00000000" w14:paraId="000000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0">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psychology has conceptualised racism to be a normative, often invisible system of social practices, cognitions, emotions and discourses that are perpetuated through all levels (individual, interpersonal, intergroup, institutional) that privilege one social group and disadvantage and marginalise other social groups.</w:t>
      </w:r>
    </w:p>
    <w:p w:rsidR="00000000" w:rsidDel="00000000" w:rsidP="00000000" w:rsidRDefault="00000000" w:rsidRPr="00000000" w14:paraId="00000011">
      <w:pPr>
        <w:ind w:left="5760" w:firstLine="72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(Augoustinos, 2013, para. 25) </w:t>
      </w:r>
      <w:r w:rsidDel="00000000" w:rsidR="00000000" w:rsidRPr="00000000">
        <w:rPr>
          <w:rtl w:val="0"/>
        </w:rPr>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Taking this into account, the need for the Welsh education policy to educate and challenge both pupils’ and teachers’ understanding of prejudice and discrimination is stark. </w:t>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October 2020, the </w:t>
      </w:r>
      <w:r w:rsidDel="00000000" w:rsidR="00000000" w:rsidRPr="00000000">
        <w:rPr>
          <w:rFonts w:ascii="Calibri" w:cs="Calibri" w:eastAsia="Calibri" w:hAnsi="Calibri"/>
          <w:i w:val="1"/>
          <w:sz w:val="24"/>
          <w:szCs w:val="24"/>
          <w:rtl w:val="0"/>
        </w:rPr>
        <w:t xml:space="preserve">‘Communities, contributions and cynefin: Black, Asian and minority ethnic (BAME) experiences and the new curriculum’</w:t>
      </w:r>
      <w:r w:rsidDel="00000000" w:rsidR="00000000" w:rsidRPr="00000000">
        <w:rPr>
          <w:rFonts w:ascii="Calibri" w:cs="Calibri" w:eastAsia="Calibri" w:hAnsi="Calibri"/>
          <w:sz w:val="24"/>
          <w:szCs w:val="24"/>
          <w:rtl w:val="0"/>
        </w:rPr>
        <w:t xml:space="preserve"> Working Group published their vision for every learner and teacher in Wales. The statement identified key aspects to support policy development, namely that every teacher will be able to understand the origin and manifestation of racism; that they are supported to design a curriculum that reflects the diverse contributions of BAME groups; and that they are able to recognise such contributions in the context of the history and development of Wales (Department for Education and Skills, 2020). This could be viewed as the very challenge to Augoustinos’ claims, noted above, of the perpetuation of invisible racism. In fact, this policy has clear implications for teachers in their curriculum design and pedagogical approaches and for pupils in their development as ethical, informed citizens of Wales and the world (Department for Education and Skills, 2020). This aspirational vision provides a strategic purpose for the development of policy in Wales and one which will undoubtedly challenge and support both pupils and teachers.  </w:t>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further a critical understanding of the BAME Working Group’s policy development, it can be discussed through the lens of Social Identity Theory. Social identity theory emerged in the 1970s as an alternative view to individual causes of prejudice. Social identity theory: </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holds that people are motivated to develop and maintain social identities that are positive and that clearly set their groups apart from other groups. That is, people want to see their groups as distinct from, but also better than, other groups.</w:t>
      </w:r>
    </w:p>
    <w:p w:rsidR="00000000" w:rsidDel="00000000" w:rsidP="00000000" w:rsidRDefault="00000000" w:rsidRPr="00000000" w14:paraId="0000001A">
      <w:pPr>
        <w:ind w:left="576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(Kite and Whitley, 2016, p. 303) </w:t>
      </w:r>
    </w:p>
    <w:p w:rsidR="00000000" w:rsidDel="00000000" w:rsidP="00000000" w:rsidRDefault="00000000" w:rsidRPr="00000000" w14:paraId="0000001B">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group or groups that individuals perceive they are part of are seen as a reflection of themselves. Therefore, individuals favour those who are in their in-group rather than those classed as being in the out-group (Tajfel and Turner, 1979). In theories of discrimination, this perspective of social identity can cause individuals to be “motivated to protect their self-esteem and achieve a positive and distinct social identity” (Al Ramiah </w:t>
      </w:r>
      <w:r w:rsidDel="00000000" w:rsidR="00000000" w:rsidRPr="00000000">
        <w:rPr>
          <w:rFonts w:ascii="Calibri" w:cs="Calibri" w:eastAsia="Calibri" w:hAnsi="Calibri"/>
          <w:i w:val="1"/>
          <w:sz w:val="24"/>
          <w:szCs w:val="24"/>
          <w:rtl w:val="0"/>
        </w:rPr>
        <w:t xml:space="preserve">et al.</w:t>
      </w:r>
      <w:r w:rsidDel="00000000" w:rsidR="00000000" w:rsidRPr="00000000">
        <w:rPr>
          <w:rFonts w:ascii="Calibri" w:cs="Calibri" w:eastAsia="Calibri" w:hAnsi="Calibri"/>
          <w:sz w:val="24"/>
          <w:szCs w:val="24"/>
          <w:rtl w:val="0"/>
        </w:rPr>
        <w:t xml:space="preserve">, 2010, p. 86). This can result in both direct and indirect discrimination towards the out-group, often referred to as in-group bias. The minimal group paradigm studies highlighted in-group bias occurring from the most basic of categories. The results were clear in that members of the in-group made preferential decisions towards that group and displayed inequality towards the out-group. “This tendency to discriminate is an important finding, and indicative of the spontaneous nature of prejudice and discrimination in intergroup contexts” (Al Ramiah </w:t>
      </w:r>
      <w:r w:rsidDel="00000000" w:rsidR="00000000" w:rsidRPr="00000000">
        <w:rPr>
          <w:rFonts w:ascii="Calibri" w:cs="Calibri" w:eastAsia="Calibri" w:hAnsi="Calibri"/>
          <w:i w:val="1"/>
          <w:sz w:val="24"/>
          <w:szCs w:val="24"/>
          <w:rtl w:val="0"/>
        </w:rPr>
        <w:t xml:space="preserve">et al.</w:t>
      </w:r>
      <w:r w:rsidDel="00000000" w:rsidR="00000000" w:rsidRPr="00000000">
        <w:rPr>
          <w:rFonts w:ascii="Calibri" w:cs="Calibri" w:eastAsia="Calibri" w:hAnsi="Calibri"/>
          <w:sz w:val="24"/>
          <w:szCs w:val="24"/>
          <w:rtl w:val="0"/>
        </w:rPr>
        <w:t xml:space="preserve">, 2010, p. 87). The minimal group paradigm studies also recognised the nature of self-categorisation where “the greater the perceived difference, the more likely a person is to self-categorise on the differentiating dimension and take on the social identity associated with that dimension” (Kite and Whitley, 2016, p. 305). This only serves to exacerbate the bias between groups. </w:t>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research about in-group bias must be considered when viewing the Welsh Government policy direction for the BAME Working Group. The research supports the vision of the Working Group as there being a distinct need for teachers to understand the origin and manifestation of racism. In further support, a paper by Escayg (2018) identified how the recognition of institutional racism, experiential knowledge, White privilege and White power in education policy can position “both educators and children as agents of social change” (p. 16). Escayg discussed how placing race at the heart of analysis, in this case policy making, highlighted White privilege and the subsequent inequities that exist. The power to combat such inequality lies within education policy, ensuring that teaching addresses racism. However, Escayg raises caution as she identified strategies which disregarded systemic racism and privilege. She noted that “it is vital that early learning curriculum take into account how racial discourses, whiteness, and power relations shape children’s understanding and evaluation of racial identities” (2018, p. 17). When considering this in conjunction with the social identity theory there is an absolute need for education policy in Wales to influence practice and ensure that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is consistent in supporting an understanding of the manifestations of racism, building a curriculum that reflects the contribution of BAME groups and celebrates the diverse context of Wales. However, it is clear that “a sole focus on cultivating racial pride is insufficient” and “research has shown that some dominant group members misconstrue the meaning, scope, and impact of racism, because their perceptions are shaped by their continued privilege and power” (Escayg, 2018, p. 18). In support, Kite and Whitley (2016) suggest that a multicultural perspective, from the position of social identity theory, supports and values both majority and minority groups and attempts to unite them in a common goal. “This validation of their respective cultures allows people to feel more secure in their group identities and therefore feel less animosity toward other groups” (Kite and Whitley, 2016, p. 574). This raises important questions about how the policy direction from the findings of the BAME Working Group can actually influence education across the expanse of a diverse Wales or whether it should be left to individual groups to decide as they know their multicultural perspectives the best. </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notion of multicultural education in policy was explored by Arneback and Quennerstedt (2016) in their review of how racism is located in education policy. They shared that research sees education policy as a tool used to recognise the different approaches to cultural diversity. However, research also identified that this failed to address any structural racism found and “that policy should recognise multiculturalism as power-laden and including friction” (p. 775). If the vision of the BAME Working Group at a policy level is to support teachers to design a curriculum that reflects the diverse contributions of BAME groups then it is important to acknowledge the research which both supports and challenges this aim. </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Multicultural curricula have been developed across the world as a way of providing children with the correct knowledge about racial groups. In their review of prejudice reduction in schools, Pfeifer, Brown and Juvonen (2007), highlighted that many multicultural studies contained limitations and issues with research design. They also failed to recognise individual school contexts and focused on the use of external resources brought into the classroom. This top down, policy to classroom, approach is a clear point to note for the BAME Working Group and their focus on ensuring access to a range of resources to support the teaching of BAME themes. The policy direction of the use of such resources must take account of individual school contexts rather than commanding the delivery of a generic suite of information. </w:t>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further supported when considered through the lens of social and intergroup dynamics and the Intergroup Contact Theory. Allport (1954) developed the hypothesis of ‘contact’ between individuals which supported a reduction in prejudice. At the centre of Intergroup Contact Theory: </w:t>
      </w:r>
    </w:p>
    <w:p w:rsidR="00000000" w:rsidDel="00000000" w:rsidP="00000000" w:rsidRDefault="00000000" w:rsidRPr="00000000" w14:paraId="00000025">
      <w:pPr>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the notion that developing more positive than negative ideas about an out-group will </w:t>
      </w:r>
    </w:p>
    <w:p w:rsidR="00000000" w:rsidDel="00000000" w:rsidP="00000000" w:rsidRDefault="00000000" w:rsidRPr="00000000" w14:paraId="00000026">
      <w:pPr>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extend beyond the immediate contact so that reductions in prejudice are not confined </w:t>
      </w:r>
    </w:p>
    <w:p w:rsidR="00000000" w:rsidDel="00000000" w:rsidP="00000000" w:rsidRDefault="00000000" w:rsidRPr="00000000" w14:paraId="00000027">
      <w:pPr>
        <w:ind w:left="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individuals in contact, and instead impact on attitudes towards entire groups.</w:t>
      </w:r>
    </w:p>
    <w:p w:rsidR="00000000" w:rsidDel="00000000" w:rsidP="00000000" w:rsidRDefault="00000000" w:rsidRPr="00000000" w14:paraId="00000028">
      <w:pPr>
        <w:ind w:left="648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(McBride, 2015, p.15) </w:t>
      </w:r>
    </w:p>
    <w:p w:rsidR="00000000" w:rsidDel="00000000" w:rsidP="00000000" w:rsidRDefault="00000000" w:rsidRPr="00000000" w14:paraId="00000029">
      <w:pPr>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Limitations of multicultural curricular can be viewed as not providing contact between individuals with equal status, merely providing information about other groups is not enough (Pfeifer, Brown and Juvonen, 2007). Kite and Whitley (2016) describe the importance of intergroup contact as a way of reducing prejudice and discrimination through groups having equal status, an ability to cooperate, an ability to interact and understand each other as individuals and institutional support. When considering these four elements alongside a policy to develop multicultural curricular it can be argued that there are many complexities that need to be considered. According to the intergroup contact theory, the success of multicultural curricula would only occur if pupils had the opportunity to “apply their knowledge of different others to their daily interactions with different-ethnicity classmates” (Pfeifer, Brown and Juvonen, 2007, p.7). Abrams (2010, p. 70) supports this as “intergroup contact and school diversity tend to be associated with improved intergroup understanding and positive attitudes”. As schools across Wales have vast differences in their ethnic diversity, according to this psychological theory, the policy consideration of the BAME Working Group is flawed. </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response, it could be argued that a multicultural curriculum does provide educational value and such a policy would support a reduction in prejudice through the sharing of knowledge. However, May (1999) argued that “culture has to be understood as part of the discourses of power and inequality” (p. 32). According to May, this links to the teaching of knowledge and that this needs to be reflective of the different cultural knowledge that children bring with them into school. He comments on the perceived criticism of multicultural teaching which can form a “ghettoization” of pupils (p. 32). Avoiding the direct teaching of knowledge which schools or policy perceive as important and developing school-based knowledge which supports the cultural values of both minority and majority cultures in a way which does not suggest a hierarchy of power or control appears more preferable. This raises questions as to whether the aim of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and the school-level autonomy it affords is the most beneficial for teachers and pupils. Or whether a policy to ensure the teaching of race and diversity should be mandated in an attempt to support racial harmony. </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Kite and Whitley (2016) acknowledge that the intergroup contact theory does not always need to rely on direct contact. Research has identified that extended contact, imagined contact or media contact can also reduce prejudice. This is interesting in the case of policy development as the research signifies support for a focus on curricular and BAME resources to support the reduction of prejudice. The quality of such resources is crucial as “media often portrays members of minority groups in negative ways and so help create and perpetuate negative stereotypes and attitudes” (Kite and Whitley, 2016, p. 546). As an example, the BAME Working Group acknowledged:</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teaching black history only as the history of racism can lead to Black, Asian and Minority Ethnic pupils developing a negative sense of themselves. Histories of migration encourage a view of Black, Asian and Minority Ethnic people as outsiders who have moved to Wales from elsewhere rather than as a long-established part of Welsh society. </w:t>
      </w:r>
    </w:p>
    <w:p w:rsidR="00000000" w:rsidDel="00000000" w:rsidP="00000000" w:rsidRDefault="00000000" w:rsidRPr="00000000" w14:paraId="00000031">
      <w:pPr>
        <w:ind w:left="43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Department for Education and Skills, 2020, p. 9</w:t>
      </w:r>
    </w:p>
    <w:p w:rsidR="00000000" w:rsidDel="00000000" w:rsidP="00000000" w:rsidRDefault="00000000" w:rsidRPr="00000000" w14:paraId="00000032">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therefore critical that any media signalled in policy represents BAME groups accurately and in a non-stereotypical manner. </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maintaining the view of intergroup contact theory, research has identified that linking this theory with the aforementioned social identity theory can be complementary in reducing prejudice. The policy direction of the BAME Working Group could benefit from these findings which demonstrate how individuals develop personalised positive attitudes towards out-group members, how these positive attitudes generalise to become intergroup attitudes and how a common social identity is formed (Kite and Whitley, 2016). It could be argued that in terms of the policy development the notion of personalisation is important. </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awareness that members of both ingroup and outgroup members have complex social identities also lessens the importance of group boundaries, which come to be seen as “fuzzy” and permeable rather than distinct and impenetrable. </w:t>
      </w:r>
    </w:p>
    <w:p w:rsidR="00000000" w:rsidDel="00000000" w:rsidP="00000000" w:rsidRDefault="00000000" w:rsidRPr="00000000" w14:paraId="00000038">
      <w:pPr>
        <w:ind w:left="576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(Kite and Whitley, 2016, p. 549)</w:t>
      </w:r>
    </w:p>
    <w:p w:rsidR="00000000" w:rsidDel="00000000" w:rsidP="00000000" w:rsidRDefault="00000000" w:rsidRPr="00000000" w14:paraId="00000039">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this still relies upon person-to-person contact which would cause issues for policy direction due to the difference in the percentage of ethnic groups in schools across Wales. Acknowledging the personalisation process has shortcomings leads to the second stage of generalisation. Generalisation is where the attitude towards one person changes to viewing their group in that way. This raises important questions regarding information and understanding of the diverse groups in our society and the key role that education plays. If “salient categorisation requires that the outgroup come to be seen in nonstereotypic terms” and “intergroup cooperation under conditions of equality promotes this process” (Kite and Whitley, 2016, p. 550) then it could be argued that policy needs to support a development of an understanding of equality to avoid stereotypes being formed. The third stage of common social identity is perhaps the most influential for policy direction. This stage determines that the in-group and out-group are recategorised as one group with a common social identity. As Kite and Whitley (2016) describe: </w:t>
      </w:r>
    </w:p>
    <w:p w:rsidR="00000000" w:rsidDel="00000000" w:rsidP="00000000" w:rsidRDefault="00000000" w:rsidRPr="00000000" w14:paraId="0000003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thinking of oneself and others as “we” rather than as “us and them” fosters a positive view of the others and so results in the elimination of, or at least a great reduction in, prejudice.  </w:t>
      </w:r>
    </w:p>
    <w:p w:rsidR="00000000" w:rsidDel="00000000" w:rsidP="00000000" w:rsidRDefault="00000000" w:rsidRPr="00000000" w14:paraId="0000003D">
      <w:pPr>
        <w:ind w:left="576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(Kite and Whitley, 2016, p. 551) </w:t>
      </w:r>
    </w:p>
    <w:p w:rsidR="00000000" w:rsidDel="00000000" w:rsidP="00000000" w:rsidRDefault="00000000" w:rsidRPr="00000000" w14:paraId="0000003E">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F">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research can be viewed to support the very reason for a policy recognising race and diversity in education in Wales - to be able to reach a point of common social identity. </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evidence of how a national policy such as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can use psychological theories and research to combat prejudice and discrimination. The gap in policy highlighted through the work of the BAME Working Group relies upon the importance of individual understanding and curriculum development. Wiegand and Cifuentes (2018) noted that the curriculum in Wales is a “White curriculum, a system of knowledge shaped by colonialism and imperialism, which with very few exceptions celebrates the achievements of white people” (p. 22). They urge the policy direction of the new </w:t>
      </w: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to be influenced by the perspectives of BAME individuals and that there is a diverse authenticity in the policy direction. This is supported by Dowling and Flintoff (2018) through their recommendation that future education policy:</w:t>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inextricably linked to other historical and social contexts, has a potential to transform these social arrangements if it integrates insights from the ways in which structural racism impacts the learning opportunities for all students. </w:t>
      </w:r>
    </w:p>
    <w:p w:rsidR="00000000" w:rsidDel="00000000" w:rsidP="00000000" w:rsidRDefault="00000000" w:rsidRPr="00000000" w14:paraId="00000044">
      <w:pPr>
        <w:ind w:left="576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(Dowling and Flintoff, 2018, p. 10)</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social identity theory emphasises how affective, emotion-driven attitudes influence prejudice alongside political ideologies. Education has the power to combat this level of prejudice and discrimination and policy needs to support this. In examining the perspectives of how to reduce prejudice and discrimination Kite and Whitley (2016) identify four viewpoints colour-blindness, assimilationism, multiculturalism and polyculturalism. Assimilationism offers an approach where minority groups effectively renounce their culture in view of taking on the culture of the majority group. However, this perspective is viewed as being prejudiced in its own right. When discussing the other three viewpoints, Kite and Whitley (2016) conclude that multiculturalism provides knowledge and an appreciation for other groups, however this could cause an increase in stereotypical behaviour. The colour-blindness view recognises both similarities and differences between groups but upholds the sense of individuality rather than viewing individuals as belonging to groups. This leads them to explain a unification of both multiculturalism and colour-blindness in a view of polyculturalism. As cited in Kite and Whitley (2016): </w:t>
      </w:r>
    </w:p>
    <w:p w:rsidR="00000000" w:rsidDel="00000000" w:rsidP="00000000" w:rsidRDefault="00000000" w:rsidRPr="00000000" w14:paraId="00000047">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Rosenthal and Levy (2010) propose that “if we better understand and appreciate the ways in which cultures are constantly . . . sharing with each other, [then] people’s appreciation and respect for, as well as attitudes toward other racial and ethnic groups will be improved” (p. 224).</w:t>
      </w:r>
    </w:p>
    <w:p w:rsidR="00000000" w:rsidDel="00000000" w:rsidP="00000000" w:rsidRDefault="00000000" w:rsidRPr="00000000" w14:paraId="00000048">
      <w:pPr>
        <w:ind w:left="576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(Kite and Whitley 2016, p. 565)</w:t>
      </w:r>
    </w:p>
    <w:p w:rsidR="00000000" w:rsidDel="00000000" w:rsidP="00000000" w:rsidRDefault="00000000" w:rsidRPr="00000000" w14:paraId="00000049">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Polyculturalism services to unite rather than describe differences and this could be argued as a way forward for policy direction. As: </w:t>
      </w:r>
    </w:p>
    <w:p w:rsidR="00000000" w:rsidDel="00000000" w:rsidP="00000000" w:rsidRDefault="00000000" w:rsidRPr="00000000" w14:paraId="0000004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an increasingly globalized world, it is vital to understand people’s attitudes toward people from other countries, what drives those attitudes, and whether they embrace, deny, or fight against cross-cultural interactions and influences. </w:t>
      </w:r>
    </w:p>
    <w:p w:rsidR="00000000" w:rsidDel="00000000" w:rsidP="00000000" w:rsidRDefault="00000000" w:rsidRPr="00000000" w14:paraId="0000004D">
      <w:pPr>
        <w:ind w:left="43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(Bernardo, Rosenthal and Levy, 2013, p. 342) </w:t>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support of a notion of polyculturalism at a policy level, it could be argued that focusing on the development of an anti-bias curriculum rather than a multicultural curriculum would be better to combat prejudice and discrimination. Anti-bias curricular focuses explicitly on the theme of prejudice and discrimination rather than just providing knowledge about minority groups. “It seeks neither assimilation nor accommodation but rather the dismantling of the systems, structures and institutions that keep racism in place” (Lynch, Swartz and Isaacs, 2017, p. 140). The danger of the BAME Working Group policy suggestion to enable “access to resources, changing mindsets and practices and providing support via exemplars, prompts and guidance” (Department for Education and Skills, 2020, p. 16) is that it could be viewed at only being at a surface multiculturalism level. There is a heavy emphasis on the need for resources within the policy recommendations and it could be argued that to combat prejudice and discrimination at a policy level there is a need for “a deliberately politicised pedagogic approach, concerned with confronting systemic and structural oppression” (Lynch, Swartz and Isaacs, 2017, p. 134) not just a focus on resources. Developing an anti-racist perspective at a policy level would consider “racism as operating not only through personal prejudice, but as existing in interconnected ways through the personal, structural and institutional” (Lynch, Swartz and Isaacs, 2017, p. 131). Cheng and Soudack (1994) identify a whole-school approach which “addresses both structural changes and attitudinal-behavioural changes” (p. i). They suggest that the components required cover the curriculum, resources, teacher expectations, attitudes and behaviour, staff composition, racial incident policies, assessment, community involvement and professional learning (Cheng and Soudack, 1994). This is supported more recently by Lynch, Swartz and Isaacs (2017) who evaluated anti-racist education and determined three areas needed. Firstly, ensuring systemic oppression is visible, secondly recognising the complicit nature of individuals in systemic oppression through unearned privilege and thirdly developing strategies to transform structural inequity. It could be argued that this should be the focus for any policy direction. </w:t>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Curriculum for Wales</w:t>
      </w:r>
      <w:r w:rsidDel="00000000" w:rsidR="00000000" w:rsidRPr="00000000">
        <w:rPr>
          <w:rFonts w:ascii="Calibri" w:cs="Calibri" w:eastAsia="Calibri" w:hAnsi="Calibri"/>
          <w:sz w:val="24"/>
          <w:szCs w:val="24"/>
          <w:rtl w:val="0"/>
        </w:rPr>
        <w:t xml:space="preserve"> provides opportunity to shape education in Wales and ensure it meets the needs of our children. It is essential that the essence of </w:t>
      </w:r>
      <w:r w:rsidDel="00000000" w:rsidR="00000000" w:rsidRPr="00000000">
        <w:rPr>
          <w:rFonts w:ascii="Calibri" w:cs="Calibri" w:eastAsia="Calibri" w:hAnsi="Calibri"/>
          <w:i w:val="1"/>
          <w:sz w:val="24"/>
          <w:szCs w:val="24"/>
          <w:rtl w:val="0"/>
        </w:rPr>
        <w:t xml:space="preserve">Curriculum of Wales</w:t>
      </w:r>
      <w:r w:rsidDel="00000000" w:rsidR="00000000" w:rsidRPr="00000000">
        <w:rPr>
          <w:rFonts w:ascii="Calibri" w:cs="Calibri" w:eastAsia="Calibri" w:hAnsi="Calibri"/>
          <w:sz w:val="24"/>
          <w:szCs w:val="24"/>
          <w:rtl w:val="0"/>
        </w:rPr>
        <w:t xml:space="preserve"> is maintained, in that schools have the agency and choice to develop a curriculum which meets the needs of their local community. The influence of the BAME Working Group on combatting prejudice and discrimination at a policy level is in its early stages of development. Based on the psychological theories and research there is both support and challenge to the vision and work of the BAME Working Group. However, it is clear from the evidence that any potential for variability, bias, prejudice and discrimination is not going to be picked up by overburdensome policy and direction.</w:t>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macro strata in which education policy is developed needs to pay cognisance to the view of polyculturalism and development of an anti-racist perspective. To truly influence the micro level of curriculum development the challenge needs to be brought to a nano level, to the individuals who enact such policy on a daily basis. Based on the research and theories it is essential that teachers and school leaders are well informed and encouraged to critically examine themselves as individuals through highly effective professional learning. However individual beliefs and attitudes are perhaps beyond policy control. Regardless, it is the responsibility of educators to be the lever for change. In Wales, education policy has a real chance to evoke ‘cynefin’, ensuring a sense of belonging for all children, moving “beyond reductionist categorisations such as ‘us’ versus ‘them’ to inclusive and representative forms of social identity” (Augoustinos 2013, para. 26). Any policy direction which seeks to combat prejudice and discrimination needs a sense of balance. It needs to inform and guide whilst promoting autonomy and agency at a school level.  If </w:t>
      </w:r>
      <w:r w:rsidDel="00000000" w:rsidR="00000000" w:rsidRPr="00000000">
        <w:rPr>
          <w:rFonts w:ascii="Calibri" w:cs="Calibri" w:eastAsia="Calibri" w:hAnsi="Calibri"/>
          <w:i w:val="1"/>
          <w:sz w:val="24"/>
          <w:szCs w:val="24"/>
          <w:rtl w:val="0"/>
        </w:rPr>
        <w:t xml:space="preserve">Curriculum for Wales </w:t>
      </w:r>
      <w:r w:rsidDel="00000000" w:rsidR="00000000" w:rsidRPr="00000000">
        <w:rPr>
          <w:rFonts w:ascii="Calibri" w:cs="Calibri" w:eastAsia="Calibri" w:hAnsi="Calibri"/>
          <w:sz w:val="24"/>
          <w:szCs w:val="24"/>
          <w:rtl w:val="0"/>
        </w:rPr>
        <w:t xml:space="preserve">is to enable children to become ethical, informed citizens of Wales and the world then, as the BAME Working Group note, “much will rely on the capacity, commitment and competence of the education workforce to implement and sustain this initiative in the spirit of the new curriculum” (Department for Education and Skills, 2020, p. 16).  </w:t>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9">
      <w:pPr>
        <w:rPr>
          <w:rFonts w:ascii="Calibri" w:cs="Calibri" w:eastAsia="Calibri" w:hAnsi="Calibri"/>
          <w:b w:val="1"/>
          <w:color w:val="212529"/>
          <w:sz w:val="24"/>
          <w:szCs w:val="24"/>
          <w:highlight w:val="yellow"/>
        </w:rPr>
      </w:pPr>
      <w:r w:rsidDel="00000000" w:rsidR="00000000" w:rsidRPr="00000000">
        <w:rPr>
          <w:rFonts w:ascii="Calibri" w:cs="Calibri" w:eastAsia="Calibri" w:hAnsi="Calibri"/>
          <w:b w:val="1"/>
          <w:color w:val="212529"/>
          <w:sz w:val="24"/>
          <w:szCs w:val="24"/>
          <w:rtl w:val="0"/>
        </w:rPr>
        <w:t xml:space="preserve">References</w:t>
      </w:r>
      <w:r w:rsidDel="00000000" w:rsidR="00000000" w:rsidRPr="00000000">
        <w:rPr>
          <w:rFonts w:ascii="Calibri" w:cs="Calibri" w:eastAsia="Calibri" w:hAnsi="Calibri"/>
          <w:b w:val="1"/>
          <w:color w:val="212529"/>
          <w:sz w:val="24"/>
          <w:szCs w:val="24"/>
          <w:highlight w:val="yellow"/>
          <w:rtl w:val="0"/>
        </w:rPr>
        <w:t xml:space="preserve"> </w:t>
      </w:r>
    </w:p>
    <w:p w:rsidR="00000000" w:rsidDel="00000000" w:rsidP="00000000" w:rsidRDefault="00000000" w:rsidRPr="00000000" w14:paraId="0000005A">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Abrams, D. (2010) ‘Processes of prejudice: Theory, evidence and intervention’, </w:t>
      </w:r>
      <w:r w:rsidDel="00000000" w:rsidR="00000000" w:rsidRPr="00000000">
        <w:rPr>
          <w:rFonts w:ascii="Calibri" w:cs="Calibri" w:eastAsia="Calibri" w:hAnsi="Calibri"/>
          <w:i w:val="1"/>
          <w:sz w:val="24"/>
          <w:szCs w:val="24"/>
          <w:rtl w:val="0"/>
        </w:rPr>
        <w:t xml:space="preserve">Equality and Human Rights Commission Research Report</w:t>
      </w:r>
      <w:r w:rsidDel="00000000" w:rsidR="00000000" w:rsidRPr="00000000">
        <w:rPr>
          <w:rFonts w:ascii="Calibri" w:cs="Calibri" w:eastAsia="Calibri" w:hAnsi="Calibri"/>
          <w:sz w:val="24"/>
          <w:szCs w:val="24"/>
          <w:rtl w:val="0"/>
        </w:rPr>
        <w:t xml:space="preserve"> 56. Available at: </w:t>
      </w:r>
      <w:hyperlink r:id="rId6">
        <w:r w:rsidDel="00000000" w:rsidR="00000000" w:rsidRPr="00000000">
          <w:rPr>
            <w:rFonts w:ascii="Calibri" w:cs="Calibri" w:eastAsia="Calibri" w:hAnsi="Calibri"/>
            <w:color w:val="1155cc"/>
            <w:sz w:val="24"/>
            <w:szCs w:val="24"/>
            <w:u w:val="single"/>
            <w:rtl w:val="0"/>
          </w:rPr>
          <w:t xml:space="preserve">http://www.equalityhumanrights.com</w:t>
        </w:r>
      </w:hyperlink>
      <w:r w:rsidDel="00000000" w:rsidR="00000000" w:rsidRPr="00000000">
        <w:rPr>
          <w:rFonts w:ascii="Calibri" w:cs="Calibri" w:eastAsia="Calibri" w:hAnsi="Calibri"/>
          <w:sz w:val="24"/>
          <w:szCs w:val="24"/>
          <w:rtl w:val="0"/>
        </w:rPr>
        <w:t xml:space="preserve"> [Accessed 17 February 2021]. </w:t>
      </w:r>
    </w:p>
    <w:p w:rsidR="00000000" w:rsidDel="00000000" w:rsidP="00000000" w:rsidRDefault="00000000" w:rsidRPr="00000000" w14:paraId="0000005C">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5D">
      <w:pP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Allport, G. W. (1954) </w:t>
      </w:r>
      <w:r w:rsidDel="00000000" w:rsidR="00000000" w:rsidRPr="00000000">
        <w:rPr>
          <w:rFonts w:ascii="Calibri" w:cs="Calibri" w:eastAsia="Calibri" w:hAnsi="Calibri"/>
          <w:i w:val="1"/>
          <w:sz w:val="24"/>
          <w:szCs w:val="24"/>
          <w:rtl w:val="0"/>
        </w:rPr>
        <w:t xml:space="preserve">The nature of prejudice.</w:t>
      </w: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sz w:val="24"/>
          <w:szCs w:val="24"/>
          <w:rtl w:val="0"/>
        </w:rPr>
        <w:t xml:space="preserve">Reading, MA: Addison-Wesley. </w:t>
      </w:r>
      <w:r w:rsidDel="00000000" w:rsidR="00000000" w:rsidRPr="00000000">
        <w:rPr>
          <w:rtl w:val="0"/>
        </w:rPr>
      </w:r>
    </w:p>
    <w:p w:rsidR="00000000" w:rsidDel="00000000" w:rsidP="00000000" w:rsidRDefault="00000000" w:rsidRPr="00000000" w14:paraId="0000005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Al Ramiah, A., Hewstone, M., Dovidio, J.F. &amp; Penner, L.A. (2010) ‘The social psychology of discrimination: theory, measurement and consequences’ in: L. Bond, F. McGinnity and H. Russell (eds.), </w:t>
      </w:r>
      <w:r w:rsidDel="00000000" w:rsidR="00000000" w:rsidRPr="00000000">
        <w:rPr>
          <w:rFonts w:ascii="Calibri" w:cs="Calibri" w:eastAsia="Calibri" w:hAnsi="Calibri"/>
          <w:i w:val="1"/>
          <w:sz w:val="24"/>
          <w:szCs w:val="24"/>
          <w:rtl w:val="0"/>
        </w:rPr>
        <w:t xml:space="preserve">Making Equality Count: Irish and International Approaches to Measuring Discrimination</w:t>
      </w:r>
      <w:r w:rsidDel="00000000" w:rsidR="00000000" w:rsidRPr="00000000">
        <w:rPr>
          <w:rFonts w:ascii="Calibri" w:cs="Calibri" w:eastAsia="Calibri" w:hAnsi="Calibri"/>
          <w:sz w:val="24"/>
          <w:szCs w:val="24"/>
          <w:rtl w:val="0"/>
        </w:rPr>
        <w:t xml:space="preserve">. Dublin: Liffey Press.</w:t>
      </w:r>
      <w:r w:rsidDel="00000000" w:rsidR="00000000" w:rsidRPr="00000000">
        <w:rPr>
          <w:rtl w:val="0"/>
        </w:rPr>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1">
      <w:pPr>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Arneback, E. &amp; Quennerstedt, A. (2016) ‘Locations of racism in education: a speech act analysis of a policy chain’, </w:t>
      </w:r>
      <w:r w:rsidDel="00000000" w:rsidR="00000000" w:rsidRPr="00000000">
        <w:rPr>
          <w:rFonts w:ascii="Calibri" w:cs="Calibri" w:eastAsia="Calibri" w:hAnsi="Calibri"/>
          <w:i w:val="1"/>
          <w:sz w:val="24"/>
          <w:szCs w:val="24"/>
          <w:rtl w:val="0"/>
        </w:rPr>
        <w:t xml:space="preserve">Journal of Education Policy</w:t>
      </w:r>
      <w:r w:rsidDel="00000000" w:rsidR="00000000" w:rsidRPr="00000000">
        <w:rPr>
          <w:rFonts w:ascii="Calibri" w:cs="Calibri" w:eastAsia="Calibri" w:hAnsi="Calibri"/>
          <w:sz w:val="24"/>
          <w:szCs w:val="24"/>
          <w:rtl w:val="0"/>
        </w:rPr>
        <w:t xml:space="preserve">, 31(6), pp. 773-788. DOI: </w:t>
      </w:r>
      <w:hyperlink r:id="rId7">
        <w:r w:rsidDel="00000000" w:rsidR="00000000" w:rsidRPr="00000000">
          <w:rPr>
            <w:rFonts w:ascii="Calibri" w:cs="Calibri" w:eastAsia="Calibri" w:hAnsi="Calibri"/>
            <w:color w:val="1155cc"/>
            <w:sz w:val="24"/>
            <w:szCs w:val="24"/>
            <w:u w:val="single"/>
            <w:rtl w:val="0"/>
          </w:rPr>
          <w:t xml:space="preserve">10.1080/02680939.2016.1185670</w:t>
        </w:r>
      </w:hyperlink>
      <w:r w:rsidDel="00000000" w:rsidR="00000000" w:rsidRPr="00000000">
        <w:rPr>
          <w:rtl w:val="0"/>
        </w:rPr>
      </w:r>
    </w:p>
    <w:p w:rsidR="00000000" w:rsidDel="00000000" w:rsidP="00000000" w:rsidRDefault="00000000" w:rsidRPr="00000000" w14:paraId="00000062">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Augoustinos, M. (2013) ‘Psychological perspectives on racism’, </w:t>
      </w:r>
      <w:r w:rsidDel="00000000" w:rsidR="00000000" w:rsidRPr="00000000">
        <w:rPr>
          <w:rFonts w:ascii="Calibri" w:cs="Calibri" w:eastAsia="Calibri" w:hAnsi="Calibri"/>
          <w:i w:val="1"/>
          <w:sz w:val="24"/>
          <w:szCs w:val="24"/>
          <w:rtl w:val="0"/>
        </w:rPr>
        <w:t xml:space="preserve">InPsych</w:t>
      </w:r>
      <w:r w:rsidDel="00000000" w:rsidR="00000000" w:rsidRPr="00000000">
        <w:rPr>
          <w:rFonts w:ascii="Calibri" w:cs="Calibri" w:eastAsia="Calibri" w:hAnsi="Calibri"/>
          <w:sz w:val="24"/>
          <w:szCs w:val="24"/>
          <w:rtl w:val="0"/>
        </w:rPr>
        <w:t xml:space="preserve">, 35(4). Available at: </w:t>
      </w:r>
      <w:hyperlink r:id="rId8">
        <w:r w:rsidDel="00000000" w:rsidR="00000000" w:rsidRPr="00000000">
          <w:rPr>
            <w:rFonts w:ascii="Calibri" w:cs="Calibri" w:eastAsia="Calibri" w:hAnsi="Calibri"/>
            <w:color w:val="1155cc"/>
            <w:sz w:val="24"/>
            <w:szCs w:val="24"/>
            <w:u w:val="single"/>
            <w:rtl w:val="0"/>
          </w:rPr>
          <w:t xml:space="preserve">https://www.psychology.org.au/publications/inpsych/2013/august/augoustinos</w:t>
        </w:r>
      </w:hyperlink>
      <w:r w:rsidDel="00000000" w:rsidR="00000000" w:rsidRPr="00000000">
        <w:rPr>
          <w:rFonts w:ascii="Calibri" w:cs="Calibri" w:eastAsia="Calibri" w:hAnsi="Calibri"/>
          <w:sz w:val="24"/>
          <w:szCs w:val="24"/>
          <w:rtl w:val="0"/>
        </w:rPr>
        <w:t xml:space="preserve"> [Accessed 17 February 2021].</w:t>
      </w:r>
    </w:p>
    <w:p w:rsidR="00000000" w:rsidDel="00000000" w:rsidP="00000000" w:rsidRDefault="00000000" w:rsidRPr="00000000" w14:paraId="00000064">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Bell, L. &amp; Stevenson, H. (2006) </w:t>
      </w:r>
      <w:r w:rsidDel="00000000" w:rsidR="00000000" w:rsidRPr="00000000">
        <w:rPr>
          <w:rFonts w:ascii="Calibri" w:cs="Calibri" w:eastAsia="Calibri" w:hAnsi="Calibri"/>
          <w:i w:val="1"/>
          <w:sz w:val="24"/>
          <w:szCs w:val="24"/>
          <w:rtl w:val="0"/>
        </w:rPr>
        <w:t xml:space="preserve">Education Policy: Process, Themes and Impact.</w:t>
      </w:r>
      <w:r w:rsidDel="00000000" w:rsidR="00000000" w:rsidRPr="00000000">
        <w:rPr>
          <w:rFonts w:ascii="Calibri" w:cs="Calibri" w:eastAsia="Calibri" w:hAnsi="Calibri"/>
          <w:sz w:val="24"/>
          <w:szCs w:val="24"/>
          <w:rtl w:val="0"/>
        </w:rPr>
        <w:t xml:space="preserve"> London: Routledge</w:t>
      </w:r>
    </w:p>
    <w:p w:rsidR="00000000" w:rsidDel="00000000" w:rsidP="00000000" w:rsidRDefault="00000000" w:rsidRPr="00000000" w14:paraId="0000006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Bernardo, A. B. I., Rosenthal, L., &amp; Levy, S. R. (2013) ‘Polyculturalism and attitudes towards people from other countries’, I</w:t>
      </w:r>
      <w:r w:rsidDel="00000000" w:rsidR="00000000" w:rsidRPr="00000000">
        <w:rPr>
          <w:rFonts w:ascii="Calibri" w:cs="Calibri" w:eastAsia="Calibri" w:hAnsi="Calibri"/>
          <w:i w:val="1"/>
          <w:sz w:val="24"/>
          <w:szCs w:val="24"/>
          <w:rtl w:val="0"/>
        </w:rPr>
        <w:t xml:space="preserve">nternational Journal of Intercultural Relations, </w:t>
      </w:r>
      <w:r w:rsidDel="00000000" w:rsidR="00000000" w:rsidRPr="00000000">
        <w:rPr>
          <w:rFonts w:ascii="Calibri" w:cs="Calibri" w:eastAsia="Calibri" w:hAnsi="Calibri"/>
          <w:sz w:val="24"/>
          <w:szCs w:val="24"/>
          <w:rtl w:val="0"/>
        </w:rPr>
        <w:t xml:space="preserve">37 (3) pp. 335-344.</w:t>
      </w:r>
    </w:p>
    <w:p w:rsidR="00000000" w:rsidDel="00000000" w:rsidP="00000000" w:rsidRDefault="00000000" w:rsidRPr="00000000" w14:paraId="00000068">
      <w:pPr>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DOI: </w:t>
      </w:r>
      <w:hyperlink r:id="rId9">
        <w:r w:rsidDel="00000000" w:rsidR="00000000" w:rsidRPr="00000000">
          <w:rPr>
            <w:rFonts w:ascii="Calibri" w:cs="Calibri" w:eastAsia="Calibri" w:hAnsi="Calibri"/>
            <w:color w:val="1155cc"/>
            <w:sz w:val="24"/>
            <w:szCs w:val="24"/>
            <w:u w:val="single"/>
            <w:rtl w:val="0"/>
          </w:rPr>
          <w:t xml:space="preserve">https://doi.org/10.1016/j.ijintrel.2012.12.005</w:t>
        </w:r>
      </w:hyperlink>
      <w:r w:rsidDel="00000000" w:rsidR="00000000" w:rsidRPr="00000000">
        <w:rPr>
          <w:rtl w:val="0"/>
        </w:rPr>
      </w:r>
    </w:p>
    <w:p w:rsidR="00000000" w:rsidDel="00000000" w:rsidP="00000000" w:rsidRDefault="00000000" w:rsidRPr="00000000" w14:paraId="000000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Blank, R. M., Dabady, M. &amp; Citro, C. F. (2004) ‘Measuring Racial Discrimination Panel on Methods for Assessing Discrimination’, </w:t>
      </w:r>
      <w:r w:rsidDel="00000000" w:rsidR="00000000" w:rsidRPr="00000000">
        <w:rPr>
          <w:rFonts w:ascii="Calibri" w:cs="Calibri" w:eastAsia="Calibri" w:hAnsi="Calibri"/>
          <w:i w:val="1"/>
          <w:sz w:val="24"/>
          <w:szCs w:val="24"/>
          <w:rtl w:val="0"/>
        </w:rPr>
        <w:t xml:space="preserve">National Research Council Committee on National Statistics, Division of Behavioural and Social Sciences and Education</w:t>
      </w:r>
      <w:r w:rsidDel="00000000" w:rsidR="00000000" w:rsidRPr="00000000">
        <w:rPr>
          <w:rFonts w:ascii="Calibri" w:cs="Calibri" w:eastAsia="Calibri" w:hAnsi="Calibri"/>
          <w:sz w:val="24"/>
          <w:szCs w:val="24"/>
          <w:rtl w:val="0"/>
        </w:rPr>
        <w:t xml:space="preserve">. Washington, DC: The National Academies Press</w:t>
      </w:r>
    </w:p>
    <w:p w:rsidR="00000000" w:rsidDel="00000000" w:rsidP="00000000" w:rsidRDefault="00000000" w:rsidRPr="00000000" w14:paraId="0000006B">
      <w:pPr>
        <w:rPr>
          <w:rFonts w:ascii="Calibri" w:cs="Calibri" w:eastAsia="Calibri" w:hAnsi="Calibri"/>
          <w:sz w:val="24"/>
          <w:szCs w:val="24"/>
        </w:rPr>
      </w:pPr>
      <w:r w:rsidDel="00000000" w:rsidR="00000000" w:rsidRPr="00000000">
        <w:rPr>
          <w:rFonts w:ascii="Calibri" w:cs="Calibri" w:eastAsia="Calibri" w:hAnsi="Calibri"/>
          <w:sz w:val="24"/>
          <w:szCs w:val="24"/>
          <w:highlight w:val="yellow"/>
          <w:rtl w:val="0"/>
        </w:rPr>
        <w:br w:type="textWrapping"/>
      </w:r>
      <w:r w:rsidDel="00000000" w:rsidR="00000000" w:rsidRPr="00000000">
        <w:rPr>
          <w:rFonts w:ascii="Calibri" w:cs="Calibri" w:eastAsia="Calibri" w:hAnsi="Calibri"/>
          <w:sz w:val="24"/>
          <w:szCs w:val="24"/>
          <w:rtl w:val="0"/>
        </w:rPr>
        <w:t xml:space="preserve">Bunten, B. A. (2014) ‘Neither Right nor Wrong: How a Teacher Integrates Her Personal and Professional Life With Policy’, </w:t>
      </w:r>
      <w:r w:rsidDel="00000000" w:rsidR="00000000" w:rsidRPr="00000000">
        <w:rPr>
          <w:rFonts w:ascii="Calibri" w:cs="Calibri" w:eastAsia="Calibri" w:hAnsi="Calibri"/>
          <w:i w:val="1"/>
          <w:sz w:val="24"/>
          <w:szCs w:val="24"/>
          <w:rtl w:val="0"/>
        </w:rPr>
        <w:t xml:space="preserve">Theory Into Practice,</w:t>
      </w:r>
      <w:r w:rsidDel="00000000" w:rsidR="00000000" w:rsidRPr="00000000">
        <w:rPr>
          <w:rFonts w:ascii="Calibri" w:cs="Calibri" w:eastAsia="Calibri" w:hAnsi="Calibri"/>
          <w:sz w:val="24"/>
          <w:szCs w:val="24"/>
          <w:rtl w:val="0"/>
        </w:rPr>
        <w:t xml:space="preserve"> 53, pp. 204–211. DOI: 10.1080/00405841.2014.916960 </w:t>
      </w:r>
    </w:p>
    <w:p w:rsidR="00000000" w:rsidDel="00000000" w:rsidP="00000000" w:rsidRDefault="00000000" w:rsidRPr="00000000" w14:paraId="0000006C">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6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Cheng, M., and Soudak, A. (1994) </w:t>
      </w:r>
      <w:r w:rsidDel="00000000" w:rsidR="00000000" w:rsidRPr="00000000">
        <w:rPr>
          <w:rFonts w:ascii="Calibri" w:cs="Calibri" w:eastAsia="Calibri" w:hAnsi="Calibri"/>
          <w:i w:val="1"/>
          <w:sz w:val="24"/>
          <w:szCs w:val="24"/>
          <w:rtl w:val="0"/>
        </w:rPr>
        <w:t xml:space="preserve">Anti-Racist Education: A Literature Review. </w:t>
      </w:r>
      <w:r w:rsidDel="00000000" w:rsidR="00000000" w:rsidRPr="00000000">
        <w:rPr>
          <w:rFonts w:ascii="Calibri" w:cs="Calibri" w:eastAsia="Calibri" w:hAnsi="Calibri"/>
          <w:sz w:val="24"/>
          <w:szCs w:val="24"/>
          <w:rtl w:val="0"/>
        </w:rPr>
        <w:t xml:space="preserve">Toronto Board of Education: Research Services</w:t>
      </w:r>
    </w:p>
    <w:p w:rsidR="00000000" w:rsidDel="00000000" w:rsidP="00000000" w:rsidRDefault="00000000" w:rsidRPr="00000000" w14:paraId="0000006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F">
      <w:pPr>
        <w:rPr>
          <w:rFonts w:ascii="Calibri" w:cs="Calibri" w:eastAsia="Calibri" w:hAnsi="Calibri"/>
          <w:sz w:val="24"/>
          <w:szCs w:val="24"/>
        </w:rPr>
      </w:pPr>
      <w:bookmarkStart w:colFirst="0" w:colLast="0" w:name="_w63lx572fcb9" w:id="0"/>
      <w:bookmarkEnd w:id="0"/>
      <w:r w:rsidDel="00000000" w:rsidR="00000000" w:rsidRPr="00000000">
        <w:rPr>
          <w:rFonts w:ascii="Calibri" w:cs="Calibri" w:eastAsia="Calibri" w:hAnsi="Calibri"/>
          <w:sz w:val="24"/>
          <w:szCs w:val="24"/>
          <w:rtl w:val="0"/>
        </w:rPr>
        <w:t xml:space="preserve">Department for Education and Skills (2020) </w:t>
      </w:r>
      <w:r w:rsidDel="00000000" w:rsidR="00000000" w:rsidRPr="00000000">
        <w:rPr>
          <w:rFonts w:ascii="Calibri" w:cs="Calibri" w:eastAsia="Calibri" w:hAnsi="Calibri"/>
          <w:i w:val="1"/>
          <w:sz w:val="24"/>
          <w:szCs w:val="24"/>
          <w:rtl w:val="0"/>
        </w:rPr>
        <w:t xml:space="preserve">Black, Asian and Minority Ethnic Communities, Contributions and Cynefin in the New Curriculum Working Group: interim report. </w:t>
      </w:r>
      <w:r w:rsidDel="00000000" w:rsidR="00000000" w:rsidRPr="00000000">
        <w:rPr>
          <w:rFonts w:ascii="Calibri" w:cs="Calibri" w:eastAsia="Calibri" w:hAnsi="Calibri"/>
          <w:sz w:val="24"/>
          <w:szCs w:val="24"/>
          <w:rtl w:val="0"/>
        </w:rPr>
        <w:t xml:space="preserve">Cardiff: Welsh Government. </w:t>
      </w:r>
    </w:p>
    <w:p w:rsidR="00000000" w:rsidDel="00000000" w:rsidP="00000000" w:rsidRDefault="00000000" w:rsidRPr="00000000" w14:paraId="00000070">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71">
      <w:pPr>
        <w:rPr>
          <w:rFonts w:ascii="Calibri" w:cs="Calibri" w:eastAsia="Calibri" w:hAnsi="Calibri"/>
          <w:color w:val="1155cc"/>
          <w:sz w:val="24"/>
          <w:szCs w:val="24"/>
        </w:rPr>
      </w:pPr>
      <w:r w:rsidDel="00000000" w:rsidR="00000000" w:rsidRPr="00000000">
        <w:rPr>
          <w:rFonts w:ascii="Calibri" w:cs="Calibri" w:eastAsia="Calibri" w:hAnsi="Calibri"/>
          <w:sz w:val="24"/>
          <w:szCs w:val="24"/>
          <w:rtl w:val="0"/>
        </w:rPr>
        <w:t xml:space="preserve">Dovidio, J. F., &amp; Gaertner, S. L. (1999) ‘Reducing Prejudice: Combating Intergroup Biases’, </w:t>
      </w:r>
      <w:r w:rsidDel="00000000" w:rsidR="00000000" w:rsidRPr="00000000">
        <w:rPr>
          <w:rFonts w:ascii="Calibri" w:cs="Calibri" w:eastAsia="Calibri" w:hAnsi="Calibri"/>
          <w:i w:val="1"/>
          <w:sz w:val="24"/>
          <w:szCs w:val="24"/>
          <w:rtl w:val="0"/>
        </w:rPr>
        <w:t xml:space="preserve">Current Directions in Psychological Science</w:t>
      </w:r>
      <w:r w:rsidDel="00000000" w:rsidR="00000000" w:rsidRPr="00000000">
        <w:rPr>
          <w:rFonts w:ascii="Calibri" w:cs="Calibri" w:eastAsia="Calibri" w:hAnsi="Calibri"/>
          <w:sz w:val="24"/>
          <w:szCs w:val="24"/>
          <w:rtl w:val="0"/>
        </w:rPr>
        <w:t xml:space="preserve">, 8(4), pp. 101-105. DOI: </w:t>
      </w:r>
      <w:hyperlink r:id="rId10">
        <w:r w:rsidDel="00000000" w:rsidR="00000000" w:rsidRPr="00000000">
          <w:rPr>
            <w:rFonts w:ascii="Calibri" w:cs="Calibri" w:eastAsia="Calibri" w:hAnsi="Calibri"/>
            <w:color w:val="1155cc"/>
            <w:sz w:val="24"/>
            <w:szCs w:val="24"/>
            <w:rtl w:val="0"/>
          </w:rPr>
          <w:t xml:space="preserve">https://doi.org/10.1111/1467-8721.00024</w:t>
        </w:r>
      </w:hyperlink>
      <w:r w:rsidDel="00000000" w:rsidR="00000000" w:rsidRPr="00000000">
        <w:rPr>
          <w:rFonts w:ascii="Calibri" w:cs="Calibri" w:eastAsia="Calibri" w:hAnsi="Calibri"/>
          <w:color w:val="1155cc"/>
          <w:sz w:val="24"/>
          <w:szCs w:val="24"/>
          <w:rtl w:val="0"/>
        </w:rPr>
        <w:t xml:space="preserve">  </w:t>
      </w:r>
    </w:p>
    <w:p w:rsidR="00000000" w:rsidDel="00000000" w:rsidP="00000000" w:rsidRDefault="00000000" w:rsidRPr="00000000" w14:paraId="00000072">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7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Dowling, F. &amp; Flintoff, A. (2018) ‘A whitewashed curriculum? The construction of race in contemporary PE curriculum policy’, </w:t>
      </w:r>
      <w:r w:rsidDel="00000000" w:rsidR="00000000" w:rsidRPr="00000000">
        <w:rPr>
          <w:rFonts w:ascii="Calibri" w:cs="Calibri" w:eastAsia="Calibri" w:hAnsi="Calibri"/>
          <w:i w:val="1"/>
          <w:sz w:val="24"/>
          <w:szCs w:val="24"/>
          <w:rtl w:val="0"/>
        </w:rPr>
        <w:t xml:space="preserve">Sport, Education and Society</w:t>
      </w:r>
      <w:r w:rsidDel="00000000" w:rsidR="00000000" w:rsidRPr="00000000">
        <w:rPr>
          <w:rFonts w:ascii="Calibri" w:cs="Calibri" w:eastAsia="Calibri" w:hAnsi="Calibri"/>
          <w:sz w:val="24"/>
          <w:szCs w:val="24"/>
          <w:rtl w:val="0"/>
        </w:rPr>
        <w:t xml:space="preserve">, 23(1), pp. 1-13. DOI: 10.1080/13573322.2015.1122584 </w:t>
      </w:r>
    </w:p>
    <w:p w:rsidR="00000000" w:rsidDel="00000000" w:rsidP="00000000" w:rsidRDefault="00000000" w:rsidRPr="00000000" w14:paraId="00000074">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7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Duckitt, J. (1992). ‘Psychology and prejudice: A historical analysis and integrative framework’, </w:t>
      </w:r>
      <w:r w:rsidDel="00000000" w:rsidR="00000000" w:rsidRPr="00000000">
        <w:rPr>
          <w:rFonts w:ascii="Calibri" w:cs="Calibri" w:eastAsia="Calibri" w:hAnsi="Calibri"/>
          <w:i w:val="1"/>
          <w:sz w:val="24"/>
          <w:szCs w:val="24"/>
          <w:rtl w:val="0"/>
        </w:rPr>
        <w:t xml:space="preserve">American Psychologist,</w:t>
      </w:r>
      <w:r w:rsidDel="00000000" w:rsidR="00000000" w:rsidRPr="00000000">
        <w:rPr>
          <w:rFonts w:ascii="Calibri" w:cs="Calibri" w:eastAsia="Calibri" w:hAnsi="Calibri"/>
          <w:sz w:val="24"/>
          <w:szCs w:val="24"/>
          <w:rtl w:val="0"/>
        </w:rPr>
        <w:t xml:space="preserve"> 47, pp. 1182-1193. DOI: 10.1037/0003-066X.47.10.1182 </w:t>
      </w:r>
    </w:p>
    <w:p w:rsidR="00000000" w:rsidDel="00000000" w:rsidP="00000000" w:rsidRDefault="00000000" w:rsidRPr="00000000" w14:paraId="00000076">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Dumas, M. J., Dixson, A. D., &amp; Mayorga, E. (2016) ‘Educational Policy and the Cultural Politics of Race: Introduction to the Special Issue’, </w:t>
      </w:r>
      <w:r w:rsidDel="00000000" w:rsidR="00000000" w:rsidRPr="00000000">
        <w:rPr>
          <w:rFonts w:ascii="Calibri" w:cs="Calibri" w:eastAsia="Calibri" w:hAnsi="Calibri"/>
          <w:i w:val="1"/>
          <w:sz w:val="24"/>
          <w:szCs w:val="24"/>
          <w:rtl w:val="0"/>
        </w:rPr>
        <w:t xml:space="preserve">Educational Policy</w:t>
      </w:r>
      <w:r w:rsidDel="00000000" w:rsidR="00000000" w:rsidRPr="00000000">
        <w:rPr>
          <w:rFonts w:ascii="Calibri" w:cs="Calibri" w:eastAsia="Calibri" w:hAnsi="Calibri"/>
          <w:sz w:val="24"/>
          <w:szCs w:val="24"/>
          <w:rtl w:val="0"/>
        </w:rPr>
        <w:t xml:space="preserve">, 30(1), pp. 3–12. DOI: 10.1177/0895904815616488 </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Escayg, K. (2018) ‘The Missing Links: Enhancing Anti-Bias Education with Anti-Racist Education’, </w:t>
      </w:r>
      <w:r w:rsidDel="00000000" w:rsidR="00000000" w:rsidRPr="00000000">
        <w:rPr>
          <w:rFonts w:ascii="Calibri" w:cs="Calibri" w:eastAsia="Calibri" w:hAnsi="Calibri"/>
          <w:i w:val="1"/>
          <w:sz w:val="24"/>
          <w:szCs w:val="24"/>
          <w:rtl w:val="0"/>
        </w:rPr>
        <w:t xml:space="preserve">Journal of Curriculum, Teaching, Learning and Leadership in Education</w:t>
      </w:r>
      <w:r w:rsidDel="00000000" w:rsidR="00000000" w:rsidRPr="00000000">
        <w:rPr>
          <w:rFonts w:ascii="Calibri" w:cs="Calibri" w:eastAsia="Calibri" w:hAnsi="Calibri"/>
          <w:sz w:val="24"/>
          <w:szCs w:val="24"/>
          <w:rtl w:val="0"/>
        </w:rPr>
        <w:t xml:space="preserve">, 3(1). Available at: </w:t>
      </w:r>
      <w:hyperlink r:id="rId11">
        <w:r w:rsidDel="00000000" w:rsidR="00000000" w:rsidRPr="00000000">
          <w:rPr>
            <w:rFonts w:ascii="Calibri" w:cs="Calibri" w:eastAsia="Calibri" w:hAnsi="Calibri"/>
            <w:color w:val="1155cc"/>
            <w:sz w:val="24"/>
            <w:szCs w:val="24"/>
            <w:u w:val="single"/>
            <w:rtl w:val="0"/>
          </w:rPr>
          <w:t xml:space="preserve">https://digitalcommons.unomaha.edu/ctlle/vol3/iss1/4</w:t>
        </w:r>
      </w:hyperlink>
      <w:r w:rsidDel="00000000" w:rsidR="00000000" w:rsidRPr="00000000">
        <w:rPr>
          <w:rFonts w:ascii="Calibri" w:cs="Calibri" w:eastAsia="Calibri" w:hAnsi="Calibri"/>
          <w:sz w:val="24"/>
          <w:szCs w:val="24"/>
          <w:rtl w:val="0"/>
        </w:rPr>
        <w:t xml:space="preserve"> [Accessed 19 February 2021].</w:t>
      </w:r>
    </w:p>
    <w:p w:rsidR="00000000" w:rsidDel="00000000" w:rsidP="00000000" w:rsidRDefault="00000000" w:rsidRPr="00000000" w14:paraId="0000007A">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Jackson, T. O., &amp; Allen-Handy, A. (2018) ‘Centering the significance of qualitative studies on the sociocultural and sociopolitical contexts of education to inform policy’, </w:t>
      </w:r>
      <w:r w:rsidDel="00000000" w:rsidR="00000000" w:rsidRPr="00000000">
        <w:rPr>
          <w:rFonts w:ascii="Calibri" w:cs="Calibri" w:eastAsia="Calibri" w:hAnsi="Calibri"/>
          <w:i w:val="1"/>
          <w:sz w:val="24"/>
          <w:szCs w:val="24"/>
          <w:rtl w:val="0"/>
        </w:rPr>
        <w:t xml:space="preserve">International Journal of Qualitative Studies in Education</w:t>
      </w:r>
      <w:r w:rsidDel="00000000" w:rsidR="00000000" w:rsidRPr="00000000">
        <w:rPr>
          <w:rFonts w:ascii="Calibri" w:cs="Calibri" w:eastAsia="Calibri" w:hAnsi="Calibri"/>
          <w:sz w:val="24"/>
          <w:szCs w:val="24"/>
          <w:rtl w:val="0"/>
        </w:rPr>
        <w:t xml:space="preserve">, 31(8), pp. 645-651. DOI: 10.1080/09518398.2018.1488010 </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Kite, M. E. &amp; Whitley, B. E. Jr. (2016) </w:t>
      </w:r>
      <w:r w:rsidDel="00000000" w:rsidR="00000000" w:rsidRPr="00000000">
        <w:rPr>
          <w:rFonts w:ascii="Calibri" w:cs="Calibri" w:eastAsia="Calibri" w:hAnsi="Calibri"/>
          <w:i w:val="1"/>
          <w:sz w:val="24"/>
          <w:szCs w:val="24"/>
          <w:rtl w:val="0"/>
        </w:rPr>
        <w:t xml:space="preserve">Psychology of Prejudice and Discrimination</w:t>
      </w:r>
      <w:r w:rsidDel="00000000" w:rsidR="00000000" w:rsidRPr="00000000">
        <w:rPr>
          <w:rFonts w:ascii="Calibri" w:cs="Calibri" w:eastAsia="Calibri" w:hAnsi="Calibri"/>
          <w:sz w:val="24"/>
          <w:szCs w:val="24"/>
          <w:rtl w:val="0"/>
        </w:rPr>
        <w:t xml:space="preserve">. Abingdon: Routledge.</w:t>
      </w:r>
      <w:r w:rsidDel="00000000" w:rsidR="00000000" w:rsidRPr="00000000">
        <w:rPr>
          <w:rtl w:val="0"/>
        </w:rPr>
      </w:r>
    </w:p>
    <w:p w:rsidR="00000000" w:rsidDel="00000000" w:rsidP="00000000" w:rsidRDefault="00000000" w:rsidRPr="00000000" w14:paraId="0000007E">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7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Lynch, I., Swartz, S., &amp; Isaacs, D. (2017) ‘Anti-racist moral education: A review of approaches, impact and theoretical underpinnings from 2000 to 2015’, </w:t>
      </w:r>
      <w:r w:rsidDel="00000000" w:rsidR="00000000" w:rsidRPr="00000000">
        <w:rPr>
          <w:rFonts w:ascii="Calibri" w:cs="Calibri" w:eastAsia="Calibri" w:hAnsi="Calibri"/>
          <w:i w:val="1"/>
          <w:sz w:val="24"/>
          <w:szCs w:val="24"/>
          <w:rtl w:val="0"/>
        </w:rPr>
        <w:t xml:space="preserve">Journal of Moral Education</w:t>
      </w:r>
      <w:r w:rsidDel="00000000" w:rsidR="00000000" w:rsidRPr="00000000">
        <w:rPr>
          <w:rFonts w:ascii="Calibri" w:cs="Calibri" w:eastAsia="Calibri" w:hAnsi="Calibri"/>
          <w:sz w:val="24"/>
          <w:szCs w:val="24"/>
          <w:rtl w:val="0"/>
        </w:rPr>
        <w:t xml:space="preserve">, 46(2), pp. 129-144, DOI: 10.1080/03057240.2016.1273825 </w:t>
      </w:r>
    </w:p>
    <w:p w:rsidR="00000000" w:rsidDel="00000000" w:rsidP="00000000" w:rsidRDefault="00000000" w:rsidRPr="00000000" w14:paraId="000000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 S. (1999) ‘Critical Multiculturalism and Cultural Difference: Avoiding Essentialism’, in May, S. (ed.) </w:t>
      </w:r>
      <w:r w:rsidDel="00000000" w:rsidR="00000000" w:rsidRPr="00000000">
        <w:rPr>
          <w:rFonts w:ascii="Calibri" w:cs="Calibri" w:eastAsia="Calibri" w:hAnsi="Calibri"/>
          <w:i w:val="1"/>
          <w:sz w:val="24"/>
          <w:szCs w:val="24"/>
          <w:rtl w:val="0"/>
        </w:rPr>
        <w:t xml:space="preserve">Critical Multiculturalism. Rethinking Multicultural and Antiracist Education</w:t>
      </w:r>
      <w:r w:rsidDel="00000000" w:rsidR="00000000" w:rsidRPr="00000000">
        <w:rPr>
          <w:rFonts w:ascii="Calibri" w:cs="Calibri" w:eastAsia="Calibri" w:hAnsi="Calibri"/>
          <w:sz w:val="24"/>
          <w:szCs w:val="24"/>
          <w:rtl w:val="0"/>
        </w:rPr>
        <w:t xml:space="preserve">. London: Routledge</w:t>
      </w:r>
    </w:p>
    <w:p w:rsidR="00000000" w:rsidDel="00000000" w:rsidP="00000000" w:rsidRDefault="00000000" w:rsidRPr="00000000" w14:paraId="00000082">
      <w:pPr>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 </w:t>
      </w:r>
    </w:p>
    <w:p w:rsidR="00000000" w:rsidDel="00000000" w:rsidP="00000000" w:rsidRDefault="00000000" w:rsidRPr="00000000" w14:paraId="000000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McBride, M. (2015) </w:t>
      </w:r>
      <w:r w:rsidDel="00000000" w:rsidR="00000000" w:rsidRPr="00000000">
        <w:rPr>
          <w:rFonts w:ascii="Calibri" w:cs="Calibri" w:eastAsia="Calibri" w:hAnsi="Calibri"/>
          <w:i w:val="1"/>
          <w:sz w:val="24"/>
          <w:szCs w:val="24"/>
          <w:rtl w:val="0"/>
        </w:rPr>
        <w:t xml:space="preserve">What works to reduce prejudice and discrimination? - A review of the evidence</w:t>
      </w:r>
      <w:r w:rsidDel="00000000" w:rsidR="00000000" w:rsidRPr="00000000">
        <w:rPr>
          <w:rFonts w:ascii="Calibri" w:cs="Calibri" w:eastAsia="Calibri" w:hAnsi="Calibri"/>
          <w:sz w:val="24"/>
          <w:szCs w:val="24"/>
          <w:rtl w:val="0"/>
        </w:rPr>
        <w:t xml:space="preserve">, Scottish Centre for Crime and Justice Research. Available at: </w:t>
      </w:r>
      <w:hyperlink r:id="rId12">
        <w:r w:rsidDel="00000000" w:rsidR="00000000" w:rsidRPr="00000000">
          <w:rPr>
            <w:rFonts w:ascii="Calibri" w:cs="Calibri" w:eastAsia="Calibri" w:hAnsi="Calibri"/>
            <w:color w:val="1155cc"/>
            <w:sz w:val="24"/>
            <w:szCs w:val="24"/>
            <w:u w:val="single"/>
            <w:rtl w:val="0"/>
          </w:rPr>
          <w:t xml:space="preserve">https://www.gov.scot/publications/works-reduce-prejudice-discrimination-review-evidence</w:t>
        </w:r>
      </w:hyperlink>
      <w:r w:rsidDel="00000000" w:rsidR="00000000" w:rsidRPr="00000000">
        <w:rPr>
          <w:rFonts w:ascii="Calibri" w:cs="Calibri" w:eastAsia="Calibri" w:hAnsi="Calibri"/>
          <w:sz w:val="24"/>
          <w:szCs w:val="24"/>
          <w:rtl w:val="0"/>
        </w:rPr>
        <w:t xml:space="preserve"> [Accessed 19 February 2021]. </w:t>
      </w:r>
    </w:p>
    <w:p w:rsidR="00000000" w:rsidDel="00000000" w:rsidP="00000000" w:rsidRDefault="00000000" w:rsidRPr="00000000" w14:paraId="00000084">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8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Pfeifer, J. H., Brown, C. S., &amp; Juvonen, J. (2007) ‘Prejudice Reduction in Schools</w:t>
      </w:r>
    </w:p>
    <w:p w:rsidR="00000000" w:rsidDel="00000000" w:rsidP="00000000" w:rsidRDefault="00000000" w:rsidRPr="00000000" w14:paraId="000000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Teaching Tolerance in Schools: Lessons Learned Since Brown v. Board of Education About the Development and Reduction of Children’s Prejudice’, </w:t>
      </w:r>
      <w:r w:rsidDel="00000000" w:rsidR="00000000" w:rsidRPr="00000000">
        <w:rPr>
          <w:rFonts w:ascii="Calibri" w:cs="Calibri" w:eastAsia="Calibri" w:hAnsi="Calibri"/>
          <w:i w:val="1"/>
          <w:sz w:val="24"/>
          <w:szCs w:val="24"/>
          <w:rtl w:val="0"/>
        </w:rPr>
        <w:t xml:space="preserve">Social Policy Report Giving Children and Youth Development Knowledge Away</w:t>
      </w:r>
      <w:r w:rsidDel="00000000" w:rsidR="00000000" w:rsidRPr="00000000">
        <w:rPr>
          <w:rFonts w:ascii="Calibri" w:cs="Calibri" w:eastAsia="Calibri" w:hAnsi="Calibri"/>
          <w:sz w:val="24"/>
          <w:szCs w:val="24"/>
          <w:rtl w:val="0"/>
        </w:rPr>
        <w:t xml:space="preserve">, 21(2), pp. 1-24. Available at: </w:t>
      </w:r>
      <w:hyperlink r:id="rId13">
        <w:r w:rsidDel="00000000" w:rsidR="00000000" w:rsidRPr="00000000">
          <w:rPr>
            <w:rFonts w:ascii="Calibri" w:cs="Calibri" w:eastAsia="Calibri" w:hAnsi="Calibri"/>
            <w:color w:val="1155cc"/>
            <w:sz w:val="24"/>
            <w:szCs w:val="24"/>
            <w:u w:val="single"/>
            <w:rtl w:val="0"/>
          </w:rPr>
          <w:t xml:space="preserve">https://srcd.onlinelibrary.wiley.com/doi/pdf/10.1002/j.2379-3988.2007.tb00051.x</w:t>
        </w:r>
      </w:hyperlink>
      <w:r w:rsidDel="00000000" w:rsidR="00000000" w:rsidRPr="00000000">
        <w:rPr>
          <w:rFonts w:ascii="Calibri" w:cs="Calibri" w:eastAsia="Calibri" w:hAnsi="Calibri"/>
          <w:sz w:val="24"/>
          <w:szCs w:val="24"/>
          <w:rtl w:val="0"/>
        </w:rPr>
        <w:t xml:space="preserve"> [Accessed 19 February 2021]. </w:t>
      </w:r>
    </w:p>
    <w:p w:rsidR="00000000" w:rsidDel="00000000" w:rsidP="00000000" w:rsidRDefault="00000000" w:rsidRPr="00000000" w14:paraId="00000087">
      <w:pPr>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8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Tajfel, H., &amp; Turner, J. C. (1979). ‘An integrative theory of inter-group conflict’. In W. G. Austin &amp; S. Worchel (Eds.), </w:t>
      </w:r>
      <w:r w:rsidDel="00000000" w:rsidR="00000000" w:rsidRPr="00000000">
        <w:rPr>
          <w:rFonts w:ascii="Calibri" w:cs="Calibri" w:eastAsia="Calibri" w:hAnsi="Calibri"/>
          <w:i w:val="1"/>
          <w:sz w:val="24"/>
          <w:szCs w:val="24"/>
          <w:rtl w:val="0"/>
        </w:rPr>
        <w:t xml:space="preserve">The social psychology of inter-group relations</w:t>
      </w:r>
      <w:r w:rsidDel="00000000" w:rsidR="00000000" w:rsidRPr="00000000">
        <w:rPr>
          <w:rFonts w:ascii="Calibri" w:cs="Calibri" w:eastAsia="Calibri" w:hAnsi="Calibri"/>
          <w:sz w:val="24"/>
          <w:szCs w:val="24"/>
          <w:rtl w:val="0"/>
        </w:rPr>
        <w:t xml:space="preserve">, pp. 33–47. Monterey, CA: Brooks/Cole. </w:t>
      </w:r>
    </w:p>
    <w:p w:rsidR="00000000" w:rsidDel="00000000" w:rsidP="00000000" w:rsidRDefault="00000000" w:rsidRPr="00000000" w14:paraId="0000008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Wiegand, G., &amp; Cifuentes, R. (2018) </w:t>
      </w:r>
      <w:r w:rsidDel="00000000" w:rsidR="00000000" w:rsidRPr="00000000">
        <w:rPr>
          <w:rFonts w:ascii="Calibri" w:cs="Calibri" w:eastAsia="Calibri" w:hAnsi="Calibri"/>
          <w:i w:val="1"/>
          <w:sz w:val="24"/>
          <w:szCs w:val="24"/>
          <w:rtl w:val="0"/>
        </w:rPr>
        <w:t xml:space="preserve">Experiences of Racism &amp; ‘Race’ in Schools in Wales</w:t>
      </w:r>
    </w:p>
    <w:p w:rsidR="00000000" w:rsidDel="00000000" w:rsidP="00000000" w:rsidRDefault="00000000" w:rsidRPr="00000000" w14:paraId="0000008B">
      <w:pPr>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A Collaborative Paper,</w:t>
      </w:r>
      <w:r w:rsidDel="00000000" w:rsidR="00000000" w:rsidRPr="00000000">
        <w:rPr>
          <w:rFonts w:ascii="Calibri" w:cs="Calibri" w:eastAsia="Calibri" w:hAnsi="Calibri"/>
          <w:sz w:val="24"/>
          <w:szCs w:val="24"/>
          <w:rtl w:val="0"/>
        </w:rPr>
        <w:t xml:space="preserve"> Ethnic Minorities &amp; Youth Support Team Wales, Show Racism the Red Card, Race Council Cymru, Tros Gynnal Plant. Available at: </w:t>
      </w:r>
      <w:hyperlink r:id="rId14">
        <w:r w:rsidDel="00000000" w:rsidR="00000000" w:rsidRPr="00000000">
          <w:rPr>
            <w:rFonts w:ascii="Calibri" w:cs="Calibri" w:eastAsia="Calibri" w:hAnsi="Calibri"/>
            <w:color w:val="1155cc"/>
            <w:sz w:val="24"/>
            <w:szCs w:val="24"/>
            <w:u w:val="single"/>
            <w:rtl w:val="0"/>
          </w:rPr>
          <w:t xml:space="preserve">http://eyst.org.uk/assets/experiences-of-racism-and-race-in-schools-in-wales.pdf</w:t>
        </w:r>
      </w:hyperlink>
      <w:r w:rsidDel="00000000" w:rsidR="00000000" w:rsidRPr="00000000">
        <w:rPr>
          <w:rFonts w:ascii="Calibri" w:cs="Calibri" w:eastAsia="Calibri" w:hAnsi="Calibri"/>
          <w:sz w:val="24"/>
          <w:szCs w:val="24"/>
          <w:rtl w:val="0"/>
        </w:rPr>
        <w:t xml:space="preserve"> [Accessed 17 February 2021]. </w:t>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tl w:val="0"/>
        </w:rPr>
      </w:r>
    </w:p>
    <w:sectPr>
      <w:headerReference r:id="rId15" w:type="default"/>
      <w:headerReference r:id="rId16" w:type="first"/>
      <w:footerReference r:id="rId1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jc w:val="right"/>
      <w:rPr>
        <w:rFonts w:ascii="Calibri" w:cs="Calibri" w:eastAsia="Calibri" w:hAnsi="Calibri"/>
        <w:color w:val="b7b7b7"/>
        <w:sz w:val="24"/>
        <w:szCs w:val="24"/>
      </w:rPr>
    </w:pPr>
    <w:r w:rsidDel="00000000" w:rsidR="00000000" w:rsidRPr="00000000">
      <w:rPr>
        <w:rFonts w:ascii="Calibri" w:cs="Calibri" w:eastAsia="Calibri" w:hAnsi="Calibri"/>
        <w:color w:val="b7b7b7"/>
        <w:sz w:val="24"/>
        <w:szCs w:val="24"/>
        <w:rtl w:val="0"/>
      </w:rPr>
      <w:t xml:space="preserve">Catherine Kucia </w:t>
    </w:r>
  </w:p>
  <w:p w:rsidR="00000000" w:rsidDel="00000000" w:rsidP="00000000" w:rsidRDefault="00000000" w:rsidRPr="00000000" w14:paraId="0000008F">
    <w:pPr>
      <w:jc w:val="right"/>
      <w:rPr/>
    </w:pPr>
    <w:r w:rsidDel="00000000" w:rsidR="00000000" w:rsidRPr="00000000">
      <w:rPr>
        <w:rFonts w:ascii="Calibri" w:cs="Calibri" w:eastAsia="Calibri" w:hAnsi="Calibri"/>
        <w:color w:val="b7b7b7"/>
        <w:sz w:val="24"/>
        <w:szCs w:val="24"/>
        <w:rtl w:val="0"/>
      </w:rPr>
      <w:t xml:space="preserve">1908599</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jc w:val="right"/>
      <w:rPr>
        <w:rFonts w:ascii="Calibri" w:cs="Calibri" w:eastAsia="Calibri" w:hAnsi="Calibri"/>
        <w:color w:val="b7b7b7"/>
        <w:sz w:val="24"/>
        <w:szCs w:val="24"/>
      </w:rPr>
    </w:pPr>
    <w:r w:rsidDel="00000000" w:rsidR="00000000" w:rsidRPr="00000000">
      <w:rPr>
        <w:rFonts w:ascii="Calibri" w:cs="Calibri" w:eastAsia="Calibri" w:hAnsi="Calibri"/>
        <w:color w:val="b7b7b7"/>
        <w:sz w:val="24"/>
        <w:szCs w:val="24"/>
        <w:rtl w:val="0"/>
      </w:rPr>
      <w:t xml:space="preserve">Catherine Kucia </w:t>
    </w:r>
  </w:p>
  <w:p w:rsidR="00000000" w:rsidDel="00000000" w:rsidP="00000000" w:rsidRDefault="00000000" w:rsidRPr="00000000" w14:paraId="00000091">
    <w:pPr>
      <w:jc w:val="right"/>
      <w:rPr/>
    </w:pPr>
    <w:r w:rsidDel="00000000" w:rsidR="00000000" w:rsidRPr="00000000">
      <w:rPr>
        <w:rFonts w:ascii="Calibri" w:cs="Calibri" w:eastAsia="Calibri" w:hAnsi="Calibri"/>
        <w:color w:val="b7b7b7"/>
        <w:sz w:val="24"/>
        <w:szCs w:val="24"/>
        <w:rtl w:val="0"/>
      </w:rPr>
      <w:t xml:space="preserve">1908599</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igitalcommons.unomaha.edu/ctlle/vol3/iss1/4" TargetMode="External"/><Relationship Id="rId10" Type="http://schemas.openxmlformats.org/officeDocument/2006/relationships/hyperlink" Target="https://doi.org/10.1111%2F1467-8721.00024" TargetMode="External"/><Relationship Id="rId13" Type="http://schemas.openxmlformats.org/officeDocument/2006/relationships/hyperlink" Target="https://srcd.onlinelibrary.wiley.com/doi/pdf/10.1002/j.2379-3988.2007.tb00051.x" TargetMode="External"/><Relationship Id="rId12" Type="http://schemas.openxmlformats.org/officeDocument/2006/relationships/hyperlink" Target="https://www.gov.scot/publications/works-reduce-prejudice-discrimination-review-eviden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ijintrel.2012.12.005" TargetMode="External"/><Relationship Id="rId15" Type="http://schemas.openxmlformats.org/officeDocument/2006/relationships/header" Target="header1.xml"/><Relationship Id="rId14" Type="http://schemas.openxmlformats.org/officeDocument/2006/relationships/hyperlink" Target="http://eyst.org.uk/assets/experiences-of-racism-and-race-in-schools-in-wales.pdf" TargetMode="External"/><Relationship Id="rId17" Type="http://schemas.openxmlformats.org/officeDocument/2006/relationships/footer" Target="foot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www.equalityhumanrights.com" TargetMode="External"/><Relationship Id="rId7" Type="http://schemas.openxmlformats.org/officeDocument/2006/relationships/hyperlink" Target="https://doi.org/10.1080/02680939.2016.1185670" TargetMode="External"/><Relationship Id="rId8" Type="http://schemas.openxmlformats.org/officeDocument/2006/relationships/hyperlink" Target="https://www.psychology.org.au/publications/inpsych/2013/august/augousti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