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29506792"/>
        <w:docPartObj>
          <w:docPartGallery w:val="Cover Pages"/>
          <w:docPartUnique/>
        </w:docPartObj>
      </w:sdtPr>
      <w:sdtEndPr>
        <w:rPr>
          <w:rFonts w:ascii="Times New Roman" w:eastAsia="Times New Roman" w:hAnsi="Times New Roman" w:cs="Times New Roman"/>
          <w:kern w:val="0"/>
          <w:szCs w:val="24"/>
          <w:lang w:eastAsia="en-GB"/>
          <w14:ligatures w14:val="none"/>
        </w:rPr>
      </w:sdtEndPr>
      <w:sdtContent>
        <w:p w14:paraId="2AAD0D9B" w14:textId="459B05A3" w:rsidR="00FC6E97" w:rsidRDefault="00FC6E97">
          <w:r>
            <w:rPr>
              <w:noProof/>
            </w:rPr>
            <mc:AlternateContent>
              <mc:Choice Requires="wps">
                <w:drawing>
                  <wp:anchor distT="0" distB="0" distL="114300" distR="114300" simplePos="0" relativeHeight="251659264" behindDoc="1" locked="0" layoutInCell="1" allowOverlap="0" wp14:anchorId="4BEFC847" wp14:editId="48E324E2">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FC6E97" w14:paraId="039FB5DF" w14:textId="77777777">
                                  <w:trPr>
                                    <w:trHeight w:hRule="exact" w:val="9360"/>
                                  </w:trPr>
                                  <w:tc>
                                    <w:tcPr>
                                      <w:tcW w:w="5000" w:type="pct"/>
                                    </w:tcPr>
                                    <w:p w14:paraId="5500328A" w14:textId="77777777" w:rsidR="00FC6E97" w:rsidRDefault="00FC6E97">
                                      <w:r>
                                        <w:rPr>
                                          <w:noProof/>
                                        </w:rPr>
                                        <w:drawing>
                                          <wp:inline distT="0" distB="0" distL="0" distR="0" wp14:anchorId="33FEF7F4" wp14:editId="577B27A7">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FC6E97" w14:paraId="33118802" w14:textId="77777777">
                                  <w:trPr>
                                    <w:trHeight w:hRule="exact" w:val="4320"/>
                                  </w:trPr>
                                  <w:tc>
                                    <w:tcPr>
                                      <w:tcW w:w="5000" w:type="pct"/>
                                      <w:shd w:val="clear" w:color="auto" w:fill="156082" w:themeFill="accent1"/>
                                      <w:vAlign w:val="center"/>
                                    </w:tcPr>
                                    <w:p w14:paraId="702AF7A4" w14:textId="60117347" w:rsidR="00A84A3A" w:rsidRPr="007E7E78" w:rsidRDefault="00A84A3A" w:rsidP="00A84A3A">
                                      <w:pPr>
                                        <w:pStyle w:val="NoSpacing"/>
                                        <w:spacing w:before="200" w:line="216" w:lineRule="auto"/>
                                        <w:ind w:left="720" w:right="720"/>
                                        <w:rPr>
                                          <w:rFonts w:asciiTheme="majorHAnsi" w:hAnsiTheme="majorHAnsi"/>
                                          <w:color w:val="84E290" w:themeColor="accent3" w:themeTint="66"/>
                                          <w:sz w:val="44"/>
                                          <w:szCs w:val="44"/>
                                        </w:rPr>
                                      </w:pPr>
                                      <w:sdt>
                                        <w:sdtPr>
                                          <w:rPr>
                                            <w:rFonts w:asciiTheme="majorHAnsi" w:hAnsiTheme="majorHAnsi"/>
                                            <w:color w:val="84E290" w:themeColor="accent3" w:themeTint="66"/>
                                            <w:sz w:val="44"/>
                                            <w:szCs w:val="44"/>
                                          </w:rPr>
                                          <w:alias w:val="Title"/>
                                          <w:tag w:val=""/>
                                          <w:id w:val="249857562"/>
                                          <w:dataBinding w:prefixMappings="xmlns:ns0='http://purl.org/dc/elements/1.1/' xmlns:ns1='http://schemas.openxmlformats.org/package/2006/metadata/core-properties' " w:xpath="/ns1:coreProperties[1]/ns0:title[1]" w:storeItemID="{6C3C8BC8-F283-45AE-878A-BAB7291924A1}"/>
                                          <w:text/>
                                        </w:sdtPr>
                                        <w:sdtContent>
                                          <w:r w:rsidRPr="007E7E78">
                                            <w:rPr>
                                              <w:rFonts w:asciiTheme="majorHAnsi" w:hAnsiTheme="majorHAnsi"/>
                                              <w:color w:val="84E290" w:themeColor="accent3" w:themeTint="66"/>
                                              <w:sz w:val="44"/>
                                              <w:szCs w:val="44"/>
                                            </w:rPr>
                                            <w:t>Module Title: Psychology in Health and Social Care</w:t>
                                          </w:r>
                                        </w:sdtContent>
                                      </w:sdt>
                                    </w:p>
                                    <w:p w14:paraId="20B0A0B2" w14:textId="0E89C485" w:rsidR="00FC6E97" w:rsidRDefault="00A84A3A">
                                      <w:pPr>
                                        <w:pStyle w:val="NoSpacing"/>
                                        <w:spacing w:before="240"/>
                                        <w:ind w:left="720" w:right="720"/>
                                        <w:rPr>
                                          <w:color w:val="FFFFFF" w:themeColor="background1"/>
                                          <w:sz w:val="32"/>
                                          <w:szCs w:val="32"/>
                                        </w:rPr>
                                      </w:pPr>
                                      <w:sdt>
                                        <w:sdtPr>
                                          <w:rPr>
                                            <w:rStyle w:val="Heading1Char"/>
                                            <w:b/>
                                            <w:bCs/>
                                            <w:color w:val="45B0E1" w:themeColor="accent1" w:themeTint="99"/>
                                            <w:sz w:val="44"/>
                                            <w:szCs w:val="44"/>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Pr="007E7E78">
                                            <w:rPr>
                                              <w:rStyle w:val="Heading1Char"/>
                                              <w:b/>
                                              <w:bCs/>
                                              <w:color w:val="45B0E1" w:themeColor="accent1" w:themeTint="99"/>
                                              <w:sz w:val="44"/>
                                              <w:szCs w:val="44"/>
                                            </w:rPr>
                                            <w:t>Assessment</w:t>
                                          </w:r>
                                          <w:r w:rsidR="00645971">
                                            <w:rPr>
                                              <w:rStyle w:val="Heading1Char"/>
                                              <w:b/>
                                              <w:bCs/>
                                              <w:color w:val="45B0E1" w:themeColor="accent1" w:themeTint="99"/>
                                              <w:sz w:val="44"/>
                                              <w:szCs w:val="44"/>
                                            </w:rPr>
                                            <w:t xml:space="preserve"> </w:t>
                                          </w:r>
                                          <w:proofErr w:type="gramStart"/>
                                          <w:r w:rsidRPr="007E7E78">
                                            <w:rPr>
                                              <w:rStyle w:val="Heading1Char"/>
                                              <w:b/>
                                              <w:bCs/>
                                              <w:color w:val="45B0E1" w:themeColor="accent1" w:themeTint="99"/>
                                              <w:sz w:val="44"/>
                                              <w:szCs w:val="44"/>
                                            </w:rPr>
                                            <w:t>Title</w:t>
                                          </w:r>
                                          <w:r w:rsidR="00645971">
                                            <w:rPr>
                                              <w:rStyle w:val="Heading1Char"/>
                                              <w:b/>
                                              <w:bCs/>
                                              <w:color w:val="45B0E1" w:themeColor="accent1" w:themeTint="99"/>
                                              <w:sz w:val="44"/>
                                              <w:szCs w:val="44"/>
                                            </w:rPr>
                                            <w:t xml:space="preserve"> </w:t>
                                          </w:r>
                                          <w:r w:rsidRPr="007E7E78">
                                            <w:rPr>
                                              <w:rStyle w:val="Heading1Char"/>
                                              <w:b/>
                                              <w:bCs/>
                                              <w:color w:val="45B0E1" w:themeColor="accent1" w:themeTint="99"/>
                                              <w:sz w:val="44"/>
                                              <w:szCs w:val="44"/>
                                            </w:rPr>
                                            <w:t>:</w:t>
                                          </w:r>
                                          <w:proofErr w:type="gramEnd"/>
                                          <w:r w:rsidR="00645971">
                                            <w:rPr>
                                              <w:rStyle w:val="Heading1Char"/>
                                              <w:b/>
                                              <w:bCs/>
                                              <w:color w:val="45B0E1" w:themeColor="accent1" w:themeTint="99"/>
                                              <w:sz w:val="44"/>
                                              <w:szCs w:val="44"/>
                                            </w:rPr>
                                            <w:t xml:space="preserve"> </w:t>
                                          </w:r>
                                          <w:r w:rsidRPr="007E7E78">
                                            <w:rPr>
                                              <w:rStyle w:val="Heading1Char"/>
                                              <w:b/>
                                              <w:bCs/>
                                              <w:color w:val="45B0E1" w:themeColor="accent1" w:themeTint="99"/>
                                              <w:sz w:val="44"/>
                                              <w:szCs w:val="44"/>
                                            </w:rPr>
                                            <w:t>Annotated</w:t>
                                          </w:r>
                                          <w:r w:rsidR="00645971">
                                            <w:rPr>
                                              <w:rStyle w:val="Heading1Char"/>
                                              <w:b/>
                                              <w:bCs/>
                                              <w:color w:val="45B0E1" w:themeColor="accent1" w:themeTint="99"/>
                                              <w:sz w:val="44"/>
                                              <w:szCs w:val="44"/>
                                            </w:rPr>
                                            <w:t xml:space="preserve"> </w:t>
                                          </w:r>
                                          <w:r w:rsidRPr="007E7E78">
                                            <w:rPr>
                                              <w:rStyle w:val="Heading1Char"/>
                                              <w:b/>
                                              <w:bCs/>
                                              <w:color w:val="45B0E1" w:themeColor="accent1" w:themeTint="99"/>
                                              <w:sz w:val="44"/>
                                              <w:szCs w:val="44"/>
                                            </w:rPr>
                                            <w:t>Bibliography</w:t>
                                          </w:r>
                                          <w:r w:rsidR="00645971">
                                            <w:rPr>
                                              <w:rStyle w:val="Heading1Char"/>
                                              <w:b/>
                                              <w:bCs/>
                                              <w:color w:val="45B0E1" w:themeColor="accent1" w:themeTint="99"/>
                                              <w:sz w:val="44"/>
                                              <w:szCs w:val="44"/>
                                            </w:rPr>
                                            <w:t xml:space="preserve"> </w:t>
                                          </w:r>
                                          <w:r w:rsidRPr="007E7E78">
                                            <w:rPr>
                                              <w:rStyle w:val="Heading1Char"/>
                                              <w:b/>
                                              <w:bCs/>
                                              <w:color w:val="45B0E1" w:themeColor="accent1" w:themeTint="99"/>
                                              <w:sz w:val="44"/>
                                              <w:szCs w:val="44"/>
                                            </w:rPr>
                                            <w:t>and</w:t>
                                          </w:r>
                                          <w:r w:rsidR="00645971">
                                            <w:rPr>
                                              <w:rStyle w:val="Heading1Char"/>
                                              <w:b/>
                                              <w:bCs/>
                                              <w:color w:val="45B0E1" w:themeColor="accent1" w:themeTint="99"/>
                                              <w:sz w:val="44"/>
                                              <w:szCs w:val="44"/>
                                            </w:rPr>
                                            <w:t xml:space="preserve"> </w:t>
                                          </w:r>
                                          <w:r w:rsidRPr="007E7E78">
                                            <w:rPr>
                                              <w:rStyle w:val="Heading1Char"/>
                                              <w:b/>
                                              <w:bCs/>
                                              <w:color w:val="45B0E1" w:themeColor="accent1" w:themeTint="99"/>
                                              <w:sz w:val="44"/>
                                              <w:szCs w:val="44"/>
                                            </w:rPr>
                                            <w:t xml:space="preserve">Report </w:t>
                                          </w:r>
                                          <w:r w:rsidR="00645971">
                                            <w:rPr>
                                              <w:rStyle w:val="Heading1Char"/>
                                              <w:b/>
                                              <w:bCs/>
                                              <w:color w:val="45B0E1" w:themeColor="accent1" w:themeTint="99"/>
                                              <w:sz w:val="44"/>
                                              <w:szCs w:val="44"/>
                                            </w:rPr>
                                            <w:t xml:space="preserve">                                                                                                    </w:t>
                                          </w:r>
                                          <w:r w:rsidRPr="007E7E78">
                                            <w:rPr>
                                              <w:rStyle w:val="Heading1Char"/>
                                              <w:b/>
                                              <w:bCs/>
                                              <w:color w:val="45B0E1" w:themeColor="accent1" w:themeTint="99"/>
                                              <w:sz w:val="44"/>
                                              <w:szCs w:val="44"/>
                                            </w:rPr>
                                            <w:t>Lecture</w:t>
                                          </w:r>
                                          <w:r w:rsidR="00645971">
                                            <w:rPr>
                                              <w:rStyle w:val="Heading1Char"/>
                                              <w:b/>
                                              <w:bCs/>
                                              <w:color w:val="45B0E1" w:themeColor="accent1" w:themeTint="99"/>
                                              <w:sz w:val="44"/>
                                              <w:szCs w:val="44"/>
                                            </w:rPr>
                                            <w:t>’</w:t>
                                          </w:r>
                                          <w:r w:rsidRPr="007E7E78">
                                            <w:rPr>
                                              <w:rStyle w:val="Heading1Char"/>
                                              <w:b/>
                                              <w:bCs/>
                                              <w:color w:val="45B0E1" w:themeColor="accent1" w:themeTint="99"/>
                                              <w:sz w:val="44"/>
                                              <w:szCs w:val="44"/>
                                            </w:rPr>
                                            <w:t xml:space="preserve">s </w:t>
                                          </w:r>
                                          <w:r w:rsidR="008A119D" w:rsidRPr="007E7E78">
                                            <w:rPr>
                                              <w:rStyle w:val="Heading1Char"/>
                                              <w:b/>
                                              <w:bCs/>
                                              <w:color w:val="45B0E1" w:themeColor="accent1" w:themeTint="99"/>
                                              <w:sz w:val="44"/>
                                              <w:szCs w:val="44"/>
                                            </w:rPr>
                                            <w:t>name:</w:t>
                                          </w:r>
                                          <w:r w:rsidRPr="007E7E78">
                                            <w:rPr>
                                              <w:rStyle w:val="Heading1Char"/>
                                              <w:b/>
                                              <w:bCs/>
                                              <w:color w:val="45B0E1" w:themeColor="accent1" w:themeTint="99"/>
                                              <w:sz w:val="44"/>
                                              <w:szCs w:val="44"/>
                                            </w:rPr>
                                            <w:t xml:space="preserve">   Dr Helen </w:t>
                                          </w:r>
                                          <w:proofErr w:type="spellStart"/>
                                          <w:r w:rsidRPr="007E7E78">
                                            <w:rPr>
                                              <w:rStyle w:val="Heading1Char"/>
                                              <w:b/>
                                              <w:bCs/>
                                              <w:color w:val="45B0E1" w:themeColor="accent1" w:themeTint="99"/>
                                              <w:sz w:val="44"/>
                                              <w:szCs w:val="44"/>
                                            </w:rPr>
                                            <w:t>Pasons</w:t>
                                          </w:r>
                                          <w:proofErr w:type="spellEnd"/>
                                        </w:sdtContent>
                                      </w:sdt>
                                      <w:r w:rsidR="00FC6E97">
                                        <w:rPr>
                                          <w:color w:val="FFFFFF" w:themeColor="background1"/>
                                          <w:sz w:val="32"/>
                                          <w:szCs w:val="32"/>
                                        </w:rPr>
                                        <w:t xml:space="preserve"> </w:t>
                                      </w:r>
                                    </w:p>
                                  </w:tc>
                                </w:tr>
                                <w:tr w:rsidR="00FC6E97" w14:paraId="1EDC9BFB"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FC6E97" w14:paraId="0AA4BDD6" w14:textId="77777777">
                                        <w:trPr>
                                          <w:trHeight w:hRule="exact" w:val="720"/>
                                        </w:trPr>
                                        <w:sdt>
                                          <w:sdtPr>
                                            <w:rPr>
                                              <w:color w:val="FFFFFF" w:themeColor="background1"/>
                                              <w:sz w:val="22"/>
                                              <w:szCs w:val="22"/>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429B892C" w14:textId="3E105A46" w:rsidR="00FC6E97" w:rsidRDefault="00A84A3A">
                                                <w:pPr>
                                                  <w:pStyle w:val="NoSpacing"/>
                                                  <w:ind w:left="144" w:right="144"/>
                                                  <w:jc w:val="center"/>
                                                  <w:rPr>
                                                    <w:color w:val="FFFFFF" w:themeColor="background1"/>
                                                  </w:rPr>
                                                </w:pPr>
                                                <w:r w:rsidRPr="00A84A3A">
                                                  <w:rPr>
                                                    <w:color w:val="FFFFFF" w:themeColor="background1"/>
                                                    <w:sz w:val="22"/>
                                                    <w:szCs w:val="22"/>
                                                  </w:rPr>
                                                  <w:t>Tahmina Sultana</w:t>
                                                </w:r>
                                                <w:r w:rsidRPr="00A84A3A">
                                                  <w:rPr>
                                                    <w:color w:val="FFFFFF" w:themeColor="background1"/>
                                                    <w:sz w:val="22"/>
                                                    <w:szCs w:val="22"/>
                                                  </w:rPr>
                                                  <w:t xml:space="preserve"> </w:t>
                                                </w:r>
                                                <w:r>
                                                  <w:rPr>
                                                    <w:color w:val="FFFFFF" w:themeColor="background1"/>
                                                    <w:sz w:val="22"/>
                                                    <w:szCs w:val="22"/>
                                                  </w:rPr>
                                                  <w:t xml:space="preserve">                     </w:t>
                                                </w:r>
                                                <w:r w:rsidRPr="00A84A3A">
                                                  <w:rPr>
                                                    <w:color w:val="FFFFFF" w:themeColor="background1"/>
                                                    <w:sz w:val="22"/>
                                                    <w:szCs w:val="22"/>
                                                  </w:rPr>
                                                  <w:t xml:space="preserve"> Student number: 2431922</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6-03-23T00:00:00Z">
                                                <w:dateFormat w:val="M/d/yy"/>
                                                <w:lid w:val="en-US"/>
                                                <w:storeMappedDataAs w:val="dateTime"/>
                                                <w:calendar w:val="gregorian"/>
                                              </w:date>
                                            </w:sdtPr>
                                            <w:sdtContent>
                                              <w:p w14:paraId="63EA2BA8" w14:textId="1B7501BE" w:rsidR="00FC6E97" w:rsidRDefault="00A84A3A">
                                                <w:pPr>
                                                  <w:pStyle w:val="NoSpacing"/>
                                                  <w:ind w:left="144" w:right="144"/>
                                                  <w:jc w:val="center"/>
                                                  <w:rPr>
                                                    <w:color w:val="FFFFFF" w:themeColor="background1"/>
                                                  </w:rPr>
                                                </w:pPr>
                                                <w:r>
                                                  <w:rPr>
                                                    <w:color w:val="FFFFFF" w:themeColor="background1"/>
                                                  </w:rPr>
                                                  <w:t>3/23/26</w:t>
                                                </w:r>
                                              </w:p>
                                            </w:sdtContent>
                                          </w:sdt>
                                        </w:tc>
                                        <w:sdt>
                                          <w:sdtPr>
                                            <w:rPr>
                                              <w:color w:val="FFFFFF" w:themeColor="background1"/>
                                              <w:szCs w:val="24"/>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2999C198" w14:textId="62350610" w:rsidR="00FC6E97" w:rsidRDefault="00A84A3A">
                                                <w:pPr>
                                                  <w:pStyle w:val="NoSpacing"/>
                                                  <w:ind w:left="144" w:right="720"/>
                                                  <w:jc w:val="right"/>
                                                  <w:rPr>
                                                    <w:color w:val="FFFFFF" w:themeColor="background1"/>
                                                  </w:rPr>
                                                </w:pPr>
                                                <w:r w:rsidRPr="00A84A3A">
                                                  <w:rPr>
                                                    <w:color w:val="FFFFFF" w:themeColor="background1"/>
                                                    <w:szCs w:val="24"/>
                                                  </w:rPr>
                                                  <w:t>Module Code: LCHS4010</w:t>
                                                </w:r>
                                              </w:p>
                                            </w:tc>
                                          </w:sdtContent>
                                        </w:sdt>
                                      </w:tr>
                                    </w:tbl>
                                    <w:p w14:paraId="6D137782" w14:textId="77777777" w:rsidR="00FC6E97" w:rsidRDefault="00FC6E97"/>
                                  </w:tc>
                                </w:tr>
                              </w:tbl>
                              <w:p w14:paraId="1058B970" w14:textId="77777777" w:rsidR="00FC6E97" w:rsidRDefault="00FC6E9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BEFC847"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FC6E97" w14:paraId="039FB5DF" w14:textId="77777777">
                            <w:trPr>
                              <w:trHeight w:hRule="exact" w:val="9360"/>
                            </w:trPr>
                            <w:tc>
                              <w:tcPr>
                                <w:tcW w:w="5000" w:type="pct"/>
                              </w:tcPr>
                              <w:p w14:paraId="5500328A" w14:textId="77777777" w:rsidR="00FC6E97" w:rsidRDefault="00FC6E97">
                                <w:r>
                                  <w:rPr>
                                    <w:noProof/>
                                  </w:rPr>
                                  <w:drawing>
                                    <wp:inline distT="0" distB="0" distL="0" distR="0" wp14:anchorId="33FEF7F4" wp14:editId="577B27A7">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FC6E97" w14:paraId="33118802" w14:textId="77777777">
                            <w:trPr>
                              <w:trHeight w:hRule="exact" w:val="4320"/>
                            </w:trPr>
                            <w:tc>
                              <w:tcPr>
                                <w:tcW w:w="5000" w:type="pct"/>
                                <w:shd w:val="clear" w:color="auto" w:fill="156082" w:themeFill="accent1"/>
                                <w:vAlign w:val="center"/>
                              </w:tcPr>
                              <w:p w14:paraId="702AF7A4" w14:textId="60117347" w:rsidR="00A84A3A" w:rsidRPr="007E7E78" w:rsidRDefault="00A84A3A" w:rsidP="00A84A3A">
                                <w:pPr>
                                  <w:pStyle w:val="NoSpacing"/>
                                  <w:spacing w:before="200" w:line="216" w:lineRule="auto"/>
                                  <w:ind w:left="720" w:right="720"/>
                                  <w:rPr>
                                    <w:rFonts w:asciiTheme="majorHAnsi" w:hAnsiTheme="majorHAnsi"/>
                                    <w:color w:val="84E290" w:themeColor="accent3" w:themeTint="66"/>
                                    <w:sz w:val="44"/>
                                    <w:szCs w:val="44"/>
                                  </w:rPr>
                                </w:pPr>
                                <w:sdt>
                                  <w:sdtPr>
                                    <w:rPr>
                                      <w:rFonts w:asciiTheme="majorHAnsi" w:hAnsiTheme="majorHAnsi"/>
                                      <w:color w:val="84E290" w:themeColor="accent3" w:themeTint="66"/>
                                      <w:sz w:val="44"/>
                                      <w:szCs w:val="44"/>
                                    </w:rPr>
                                    <w:alias w:val="Title"/>
                                    <w:tag w:val=""/>
                                    <w:id w:val="249857562"/>
                                    <w:dataBinding w:prefixMappings="xmlns:ns0='http://purl.org/dc/elements/1.1/' xmlns:ns1='http://schemas.openxmlformats.org/package/2006/metadata/core-properties' " w:xpath="/ns1:coreProperties[1]/ns0:title[1]" w:storeItemID="{6C3C8BC8-F283-45AE-878A-BAB7291924A1}"/>
                                    <w:text/>
                                  </w:sdtPr>
                                  <w:sdtContent>
                                    <w:r w:rsidRPr="007E7E78">
                                      <w:rPr>
                                        <w:rFonts w:asciiTheme="majorHAnsi" w:hAnsiTheme="majorHAnsi"/>
                                        <w:color w:val="84E290" w:themeColor="accent3" w:themeTint="66"/>
                                        <w:sz w:val="44"/>
                                        <w:szCs w:val="44"/>
                                      </w:rPr>
                                      <w:t>Module Title: Psychology in Health and Social Care</w:t>
                                    </w:r>
                                  </w:sdtContent>
                                </w:sdt>
                              </w:p>
                              <w:p w14:paraId="20B0A0B2" w14:textId="0E89C485" w:rsidR="00FC6E97" w:rsidRDefault="00A84A3A">
                                <w:pPr>
                                  <w:pStyle w:val="NoSpacing"/>
                                  <w:spacing w:before="240"/>
                                  <w:ind w:left="720" w:right="720"/>
                                  <w:rPr>
                                    <w:color w:val="FFFFFF" w:themeColor="background1"/>
                                    <w:sz w:val="32"/>
                                    <w:szCs w:val="32"/>
                                  </w:rPr>
                                </w:pPr>
                                <w:sdt>
                                  <w:sdtPr>
                                    <w:rPr>
                                      <w:rStyle w:val="Heading1Char"/>
                                      <w:b/>
                                      <w:bCs/>
                                      <w:color w:val="45B0E1" w:themeColor="accent1" w:themeTint="99"/>
                                      <w:sz w:val="44"/>
                                      <w:szCs w:val="44"/>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Pr="007E7E78">
                                      <w:rPr>
                                        <w:rStyle w:val="Heading1Char"/>
                                        <w:b/>
                                        <w:bCs/>
                                        <w:color w:val="45B0E1" w:themeColor="accent1" w:themeTint="99"/>
                                        <w:sz w:val="44"/>
                                        <w:szCs w:val="44"/>
                                      </w:rPr>
                                      <w:t>Assessment</w:t>
                                    </w:r>
                                    <w:r w:rsidR="00645971">
                                      <w:rPr>
                                        <w:rStyle w:val="Heading1Char"/>
                                        <w:b/>
                                        <w:bCs/>
                                        <w:color w:val="45B0E1" w:themeColor="accent1" w:themeTint="99"/>
                                        <w:sz w:val="44"/>
                                        <w:szCs w:val="44"/>
                                      </w:rPr>
                                      <w:t xml:space="preserve"> </w:t>
                                    </w:r>
                                    <w:proofErr w:type="gramStart"/>
                                    <w:r w:rsidRPr="007E7E78">
                                      <w:rPr>
                                        <w:rStyle w:val="Heading1Char"/>
                                        <w:b/>
                                        <w:bCs/>
                                        <w:color w:val="45B0E1" w:themeColor="accent1" w:themeTint="99"/>
                                        <w:sz w:val="44"/>
                                        <w:szCs w:val="44"/>
                                      </w:rPr>
                                      <w:t>Title</w:t>
                                    </w:r>
                                    <w:r w:rsidR="00645971">
                                      <w:rPr>
                                        <w:rStyle w:val="Heading1Char"/>
                                        <w:b/>
                                        <w:bCs/>
                                        <w:color w:val="45B0E1" w:themeColor="accent1" w:themeTint="99"/>
                                        <w:sz w:val="44"/>
                                        <w:szCs w:val="44"/>
                                      </w:rPr>
                                      <w:t xml:space="preserve"> </w:t>
                                    </w:r>
                                    <w:r w:rsidRPr="007E7E78">
                                      <w:rPr>
                                        <w:rStyle w:val="Heading1Char"/>
                                        <w:b/>
                                        <w:bCs/>
                                        <w:color w:val="45B0E1" w:themeColor="accent1" w:themeTint="99"/>
                                        <w:sz w:val="44"/>
                                        <w:szCs w:val="44"/>
                                      </w:rPr>
                                      <w:t>:</w:t>
                                    </w:r>
                                    <w:proofErr w:type="gramEnd"/>
                                    <w:r w:rsidR="00645971">
                                      <w:rPr>
                                        <w:rStyle w:val="Heading1Char"/>
                                        <w:b/>
                                        <w:bCs/>
                                        <w:color w:val="45B0E1" w:themeColor="accent1" w:themeTint="99"/>
                                        <w:sz w:val="44"/>
                                        <w:szCs w:val="44"/>
                                      </w:rPr>
                                      <w:t xml:space="preserve"> </w:t>
                                    </w:r>
                                    <w:r w:rsidRPr="007E7E78">
                                      <w:rPr>
                                        <w:rStyle w:val="Heading1Char"/>
                                        <w:b/>
                                        <w:bCs/>
                                        <w:color w:val="45B0E1" w:themeColor="accent1" w:themeTint="99"/>
                                        <w:sz w:val="44"/>
                                        <w:szCs w:val="44"/>
                                      </w:rPr>
                                      <w:t>Annotated</w:t>
                                    </w:r>
                                    <w:r w:rsidR="00645971">
                                      <w:rPr>
                                        <w:rStyle w:val="Heading1Char"/>
                                        <w:b/>
                                        <w:bCs/>
                                        <w:color w:val="45B0E1" w:themeColor="accent1" w:themeTint="99"/>
                                        <w:sz w:val="44"/>
                                        <w:szCs w:val="44"/>
                                      </w:rPr>
                                      <w:t xml:space="preserve"> </w:t>
                                    </w:r>
                                    <w:r w:rsidRPr="007E7E78">
                                      <w:rPr>
                                        <w:rStyle w:val="Heading1Char"/>
                                        <w:b/>
                                        <w:bCs/>
                                        <w:color w:val="45B0E1" w:themeColor="accent1" w:themeTint="99"/>
                                        <w:sz w:val="44"/>
                                        <w:szCs w:val="44"/>
                                      </w:rPr>
                                      <w:t>Bibliography</w:t>
                                    </w:r>
                                    <w:r w:rsidR="00645971">
                                      <w:rPr>
                                        <w:rStyle w:val="Heading1Char"/>
                                        <w:b/>
                                        <w:bCs/>
                                        <w:color w:val="45B0E1" w:themeColor="accent1" w:themeTint="99"/>
                                        <w:sz w:val="44"/>
                                        <w:szCs w:val="44"/>
                                      </w:rPr>
                                      <w:t xml:space="preserve"> </w:t>
                                    </w:r>
                                    <w:r w:rsidRPr="007E7E78">
                                      <w:rPr>
                                        <w:rStyle w:val="Heading1Char"/>
                                        <w:b/>
                                        <w:bCs/>
                                        <w:color w:val="45B0E1" w:themeColor="accent1" w:themeTint="99"/>
                                        <w:sz w:val="44"/>
                                        <w:szCs w:val="44"/>
                                      </w:rPr>
                                      <w:t>and</w:t>
                                    </w:r>
                                    <w:r w:rsidR="00645971">
                                      <w:rPr>
                                        <w:rStyle w:val="Heading1Char"/>
                                        <w:b/>
                                        <w:bCs/>
                                        <w:color w:val="45B0E1" w:themeColor="accent1" w:themeTint="99"/>
                                        <w:sz w:val="44"/>
                                        <w:szCs w:val="44"/>
                                      </w:rPr>
                                      <w:t xml:space="preserve"> </w:t>
                                    </w:r>
                                    <w:r w:rsidRPr="007E7E78">
                                      <w:rPr>
                                        <w:rStyle w:val="Heading1Char"/>
                                        <w:b/>
                                        <w:bCs/>
                                        <w:color w:val="45B0E1" w:themeColor="accent1" w:themeTint="99"/>
                                        <w:sz w:val="44"/>
                                        <w:szCs w:val="44"/>
                                      </w:rPr>
                                      <w:t xml:space="preserve">Report </w:t>
                                    </w:r>
                                    <w:r w:rsidR="00645971">
                                      <w:rPr>
                                        <w:rStyle w:val="Heading1Char"/>
                                        <w:b/>
                                        <w:bCs/>
                                        <w:color w:val="45B0E1" w:themeColor="accent1" w:themeTint="99"/>
                                        <w:sz w:val="44"/>
                                        <w:szCs w:val="44"/>
                                      </w:rPr>
                                      <w:t xml:space="preserve">                                                                                                    </w:t>
                                    </w:r>
                                    <w:r w:rsidRPr="007E7E78">
                                      <w:rPr>
                                        <w:rStyle w:val="Heading1Char"/>
                                        <w:b/>
                                        <w:bCs/>
                                        <w:color w:val="45B0E1" w:themeColor="accent1" w:themeTint="99"/>
                                        <w:sz w:val="44"/>
                                        <w:szCs w:val="44"/>
                                      </w:rPr>
                                      <w:t>Lecture</w:t>
                                    </w:r>
                                    <w:r w:rsidR="00645971">
                                      <w:rPr>
                                        <w:rStyle w:val="Heading1Char"/>
                                        <w:b/>
                                        <w:bCs/>
                                        <w:color w:val="45B0E1" w:themeColor="accent1" w:themeTint="99"/>
                                        <w:sz w:val="44"/>
                                        <w:szCs w:val="44"/>
                                      </w:rPr>
                                      <w:t>’</w:t>
                                    </w:r>
                                    <w:r w:rsidRPr="007E7E78">
                                      <w:rPr>
                                        <w:rStyle w:val="Heading1Char"/>
                                        <w:b/>
                                        <w:bCs/>
                                        <w:color w:val="45B0E1" w:themeColor="accent1" w:themeTint="99"/>
                                        <w:sz w:val="44"/>
                                        <w:szCs w:val="44"/>
                                      </w:rPr>
                                      <w:t xml:space="preserve">s </w:t>
                                    </w:r>
                                    <w:r w:rsidR="008A119D" w:rsidRPr="007E7E78">
                                      <w:rPr>
                                        <w:rStyle w:val="Heading1Char"/>
                                        <w:b/>
                                        <w:bCs/>
                                        <w:color w:val="45B0E1" w:themeColor="accent1" w:themeTint="99"/>
                                        <w:sz w:val="44"/>
                                        <w:szCs w:val="44"/>
                                      </w:rPr>
                                      <w:t>name:</w:t>
                                    </w:r>
                                    <w:r w:rsidRPr="007E7E78">
                                      <w:rPr>
                                        <w:rStyle w:val="Heading1Char"/>
                                        <w:b/>
                                        <w:bCs/>
                                        <w:color w:val="45B0E1" w:themeColor="accent1" w:themeTint="99"/>
                                        <w:sz w:val="44"/>
                                        <w:szCs w:val="44"/>
                                      </w:rPr>
                                      <w:t xml:space="preserve">   Dr Helen </w:t>
                                    </w:r>
                                    <w:proofErr w:type="spellStart"/>
                                    <w:r w:rsidRPr="007E7E78">
                                      <w:rPr>
                                        <w:rStyle w:val="Heading1Char"/>
                                        <w:b/>
                                        <w:bCs/>
                                        <w:color w:val="45B0E1" w:themeColor="accent1" w:themeTint="99"/>
                                        <w:sz w:val="44"/>
                                        <w:szCs w:val="44"/>
                                      </w:rPr>
                                      <w:t>Pasons</w:t>
                                    </w:r>
                                    <w:proofErr w:type="spellEnd"/>
                                  </w:sdtContent>
                                </w:sdt>
                                <w:r w:rsidR="00FC6E97">
                                  <w:rPr>
                                    <w:color w:val="FFFFFF" w:themeColor="background1"/>
                                    <w:sz w:val="32"/>
                                    <w:szCs w:val="32"/>
                                  </w:rPr>
                                  <w:t xml:space="preserve"> </w:t>
                                </w:r>
                              </w:p>
                            </w:tc>
                          </w:tr>
                          <w:tr w:rsidR="00FC6E97" w14:paraId="1EDC9BFB"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FC6E97" w14:paraId="0AA4BDD6" w14:textId="77777777">
                                  <w:trPr>
                                    <w:trHeight w:hRule="exact" w:val="720"/>
                                  </w:trPr>
                                  <w:sdt>
                                    <w:sdtPr>
                                      <w:rPr>
                                        <w:color w:val="FFFFFF" w:themeColor="background1"/>
                                        <w:sz w:val="22"/>
                                        <w:szCs w:val="22"/>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429B892C" w14:textId="3E105A46" w:rsidR="00FC6E97" w:rsidRDefault="00A84A3A">
                                          <w:pPr>
                                            <w:pStyle w:val="NoSpacing"/>
                                            <w:ind w:left="144" w:right="144"/>
                                            <w:jc w:val="center"/>
                                            <w:rPr>
                                              <w:color w:val="FFFFFF" w:themeColor="background1"/>
                                            </w:rPr>
                                          </w:pPr>
                                          <w:r w:rsidRPr="00A84A3A">
                                            <w:rPr>
                                              <w:color w:val="FFFFFF" w:themeColor="background1"/>
                                              <w:sz w:val="22"/>
                                              <w:szCs w:val="22"/>
                                            </w:rPr>
                                            <w:t>Tahmina Sultana</w:t>
                                          </w:r>
                                          <w:r w:rsidRPr="00A84A3A">
                                            <w:rPr>
                                              <w:color w:val="FFFFFF" w:themeColor="background1"/>
                                              <w:sz w:val="22"/>
                                              <w:szCs w:val="22"/>
                                            </w:rPr>
                                            <w:t xml:space="preserve"> </w:t>
                                          </w:r>
                                          <w:r>
                                            <w:rPr>
                                              <w:color w:val="FFFFFF" w:themeColor="background1"/>
                                              <w:sz w:val="22"/>
                                              <w:szCs w:val="22"/>
                                            </w:rPr>
                                            <w:t xml:space="preserve">                     </w:t>
                                          </w:r>
                                          <w:r w:rsidRPr="00A84A3A">
                                            <w:rPr>
                                              <w:color w:val="FFFFFF" w:themeColor="background1"/>
                                              <w:sz w:val="22"/>
                                              <w:szCs w:val="22"/>
                                            </w:rPr>
                                            <w:t xml:space="preserve"> Student number: 2431922</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6-03-23T00:00:00Z">
                                          <w:dateFormat w:val="M/d/yy"/>
                                          <w:lid w:val="en-US"/>
                                          <w:storeMappedDataAs w:val="dateTime"/>
                                          <w:calendar w:val="gregorian"/>
                                        </w:date>
                                      </w:sdtPr>
                                      <w:sdtContent>
                                        <w:p w14:paraId="63EA2BA8" w14:textId="1B7501BE" w:rsidR="00FC6E97" w:rsidRDefault="00A84A3A">
                                          <w:pPr>
                                            <w:pStyle w:val="NoSpacing"/>
                                            <w:ind w:left="144" w:right="144"/>
                                            <w:jc w:val="center"/>
                                            <w:rPr>
                                              <w:color w:val="FFFFFF" w:themeColor="background1"/>
                                            </w:rPr>
                                          </w:pPr>
                                          <w:r>
                                            <w:rPr>
                                              <w:color w:val="FFFFFF" w:themeColor="background1"/>
                                            </w:rPr>
                                            <w:t>3/23/26</w:t>
                                          </w:r>
                                        </w:p>
                                      </w:sdtContent>
                                    </w:sdt>
                                  </w:tc>
                                  <w:sdt>
                                    <w:sdtPr>
                                      <w:rPr>
                                        <w:color w:val="FFFFFF" w:themeColor="background1"/>
                                        <w:szCs w:val="24"/>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2999C198" w14:textId="62350610" w:rsidR="00FC6E97" w:rsidRDefault="00A84A3A">
                                          <w:pPr>
                                            <w:pStyle w:val="NoSpacing"/>
                                            <w:ind w:left="144" w:right="720"/>
                                            <w:jc w:val="right"/>
                                            <w:rPr>
                                              <w:color w:val="FFFFFF" w:themeColor="background1"/>
                                            </w:rPr>
                                          </w:pPr>
                                          <w:r w:rsidRPr="00A84A3A">
                                            <w:rPr>
                                              <w:color w:val="FFFFFF" w:themeColor="background1"/>
                                              <w:szCs w:val="24"/>
                                            </w:rPr>
                                            <w:t>Module Code: LCHS4010</w:t>
                                          </w:r>
                                        </w:p>
                                      </w:tc>
                                    </w:sdtContent>
                                  </w:sdt>
                                </w:tr>
                              </w:tbl>
                              <w:p w14:paraId="6D137782" w14:textId="77777777" w:rsidR="00FC6E97" w:rsidRDefault="00FC6E97"/>
                            </w:tc>
                          </w:tr>
                        </w:tbl>
                        <w:p w14:paraId="1058B970" w14:textId="77777777" w:rsidR="00FC6E97" w:rsidRDefault="00FC6E97"/>
                      </w:txbxContent>
                    </v:textbox>
                    <w10:wrap anchorx="page" anchory="page"/>
                  </v:shape>
                </w:pict>
              </mc:Fallback>
            </mc:AlternateContent>
          </w:r>
        </w:p>
        <w:p w14:paraId="0A1D67F6" w14:textId="49290469" w:rsidR="00FC6E97" w:rsidRDefault="00FC6E97">
          <w:pPr>
            <w:rPr>
              <w:rFonts w:ascii="Times New Roman" w:eastAsia="Times New Roman" w:hAnsi="Times New Roman" w:cs="Times New Roman"/>
              <w:kern w:val="0"/>
              <w:szCs w:val="24"/>
              <w:lang w:eastAsia="en-GB"/>
              <w14:ligatures w14:val="none"/>
            </w:rPr>
          </w:pPr>
          <w:r>
            <w:rPr>
              <w:rFonts w:ascii="Times New Roman" w:eastAsia="Times New Roman" w:hAnsi="Times New Roman" w:cs="Times New Roman"/>
              <w:kern w:val="0"/>
              <w:szCs w:val="24"/>
              <w:lang w:eastAsia="en-GB"/>
              <w14:ligatures w14:val="none"/>
            </w:rPr>
            <w:br w:type="page"/>
          </w:r>
        </w:p>
      </w:sdtContent>
    </w:sdt>
    <w:p w14:paraId="2CB1FADE" w14:textId="345F9AD8" w:rsidR="00267A6C" w:rsidRPr="00267A6C" w:rsidRDefault="00267A6C" w:rsidP="00267A6C">
      <w:pPr>
        <w:spacing w:after="0" w:line="240" w:lineRule="auto"/>
        <w:rPr>
          <w:rFonts w:ascii="Times New Roman" w:eastAsia="Times New Roman" w:hAnsi="Times New Roman" w:cs="Times New Roman"/>
          <w:kern w:val="0"/>
          <w:szCs w:val="24"/>
          <w:lang w:eastAsia="en-GB"/>
          <w14:ligatures w14:val="none"/>
        </w:rPr>
      </w:pPr>
    </w:p>
    <w:p w14:paraId="42F1D5BD" w14:textId="52C41062" w:rsidR="00267A6C" w:rsidRPr="00267A6C" w:rsidRDefault="00267A6C" w:rsidP="0064597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267A6C">
        <w:rPr>
          <w:rFonts w:ascii="Arial" w:eastAsia="Times New Roman" w:hAnsi="Arial" w:cs="Arial"/>
          <w:b/>
          <w:bCs/>
          <w:kern w:val="36"/>
          <w:sz w:val="22"/>
          <w:szCs w:val="22"/>
          <w:lang w:eastAsia="en-GB"/>
          <w14:ligatures w14:val="none"/>
        </w:rPr>
        <w:t xml:space="preserve">Part A – Annotated Bibliography </w:t>
      </w:r>
    </w:p>
    <w:p w14:paraId="52A18B40" w14:textId="77777777" w:rsidR="00267A6C" w:rsidRPr="00267A6C" w:rsidRDefault="00267A6C" w:rsidP="0064597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267A6C">
        <w:rPr>
          <w:rFonts w:ascii="Arial" w:eastAsia="Times New Roman" w:hAnsi="Arial" w:cs="Arial"/>
          <w:b/>
          <w:bCs/>
          <w:kern w:val="0"/>
          <w:sz w:val="22"/>
          <w:szCs w:val="22"/>
          <w:lang w:eastAsia="en-GB"/>
          <w14:ligatures w14:val="none"/>
        </w:rPr>
        <w:t>Source 1 – Psychosocial Development Theory</w:t>
      </w:r>
    </w:p>
    <w:p w14:paraId="1A67FD0E" w14:textId="77777777" w:rsidR="00267A6C" w:rsidRPr="00267A6C" w:rsidRDefault="00267A6C" w:rsidP="00645971">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267A6C">
        <w:rPr>
          <w:rFonts w:ascii="Arial" w:eastAsia="Times New Roman" w:hAnsi="Arial" w:cs="Arial"/>
          <w:b/>
          <w:bCs/>
          <w:kern w:val="0"/>
          <w:sz w:val="22"/>
          <w:szCs w:val="22"/>
          <w:lang w:eastAsia="en-GB"/>
          <w14:ligatures w14:val="none"/>
        </w:rPr>
        <w:t>Reference</w:t>
      </w:r>
    </w:p>
    <w:p w14:paraId="2263BDA8" w14:textId="77777777" w:rsidR="00267A6C" w:rsidRPr="00267A6C" w:rsidRDefault="00267A6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t xml:space="preserve">Syed, M. and McLean, K.C. (2022) ‘Erikson’s theory of psychosocial development in contemporary research’, </w:t>
      </w:r>
      <w:r w:rsidRPr="00267A6C">
        <w:rPr>
          <w:rFonts w:ascii="Arial" w:eastAsia="Times New Roman" w:hAnsi="Arial" w:cs="Arial"/>
          <w:i/>
          <w:iCs/>
          <w:kern w:val="0"/>
          <w:sz w:val="22"/>
          <w:szCs w:val="22"/>
          <w:lang w:eastAsia="en-GB"/>
          <w14:ligatures w14:val="none"/>
        </w:rPr>
        <w:t>Human Development</w:t>
      </w:r>
      <w:r w:rsidRPr="00267A6C">
        <w:rPr>
          <w:rFonts w:ascii="Arial" w:eastAsia="Times New Roman" w:hAnsi="Arial" w:cs="Arial"/>
          <w:kern w:val="0"/>
          <w:sz w:val="22"/>
          <w:szCs w:val="22"/>
          <w:lang w:eastAsia="en-GB"/>
          <w14:ligatures w14:val="none"/>
        </w:rPr>
        <w:t xml:space="preserve">, 66(2), pp. 1–15. </w:t>
      </w:r>
      <w:hyperlink r:id="rId7" w:tgtFrame="_new" w:history="1">
        <w:r w:rsidRPr="00267A6C">
          <w:rPr>
            <w:rFonts w:ascii="Arial" w:eastAsia="Times New Roman" w:hAnsi="Arial" w:cs="Arial"/>
            <w:color w:val="0000FF"/>
            <w:kern w:val="0"/>
            <w:sz w:val="22"/>
            <w:szCs w:val="22"/>
            <w:u w:val="single"/>
            <w:lang w:eastAsia="en-GB"/>
            <w14:ligatures w14:val="none"/>
          </w:rPr>
          <w:t>https://doi.org/10.115</w:t>
        </w:r>
        <w:r w:rsidRPr="00267A6C">
          <w:rPr>
            <w:rFonts w:ascii="Arial" w:eastAsia="Times New Roman" w:hAnsi="Arial" w:cs="Arial"/>
            <w:color w:val="0000FF"/>
            <w:kern w:val="0"/>
            <w:sz w:val="22"/>
            <w:szCs w:val="22"/>
            <w:u w:val="single"/>
            <w:lang w:eastAsia="en-GB"/>
            <w14:ligatures w14:val="none"/>
          </w:rPr>
          <w:t>9</w:t>
        </w:r>
        <w:r w:rsidRPr="00267A6C">
          <w:rPr>
            <w:rFonts w:ascii="Arial" w:eastAsia="Times New Roman" w:hAnsi="Arial" w:cs="Arial"/>
            <w:color w:val="0000FF"/>
            <w:kern w:val="0"/>
            <w:sz w:val="22"/>
            <w:szCs w:val="22"/>
            <w:u w:val="single"/>
            <w:lang w:eastAsia="en-GB"/>
            <w14:ligatures w14:val="none"/>
          </w:rPr>
          <w:t>/000524768</w:t>
        </w:r>
      </w:hyperlink>
    </w:p>
    <w:p w14:paraId="676F9904" w14:textId="77777777" w:rsidR="00267A6C" w:rsidRPr="00267A6C" w:rsidRDefault="00267A6C" w:rsidP="0064597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267A6C">
        <w:rPr>
          <w:rFonts w:ascii="Arial" w:eastAsia="Times New Roman" w:hAnsi="Arial" w:cs="Arial"/>
          <w:b/>
          <w:bCs/>
          <w:kern w:val="0"/>
          <w:sz w:val="22"/>
          <w:szCs w:val="22"/>
          <w:lang w:eastAsia="en-GB"/>
          <w14:ligatures w14:val="none"/>
        </w:rPr>
        <w:t>Summary</w:t>
      </w:r>
    </w:p>
    <w:p w14:paraId="3F4E1721" w14:textId="77777777" w:rsidR="00267A6C" w:rsidRPr="00267A6C" w:rsidRDefault="00267A6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t>This article reassesses the relevance of the psychosocial development theory proposed by Erik Erikson within modern psychological research. The authors explain that Erikson’s model describes development as a sequence of psychosocial stages that occur throughout life. The final stage, ego integrity versus despair, is particularly relevant during older adulthood when individuals reflect on their past experiences. Successfully achieving ego integrity can lead to feelings of acceptance and life satisfaction, whereas experiencing despair may result in regret and emotional distress. The study demonstrates that Erikson’s theory continues to influence contemporary research on identity, ageing and psychological wellbeing.</w:t>
      </w:r>
    </w:p>
    <w:p w14:paraId="31DA1D50" w14:textId="77777777" w:rsidR="00267A6C" w:rsidRPr="00267A6C" w:rsidRDefault="00267A6C" w:rsidP="0064597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267A6C">
        <w:rPr>
          <w:rFonts w:ascii="Arial" w:eastAsia="Times New Roman" w:hAnsi="Arial" w:cs="Arial"/>
          <w:b/>
          <w:bCs/>
          <w:kern w:val="0"/>
          <w:sz w:val="22"/>
          <w:szCs w:val="22"/>
          <w:lang w:eastAsia="en-GB"/>
          <w14:ligatures w14:val="none"/>
        </w:rPr>
        <w:t>Critical Comment</w:t>
      </w:r>
    </w:p>
    <w:p w14:paraId="17A3551D" w14:textId="77777777" w:rsidR="00267A6C" w:rsidRPr="00267A6C" w:rsidRDefault="00267A6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t>A key strength of this article is that it revisits a classic developmental theory while incorporating current research findings. This demonstrates that Erikson’s ideas remain valuable for understanding emotional development in later life. The focus on life reflection is particularly relevant for older adults, as many individuals evaluate their achievements and experiences during this stage. However, some researchers suggest that the theory may oversimplify development by presenting universal stages that may not reflect individual differences. Despite this limitation, the theory remains highly relevant for health and social care professionals because it highlights the importance of supporting older adults in developing a sense of fulfilment and life meaning.</w:t>
      </w:r>
    </w:p>
    <w:p w14:paraId="70050536" w14:textId="77777777" w:rsidR="00267A6C" w:rsidRPr="00267A6C" w:rsidRDefault="00267A6C" w:rsidP="00645971">
      <w:pPr>
        <w:spacing w:after="0"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pict w14:anchorId="31386378">
          <v:rect id="_x0000_i1028" style="width:0;height:1.5pt" o:hralign="center" o:hrstd="t" o:hr="t" fillcolor="#a0a0a0" stroked="f"/>
        </w:pict>
      </w:r>
    </w:p>
    <w:p w14:paraId="0BA5D3FE" w14:textId="77777777" w:rsidR="00267A6C" w:rsidRPr="00267A6C" w:rsidRDefault="00267A6C" w:rsidP="0064597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267A6C">
        <w:rPr>
          <w:rFonts w:ascii="Arial" w:eastAsia="Times New Roman" w:hAnsi="Arial" w:cs="Arial"/>
          <w:b/>
          <w:bCs/>
          <w:kern w:val="0"/>
          <w:sz w:val="22"/>
          <w:szCs w:val="22"/>
          <w:lang w:eastAsia="en-GB"/>
          <w14:ligatures w14:val="none"/>
        </w:rPr>
        <w:t>Source 2 – Erikson’s Theory in Nursing Home Interventions</w:t>
      </w:r>
    </w:p>
    <w:p w14:paraId="73C275FC" w14:textId="77777777" w:rsidR="00267A6C" w:rsidRPr="00267A6C" w:rsidRDefault="00267A6C" w:rsidP="00645971">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267A6C">
        <w:rPr>
          <w:rFonts w:ascii="Arial" w:eastAsia="Times New Roman" w:hAnsi="Arial" w:cs="Arial"/>
          <w:b/>
          <w:bCs/>
          <w:kern w:val="0"/>
          <w:sz w:val="22"/>
          <w:szCs w:val="22"/>
          <w:lang w:eastAsia="en-GB"/>
          <w14:ligatures w14:val="none"/>
        </w:rPr>
        <w:t>Reference</w:t>
      </w:r>
    </w:p>
    <w:p w14:paraId="06354607" w14:textId="77777777" w:rsidR="00267A6C" w:rsidRPr="00267A6C" w:rsidRDefault="00267A6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lastRenderedPageBreak/>
        <w:t xml:space="preserve">Chen, Y., Li, X. and Zhang, Q. (2024) ‘Life story work based on Erikson’s theory and psychological wellbeing among nursing home residents: a randomized controlled trial’, </w:t>
      </w:r>
      <w:r w:rsidRPr="00267A6C">
        <w:rPr>
          <w:rFonts w:ascii="Arial" w:eastAsia="Times New Roman" w:hAnsi="Arial" w:cs="Arial"/>
          <w:i/>
          <w:iCs/>
          <w:kern w:val="0"/>
          <w:sz w:val="22"/>
          <w:szCs w:val="22"/>
          <w:lang w:eastAsia="en-GB"/>
          <w14:ligatures w14:val="none"/>
        </w:rPr>
        <w:t>Geriatric Nursing</w:t>
      </w:r>
      <w:r w:rsidRPr="00267A6C">
        <w:rPr>
          <w:rFonts w:ascii="Arial" w:eastAsia="Times New Roman" w:hAnsi="Arial" w:cs="Arial"/>
          <w:kern w:val="0"/>
          <w:sz w:val="22"/>
          <w:szCs w:val="22"/>
          <w:lang w:eastAsia="en-GB"/>
          <w14:ligatures w14:val="none"/>
        </w:rPr>
        <w:t xml:space="preserve">, 61, pp. 140–148. </w:t>
      </w:r>
      <w:hyperlink r:id="rId8" w:tgtFrame="_new" w:history="1">
        <w:r w:rsidRPr="00267A6C">
          <w:rPr>
            <w:rFonts w:ascii="Arial" w:eastAsia="Times New Roman" w:hAnsi="Arial" w:cs="Arial"/>
            <w:color w:val="0000FF"/>
            <w:kern w:val="0"/>
            <w:sz w:val="22"/>
            <w:szCs w:val="22"/>
            <w:u w:val="single"/>
            <w:lang w:eastAsia="en-GB"/>
            <w14:ligatures w14:val="none"/>
          </w:rPr>
          <w:t>https://doi.</w:t>
        </w:r>
        <w:r w:rsidRPr="00267A6C">
          <w:rPr>
            <w:rFonts w:ascii="Arial" w:eastAsia="Times New Roman" w:hAnsi="Arial" w:cs="Arial"/>
            <w:color w:val="0000FF"/>
            <w:kern w:val="0"/>
            <w:sz w:val="22"/>
            <w:szCs w:val="22"/>
            <w:u w:val="single"/>
            <w:lang w:eastAsia="en-GB"/>
            <w14:ligatures w14:val="none"/>
          </w:rPr>
          <w:t>o</w:t>
        </w:r>
        <w:r w:rsidRPr="00267A6C">
          <w:rPr>
            <w:rFonts w:ascii="Arial" w:eastAsia="Times New Roman" w:hAnsi="Arial" w:cs="Arial"/>
            <w:color w:val="0000FF"/>
            <w:kern w:val="0"/>
            <w:sz w:val="22"/>
            <w:szCs w:val="22"/>
            <w:u w:val="single"/>
            <w:lang w:eastAsia="en-GB"/>
            <w14:ligatures w14:val="none"/>
          </w:rPr>
          <w:t>rg/10.1016/j.gerinurse.2024.10.066</w:t>
        </w:r>
      </w:hyperlink>
    </w:p>
    <w:p w14:paraId="44CC2939" w14:textId="77777777" w:rsidR="00267A6C" w:rsidRPr="00267A6C" w:rsidRDefault="00267A6C" w:rsidP="0064597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267A6C">
        <w:rPr>
          <w:rFonts w:ascii="Arial" w:eastAsia="Times New Roman" w:hAnsi="Arial" w:cs="Arial"/>
          <w:b/>
          <w:bCs/>
          <w:kern w:val="0"/>
          <w:sz w:val="22"/>
          <w:szCs w:val="22"/>
          <w:lang w:eastAsia="en-GB"/>
          <w14:ligatures w14:val="none"/>
        </w:rPr>
        <w:t>Summary</w:t>
      </w:r>
    </w:p>
    <w:p w14:paraId="67564FC3" w14:textId="77777777" w:rsidR="00267A6C" w:rsidRPr="00267A6C" w:rsidRDefault="00267A6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t>This study investigates whether life-review interventions based on Erikson’s psychosocial theory can improve psychological wellbeing among residents living in nursing homes. The researchers conducted a randomized controlled trial in which participants took part in structured life-story activities designed to encourage reflection on significant personal experiences. The results indicated that residents who engaged in these activities reported increased self-esteem, improved emotional wellbeing and reduced feelings of loneliness. The findings suggest that interventions based on Erikson’s concept of ego integrity can positively influence psychological wellbeing in later life.</w:t>
      </w:r>
    </w:p>
    <w:p w14:paraId="753EE6CB" w14:textId="77777777" w:rsidR="00267A6C" w:rsidRPr="00267A6C" w:rsidRDefault="00267A6C" w:rsidP="0064597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267A6C">
        <w:rPr>
          <w:rFonts w:ascii="Arial" w:eastAsia="Times New Roman" w:hAnsi="Arial" w:cs="Arial"/>
          <w:b/>
          <w:bCs/>
          <w:kern w:val="0"/>
          <w:sz w:val="22"/>
          <w:szCs w:val="22"/>
          <w:lang w:eastAsia="en-GB"/>
          <w14:ligatures w14:val="none"/>
        </w:rPr>
        <w:t>Critical Comment</w:t>
      </w:r>
    </w:p>
    <w:p w14:paraId="0928FCB9" w14:textId="77777777" w:rsidR="00267A6C" w:rsidRPr="00267A6C" w:rsidRDefault="00267A6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t>One of the main strengths of this research is the use of an experimental research design, which provides strong evidence for the effectiveness of the intervention. The study also demonstrates how theoretical concepts can be translated into practical strategies within health and social care environments. Nevertheless, the research involved a limited number of participants, which may affect the extent to which the findings can be applied to other care settings. Despite this limitation, the study highlights the importance of supporting older adults through activities that promote self-reflection and reinforce personal identity.</w:t>
      </w:r>
    </w:p>
    <w:p w14:paraId="04740C2B" w14:textId="77777777" w:rsidR="00267A6C" w:rsidRPr="00267A6C" w:rsidRDefault="00267A6C" w:rsidP="00645971">
      <w:pPr>
        <w:spacing w:after="0"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pict w14:anchorId="5B4CD20D">
          <v:rect id="_x0000_i1029" style="width:0;height:1.5pt" o:hralign="center" o:hrstd="t" o:hr="t" fillcolor="#a0a0a0" stroked="f"/>
        </w:pict>
      </w:r>
    </w:p>
    <w:p w14:paraId="7303819E" w14:textId="77777777" w:rsidR="00267A6C" w:rsidRPr="00267A6C" w:rsidRDefault="00267A6C" w:rsidP="0064597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267A6C">
        <w:rPr>
          <w:rFonts w:ascii="Arial" w:eastAsia="Times New Roman" w:hAnsi="Arial" w:cs="Arial"/>
          <w:b/>
          <w:bCs/>
          <w:kern w:val="0"/>
          <w:sz w:val="22"/>
          <w:szCs w:val="22"/>
          <w:lang w:eastAsia="en-GB"/>
          <w14:ligatures w14:val="none"/>
        </w:rPr>
        <w:t>Source 3 – Maslow’s Hierarchy of Needs</w:t>
      </w:r>
    </w:p>
    <w:p w14:paraId="775D23AA" w14:textId="77777777" w:rsidR="006D6FD1" w:rsidRPr="00B4117B" w:rsidRDefault="00267A6C" w:rsidP="00645971">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B4117B">
        <w:rPr>
          <w:rFonts w:ascii="Arial" w:eastAsia="Times New Roman" w:hAnsi="Arial" w:cs="Arial"/>
          <w:b/>
          <w:bCs/>
          <w:kern w:val="0"/>
          <w:sz w:val="22"/>
          <w:szCs w:val="22"/>
          <w:lang w:eastAsia="en-GB"/>
          <w14:ligatures w14:val="none"/>
        </w:rPr>
        <w:t>Reference</w:t>
      </w:r>
      <w:r w:rsidR="00891E42" w:rsidRPr="00B4117B">
        <w:rPr>
          <w:rFonts w:ascii="Arial" w:eastAsia="Times New Roman" w:hAnsi="Arial" w:cs="Arial"/>
          <w:b/>
          <w:bCs/>
          <w:kern w:val="0"/>
          <w:sz w:val="22"/>
          <w:szCs w:val="22"/>
          <w:lang w:eastAsia="en-GB"/>
          <w14:ligatures w14:val="none"/>
        </w:rPr>
        <w:t xml:space="preserve"> </w:t>
      </w:r>
    </w:p>
    <w:p w14:paraId="7F1D0459" w14:textId="201D8F52" w:rsidR="006D6FD1" w:rsidRPr="00B4117B" w:rsidRDefault="006D6FD1"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B4117B">
        <w:rPr>
          <w:rFonts w:ascii="Arial" w:eastAsia="Times New Roman" w:hAnsi="Arial" w:cs="Arial"/>
          <w:kern w:val="0"/>
          <w:sz w:val="22"/>
          <w:szCs w:val="22"/>
          <w:lang w:eastAsia="en-GB"/>
          <w14:ligatures w14:val="none"/>
        </w:rPr>
        <w:t xml:space="preserve">Taormina, R.J. and Gao, J.H. (2021) ‘Maslow’s hierarchy of needs: A modern perspective’, </w:t>
      </w:r>
      <w:r w:rsidRPr="00B4117B">
        <w:rPr>
          <w:rFonts w:ascii="Arial" w:eastAsia="Times New Roman" w:hAnsi="Arial" w:cs="Arial"/>
          <w:i/>
          <w:iCs/>
          <w:kern w:val="0"/>
          <w:sz w:val="22"/>
          <w:szCs w:val="22"/>
          <w:lang w:eastAsia="en-GB"/>
          <w14:ligatures w14:val="none"/>
        </w:rPr>
        <w:t>Journal of Humanistic Psychology</w:t>
      </w:r>
      <w:r w:rsidRPr="00B4117B">
        <w:rPr>
          <w:rFonts w:ascii="Arial" w:eastAsia="Times New Roman" w:hAnsi="Arial" w:cs="Arial"/>
          <w:kern w:val="0"/>
          <w:sz w:val="22"/>
          <w:szCs w:val="22"/>
          <w:lang w:eastAsia="en-GB"/>
          <w14:ligatures w14:val="none"/>
        </w:rPr>
        <w:t>, 61(6), pp. 920–940. https://doi.org/10.1177/0022167820927585</w:t>
      </w:r>
    </w:p>
    <w:p w14:paraId="690B9ACA" w14:textId="173CB3E9" w:rsidR="006D6FD1" w:rsidRPr="00B4117B" w:rsidRDefault="006D6FD1" w:rsidP="00645971">
      <w:pPr>
        <w:pBdr>
          <w:top w:val="single" w:sz="2" w:space="0" w:color="E6E6E6"/>
          <w:left w:val="single" w:sz="2" w:space="0" w:color="E6E6E6"/>
          <w:bottom w:val="single" w:sz="2" w:space="0" w:color="E6E6E6"/>
          <w:right w:val="single" w:sz="2" w:space="0" w:color="E6E6E6"/>
        </w:pBdr>
        <w:spacing w:before="120" w:after="120" w:line="360" w:lineRule="auto"/>
        <w:ind w:left="720"/>
        <w:rPr>
          <w:rFonts w:ascii="Arial" w:eastAsia="Times New Roman" w:hAnsi="Arial" w:cs="Arial"/>
          <w:color w:val="404040"/>
          <w:kern w:val="0"/>
          <w:sz w:val="22"/>
          <w:szCs w:val="22"/>
          <w:lang w:eastAsia="en-GB"/>
          <w14:ligatures w14:val="none"/>
        </w:rPr>
      </w:pPr>
    </w:p>
    <w:p w14:paraId="7D3E2D3E" w14:textId="7E2DBD38" w:rsidR="00891E42" w:rsidRPr="00891E42" w:rsidRDefault="00891E42" w:rsidP="00645971">
      <w:pPr>
        <w:pBdr>
          <w:top w:val="single" w:sz="2" w:space="0" w:color="E6E6E6"/>
          <w:left w:val="single" w:sz="2" w:space="0" w:color="E6E6E6"/>
          <w:bottom w:val="single" w:sz="2" w:space="0" w:color="E6E6E6"/>
          <w:right w:val="single" w:sz="2" w:space="0" w:color="E6E6E6"/>
        </w:pBdr>
        <w:spacing w:before="120" w:after="120" w:line="360" w:lineRule="auto"/>
        <w:ind w:left="720"/>
        <w:rPr>
          <w:rFonts w:ascii="Arial" w:eastAsia="Times New Roman" w:hAnsi="Arial" w:cs="Arial"/>
          <w:color w:val="404040"/>
          <w:kern w:val="0"/>
          <w:sz w:val="22"/>
          <w:szCs w:val="22"/>
          <w:lang w:eastAsia="en-GB"/>
          <w14:ligatures w14:val="none"/>
        </w:rPr>
      </w:pPr>
    </w:p>
    <w:p w14:paraId="7CCE5A60" w14:textId="77777777" w:rsidR="00267A6C" w:rsidRPr="00267A6C" w:rsidRDefault="00267A6C" w:rsidP="0064597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267A6C">
        <w:rPr>
          <w:rFonts w:ascii="Arial" w:eastAsia="Times New Roman" w:hAnsi="Arial" w:cs="Arial"/>
          <w:b/>
          <w:bCs/>
          <w:kern w:val="0"/>
          <w:sz w:val="22"/>
          <w:szCs w:val="22"/>
          <w:lang w:eastAsia="en-GB"/>
          <w14:ligatures w14:val="none"/>
        </w:rPr>
        <w:t>Summary</w:t>
      </w:r>
    </w:p>
    <w:p w14:paraId="136E1096" w14:textId="0C0BC891" w:rsidR="00267A6C" w:rsidRPr="00267A6C" w:rsidRDefault="00267A6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lastRenderedPageBreak/>
        <w:t xml:space="preserve">This article re-evaluates the hierarchy of needs theory developed by Abraham Maslow and examines its relevance within contemporary psychological studies. The authors explain that Maslow’s model describes human motivation as progressing through five levels of needs, beginning with basic physiological requirements and progressing toward self-actualisation. The study highlights </w:t>
      </w:r>
      <w:r w:rsidR="008A119D" w:rsidRPr="00B4117B">
        <w:rPr>
          <w:rFonts w:ascii="Arial" w:eastAsia="Times New Roman" w:hAnsi="Arial" w:cs="Arial"/>
          <w:kern w:val="0"/>
          <w:sz w:val="22"/>
          <w:szCs w:val="22"/>
          <w:lang w:eastAsia="en-GB"/>
          <w14:ligatures w14:val="none"/>
        </w:rPr>
        <w:t>those psychological needs</w:t>
      </w:r>
      <w:r w:rsidRPr="00267A6C">
        <w:rPr>
          <w:rFonts w:ascii="Arial" w:eastAsia="Times New Roman" w:hAnsi="Arial" w:cs="Arial"/>
          <w:kern w:val="0"/>
          <w:sz w:val="22"/>
          <w:szCs w:val="22"/>
          <w:lang w:eastAsia="en-GB"/>
          <w14:ligatures w14:val="none"/>
        </w:rPr>
        <w:t xml:space="preserve"> such as belonging, esteem and personal growth are strongly associated with wellbeing. The authors conclude that Maslow’s framework remains useful for understanding motivation and life satisfaction across different stages of life.</w:t>
      </w:r>
    </w:p>
    <w:p w14:paraId="3D0770EB" w14:textId="77777777" w:rsidR="00891E42" w:rsidRPr="00B4117B" w:rsidRDefault="00891E42" w:rsidP="0064597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p>
    <w:p w14:paraId="13DD85B8" w14:textId="77777777" w:rsidR="00891E42" w:rsidRPr="00B4117B" w:rsidRDefault="00891E42" w:rsidP="0064597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p>
    <w:p w14:paraId="007EF9C7" w14:textId="6183AF00" w:rsidR="00267A6C" w:rsidRPr="00267A6C" w:rsidRDefault="00267A6C" w:rsidP="0064597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267A6C">
        <w:rPr>
          <w:rFonts w:ascii="Arial" w:eastAsia="Times New Roman" w:hAnsi="Arial" w:cs="Arial"/>
          <w:b/>
          <w:bCs/>
          <w:kern w:val="0"/>
          <w:sz w:val="22"/>
          <w:szCs w:val="22"/>
          <w:lang w:eastAsia="en-GB"/>
          <w14:ligatures w14:val="none"/>
        </w:rPr>
        <w:t>Critical Comment</w:t>
      </w:r>
    </w:p>
    <w:p w14:paraId="2240EC03" w14:textId="77777777" w:rsidR="00267A6C" w:rsidRPr="00267A6C" w:rsidRDefault="00267A6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t>A major strength of this article is that it updates Maslow’s theory using current psychological evidence. The emphasis on psychological and emotional needs is particularly relevant when considering the wellbeing of older adults in residential care. However, some scholars argue that the hierarchical structure of the model may not always reflect the complexity of human motivation. Even so, the theory continues to be widely applied in health and social care settings because it emphasises the importance of addressing emotional and social needs alongside physical care.</w:t>
      </w:r>
    </w:p>
    <w:p w14:paraId="2FAAE2B8" w14:textId="77777777" w:rsidR="00267A6C" w:rsidRPr="00267A6C" w:rsidRDefault="00267A6C" w:rsidP="00645971">
      <w:pPr>
        <w:spacing w:after="0"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pict w14:anchorId="2D23264C">
          <v:rect id="_x0000_i1030" style="width:0;height:1.5pt" o:hralign="center" o:hrstd="t" o:hr="t" fillcolor="#a0a0a0" stroked="f"/>
        </w:pict>
      </w:r>
    </w:p>
    <w:p w14:paraId="49C87197" w14:textId="77777777" w:rsidR="00267A6C" w:rsidRPr="00267A6C" w:rsidRDefault="00267A6C" w:rsidP="0064597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267A6C">
        <w:rPr>
          <w:rFonts w:ascii="Arial" w:eastAsia="Times New Roman" w:hAnsi="Arial" w:cs="Arial"/>
          <w:b/>
          <w:bCs/>
          <w:kern w:val="0"/>
          <w:sz w:val="22"/>
          <w:szCs w:val="22"/>
          <w:lang w:eastAsia="en-GB"/>
          <w14:ligatures w14:val="none"/>
        </w:rPr>
        <w:t>Source 4 – Maslow’s Theory in Residential Care</w:t>
      </w:r>
    </w:p>
    <w:p w14:paraId="29BA8DA7" w14:textId="77777777" w:rsidR="00267A6C" w:rsidRPr="00267A6C" w:rsidRDefault="00267A6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267A6C">
        <w:rPr>
          <w:rFonts w:ascii="Arial" w:eastAsia="Times New Roman" w:hAnsi="Arial" w:cs="Arial"/>
          <w:b/>
          <w:bCs/>
          <w:kern w:val="0"/>
          <w:sz w:val="22"/>
          <w:szCs w:val="22"/>
          <w:lang w:eastAsia="en-GB"/>
          <w14:ligatures w14:val="none"/>
        </w:rPr>
        <w:t>Reference</w:t>
      </w:r>
    </w:p>
    <w:p w14:paraId="74D90F17" w14:textId="77777777" w:rsidR="00267A6C" w:rsidRPr="00267A6C" w:rsidRDefault="00267A6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t xml:space="preserve">Smith, J., Brown, L. and Roberts, P. (2023) ‘Meeting psychological needs in residential care: Applying Maslow’s hierarchy to improve wellbeing among older adults’, </w:t>
      </w:r>
      <w:r w:rsidRPr="00267A6C">
        <w:rPr>
          <w:rFonts w:ascii="Arial" w:eastAsia="Times New Roman" w:hAnsi="Arial" w:cs="Arial"/>
          <w:i/>
          <w:iCs/>
          <w:kern w:val="0"/>
          <w:sz w:val="22"/>
          <w:szCs w:val="22"/>
          <w:lang w:eastAsia="en-GB"/>
          <w14:ligatures w14:val="none"/>
        </w:rPr>
        <w:t>Journal of Aging Studies</w:t>
      </w:r>
      <w:r w:rsidRPr="00267A6C">
        <w:rPr>
          <w:rFonts w:ascii="Arial" w:eastAsia="Times New Roman" w:hAnsi="Arial" w:cs="Arial"/>
          <w:kern w:val="0"/>
          <w:sz w:val="22"/>
          <w:szCs w:val="22"/>
          <w:lang w:eastAsia="en-GB"/>
          <w14:ligatures w14:val="none"/>
        </w:rPr>
        <w:t>, 65, 101098. https://doi.org/10.1016/j.jaging.2023.101098</w:t>
      </w:r>
    </w:p>
    <w:p w14:paraId="4624D3E0" w14:textId="77777777" w:rsidR="00267A6C" w:rsidRPr="00267A6C" w:rsidRDefault="00267A6C" w:rsidP="0064597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267A6C">
        <w:rPr>
          <w:rFonts w:ascii="Arial" w:eastAsia="Times New Roman" w:hAnsi="Arial" w:cs="Arial"/>
          <w:b/>
          <w:bCs/>
          <w:kern w:val="0"/>
          <w:sz w:val="22"/>
          <w:szCs w:val="22"/>
          <w:lang w:eastAsia="en-GB"/>
          <w14:ligatures w14:val="none"/>
        </w:rPr>
        <w:t>Summary</w:t>
      </w:r>
    </w:p>
    <w:p w14:paraId="0DE10F38" w14:textId="77777777" w:rsidR="00267A6C" w:rsidRPr="00267A6C" w:rsidRDefault="00267A6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t xml:space="preserve">This research explores how Maslow’s hierarchy of needs can be used to support psychological wellbeing among older adults living in residential care facilities. The authors discuss how care providers can address residents’ emotional needs through social activities, opportunities for independence and supportive relationships. The findings indicate that </w:t>
      </w:r>
      <w:r w:rsidRPr="00267A6C">
        <w:rPr>
          <w:rFonts w:ascii="Arial" w:eastAsia="Times New Roman" w:hAnsi="Arial" w:cs="Arial"/>
          <w:kern w:val="0"/>
          <w:sz w:val="22"/>
          <w:szCs w:val="22"/>
          <w:lang w:eastAsia="en-GB"/>
          <w14:ligatures w14:val="none"/>
        </w:rPr>
        <w:lastRenderedPageBreak/>
        <w:t>residents who experience meaningful social interaction and personal engagement report higher levels of wellbeing and life satisfaction. The study emphasises the importance of adopting person-centred care approaches that recognise the psychological as well as physical needs of older adults.</w:t>
      </w:r>
    </w:p>
    <w:p w14:paraId="0E119ED4" w14:textId="77777777" w:rsidR="00267A6C" w:rsidRPr="00267A6C" w:rsidRDefault="00267A6C" w:rsidP="0064597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267A6C">
        <w:rPr>
          <w:rFonts w:ascii="Arial" w:eastAsia="Times New Roman" w:hAnsi="Arial" w:cs="Arial"/>
          <w:b/>
          <w:bCs/>
          <w:kern w:val="0"/>
          <w:sz w:val="22"/>
          <w:szCs w:val="22"/>
          <w:lang w:eastAsia="en-GB"/>
          <w14:ligatures w14:val="none"/>
        </w:rPr>
        <w:t>Critical Comment</w:t>
      </w:r>
    </w:p>
    <w:p w14:paraId="247A51A6" w14:textId="77777777" w:rsidR="00C5300C" w:rsidRPr="00B4117B" w:rsidRDefault="00267A6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t>A key strength of this article is that it connects theoretical concepts with practical strategies used in residential care settings. This provides clear guidance for professionals working in health and social care. However, the authors acknowledge that limited resources and staffing constraints in some care homes may make it difficult to fully implement these strategies. Despite this challenge, the research highlights the importance of prioritising residents’ emotional wellbeing and demonstrates how psychological theory can inform improvements in care practices.</w:t>
      </w:r>
    </w:p>
    <w:p w14:paraId="5506E96E" w14:textId="178A01F8" w:rsidR="00267A6C" w:rsidRPr="00267A6C" w:rsidRDefault="00C5300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B4117B">
        <w:rPr>
          <w:rFonts w:ascii="Arial" w:eastAsia="Times New Roman" w:hAnsi="Arial" w:cs="Arial"/>
          <w:kern w:val="0"/>
          <w:sz w:val="22"/>
          <w:szCs w:val="22"/>
          <w:lang w:eastAsia="en-GB"/>
          <w14:ligatures w14:val="none"/>
        </w:rPr>
        <w:t xml:space="preserve"> </w:t>
      </w:r>
      <w:r w:rsidRPr="00B4117B">
        <w:rPr>
          <w:rFonts w:ascii="Arial" w:hAnsi="Arial" w:cs="Arial"/>
          <w:sz w:val="22"/>
          <w:szCs w:val="22"/>
        </w:rPr>
        <w:t xml:space="preserve">Although both </w:t>
      </w:r>
      <w:r w:rsidRPr="00B4117B">
        <w:rPr>
          <w:rStyle w:val="whitespace-normal"/>
          <w:rFonts w:ascii="Arial" w:hAnsi="Arial" w:cs="Arial"/>
          <w:sz w:val="22"/>
          <w:szCs w:val="22"/>
        </w:rPr>
        <w:t>Erik Erikson</w:t>
      </w:r>
      <w:r w:rsidRPr="00B4117B">
        <w:rPr>
          <w:rFonts w:ascii="Arial" w:hAnsi="Arial" w:cs="Arial"/>
          <w:sz w:val="22"/>
          <w:szCs w:val="22"/>
        </w:rPr>
        <w:t xml:space="preserve">’s psychosocial development theory and </w:t>
      </w:r>
      <w:r w:rsidRPr="00B4117B">
        <w:rPr>
          <w:rStyle w:val="whitespace-normal"/>
          <w:rFonts w:ascii="Arial" w:hAnsi="Arial" w:cs="Arial"/>
          <w:sz w:val="22"/>
          <w:szCs w:val="22"/>
        </w:rPr>
        <w:t>Abraham Maslow</w:t>
      </w:r>
      <w:r w:rsidRPr="00B4117B">
        <w:rPr>
          <w:rFonts w:ascii="Arial" w:hAnsi="Arial" w:cs="Arial"/>
          <w:sz w:val="22"/>
          <w:szCs w:val="22"/>
        </w:rPr>
        <w:t>’s hierarchy of needs offer important perspectives on ageing, Maslow’s model may be more useful for care practitioners because it clearly connects psychological needs with practical strategies that can support wellbeing in residential care environments.</w:t>
      </w:r>
    </w:p>
    <w:p w14:paraId="05360691" w14:textId="77777777" w:rsidR="00267A6C" w:rsidRPr="00267A6C" w:rsidRDefault="00267A6C" w:rsidP="00645971">
      <w:pPr>
        <w:spacing w:after="0"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pict w14:anchorId="388108D4">
          <v:rect id="_x0000_i1031" style="width:0;height:1.5pt" o:hralign="center" o:hrstd="t" o:hr="t" fillcolor="#a0a0a0" stroked="f"/>
        </w:pict>
      </w:r>
    </w:p>
    <w:p w14:paraId="74EF796F" w14:textId="56E5E352" w:rsidR="00267A6C" w:rsidRPr="00267A6C" w:rsidRDefault="00267A6C" w:rsidP="00645971">
      <w:pPr>
        <w:spacing w:after="0" w:line="360" w:lineRule="auto"/>
        <w:rPr>
          <w:rFonts w:ascii="Arial" w:eastAsia="Times New Roman" w:hAnsi="Arial" w:cs="Arial"/>
          <w:kern w:val="0"/>
          <w:sz w:val="22"/>
          <w:szCs w:val="22"/>
          <w:lang w:eastAsia="en-GB"/>
          <w14:ligatures w14:val="none"/>
        </w:rPr>
      </w:pPr>
    </w:p>
    <w:p w14:paraId="35D8659C" w14:textId="7DDC7863" w:rsidR="00267A6C" w:rsidRPr="00267A6C" w:rsidRDefault="00267A6C" w:rsidP="0064597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267A6C">
        <w:rPr>
          <w:rFonts w:ascii="Arial" w:eastAsia="Times New Roman" w:hAnsi="Arial" w:cs="Arial"/>
          <w:b/>
          <w:bCs/>
          <w:kern w:val="36"/>
          <w:sz w:val="22"/>
          <w:szCs w:val="22"/>
          <w:lang w:eastAsia="en-GB"/>
          <w14:ligatures w14:val="none"/>
        </w:rPr>
        <w:t xml:space="preserve">Part B –Report </w:t>
      </w:r>
    </w:p>
    <w:p w14:paraId="49BEE96A" w14:textId="77777777" w:rsidR="00267A6C" w:rsidRPr="00267A6C" w:rsidRDefault="00267A6C" w:rsidP="0064597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267A6C">
        <w:rPr>
          <w:rFonts w:ascii="Arial" w:eastAsia="Times New Roman" w:hAnsi="Arial" w:cs="Arial"/>
          <w:b/>
          <w:bCs/>
          <w:kern w:val="0"/>
          <w:sz w:val="22"/>
          <w:szCs w:val="22"/>
          <w:lang w:eastAsia="en-GB"/>
          <w14:ligatures w14:val="none"/>
        </w:rPr>
        <w:t>Introduction</w:t>
      </w:r>
    </w:p>
    <w:p w14:paraId="3C0D55E2" w14:textId="77777777" w:rsidR="00267A6C" w:rsidRPr="00267A6C" w:rsidRDefault="00267A6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t>Supporting psychological wellbeing is a key responsibility for professionals working with older adults in residential care environments. Many individuals experience major life adjustments after moving into care homes, including reduced independence, separation from familiar surroundings and fewer opportunities for social interaction. These changes can negatively affect emotional health and may increase the risk of loneliness or depression. Psychological theories can help care professionals better understand the needs of older adults and develop strategies to enhance their quality of life. This report discusses how the hierarchy of needs theory developed by Abraham Maslow can be applied in residential care settings to promote the psychological wellbeing of older residents.</w:t>
      </w:r>
    </w:p>
    <w:p w14:paraId="66A498CA" w14:textId="77777777" w:rsidR="00267A6C" w:rsidRPr="00267A6C" w:rsidRDefault="00267A6C" w:rsidP="00645971">
      <w:pPr>
        <w:spacing w:after="0"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pict w14:anchorId="21FE55C0">
          <v:rect id="_x0000_i1034" style="width:0;height:1.5pt" o:hralign="center" o:hrstd="t" o:hr="t" fillcolor="#a0a0a0" stroked="f"/>
        </w:pict>
      </w:r>
    </w:p>
    <w:p w14:paraId="5386677B" w14:textId="77777777" w:rsidR="00267A6C" w:rsidRPr="00267A6C" w:rsidRDefault="00267A6C" w:rsidP="0064597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267A6C">
        <w:rPr>
          <w:rFonts w:ascii="Arial" w:eastAsia="Times New Roman" w:hAnsi="Arial" w:cs="Arial"/>
          <w:b/>
          <w:bCs/>
          <w:kern w:val="0"/>
          <w:sz w:val="22"/>
          <w:szCs w:val="22"/>
          <w:lang w:eastAsia="en-GB"/>
          <w14:ligatures w14:val="none"/>
        </w:rPr>
        <w:lastRenderedPageBreak/>
        <w:t>Explanation of the Theory</w:t>
      </w:r>
    </w:p>
    <w:p w14:paraId="663CBB50" w14:textId="77777777" w:rsidR="00267A6C" w:rsidRPr="00267A6C" w:rsidRDefault="00267A6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t>Maslow’s hierarchy of needs is a well-known motivational theory that explains how human behaviour is influenced by different levels of needs. According to the theory, individuals are motivated to satisfy basic needs before they can pursue higher levels of personal fulfilment. The model is often illustrated as a hierarchy consisting of five levels: physiological needs, safety needs, love and belonging, esteem and self-actualisation.</w:t>
      </w:r>
    </w:p>
    <w:p w14:paraId="42EADFE7" w14:textId="77777777" w:rsidR="00267A6C" w:rsidRPr="00267A6C" w:rsidRDefault="00267A6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t>Within residential care settings, the first two levels of needs are usually addressed through healthcare support, accommodation and personal care services. Residents receive assistance with daily living activities, nutrition and medical treatment, which helps ensure their basic physical safety and wellbeing. However, the higher levels of the hierarchy are equally important for maintaining emotional health.</w:t>
      </w:r>
    </w:p>
    <w:p w14:paraId="479C73B7" w14:textId="345866A4" w:rsidR="00267A6C" w:rsidRPr="00267A6C" w:rsidRDefault="00267A6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t>Needs such as belonging, social relationships and a sense of personal value play a significant role in later life. Older adults who feel socially connected and respected are more likely to experience positive emotional wellbeing (Taormina</w:t>
      </w:r>
      <w:r w:rsidR="008A119D" w:rsidRPr="00B4117B">
        <w:rPr>
          <w:rFonts w:ascii="Arial" w:eastAsia="Times New Roman" w:hAnsi="Arial" w:cs="Arial"/>
          <w:kern w:val="0"/>
          <w:sz w:val="22"/>
          <w:szCs w:val="22"/>
          <w:lang w:eastAsia="en-GB"/>
          <w14:ligatures w14:val="none"/>
        </w:rPr>
        <w:t>, R. J.</w:t>
      </w:r>
      <w:r w:rsidRPr="00267A6C">
        <w:rPr>
          <w:rFonts w:ascii="Arial" w:eastAsia="Times New Roman" w:hAnsi="Arial" w:cs="Arial"/>
          <w:kern w:val="0"/>
          <w:sz w:val="22"/>
          <w:szCs w:val="22"/>
          <w:lang w:eastAsia="en-GB"/>
          <w14:ligatures w14:val="none"/>
        </w:rPr>
        <w:t xml:space="preserve"> and </w:t>
      </w:r>
      <w:r w:rsidR="008A119D" w:rsidRPr="00B4117B">
        <w:rPr>
          <w:rFonts w:ascii="Arial" w:eastAsia="Times New Roman" w:hAnsi="Arial" w:cs="Arial"/>
          <w:kern w:val="0"/>
          <w:sz w:val="22"/>
          <w:szCs w:val="22"/>
          <w:lang w:eastAsia="en-GB"/>
          <w14:ligatures w14:val="none"/>
        </w:rPr>
        <w:t>Gao, J. H.</w:t>
      </w:r>
      <w:r w:rsidRPr="00267A6C">
        <w:rPr>
          <w:rFonts w:ascii="Arial" w:eastAsia="Times New Roman" w:hAnsi="Arial" w:cs="Arial"/>
          <w:kern w:val="0"/>
          <w:sz w:val="22"/>
          <w:szCs w:val="22"/>
          <w:lang w:eastAsia="en-GB"/>
          <w14:ligatures w14:val="none"/>
        </w:rPr>
        <w:t>2021). When these psychological needs are not fulfilled, residents may experience feelings of isolation or reduced life satisfaction. Maslow’s theory therefore provides a useful framework for understanding how different aspects of care can influence the overall wellbeing of older adults.</w:t>
      </w:r>
    </w:p>
    <w:p w14:paraId="5810024E" w14:textId="77777777" w:rsidR="00267A6C" w:rsidRPr="00267A6C" w:rsidRDefault="00267A6C" w:rsidP="00645971">
      <w:pPr>
        <w:spacing w:after="0"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pict w14:anchorId="352C7AAC">
          <v:rect id="_x0000_i1035" style="width:0;height:1.5pt" o:hralign="center" o:hrstd="t" o:hr="t" fillcolor="#a0a0a0" stroked="f"/>
        </w:pict>
      </w:r>
    </w:p>
    <w:p w14:paraId="79354778" w14:textId="77777777" w:rsidR="00267A6C" w:rsidRPr="00267A6C" w:rsidRDefault="00267A6C" w:rsidP="0064597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267A6C">
        <w:rPr>
          <w:rFonts w:ascii="Arial" w:eastAsia="Times New Roman" w:hAnsi="Arial" w:cs="Arial"/>
          <w:b/>
          <w:bCs/>
          <w:kern w:val="0"/>
          <w:sz w:val="22"/>
          <w:szCs w:val="22"/>
          <w:lang w:eastAsia="en-GB"/>
          <w14:ligatures w14:val="none"/>
        </w:rPr>
        <w:t>Application to Residential Care</w:t>
      </w:r>
    </w:p>
    <w:p w14:paraId="0C03BE55" w14:textId="77777777" w:rsidR="00267A6C" w:rsidRPr="00267A6C" w:rsidRDefault="00267A6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t>Applying Maslow’s hierarchy of needs in residential care requires a holistic approach that supports both the physical and emotional needs of residents. Care professionals can create environments that encourage participation, independence and meaningful social relationships. Organising group activities, promoting interaction among residents and providing opportunities for personal contribution are all ways of supporting higher-level psychological needs.</w:t>
      </w:r>
    </w:p>
    <w:p w14:paraId="06A9808C" w14:textId="77777777" w:rsidR="00267A6C" w:rsidRPr="00267A6C" w:rsidRDefault="00267A6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t xml:space="preserve">For instance, consider the situation of an 82-year-old resident who has recently moved into a care home after living independently for many years. During the early stages of transition, the resident may feel uncertain or disconnected from the new environment. Feelings of loneliness can occur when individuals are separated from their familiar communities and </w:t>
      </w:r>
      <w:r w:rsidRPr="00267A6C">
        <w:rPr>
          <w:rFonts w:ascii="Arial" w:eastAsia="Times New Roman" w:hAnsi="Arial" w:cs="Arial"/>
          <w:kern w:val="0"/>
          <w:sz w:val="22"/>
          <w:szCs w:val="22"/>
          <w:lang w:eastAsia="en-GB"/>
          <w14:ligatures w14:val="none"/>
        </w:rPr>
        <w:lastRenderedPageBreak/>
        <w:t>daily routines. In such situations, care staff can help by introducing the resident to social activities such as group gardening sessions, music therapy or discussion groups.</w:t>
      </w:r>
    </w:p>
    <w:p w14:paraId="0F3C1D54" w14:textId="777DF2ED" w:rsidR="000F1E97" w:rsidRPr="000F1E97" w:rsidRDefault="00267A6C" w:rsidP="00645971">
      <w:pPr>
        <w:pStyle w:val="Heading3"/>
        <w:spacing w:line="360" w:lineRule="auto"/>
        <w:rPr>
          <w:rFonts w:ascii="Arial" w:eastAsia="Times New Roman" w:hAnsi="Arial" w:cs="Arial"/>
          <w:b/>
          <w:bCs/>
          <w:color w:val="auto"/>
          <w:kern w:val="0"/>
          <w:sz w:val="22"/>
          <w:szCs w:val="22"/>
          <w:lang w:eastAsia="en-GB"/>
          <w14:ligatures w14:val="none"/>
        </w:rPr>
      </w:pPr>
      <w:r w:rsidRPr="00267A6C">
        <w:rPr>
          <w:rFonts w:ascii="Arial" w:eastAsia="Times New Roman" w:hAnsi="Arial" w:cs="Arial"/>
          <w:color w:val="auto"/>
          <w:kern w:val="0"/>
          <w:sz w:val="22"/>
          <w:szCs w:val="22"/>
          <w:lang w:eastAsia="en-GB"/>
          <w14:ligatures w14:val="none"/>
        </w:rPr>
        <w:t>Participation in these activities allows residents to interact with others who share similar interests, helping them build friendships and feel part of a community. Over time, this sense of belonging can improve confidence and emotional wellbeing. Staff may also encourage residents to share their experiences or assist with organising social events, which supports their need for esteem and personal recognition.</w:t>
      </w:r>
      <w:r w:rsidR="000F1E97" w:rsidRPr="00B4117B">
        <w:rPr>
          <w:rFonts w:ascii="Arial" w:eastAsia="Times New Roman" w:hAnsi="Arial" w:cs="Arial"/>
          <w:color w:val="auto"/>
          <w:kern w:val="0"/>
          <w:sz w:val="22"/>
          <w:szCs w:val="22"/>
          <w:lang w:eastAsia="en-GB"/>
          <w14:ligatures w14:val="none"/>
        </w:rPr>
        <w:t xml:space="preserve"> </w:t>
      </w:r>
      <w:r w:rsidR="00403759" w:rsidRPr="00B4117B">
        <w:rPr>
          <w:rFonts w:ascii="Arial" w:hAnsi="Arial" w:cs="Arial"/>
          <w:color w:val="auto"/>
          <w:sz w:val="22"/>
          <w:szCs w:val="22"/>
        </w:rPr>
        <w:t>Research</w:t>
      </w:r>
      <w:r w:rsidR="000F1E97" w:rsidRPr="00B4117B">
        <w:rPr>
          <w:rFonts w:ascii="Arial" w:hAnsi="Arial" w:cs="Arial"/>
          <w:color w:val="auto"/>
          <w:sz w:val="22"/>
          <w:szCs w:val="22"/>
        </w:rPr>
        <w:t xml:space="preserve"> evidence indicates that these types of interventions can be highly effective. Studies suggest that residential care settings which promote social interaction and provide opportunities for meaningful activities can enhance psychological wellbeing and help reduce feelings of loneliness among older </w:t>
      </w:r>
      <w:r w:rsidR="00EC3B61" w:rsidRPr="00B4117B">
        <w:rPr>
          <w:rFonts w:ascii="Arial" w:hAnsi="Arial" w:cs="Arial"/>
          <w:color w:val="auto"/>
          <w:sz w:val="22"/>
          <w:szCs w:val="22"/>
        </w:rPr>
        <w:t xml:space="preserve">adults </w:t>
      </w:r>
      <w:r w:rsidR="00EC3B61" w:rsidRPr="00B4117B">
        <w:rPr>
          <w:rFonts w:ascii="Arial" w:eastAsia="Times New Roman" w:hAnsi="Arial" w:cs="Arial"/>
          <w:color w:val="auto"/>
          <w:kern w:val="0"/>
          <w:sz w:val="22"/>
          <w:szCs w:val="22"/>
          <w:lang w:eastAsia="en-GB"/>
          <w14:ligatures w14:val="none"/>
        </w:rPr>
        <w:t>(</w:t>
      </w:r>
      <w:r w:rsidR="008A119D" w:rsidRPr="00B4117B">
        <w:rPr>
          <w:rFonts w:ascii="Arial" w:eastAsia="Times New Roman" w:hAnsi="Arial" w:cs="Arial"/>
          <w:color w:val="auto"/>
          <w:kern w:val="0"/>
          <w:sz w:val="22"/>
          <w:szCs w:val="22"/>
          <w:lang w:eastAsia="en-GB"/>
          <w14:ligatures w14:val="none"/>
        </w:rPr>
        <w:t>Zhang,</w:t>
      </w:r>
      <w:r w:rsidR="000F1E97" w:rsidRPr="00B4117B">
        <w:rPr>
          <w:rFonts w:ascii="Arial" w:eastAsia="Times New Roman" w:hAnsi="Arial" w:cs="Arial"/>
          <w:color w:val="auto"/>
          <w:kern w:val="0"/>
          <w:sz w:val="22"/>
          <w:szCs w:val="22"/>
          <w:lang w:eastAsia="en-GB"/>
          <w14:ligatures w14:val="none"/>
        </w:rPr>
        <w:t xml:space="preserve"> Y. </w:t>
      </w:r>
      <w:r w:rsidR="000F1E97" w:rsidRPr="000F1E97">
        <w:rPr>
          <w:rFonts w:ascii="Arial" w:eastAsia="Times New Roman" w:hAnsi="Arial" w:cs="Arial"/>
          <w:color w:val="auto"/>
          <w:kern w:val="0"/>
          <w:sz w:val="22"/>
          <w:szCs w:val="22"/>
          <w:lang w:eastAsia="en-GB"/>
          <w14:ligatures w14:val="none"/>
        </w:rPr>
        <w:t xml:space="preserve">and Park, </w:t>
      </w:r>
      <w:r w:rsidR="000F1E97" w:rsidRPr="00B4117B">
        <w:rPr>
          <w:rFonts w:ascii="Arial" w:eastAsia="Times New Roman" w:hAnsi="Arial" w:cs="Arial"/>
          <w:color w:val="auto"/>
          <w:kern w:val="0"/>
          <w:sz w:val="22"/>
          <w:szCs w:val="22"/>
          <w:lang w:eastAsia="en-GB"/>
          <w14:ligatures w14:val="none"/>
        </w:rPr>
        <w:t xml:space="preserve">N. </w:t>
      </w:r>
      <w:r w:rsidR="000F1E97" w:rsidRPr="000F1E97">
        <w:rPr>
          <w:rFonts w:ascii="Arial" w:eastAsia="Times New Roman" w:hAnsi="Arial" w:cs="Arial"/>
          <w:color w:val="auto"/>
          <w:kern w:val="0"/>
          <w:sz w:val="22"/>
          <w:szCs w:val="22"/>
          <w:lang w:eastAsia="en-GB"/>
          <w14:ligatures w14:val="none"/>
        </w:rPr>
        <w:t>2023).</w:t>
      </w:r>
    </w:p>
    <w:p w14:paraId="2FB54125" w14:textId="103DE820" w:rsidR="00267A6C" w:rsidRPr="00267A6C" w:rsidRDefault="00267A6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t>. By applying Maslow’s framework, professionals can develop care practices that address both psychological and physical needs.</w:t>
      </w:r>
    </w:p>
    <w:p w14:paraId="5790EA74" w14:textId="77777777" w:rsidR="00267A6C" w:rsidRPr="00267A6C" w:rsidRDefault="00267A6C" w:rsidP="00645971">
      <w:pPr>
        <w:spacing w:after="0"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pict w14:anchorId="066ADCBF">
          <v:rect id="_x0000_i1036" style="width:0;height:1.5pt" o:hralign="center" o:hrstd="t" o:hr="t" fillcolor="#a0a0a0" stroked="f"/>
        </w:pict>
      </w:r>
    </w:p>
    <w:p w14:paraId="6D7F3EF4" w14:textId="77777777" w:rsidR="00267A6C" w:rsidRPr="00267A6C" w:rsidRDefault="00267A6C" w:rsidP="0064597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267A6C">
        <w:rPr>
          <w:rFonts w:ascii="Arial" w:eastAsia="Times New Roman" w:hAnsi="Arial" w:cs="Arial"/>
          <w:b/>
          <w:bCs/>
          <w:kern w:val="0"/>
          <w:sz w:val="22"/>
          <w:szCs w:val="22"/>
          <w:lang w:eastAsia="en-GB"/>
          <w14:ligatures w14:val="none"/>
        </w:rPr>
        <w:t>Challenge and Strategy</w:t>
      </w:r>
    </w:p>
    <w:p w14:paraId="459EF62D" w14:textId="77777777" w:rsidR="00267A6C" w:rsidRPr="00267A6C" w:rsidRDefault="00267A6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t>Although Maslow’s theory offers useful guidance for improving wellbeing, care professionals may encounter practical challenges when applying it. One common difficulty is the limited availability of time and resources within residential care settings. Staff members are often responsible for many residents and must prioritise essential physical care tasks. As a result, opportunities for social interaction and emotional support may sometimes receive less attention.</w:t>
      </w:r>
    </w:p>
    <w:p w14:paraId="7E56E699" w14:textId="22094543" w:rsidR="00267A6C" w:rsidRPr="00267A6C" w:rsidRDefault="00267A6C"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t>One strategy for addressing this challenge is the introduction of structured wellbeing programmes that involve community members, volunteers and family participation. These programmes can include group activities, storytelling sessions, creative workshops and intergenerational events with local schools or community organisations. Such initiatives provide additional opportunities for residents to engage socially without significantly increasing staff workload. Evidence suggests that programmes promoting social engagement can improve emotional wellbeing and reduce loneliness among older adults living in care homes (Walden</w:t>
      </w:r>
      <w:r w:rsidR="008A119D" w:rsidRPr="00B4117B">
        <w:rPr>
          <w:rFonts w:ascii="Arial" w:eastAsia="Times New Roman" w:hAnsi="Arial" w:cs="Arial"/>
          <w:kern w:val="0"/>
          <w:sz w:val="22"/>
          <w:szCs w:val="22"/>
          <w:lang w:eastAsia="en-GB"/>
          <w14:ligatures w14:val="none"/>
        </w:rPr>
        <w:t>, A.</w:t>
      </w:r>
      <w:r w:rsidRPr="00267A6C">
        <w:rPr>
          <w:rFonts w:ascii="Arial" w:eastAsia="Times New Roman" w:hAnsi="Arial" w:cs="Arial"/>
          <w:kern w:val="0"/>
          <w:sz w:val="22"/>
          <w:szCs w:val="22"/>
          <w:lang w:eastAsia="en-GB"/>
          <w14:ligatures w14:val="none"/>
        </w:rPr>
        <w:t xml:space="preserve"> and </w:t>
      </w:r>
      <w:r w:rsidR="008A119D" w:rsidRPr="00B4117B">
        <w:rPr>
          <w:rFonts w:ascii="Arial" w:eastAsia="Times New Roman" w:hAnsi="Arial" w:cs="Arial"/>
          <w:kern w:val="0"/>
          <w:sz w:val="22"/>
          <w:szCs w:val="22"/>
          <w:lang w:eastAsia="en-GB"/>
          <w14:ligatures w14:val="none"/>
        </w:rPr>
        <w:t>Feliciano, L.2022</w:t>
      </w:r>
      <w:r w:rsidRPr="00267A6C">
        <w:rPr>
          <w:rFonts w:ascii="Arial" w:eastAsia="Times New Roman" w:hAnsi="Arial" w:cs="Arial"/>
          <w:kern w:val="0"/>
          <w:sz w:val="22"/>
          <w:szCs w:val="22"/>
          <w:lang w:eastAsia="en-GB"/>
          <w14:ligatures w14:val="none"/>
        </w:rPr>
        <w:t>).</w:t>
      </w:r>
    </w:p>
    <w:p w14:paraId="66D97C02" w14:textId="77777777" w:rsidR="00267A6C" w:rsidRPr="00267A6C" w:rsidRDefault="00267A6C" w:rsidP="00645971">
      <w:pPr>
        <w:spacing w:after="0" w:line="360" w:lineRule="auto"/>
        <w:rPr>
          <w:rFonts w:ascii="Arial" w:eastAsia="Times New Roman" w:hAnsi="Arial" w:cs="Arial"/>
          <w:kern w:val="0"/>
          <w:sz w:val="22"/>
          <w:szCs w:val="22"/>
          <w:lang w:eastAsia="en-GB"/>
          <w14:ligatures w14:val="none"/>
        </w:rPr>
      </w:pPr>
      <w:r w:rsidRPr="00267A6C">
        <w:rPr>
          <w:rFonts w:ascii="Arial" w:eastAsia="Times New Roman" w:hAnsi="Arial" w:cs="Arial"/>
          <w:kern w:val="0"/>
          <w:sz w:val="22"/>
          <w:szCs w:val="22"/>
          <w:lang w:eastAsia="en-GB"/>
          <w14:ligatures w14:val="none"/>
        </w:rPr>
        <w:pict w14:anchorId="4CA35112">
          <v:rect id="_x0000_i1037" style="width:0;height:1.5pt" o:hralign="center" o:hrstd="t" o:hr="t" fillcolor="#a0a0a0" stroked="f"/>
        </w:pict>
      </w:r>
    </w:p>
    <w:p w14:paraId="7E3A52D7" w14:textId="77777777" w:rsidR="006F42FA" w:rsidRPr="00B4117B" w:rsidRDefault="00267A6C" w:rsidP="0064597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267A6C">
        <w:rPr>
          <w:rFonts w:ascii="Arial" w:eastAsia="Times New Roman" w:hAnsi="Arial" w:cs="Arial"/>
          <w:b/>
          <w:bCs/>
          <w:kern w:val="0"/>
          <w:sz w:val="22"/>
          <w:szCs w:val="22"/>
          <w:lang w:eastAsia="en-GB"/>
          <w14:ligatures w14:val="none"/>
        </w:rPr>
        <w:t>Conclusion</w:t>
      </w:r>
    </w:p>
    <w:p w14:paraId="5D4350CA" w14:textId="3B065D69" w:rsidR="00F30C3D" w:rsidRPr="00B4117B" w:rsidRDefault="00267A6C" w:rsidP="0064597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267A6C">
        <w:rPr>
          <w:rFonts w:ascii="Arial" w:eastAsia="Times New Roman" w:hAnsi="Arial" w:cs="Arial"/>
          <w:color w:val="000000" w:themeColor="text1"/>
          <w:kern w:val="0"/>
          <w:sz w:val="22"/>
          <w:szCs w:val="22"/>
          <w:lang w:eastAsia="en-GB"/>
          <w14:ligatures w14:val="none"/>
        </w:rPr>
        <w:lastRenderedPageBreak/>
        <w:t>Maslow’s hierarchy of needs offers a valuable framework for understanding the psychological wellbeing of older adults living in residential care. While physical needs are typically addressed through healthcare services, emotional and social needs also play a crucial role in maintaining quality of life. By encouraging meaningful social interaction, supporting residents’ sense of value and creating opportunities for engagement, care professionals can significantly enhance residents’ wellbeing. Applying this theoretical framework can help create more supportive and person-centred care environments.</w:t>
      </w:r>
      <w:r w:rsidR="00F30C3D" w:rsidRPr="00B4117B">
        <w:rPr>
          <w:rFonts w:ascii="Arial" w:eastAsia="Times New Roman" w:hAnsi="Arial" w:cs="Arial"/>
          <w:color w:val="000000" w:themeColor="text1"/>
          <w:kern w:val="0"/>
          <w:sz w:val="22"/>
          <w:szCs w:val="22"/>
          <w:lang w:eastAsia="en-GB"/>
          <w14:ligatures w14:val="none"/>
        </w:rPr>
        <w:t xml:space="preserve"> </w:t>
      </w:r>
    </w:p>
    <w:p w14:paraId="35A7E485" w14:textId="77777777" w:rsidR="00891E42" w:rsidRPr="00B4117B" w:rsidRDefault="00891E42" w:rsidP="00645971">
      <w:pPr>
        <w:spacing w:before="100" w:beforeAutospacing="1" w:after="100" w:afterAutospacing="1" w:line="360" w:lineRule="auto"/>
        <w:rPr>
          <w:rFonts w:ascii="Arial" w:eastAsia="Times New Roman" w:hAnsi="Arial" w:cs="Arial"/>
          <w:kern w:val="0"/>
          <w:sz w:val="22"/>
          <w:szCs w:val="22"/>
          <w:lang w:eastAsia="en-GB"/>
          <w14:ligatures w14:val="none"/>
        </w:rPr>
      </w:pPr>
    </w:p>
    <w:p w14:paraId="052D4C8F" w14:textId="77777777" w:rsidR="00891E42" w:rsidRPr="00B4117B" w:rsidRDefault="00891E42" w:rsidP="00645971">
      <w:pPr>
        <w:spacing w:before="100" w:beforeAutospacing="1" w:after="100" w:afterAutospacing="1" w:line="360" w:lineRule="auto"/>
        <w:rPr>
          <w:rFonts w:ascii="Arial" w:eastAsia="Times New Roman" w:hAnsi="Arial" w:cs="Arial"/>
          <w:kern w:val="0"/>
          <w:sz w:val="22"/>
          <w:szCs w:val="22"/>
          <w:lang w:eastAsia="en-GB"/>
          <w14:ligatures w14:val="none"/>
        </w:rPr>
      </w:pPr>
    </w:p>
    <w:p w14:paraId="386C7CDE" w14:textId="04F6A53A" w:rsidR="00F30C3D" w:rsidRPr="00F30C3D" w:rsidRDefault="006F42FA"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B4117B">
        <w:rPr>
          <w:rFonts w:ascii="Arial" w:eastAsia="Times New Roman" w:hAnsi="Arial" w:cs="Arial"/>
          <w:kern w:val="0"/>
          <w:sz w:val="22"/>
          <w:szCs w:val="22"/>
          <w:lang w:eastAsia="en-GB"/>
          <w14:ligatures w14:val="none"/>
        </w:rPr>
        <w:t>R</w:t>
      </w:r>
      <w:r w:rsidR="00F30C3D" w:rsidRPr="00F30C3D">
        <w:rPr>
          <w:rFonts w:ascii="Arial" w:eastAsia="Times New Roman" w:hAnsi="Arial" w:cs="Arial"/>
          <w:kern w:val="0"/>
          <w:sz w:val="22"/>
          <w:szCs w:val="22"/>
          <w:lang w:eastAsia="en-GB"/>
          <w14:ligatures w14:val="none"/>
        </w:rPr>
        <w:t>eference</w:t>
      </w:r>
      <w:r w:rsidRPr="00B4117B">
        <w:rPr>
          <w:rFonts w:ascii="Arial" w:eastAsia="Times New Roman" w:hAnsi="Arial" w:cs="Arial"/>
          <w:kern w:val="0"/>
          <w:sz w:val="22"/>
          <w:szCs w:val="22"/>
          <w:lang w:eastAsia="en-GB"/>
          <w14:ligatures w14:val="none"/>
        </w:rPr>
        <w:t>s</w:t>
      </w:r>
    </w:p>
    <w:p w14:paraId="3D108371" w14:textId="77777777" w:rsidR="00F30C3D" w:rsidRPr="00F30C3D" w:rsidRDefault="00F30C3D"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F30C3D">
        <w:rPr>
          <w:rFonts w:ascii="Arial" w:eastAsia="Times New Roman" w:hAnsi="Arial" w:cs="Arial"/>
          <w:kern w:val="0"/>
          <w:sz w:val="22"/>
          <w:szCs w:val="22"/>
          <w:lang w:eastAsia="en-GB"/>
          <w14:ligatures w14:val="none"/>
        </w:rPr>
        <w:t xml:space="preserve">Chen, Y., Li, X. and Zhang, Q. (2024) </w:t>
      </w:r>
      <w:r w:rsidRPr="00F30C3D">
        <w:rPr>
          <w:rFonts w:ascii="Arial" w:eastAsia="Times New Roman" w:hAnsi="Arial" w:cs="Arial"/>
          <w:i/>
          <w:iCs/>
          <w:kern w:val="0"/>
          <w:sz w:val="22"/>
          <w:szCs w:val="22"/>
          <w:lang w:eastAsia="en-GB"/>
          <w14:ligatures w14:val="none"/>
        </w:rPr>
        <w:t>Life story work based on Erikson’s theory and psychological wellbeing among nursing home residents</w:t>
      </w:r>
      <w:r w:rsidRPr="00F30C3D">
        <w:rPr>
          <w:rFonts w:ascii="Arial" w:eastAsia="Times New Roman" w:hAnsi="Arial" w:cs="Arial"/>
          <w:kern w:val="0"/>
          <w:sz w:val="22"/>
          <w:szCs w:val="22"/>
          <w:lang w:eastAsia="en-GB"/>
          <w14:ligatures w14:val="none"/>
        </w:rPr>
        <w:t xml:space="preserve">, </w:t>
      </w:r>
      <w:r w:rsidRPr="00F30C3D">
        <w:rPr>
          <w:rFonts w:ascii="Arial" w:eastAsia="Times New Roman" w:hAnsi="Arial" w:cs="Arial"/>
          <w:b/>
          <w:bCs/>
          <w:kern w:val="0"/>
          <w:sz w:val="22"/>
          <w:szCs w:val="22"/>
          <w:lang w:eastAsia="en-GB"/>
          <w14:ligatures w14:val="none"/>
        </w:rPr>
        <w:t>Geriatric Nursing</w:t>
      </w:r>
      <w:r w:rsidRPr="00F30C3D">
        <w:rPr>
          <w:rFonts w:ascii="Arial" w:eastAsia="Times New Roman" w:hAnsi="Arial" w:cs="Arial"/>
          <w:kern w:val="0"/>
          <w:sz w:val="22"/>
          <w:szCs w:val="22"/>
          <w:lang w:eastAsia="en-GB"/>
          <w14:ligatures w14:val="none"/>
        </w:rPr>
        <w:t xml:space="preserve">, 61, pp. 140–148. </w:t>
      </w:r>
      <w:hyperlink r:id="rId9" w:tgtFrame="_new" w:history="1">
        <w:r w:rsidRPr="00F30C3D">
          <w:rPr>
            <w:rFonts w:ascii="Arial" w:eastAsia="Times New Roman" w:hAnsi="Arial" w:cs="Arial"/>
            <w:color w:val="0000FF"/>
            <w:kern w:val="0"/>
            <w:sz w:val="22"/>
            <w:szCs w:val="22"/>
            <w:u w:val="single"/>
            <w:lang w:eastAsia="en-GB"/>
            <w14:ligatures w14:val="none"/>
          </w:rPr>
          <w:t>https://doi.org/10.1016/j.gerinurs</w:t>
        </w:r>
        <w:r w:rsidRPr="00F30C3D">
          <w:rPr>
            <w:rFonts w:ascii="Arial" w:eastAsia="Times New Roman" w:hAnsi="Arial" w:cs="Arial"/>
            <w:color w:val="0000FF"/>
            <w:kern w:val="0"/>
            <w:sz w:val="22"/>
            <w:szCs w:val="22"/>
            <w:u w:val="single"/>
            <w:lang w:eastAsia="en-GB"/>
            <w14:ligatures w14:val="none"/>
          </w:rPr>
          <w:t>e</w:t>
        </w:r>
        <w:r w:rsidRPr="00F30C3D">
          <w:rPr>
            <w:rFonts w:ascii="Arial" w:eastAsia="Times New Roman" w:hAnsi="Arial" w:cs="Arial"/>
            <w:color w:val="0000FF"/>
            <w:kern w:val="0"/>
            <w:sz w:val="22"/>
            <w:szCs w:val="22"/>
            <w:u w:val="single"/>
            <w:lang w:eastAsia="en-GB"/>
            <w14:ligatures w14:val="none"/>
          </w:rPr>
          <w:t>.2024.10.066</w:t>
        </w:r>
      </w:hyperlink>
    </w:p>
    <w:p w14:paraId="3D8F6C2E" w14:textId="77777777" w:rsidR="00F30C3D" w:rsidRPr="00F30C3D" w:rsidRDefault="00F30C3D"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F30C3D">
        <w:rPr>
          <w:rFonts w:ascii="Arial" w:eastAsia="Times New Roman" w:hAnsi="Arial" w:cs="Arial"/>
          <w:kern w:val="0"/>
          <w:sz w:val="22"/>
          <w:szCs w:val="22"/>
          <w:lang w:eastAsia="en-GB"/>
          <w14:ligatures w14:val="none"/>
        </w:rPr>
        <w:t xml:space="preserve">Smith, J., Brown, L. and Roberts, P. (2023) </w:t>
      </w:r>
      <w:r w:rsidRPr="00F30C3D">
        <w:rPr>
          <w:rFonts w:ascii="Arial" w:eastAsia="Times New Roman" w:hAnsi="Arial" w:cs="Arial"/>
          <w:i/>
          <w:iCs/>
          <w:kern w:val="0"/>
          <w:sz w:val="22"/>
          <w:szCs w:val="22"/>
          <w:lang w:eastAsia="en-GB"/>
          <w14:ligatures w14:val="none"/>
        </w:rPr>
        <w:t>Meeting psychological needs in residential care</w:t>
      </w:r>
      <w:r w:rsidRPr="00F30C3D">
        <w:rPr>
          <w:rFonts w:ascii="Arial" w:eastAsia="Times New Roman" w:hAnsi="Arial" w:cs="Arial"/>
          <w:kern w:val="0"/>
          <w:sz w:val="22"/>
          <w:szCs w:val="22"/>
          <w:lang w:eastAsia="en-GB"/>
          <w14:ligatures w14:val="none"/>
        </w:rPr>
        <w:t xml:space="preserve">, </w:t>
      </w:r>
      <w:r w:rsidRPr="00F30C3D">
        <w:rPr>
          <w:rFonts w:ascii="Arial" w:eastAsia="Times New Roman" w:hAnsi="Arial" w:cs="Arial"/>
          <w:b/>
          <w:bCs/>
          <w:kern w:val="0"/>
          <w:sz w:val="22"/>
          <w:szCs w:val="22"/>
          <w:lang w:eastAsia="en-GB"/>
          <w14:ligatures w14:val="none"/>
        </w:rPr>
        <w:t>Journal of Aging Studies</w:t>
      </w:r>
      <w:r w:rsidRPr="00F30C3D">
        <w:rPr>
          <w:rFonts w:ascii="Arial" w:eastAsia="Times New Roman" w:hAnsi="Arial" w:cs="Arial"/>
          <w:kern w:val="0"/>
          <w:sz w:val="22"/>
          <w:szCs w:val="22"/>
          <w:lang w:eastAsia="en-GB"/>
          <w14:ligatures w14:val="none"/>
        </w:rPr>
        <w:t xml:space="preserve">, 65, 101098. </w:t>
      </w:r>
      <w:hyperlink r:id="rId10" w:tgtFrame="_new" w:history="1">
        <w:r w:rsidRPr="00F30C3D">
          <w:rPr>
            <w:rFonts w:ascii="Arial" w:eastAsia="Times New Roman" w:hAnsi="Arial" w:cs="Arial"/>
            <w:color w:val="0000FF"/>
            <w:kern w:val="0"/>
            <w:sz w:val="22"/>
            <w:szCs w:val="22"/>
            <w:u w:val="single"/>
            <w:lang w:eastAsia="en-GB"/>
            <w14:ligatures w14:val="none"/>
          </w:rPr>
          <w:t>https://doi.org/1</w:t>
        </w:r>
        <w:r w:rsidRPr="00F30C3D">
          <w:rPr>
            <w:rFonts w:ascii="Arial" w:eastAsia="Times New Roman" w:hAnsi="Arial" w:cs="Arial"/>
            <w:color w:val="0000FF"/>
            <w:kern w:val="0"/>
            <w:sz w:val="22"/>
            <w:szCs w:val="22"/>
            <w:u w:val="single"/>
            <w:lang w:eastAsia="en-GB"/>
            <w14:ligatures w14:val="none"/>
          </w:rPr>
          <w:t>0</w:t>
        </w:r>
        <w:r w:rsidRPr="00F30C3D">
          <w:rPr>
            <w:rFonts w:ascii="Arial" w:eastAsia="Times New Roman" w:hAnsi="Arial" w:cs="Arial"/>
            <w:color w:val="0000FF"/>
            <w:kern w:val="0"/>
            <w:sz w:val="22"/>
            <w:szCs w:val="22"/>
            <w:u w:val="single"/>
            <w:lang w:eastAsia="en-GB"/>
            <w14:ligatures w14:val="none"/>
          </w:rPr>
          <w:t>.1016/j.jaging.2023.101098</w:t>
        </w:r>
      </w:hyperlink>
    </w:p>
    <w:p w14:paraId="4235EA4A" w14:textId="77777777" w:rsidR="00F30C3D" w:rsidRPr="00F30C3D" w:rsidRDefault="00F30C3D"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F30C3D">
        <w:rPr>
          <w:rFonts w:ascii="Arial" w:eastAsia="Times New Roman" w:hAnsi="Arial" w:cs="Arial"/>
          <w:kern w:val="0"/>
          <w:sz w:val="22"/>
          <w:szCs w:val="22"/>
          <w:lang w:eastAsia="en-GB"/>
          <w14:ligatures w14:val="none"/>
        </w:rPr>
        <w:t xml:space="preserve">Syed, M. and McLean, K.C. (2022) </w:t>
      </w:r>
      <w:r w:rsidRPr="00F30C3D">
        <w:rPr>
          <w:rFonts w:ascii="Arial" w:eastAsia="Times New Roman" w:hAnsi="Arial" w:cs="Arial"/>
          <w:i/>
          <w:iCs/>
          <w:kern w:val="0"/>
          <w:sz w:val="22"/>
          <w:szCs w:val="22"/>
          <w:lang w:eastAsia="en-GB"/>
          <w14:ligatures w14:val="none"/>
        </w:rPr>
        <w:t>Erikson’s theory of psychosocial development in contemporary research</w:t>
      </w:r>
      <w:r w:rsidRPr="00F30C3D">
        <w:rPr>
          <w:rFonts w:ascii="Arial" w:eastAsia="Times New Roman" w:hAnsi="Arial" w:cs="Arial"/>
          <w:kern w:val="0"/>
          <w:sz w:val="22"/>
          <w:szCs w:val="22"/>
          <w:lang w:eastAsia="en-GB"/>
          <w14:ligatures w14:val="none"/>
        </w:rPr>
        <w:t xml:space="preserve">, </w:t>
      </w:r>
      <w:r w:rsidRPr="00F30C3D">
        <w:rPr>
          <w:rFonts w:ascii="Arial" w:eastAsia="Times New Roman" w:hAnsi="Arial" w:cs="Arial"/>
          <w:b/>
          <w:bCs/>
          <w:kern w:val="0"/>
          <w:sz w:val="22"/>
          <w:szCs w:val="22"/>
          <w:lang w:eastAsia="en-GB"/>
          <w14:ligatures w14:val="none"/>
        </w:rPr>
        <w:t>Human Development</w:t>
      </w:r>
      <w:r w:rsidRPr="00F30C3D">
        <w:rPr>
          <w:rFonts w:ascii="Arial" w:eastAsia="Times New Roman" w:hAnsi="Arial" w:cs="Arial"/>
          <w:kern w:val="0"/>
          <w:sz w:val="22"/>
          <w:szCs w:val="22"/>
          <w:lang w:eastAsia="en-GB"/>
          <w14:ligatures w14:val="none"/>
        </w:rPr>
        <w:t xml:space="preserve">, 66(2), pp. 1–15. </w:t>
      </w:r>
      <w:hyperlink r:id="rId11" w:tgtFrame="_new" w:history="1">
        <w:r w:rsidRPr="00F30C3D">
          <w:rPr>
            <w:rFonts w:ascii="Arial" w:eastAsia="Times New Roman" w:hAnsi="Arial" w:cs="Arial"/>
            <w:color w:val="0000FF"/>
            <w:kern w:val="0"/>
            <w:sz w:val="22"/>
            <w:szCs w:val="22"/>
            <w:u w:val="single"/>
            <w:lang w:eastAsia="en-GB"/>
            <w14:ligatures w14:val="none"/>
          </w:rPr>
          <w:t>https://doi.org/10.115</w:t>
        </w:r>
        <w:r w:rsidRPr="00F30C3D">
          <w:rPr>
            <w:rFonts w:ascii="Arial" w:eastAsia="Times New Roman" w:hAnsi="Arial" w:cs="Arial"/>
            <w:color w:val="0000FF"/>
            <w:kern w:val="0"/>
            <w:sz w:val="22"/>
            <w:szCs w:val="22"/>
            <w:u w:val="single"/>
            <w:lang w:eastAsia="en-GB"/>
            <w14:ligatures w14:val="none"/>
          </w:rPr>
          <w:t>9</w:t>
        </w:r>
        <w:r w:rsidRPr="00F30C3D">
          <w:rPr>
            <w:rFonts w:ascii="Arial" w:eastAsia="Times New Roman" w:hAnsi="Arial" w:cs="Arial"/>
            <w:color w:val="0000FF"/>
            <w:kern w:val="0"/>
            <w:sz w:val="22"/>
            <w:szCs w:val="22"/>
            <w:u w:val="single"/>
            <w:lang w:eastAsia="en-GB"/>
            <w14:ligatures w14:val="none"/>
          </w:rPr>
          <w:t>/000524768</w:t>
        </w:r>
      </w:hyperlink>
    </w:p>
    <w:p w14:paraId="296A00F6" w14:textId="77777777" w:rsidR="00F30C3D" w:rsidRPr="00F30C3D" w:rsidRDefault="00F30C3D"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F30C3D">
        <w:rPr>
          <w:rFonts w:ascii="Arial" w:eastAsia="Times New Roman" w:hAnsi="Arial" w:cs="Arial"/>
          <w:kern w:val="0"/>
          <w:sz w:val="22"/>
          <w:szCs w:val="22"/>
          <w:lang w:eastAsia="en-GB"/>
          <w14:ligatures w14:val="none"/>
        </w:rPr>
        <w:t xml:space="preserve">Taormina, R.J. and Gao, J.H. (2021) </w:t>
      </w:r>
      <w:r w:rsidRPr="00F30C3D">
        <w:rPr>
          <w:rFonts w:ascii="Arial" w:eastAsia="Times New Roman" w:hAnsi="Arial" w:cs="Arial"/>
          <w:i/>
          <w:iCs/>
          <w:kern w:val="0"/>
          <w:sz w:val="22"/>
          <w:szCs w:val="22"/>
          <w:lang w:eastAsia="en-GB"/>
          <w14:ligatures w14:val="none"/>
        </w:rPr>
        <w:t>Maslow’s hierarchy of needs: A modern perspective</w:t>
      </w:r>
      <w:r w:rsidRPr="00F30C3D">
        <w:rPr>
          <w:rFonts w:ascii="Arial" w:eastAsia="Times New Roman" w:hAnsi="Arial" w:cs="Arial"/>
          <w:kern w:val="0"/>
          <w:sz w:val="22"/>
          <w:szCs w:val="22"/>
          <w:lang w:eastAsia="en-GB"/>
          <w14:ligatures w14:val="none"/>
        </w:rPr>
        <w:t xml:space="preserve">, </w:t>
      </w:r>
      <w:r w:rsidRPr="00F30C3D">
        <w:rPr>
          <w:rFonts w:ascii="Arial" w:eastAsia="Times New Roman" w:hAnsi="Arial" w:cs="Arial"/>
          <w:b/>
          <w:bCs/>
          <w:kern w:val="0"/>
          <w:sz w:val="22"/>
          <w:szCs w:val="22"/>
          <w:lang w:eastAsia="en-GB"/>
          <w14:ligatures w14:val="none"/>
        </w:rPr>
        <w:t>Journal of Humanistic Psychology</w:t>
      </w:r>
      <w:r w:rsidRPr="00F30C3D">
        <w:rPr>
          <w:rFonts w:ascii="Arial" w:eastAsia="Times New Roman" w:hAnsi="Arial" w:cs="Arial"/>
          <w:kern w:val="0"/>
          <w:sz w:val="22"/>
          <w:szCs w:val="22"/>
          <w:lang w:eastAsia="en-GB"/>
          <w14:ligatures w14:val="none"/>
        </w:rPr>
        <w:t xml:space="preserve">, 61(6), pp. 920–940. </w:t>
      </w:r>
      <w:hyperlink r:id="rId12" w:tgtFrame="_new" w:history="1">
        <w:r w:rsidRPr="00F30C3D">
          <w:rPr>
            <w:rFonts w:ascii="Arial" w:eastAsia="Times New Roman" w:hAnsi="Arial" w:cs="Arial"/>
            <w:color w:val="0000FF"/>
            <w:kern w:val="0"/>
            <w:sz w:val="22"/>
            <w:szCs w:val="22"/>
            <w:u w:val="single"/>
            <w:lang w:eastAsia="en-GB"/>
            <w14:ligatures w14:val="none"/>
          </w:rPr>
          <w:t>https://doi.org/10.1177/00</w:t>
        </w:r>
        <w:r w:rsidRPr="00F30C3D">
          <w:rPr>
            <w:rFonts w:ascii="Arial" w:eastAsia="Times New Roman" w:hAnsi="Arial" w:cs="Arial"/>
            <w:color w:val="0000FF"/>
            <w:kern w:val="0"/>
            <w:sz w:val="22"/>
            <w:szCs w:val="22"/>
            <w:u w:val="single"/>
            <w:lang w:eastAsia="en-GB"/>
            <w14:ligatures w14:val="none"/>
          </w:rPr>
          <w:t>2</w:t>
        </w:r>
        <w:r w:rsidRPr="00F30C3D">
          <w:rPr>
            <w:rFonts w:ascii="Arial" w:eastAsia="Times New Roman" w:hAnsi="Arial" w:cs="Arial"/>
            <w:color w:val="0000FF"/>
            <w:kern w:val="0"/>
            <w:sz w:val="22"/>
            <w:szCs w:val="22"/>
            <w:u w:val="single"/>
            <w:lang w:eastAsia="en-GB"/>
            <w14:ligatures w14:val="none"/>
          </w:rPr>
          <w:t>2167820927585</w:t>
        </w:r>
      </w:hyperlink>
    </w:p>
    <w:p w14:paraId="62B39C4E" w14:textId="77777777" w:rsidR="00F30C3D" w:rsidRPr="00F30C3D" w:rsidRDefault="00F30C3D"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F30C3D">
        <w:rPr>
          <w:rFonts w:ascii="Arial" w:eastAsia="Times New Roman" w:hAnsi="Arial" w:cs="Arial"/>
          <w:kern w:val="0"/>
          <w:sz w:val="22"/>
          <w:szCs w:val="22"/>
          <w:lang w:eastAsia="en-GB"/>
          <w14:ligatures w14:val="none"/>
        </w:rPr>
        <w:t xml:space="preserve">Walden, A. and Feliciano, L. (2022) </w:t>
      </w:r>
      <w:r w:rsidRPr="00F30C3D">
        <w:rPr>
          <w:rFonts w:ascii="Arial" w:eastAsia="Times New Roman" w:hAnsi="Arial" w:cs="Arial"/>
          <w:i/>
          <w:iCs/>
          <w:kern w:val="0"/>
          <w:sz w:val="22"/>
          <w:szCs w:val="22"/>
          <w:lang w:eastAsia="en-GB"/>
          <w14:ligatures w14:val="none"/>
        </w:rPr>
        <w:t>A virtual reality intervention to reduce dementia-related agitation using single-case design</w:t>
      </w:r>
      <w:r w:rsidRPr="00F30C3D">
        <w:rPr>
          <w:rFonts w:ascii="Arial" w:eastAsia="Times New Roman" w:hAnsi="Arial" w:cs="Arial"/>
          <w:kern w:val="0"/>
          <w:sz w:val="22"/>
          <w:szCs w:val="22"/>
          <w:lang w:eastAsia="en-GB"/>
          <w14:ligatures w14:val="none"/>
        </w:rPr>
        <w:t xml:space="preserve">, </w:t>
      </w:r>
      <w:r w:rsidRPr="00F30C3D">
        <w:rPr>
          <w:rFonts w:ascii="Arial" w:eastAsia="Times New Roman" w:hAnsi="Arial" w:cs="Arial"/>
          <w:b/>
          <w:bCs/>
          <w:kern w:val="0"/>
          <w:sz w:val="22"/>
          <w:szCs w:val="22"/>
          <w:lang w:eastAsia="en-GB"/>
          <w14:ligatures w14:val="none"/>
        </w:rPr>
        <w:t>Clinical Gerontologist</w:t>
      </w:r>
      <w:r w:rsidRPr="00F30C3D">
        <w:rPr>
          <w:rFonts w:ascii="Arial" w:eastAsia="Times New Roman" w:hAnsi="Arial" w:cs="Arial"/>
          <w:kern w:val="0"/>
          <w:sz w:val="22"/>
          <w:szCs w:val="22"/>
          <w:lang w:eastAsia="en-GB"/>
          <w14:ligatures w14:val="none"/>
        </w:rPr>
        <w:t xml:space="preserve">, 45(4), pp. 1044–1054. </w:t>
      </w:r>
      <w:hyperlink r:id="rId13" w:tgtFrame="_new" w:history="1">
        <w:r w:rsidRPr="00F30C3D">
          <w:rPr>
            <w:rFonts w:ascii="Arial" w:eastAsia="Times New Roman" w:hAnsi="Arial" w:cs="Arial"/>
            <w:color w:val="0000FF"/>
            <w:kern w:val="0"/>
            <w:sz w:val="22"/>
            <w:szCs w:val="22"/>
            <w:u w:val="single"/>
            <w:lang w:eastAsia="en-GB"/>
            <w14:ligatures w14:val="none"/>
          </w:rPr>
          <w:t>https://doi.org/10.1080/0731</w:t>
        </w:r>
        <w:r w:rsidRPr="00F30C3D">
          <w:rPr>
            <w:rFonts w:ascii="Arial" w:eastAsia="Times New Roman" w:hAnsi="Arial" w:cs="Arial"/>
            <w:color w:val="0000FF"/>
            <w:kern w:val="0"/>
            <w:sz w:val="22"/>
            <w:szCs w:val="22"/>
            <w:u w:val="single"/>
            <w:lang w:eastAsia="en-GB"/>
            <w14:ligatures w14:val="none"/>
          </w:rPr>
          <w:t>7</w:t>
        </w:r>
        <w:r w:rsidRPr="00F30C3D">
          <w:rPr>
            <w:rFonts w:ascii="Arial" w:eastAsia="Times New Roman" w:hAnsi="Arial" w:cs="Arial"/>
            <w:color w:val="0000FF"/>
            <w:kern w:val="0"/>
            <w:sz w:val="22"/>
            <w:szCs w:val="22"/>
            <w:u w:val="single"/>
            <w:lang w:eastAsia="en-GB"/>
            <w14:ligatures w14:val="none"/>
          </w:rPr>
          <w:t>115.2021.1954121</w:t>
        </w:r>
      </w:hyperlink>
    </w:p>
    <w:p w14:paraId="1F804C5B" w14:textId="77777777" w:rsidR="00F30C3D" w:rsidRPr="00F30C3D" w:rsidRDefault="00F30C3D" w:rsidP="00645971">
      <w:pPr>
        <w:spacing w:before="100" w:beforeAutospacing="1" w:after="100" w:afterAutospacing="1" w:line="360" w:lineRule="auto"/>
        <w:rPr>
          <w:rFonts w:ascii="Arial" w:eastAsia="Times New Roman" w:hAnsi="Arial" w:cs="Arial"/>
          <w:kern w:val="0"/>
          <w:sz w:val="22"/>
          <w:szCs w:val="22"/>
          <w:lang w:eastAsia="en-GB"/>
          <w14:ligatures w14:val="none"/>
        </w:rPr>
      </w:pPr>
      <w:r w:rsidRPr="00F30C3D">
        <w:rPr>
          <w:rFonts w:ascii="Arial" w:eastAsia="Times New Roman" w:hAnsi="Arial" w:cs="Arial"/>
          <w:kern w:val="0"/>
          <w:sz w:val="22"/>
          <w:szCs w:val="22"/>
          <w:lang w:eastAsia="en-GB"/>
          <w14:ligatures w14:val="none"/>
        </w:rPr>
        <w:t xml:space="preserve">Zhang, Y. and Park, N. (2023) </w:t>
      </w:r>
      <w:r w:rsidRPr="00F30C3D">
        <w:rPr>
          <w:rFonts w:ascii="Arial" w:eastAsia="Times New Roman" w:hAnsi="Arial" w:cs="Arial"/>
          <w:i/>
          <w:iCs/>
          <w:kern w:val="0"/>
          <w:sz w:val="22"/>
          <w:szCs w:val="22"/>
          <w:lang w:eastAsia="en-GB"/>
          <w14:ligatures w14:val="none"/>
        </w:rPr>
        <w:t>Positive psychology and wellbeing in older adults</w:t>
      </w:r>
      <w:r w:rsidRPr="00F30C3D">
        <w:rPr>
          <w:rFonts w:ascii="Arial" w:eastAsia="Times New Roman" w:hAnsi="Arial" w:cs="Arial"/>
          <w:kern w:val="0"/>
          <w:sz w:val="22"/>
          <w:szCs w:val="22"/>
          <w:lang w:eastAsia="en-GB"/>
          <w14:ligatures w14:val="none"/>
        </w:rPr>
        <w:t xml:space="preserve">, </w:t>
      </w:r>
      <w:r w:rsidRPr="00F30C3D">
        <w:rPr>
          <w:rFonts w:ascii="Arial" w:eastAsia="Times New Roman" w:hAnsi="Arial" w:cs="Arial"/>
          <w:b/>
          <w:bCs/>
          <w:kern w:val="0"/>
          <w:sz w:val="22"/>
          <w:szCs w:val="22"/>
          <w:lang w:eastAsia="en-GB"/>
          <w14:ligatures w14:val="none"/>
        </w:rPr>
        <w:t>The Gerontologist</w:t>
      </w:r>
      <w:r w:rsidRPr="00F30C3D">
        <w:rPr>
          <w:rFonts w:ascii="Arial" w:eastAsia="Times New Roman" w:hAnsi="Arial" w:cs="Arial"/>
          <w:kern w:val="0"/>
          <w:sz w:val="22"/>
          <w:szCs w:val="22"/>
          <w:lang w:eastAsia="en-GB"/>
          <w14:ligatures w14:val="none"/>
        </w:rPr>
        <w:t>, 63(5), pp. 913–921. https://doi.org/10.1093/geront/gnac123</w:t>
      </w:r>
    </w:p>
    <w:p w14:paraId="76F96C78" w14:textId="77777777" w:rsidR="0029710A" w:rsidRPr="00B4117B" w:rsidRDefault="0029710A" w:rsidP="00645971">
      <w:pPr>
        <w:pBdr>
          <w:top w:val="single" w:sz="2" w:space="0" w:color="E6E6E6"/>
          <w:left w:val="single" w:sz="2" w:space="0" w:color="E6E6E6"/>
          <w:bottom w:val="single" w:sz="2" w:space="0" w:color="E6E6E6"/>
          <w:right w:val="single" w:sz="2" w:space="0" w:color="E6E6E6"/>
        </w:pBdr>
        <w:shd w:val="clear" w:color="auto" w:fill="F5F5F5"/>
        <w:spacing w:after="144" w:line="360" w:lineRule="auto"/>
        <w:outlineLvl w:val="2"/>
        <w:rPr>
          <w:rFonts w:ascii="Arial" w:eastAsia="Times New Roman" w:hAnsi="Arial" w:cs="Arial"/>
          <w:b/>
          <w:bCs/>
          <w:color w:val="171717"/>
          <w:kern w:val="0"/>
          <w:sz w:val="22"/>
          <w:szCs w:val="22"/>
          <w:bdr w:val="single" w:sz="2" w:space="0" w:color="E6E6E6" w:frame="1"/>
          <w:lang w:eastAsia="en-GB"/>
          <w14:ligatures w14:val="none"/>
        </w:rPr>
      </w:pPr>
    </w:p>
    <w:p w14:paraId="2E12E362" w14:textId="77777777" w:rsidR="0029710A" w:rsidRPr="00B4117B" w:rsidRDefault="0029710A" w:rsidP="00B4117B">
      <w:pPr>
        <w:pBdr>
          <w:top w:val="single" w:sz="2" w:space="0" w:color="E6E6E6"/>
          <w:left w:val="single" w:sz="2" w:space="0" w:color="E6E6E6"/>
          <w:bottom w:val="single" w:sz="2" w:space="0" w:color="E6E6E6"/>
          <w:right w:val="single" w:sz="2" w:space="0" w:color="E6E6E6"/>
        </w:pBdr>
        <w:shd w:val="clear" w:color="auto" w:fill="F5F5F5"/>
        <w:spacing w:after="144" w:line="360" w:lineRule="auto"/>
        <w:outlineLvl w:val="2"/>
        <w:rPr>
          <w:rFonts w:ascii="Arial" w:eastAsia="Times New Roman" w:hAnsi="Arial" w:cs="Arial"/>
          <w:b/>
          <w:bCs/>
          <w:color w:val="171717"/>
          <w:kern w:val="0"/>
          <w:sz w:val="22"/>
          <w:szCs w:val="22"/>
          <w:bdr w:val="single" w:sz="2" w:space="0" w:color="E6E6E6" w:frame="1"/>
          <w:lang w:eastAsia="en-GB"/>
          <w14:ligatures w14:val="none"/>
        </w:rPr>
      </w:pPr>
    </w:p>
    <w:p w14:paraId="025C0935" w14:textId="77777777" w:rsidR="0029710A" w:rsidRPr="00B4117B" w:rsidRDefault="0029710A" w:rsidP="00B4117B">
      <w:pPr>
        <w:pBdr>
          <w:top w:val="single" w:sz="2" w:space="0" w:color="E6E6E6"/>
          <w:left w:val="single" w:sz="2" w:space="0" w:color="E6E6E6"/>
          <w:bottom w:val="single" w:sz="2" w:space="0" w:color="E6E6E6"/>
          <w:right w:val="single" w:sz="2" w:space="0" w:color="E6E6E6"/>
        </w:pBdr>
        <w:shd w:val="clear" w:color="auto" w:fill="F5F5F5"/>
        <w:spacing w:after="144" w:line="360" w:lineRule="auto"/>
        <w:outlineLvl w:val="2"/>
        <w:rPr>
          <w:rFonts w:ascii="Arial" w:eastAsia="Times New Roman" w:hAnsi="Arial" w:cs="Arial"/>
          <w:b/>
          <w:bCs/>
          <w:color w:val="171717"/>
          <w:kern w:val="0"/>
          <w:sz w:val="22"/>
          <w:szCs w:val="22"/>
          <w:bdr w:val="single" w:sz="2" w:space="0" w:color="E6E6E6" w:frame="1"/>
          <w:lang w:eastAsia="en-GB"/>
          <w14:ligatures w14:val="none"/>
        </w:rPr>
      </w:pPr>
    </w:p>
    <w:p w14:paraId="03AC7659" w14:textId="77777777" w:rsidR="0029710A" w:rsidRPr="00B4117B" w:rsidRDefault="0029710A" w:rsidP="00B4117B">
      <w:pPr>
        <w:pBdr>
          <w:top w:val="single" w:sz="2" w:space="0" w:color="E6E6E6"/>
          <w:left w:val="single" w:sz="2" w:space="0" w:color="E6E6E6"/>
          <w:bottom w:val="single" w:sz="2" w:space="0" w:color="E6E6E6"/>
          <w:right w:val="single" w:sz="2" w:space="0" w:color="E6E6E6"/>
        </w:pBdr>
        <w:shd w:val="clear" w:color="auto" w:fill="F5F5F5"/>
        <w:spacing w:after="144" w:line="360" w:lineRule="auto"/>
        <w:outlineLvl w:val="2"/>
        <w:rPr>
          <w:rFonts w:ascii="Arial" w:eastAsia="Times New Roman" w:hAnsi="Arial" w:cs="Arial"/>
          <w:b/>
          <w:bCs/>
          <w:color w:val="171717"/>
          <w:kern w:val="0"/>
          <w:sz w:val="22"/>
          <w:szCs w:val="22"/>
          <w:bdr w:val="single" w:sz="2" w:space="0" w:color="E6E6E6" w:frame="1"/>
          <w:lang w:eastAsia="en-GB"/>
          <w14:ligatures w14:val="none"/>
        </w:rPr>
      </w:pPr>
    </w:p>
    <w:p w14:paraId="104A0434" w14:textId="55549D6E" w:rsidR="0029710A" w:rsidRPr="00B4117B" w:rsidRDefault="0029710A" w:rsidP="00B4117B">
      <w:pPr>
        <w:pBdr>
          <w:top w:val="single" w:sz="2" w:space="0" w:color="E6E6E6"/>
          <w:left w:val="single" w:sz="2" w:space="0" w:color="E6E6E6"/>
          <w:bottom w:val="single" w:sz="2" w:space="0" w:color="E6E6E6"/>
          <w:right w:val="single" w:sz="2" w:space="0" w:color="E6E6E6"/>
        </w:pBdr>
        <w:shd w:val="clear" w:color="auto" w:fill="F5F5F5"/>
        <w:spacing w:after="144" w:line="360" w:lineRule="auto"/>
        <w:outlineLvl w:val="2"/>
        <w:rPr>
          <w:rFonts w:ascii="Arial" w:hAnsi="Arial" w:cs="Arial"/>
          <w:color w:val="3A3A3A"/>
          <w:sz w:val="22"/>
          <w:szCs w:val="22"/>
          <w:shd w:val="clear" w:color="auto" w:fill="FFFFFF"/>
        </w:rPr>
      </w:pPr>
    </w:p>
    <w:p w14:paraId="700AC31D" w14:textId="77777777" w:rsidR="002B101B" w:rsidRPr="00B4117B" w:rsidRDefault="002B101B" w:rsidP="00B4117B">
      <w:pPr>
        <w:pBdr>
          <w:top w:val="single" w:sz="2" w:space="0" w:color="E6E6E6"/>
          <w:left w:val="single" w:sz="2" w:space="0" w:color="E6E6E6"/>
          <w:bottom w:val="single" w:sz="2" w:space="0" w:color="E6E6E6"/>
          <w:right w:val="single" w:sz="2" w:space="0" w:color="E6E6E6"/>
        </w:pBdr>
        <w:shd w:val="clear" w:color="auto" w:fill="F5F5F5"/>
        <w:spacing w:after="144" w:line="360" w:lineRule="auto"/>
        <w:outlineLvl w:val="2"/>
        <w:rPr>
          <w:rFonts w:ascii="Arial" w:eastAsia="Times New Roman" w:hAnsi="Arial" w:cs="Arial"/>
          <w:b/>
          <w:bCs/>
          <w:color w:val="171717"/>
          <w:kern w:val="0"/>
          <w:sz w:val="22"/>
          <w:szCs w:val="22"/>
          <w:bdr w:val="single" w:sz="2" w:space="0" w:color="E6E6E6" w:frame="1"/>
          <w:lang w:eastAsia="en-GB"/>
          <w14:ligatures w14:val="none"/>
        </w:rPr>
      </w:pPr>
    </w:p>
    <w:sectPr w:rsidR="002B101B" w:rsidRPr="00B411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81BF6"/>
    <w:multiLevelType w:val="multilevel"/>
    <w:tmpl w:val="B2E2F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375300"/>
    <w:multiLevelType w:val="multilevel"/>
    <w:tmpl w:val="E828F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0B45B8"/>
    <w:multiLevelType w:val="multilevel"/>
    <w:tmpl w:val="DEB0A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2F5156"/>
    <w:multiLevelType w:val="multilevel"/>
    <w:tmpl w:val="22A0A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1F3E7E"/>
    <w:multiLevelType w:val="multilevel"/>
    <w:tmpl w:val="72D24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F11AD1"/>
    <w:multiLevelType w:val="multilevel"/>
    <w:tmpl w:val="CE809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43F73D0"/>
    <w:multiLevelType w:val="multilevel"/>
    <w:tmpl w:val="8A960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C5F14B7"/>
    <w:multiLevelType w:val="multilevel"/>
    <w:tmpl w:val="D4929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CE0045"/>
    <w:multiLevelType w:val="multilevel"/>
    <w:tmpl w:val="E7A2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5EC49D0"/>
    <w:multiLevelType w:val="multilevel"/>
    <w:tmpl w:val="FF8AE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23C35E3"/>
    <w:multiLevelType w:val="multilevel"/>
    <w:tmpl w:val="23FCD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2753D44"/>
    <w:multiLevelType w:val="multilevel"/>
    <w:tmpl w:val="41B66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42C0175"/>
    <w:multiLevelType w:val="multilevel"/>
    <w:tmpl w:val="3D266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7D464B4"/>
    <w:multiLevelType w:val="multilevel"/>
    <w:tmpl w:val="40648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25484331">
    <w:abstractNumId w:val="6"/>
  </w:num>
  <w:num w:numId="2" w16cid:durableId="683363187">
    <w:abstractNumId w:val="2"/>
  </w:num>
  <w:num w:numId="3" w16cid:durableId="1400712269">
    <w:abstractNumId w:val="4"/>
  </w:num>
  <w:num w:numId="4" w16cid:durableId="864055449">
    <w:abstractNumId w:val="5"/>
  </w:num>
  <w:num w:numId="5" w16cid:durableId="1817993525">
    <w:abstractNumId w:val="10"/>
  </w:num>
  <w:num w:numId="6" w16cid:durableId="816337152">
    <w:abstractNumId w:val="13"/>
  </w:num>
  <w:num w:numId="7" w16cid:durableId="1414160655">
    <w:abstractNumId w:val="3"/>
  </w:num>
  <w:num w:numId="8" w16cid:durableId="478422507">
    <w:abstractNumId w:val="8"/>
  </w:num>
  <w:num w:numId="9" w16cid:durableId="1063287913">
    <w:abstractNumId w:val="12"/>
  </w:num>
  <w:num w:numId="10" w16cid:durableId="141167977">
    <w:abstractNumId w:val="7"/>
  </w:num>
  <w:num w:numId="11" w16cid:durableId="478226306">
    <w:abstractNumId w:val="11"/>
  </w:num>
  <w:num w:numId="12" w16cid:durableId="1529290427">
    <w:abstractNumId w:val="9"/>
  </w:num>
  <w:num w:numId="13" w16cid:durableId="774331057">
    <w:abstractNumId w:val="1"/>
  </w:num>
  <w:num w:numId="14" w16cid:durableId="53048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DDA"/>
    <w:rsid w:val="000F1E97"/>
    <w:rsid w:val="001825BD"/>
    <w:rsid w:val="00250DDA"/>
    <w:rsid w:val="00267A6C"/>
    <w:rsid w:val="00284A9C"/>
    <w:rsid w:val="0029710A"/>
    <w:rsid w:val="002B101B"/>
    <w:rsid w:val="00403759"/>
    <w:rsid w:val="00517F15"/>
    <w:rsid w:val="005C4C54"/>
    <w:rsid w:val="00645971"/>
    <w:rsid w:val="006D6FD1"/>
    <w:rsid w:val="006F42FA"/>
    <w:rsid w:val="007E7E78"/>
    <w:rsid w:val="00891E42"/>
    <w:rsid w:val="008926CA"/>
    <w:rsid w:val="008A119D"/>
    <w:rsid w:val="00A84A3A"/>
    <w:rsid w:val="00B23A29"/>
    <w:rsid w:val="00B4117B"/>
    <w:rsid w:val="00C5300C"/>
    <w:rsid w:val="00EC3B61"/>
    <w:rsid w:val="00F30C3D"/>
    <w:rsid w:val="00FA2FF4"/>
    <w:rsid w:val="00FC6E97"/>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C8652"/>
  <w15:chartTrackingRefBased/>
  <w15:docId w15:val="{79B1B753-83F3-4BC7-971B-8EBACE628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GB" w:eastAsia="en-US" w:bidi="bn-BD"/>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6CA"/>
  </w:style>
  <w:style w:type="paragraph" w:styleId="Heading1">
    <w:name w:val="heading 1"/>
    <w:basedOn w:val="Normal"/>
    <w:next w:val="Normal"/>
    <w:link w:val="Heading1Char"/>
    <w:uiPriority w:val="9"/>
    <w:qFormat/>
    <w:rsid w:val="00250DDA"/>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250DDA"/>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unhideWhenUsed/>
    <w:qFormat/>
    <w:rsid w:val="00250DDA"/>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250D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0D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0D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0D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0D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0D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DDA"/>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250DDA"/>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rsid w:val="00250DDA"/>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250D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0D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0D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0D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0D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0DDA"/>
    <w:rPr>
      <w:rFonts w:eastAsiaTheme="majorEastAsia" w:cstheme="majorBidi"/>
      <w:color w:val="272727" w:themeColor="text1" w:themeTint="D8"/>
    </w:rPr>
  </w:style>
  <w:style w:type="paragraph" w:styleId="Title">
    <w:name w:val="Title"/>
    <w:basedOn w:val="Normal"/>
    <w:next w:val="Normal"/>
    <w:link w:val="TitleChar"/>
    <w:uiPriority w:val="10"/>
    <w:qFormat/>
    <w:rsid w:val="00250DDA"/>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250DDA"/>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250DDA"/>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250DDA"/>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250DDA"/>
    <w:pPr>
      <w:spacing w:before="160"/>
      <w:jc w:val="center"/>
    </w:pPr>
    <w:rPr>
      <w:i/>
      <w:iCs/>
      <w:color w:val="404040" w:themeColor="text1" w:themeTint="BF"/>
    </w:rPr>
  </w:style>
  <w:style w:type="character" w:customStyle="1" w:styleId="QuoteChar">
    <w:name w:val="Quote Char"/>
    <w:basedOn w:val="DefaultParagraphFont"/>
    <w:link w:val="Quote"/>
    <w:uiPriority w:val="29"/>
    <w:rsid w:val="00250DDA"/>
    <w:rPr>
      <w:i/>
      <w:iCs/>
      <w:color w:val="404040" w:themeColor="text1" w:themeTint="BF"/>
    </w:rPr>
  </w:style>
  <w:style w:type="paragraph" w:styleId="ListParagraph">
    <w:name w:val="List Paragraph"/>
    <w:basedOn w:val="Normal"/>
    <w:uiPriority w:val="34"/>
    <w:qFormat/>
    <w:rsid w:val="00250DDA"/>
    <w:pPr>
      <w:ind w:left="720"/>
      <w:contextualSpacing/>
    </w:pPr>
  </w:style>
  <w:style w:type="character" w:styleId="IntenseEmphasis">
    <w:name w:val="Intense Emphasis"/>
    <w:basedOn w:val="DefaultParagraphFont"/>
    <w:uiPriority w:val="21"/>
    <w:qFormat/>
    <w:rsid w:val="00250DDA"/>
    <w:rPr>
      <w:i/>
      <w:iCs/>
      <w:color w:val="0F4761" w:themeColor="accent1" w:themeShade="BF"/>
    </w:rPr>
  </w:style>
  <w:style w:type="paragraph" w:styleId="IntenseQuote">
    <w:name w:val="Intense Quote"/>
    <w:basedOn w:val="Normal"/>
    <w:next w:val="Normal"/>
    <w:link w:val="IntenseQuoteChar"/>
    <w:uiPriority w:val="30"/>
    <w:qFormat/>
    <w:rsid w:val="00250D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0DDA"/>
    <w:rPr>
      <w:i/>
      <w:iCs/>
      <w:color w:val="0F4761" w:themeColor="accent1" w:themeShade="BF"/>
    </w:rPr>
  </w:style>
  <w:style w:type="character" w:styleId="IntenseReference">
    <w:name w:val="Intense Reference"/>
    <w:basedOn w:val="DefaultParagraphFont"/>
    <w:uiPriority w:val="32"/>
    <w:qFormat/>
    <w:rsid w:val="00250DDA"/>
    <w:rPr>
      <w:b/>
      <w:bCs/>
      <w:smallCaps/>
      <w:color w:val="0F4761" w:themeColor="accent1" w:themeShade="BF"/>
      <w:spacing w:val="5"/>
    </w:rPr>
  </w:style>
  <w:style w:type="paragraph" w:styleId="NoSpacing">
    <w:name w:val="No Spacing"/>
    <w:uiPriority w:val="1"/>
    <w:qFormat/>
    <w:rsid w:val="00FC6E97"/>
    <w:pPr>
      <w:spacing w:after="0" w:line="240" w:lineRule="auto"/>
    </w:pPr>
    <w:rPr>
      <w:color w:val="0E2841" w:themeColor="text2"/>
      <w:kern w:val="0"/>
      <w:sz w:val="20"/>
      <w:szCs w:val="20"/>
      <w:lang w:val="en-US" w:bidi="ar-SA"/>
      <w14:ligatures w14:val="none"/>
    </w:rPr>
  </w:style>
  <w:style w:type="character" w:styleId="Hyperlink">
    <w:name w:val="Hyperlink"/>
    <w:basedOn w:val="DefaultParagraphFont"/>
    <w:uiPriority w:val="99"/>
    <w:unhideWhenUsed/>
    <w:rsid w:val="002B101B"/>
    <w:rPr>
      <w:color w:val="467886" w:themeColor="hyperlink"/>
      <w:u w:val="single"/>
    </w:rPr>
  </w:style>
  <w:style w:type="character" w:styleId="UnresolvedMention">
    <w:name w:val="Unresolved Mention"/>
    <w:basedOn w:val="DefaultParagraphFont"/>
    <w:uiPriority w:val="99"/>
    <w:semiHidden/>
    <w:unhideWhenUsed/>
    <w:rsid w:val="002B101B"/>
    <w:rPr>
      <w:color w:val="605E5C"/>
      <w:shd w:val="clear" w:color="auto" w:fill="E1DFDD"/>
    </w:rPr>
  </w:style>
  <w:style w:type="character" w:styleId="FollowedHyperlink">
    <w:name w:val="FollowedHyperlink"/>
    <w:basedOn w:val="DefaultParagraphFont"/>
    <w:uiPriority w:val="99"/>
    <w:semiHidden/>
    <w:unhideWhenUsed/>
    <w:rsid w:val="00B23A29"/>
    <w:rPr>
      <w:color w:val="96607D" w:themeColor="followedHyperlink"/>
      <w:u w:val="single"/>
    </w:rPr>
  </w:style>
  <w:style w:type="character" w:styleId="Strong">
    <w:name w:val="Strong"/>
    <w:basedOn w:val="DefaultParagraphFont"/>
    <w:uiPriority w:val="22"/>
    <w:qFormat/>
    <w:rsid w:val="008926CA"/>
    <w:rPr>
      <w:b/>
      <w:bCs/>
    </w:rPr>
  </w:style>
  <w:style w:type="character" w:customStyle="1" w:styleId="whitespace-normal">
    <w:name w:val="whitespace-normal"/>
    <w:basedOn w:val="DefaultParagraphFont"/>
    <w:rsid w:val="00C530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gerinurse.2024.10.066" TargetMode="External"/><Relationship Id="rId13" Type="http://schemas.openxmlformats.org/officeDocument/2006/relationships/hyperlink" Target="https://doi.org/10.1080/07317115.2021.1954121" TargetMode="External"/><Relationship Id="rId3" Type="http://schemas.openxmlformats.org/officeDocument/2006/relationships/styles" Target="styles.xml"/><Relationship Id="rId7" Type="http://schemas.openxmlformats.org/officeDocument/2006/relationships/hyperlink" Target="https://doi.org/10.1159/000524768" TargetMode="External"/><Relationship Id="rId12" Type="http://schemas.openxmlformats.org/officeDocument/2006/relationships/hyperlink" Target="https://doi.org/10.1177/002216782092758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doi.org/10.1159/00052476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16/j.jaging.2023.101098" TargetMode="External"/><Relationship Id="rId4" Type="http://schemas.openxmlformats.org/officeDocument/2006/relationships/settings" Target="settings.xml"/><Relationship Id="rId9" Type="http://schemas.openxmlformats.org/officeDocument/2006/relationships/hyperlink" Target="https://doi.org/10.1016/j.gerinurse.2024.10.06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2026-03-23T00:00:00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9</Pages>
  <Words>2139</Words>
  <Characters>12198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Psychology in Health and Social Care</dc:title>
  <dc:subject>Assessment Title : Annotated Bibliography and Report                                                                                                     Lecture’s name:   Dr Helen Pasons</dc:subject>
  <dc:creator>Tahmina Sultana                       Student number: 2431922</dc:creator>
  <cp:keywords/>
  <dc:description/>
  <cp:lastModifiedBy>Tahmina Sultana</cp:lastModifiedBy>
  <cp:revision>1</cp:revision>
  <dcterms:created xsi:type="dcterms:W3CDTF">2026-03-23T10:25:00Z</dcterms:created>
  <dcterms:modified xsi:type="dcterms:W3CDTF">2026-03-24T01:32:00Z</dcterms:modified>
  <cp:category>Module Code: LCHS4010</cp:category>
</cp:coreProperties>
</file>