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326440" w14:textId="77777777" w:rsidR="00BF7C9A" w:rsidRDefault="00BF7C9A" w:rsidP="00BF7C9A">
      <w:pPr>
        <w:pStyle w:val="NormalWeb"/>
        <w:spacing w:before="0" w:beforeAutospacing="0" w:after="0" w:afterAutospacing="0"/>
        <w:ind w:left="-180" w:right="-334"/>
      </w:pPr>
      <w:r>
        <w:rPr>
          <w:noProof/>
        </w:rPr>
        <w:drawing>
          <wp:inline distT="0" distB="0" distL="0" distR="0" wp14:anchorId="5E8291E5" wp14:editId="5223EA89">
            <wp:extent cx="1905000" cy="638175"/>
            <wp:effectExtent l="19050" t="19050" r="19050" b="28575"/>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000" cy="638175"/>
                    </a:xfrm>
                    <a:prstGeom prst="rect">
                      <a:avLst/>
                    </a:prstGeom>
                    <a:noFill/>
                    <a:ln w="19050" cmpd="sng">
                      <a:solidFill>
                        <a:srgbClr val="000000"/>
                      </a:solidFill>
                      <a:miter lim="800000"/>
                      <a:headEnd/>
                      <a:tailEnd/>
                    </a:ln>
                    <a:effectLst/>
                  </pic:spPr>
                </pic:pic>
              </a:graphicData>
            </a:graphic>
          </wp:inline>
        </w:drawing>
      </w:r>
    </w:p>
    <w:p w14:paraId="3D3CAB17" w14:textId="77777777" w:rsidR="00BF7C9A" w:rsidRDefault="00BF7C9A" w:rsidP="00BF7C9A">
      <w:pPr>
        <w:pStyle w:val="NormalWeb"/>
        <w:spacing w:before="0" w:beforeAutospacing="0" w:after="0" w:afterAutospacing="0"/>
        <w:ind w:left="-180" w:right="-334"/>
      </w:pPr>
    </w:p>
    <w:p w14:paraId="5B7C61E7" w14:textId="77777777" w:rsidR="00BF7C9A" w:rsidRDefault="00BF7C9A" w:rsidP="00BF7C9A">
      <w:pPr>
        <w:pStyle w:val="NormalWeb"/>
        <w:spacing w:before="0" w:beforeAutospacing="0" w:after="0" w:afterAutospacing="0"/>
        <w:ind w:left="-180" w:right="-334"/>
      </w:pPr>
    </w:p>
    <w:p w14:paraId="4DC4BEDF" w14:textId="77777777" w:rsidR="00BF7C9A" w:rsidRDefault="00BF7C9A" w:rsidP="00BF7C9A">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0FDB56B1" w14:textId="77777777" w:rsidR="00BF7C9A" w:rsidRPr="00230F35" w:rsidRDefault="00BF7C9A" w:rsidP="00BF7C9A">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6C998A6E" w14:textId="77777777" w:rsidR="00BF7C9A" w:rsidRPr="00230F35" w:rsidRDefault="00BF7C9A" w:rsidP="00BF7C9A">
      <w:pPr>
        <w:rPr>
          <w:rFonts w:ascii="Arial" w:hAnsi="Arial" w:cs="Arial"/>
          <w:sz w:val="28"/>
          <w:szCs w:val="28"/>
          <w:lang w:val="cy-GB"/>
        </w:rPr>
      </w:pPr>
    </w:p>
    <w:p w14:paraId="59609EC3" w14:textId="77777777" w:rsidR="00BF7C9A" w:rsidRDefault="00BF7C9A" w:rsidP="00BF7C9A">
      <w:pPr>
        <w:pStyle w:val="Heading3"/>
        <w:jc w:val="center"/>
        <w:rPr>
          <w:lang w:val="cy-GB"/>
        </w:rPr>
      </w:pPr>
      <w:r>
        <w:rPr>
          <w:lang w:val="cy-GB"/>
        </w:rPr>
        <w:t>THIS SHEET MUST BE THE FIRST PAGE OF THE ASSIGNMENT YOU ARE SUBMITTING  (DO NOT SEND AS A SEPARATE FILE)</w:t>
      </w:r>
    </w:p>
    <w:p w14:paraId="6AB781F8" w14:textId="77777777" w:rsidR="00BF7C9A" w:rsidRDefault="00BF7C9A" w:rsidP="00BF7C9A">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56"/>
        <w:gridCol w:w="412"/>
        <w:gridCol w:w="1485"/>
        <w:gridCol w:w="272"/>
        <w:gridCol w:w="1769"/>
      </w:tblGrid>
      <w:tr w:rsidR="00BF7C9A" w:rsidRPr="00230F35" w14:paraId="6DE80DEE" w14:textId="77777777" w:rsidTr="00093A73">
        <w:trPr>
          <w:trHeight w:val="614"/>
        </w:trPr>
        <w:tc>
          <w:tcPr>
            <w:tcW w:w="8856" w:type="dxa"/>
            <w:gridSpan w:val="5"/>
          </w:tcPr>
          <w:p w14:paraId="1D01ECD9" w14:textId="77777777" w:rsidR="00BF7C9A" w:rsidRPr="00230F35" w:rsidRDefault="00BF7C9A" w:rsidP="00093A73">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BF7C9A" w:rsidRPr="00230F35" w14:paraId="2BA2DE91" w14:textId="77777777" w:rsidTr="00093A73">
        <w:trPr>
          <w:trHeight w:val="718"/>
        </w:trPr>
        <w:tc>
          <w:tcPr>
            <w:tcW w:w="8856" w:type="dxa"/>
            <w:gridSpan w:val="5"/>
          </w:tcPr>
          <w:p w14:paraId="7A6B6023" w14:textId="782E93B9" w:rsidR="00BF7C9A" w:rsidRDefault="00BF7C9A" w:rsidP="00093A7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sidR="007624F9">
              <w:rPr>
                <w:rFonts w:ascii="Arial" w:hAnsi="Arial" w:cs="Arial"/>
                <w:sz w:val="22"/>
                <w:szCs w:val="22"/>
              </w:rPr>
              <w:t xml:space="preserve">     </w:t>
            </w:r>
            <w:r>
              <w:rPr>
                <w:rFonts w:ascii="Arial" w:hAnsi="Arial" w:cs="Arial"/>
                <w:sz w:val="22"/>
                <w:szCs w:val="22"/>
              </w:rPr>
              <w:t>SANDRA HARRISS</w:t>
            </w:r>
          </w:p>
          <w:p w14:paraId="04542883" w14:textId="77777777" w:rsidR="00BF7C9A" w:rsidRPr="00230F35" w:rsidRDefault="00BF7C9A" w:rsidP="00093A73">
            <w:pPr>
              <w:pStyle w:val="NormalWeb"/>
              <w:spacing w:before="0" w:beforeAutospacing="0" w:after="0" w:afterAutospacing="0"/>
              <w:ind w:right="34"/>
              <w:rPr>
                <w:rFonts w:ascii="Arial" w:hAnsi="Arial" w:cs="Arial"/>
                <w:sz w:val="22"/>
                <w:szCs w:val="22"/>
              </w:rPr>
            </w:pPr>
          </w:p>
        </w:tc>
      </w:tr>
      <w:tr w:rsidR="00BF7C9A" w:rsidRPr="00230F35" w14:paraId="73BD5426" w14:textId="77777777" w:rsidTr="00093A73">
        <w:trPr>
          <w:trHeight w:val="849"/>
        </w:trPr>
        <w:tc>
          <w:tcPr>
            <w:tcW w:w="4788" w:type="dxa"/>
          </w:tcPr>
          <w:p w14:paraId="22412443" w14:textId="77777777" w:rsidR="00BF7C9A" w:rsidRPr="00230F35" w:rsidRDefault="00BF7C9A" w:rsidP="00093A7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ab/>
              <w:t>AHHI7001</w:t>
            </w:r>
          </w:p>
          <w:p w14:paraId="3818F209" w14:textId="77777777" w:rsidR="00BF7C9A" w:rsidRPr="00230F35" w:rsidRDefault="00BF7C9A" w:rsidP="00093A73">
            <w:pPr>
              <w:pStyle w:val="NormalWeb"/>
              <w:spacing w:before="0" w:beforeAutospacing="0" w:after="0" w:afterAutospacing="0"/>
              <w:ind w:right="34"/>
              <w:rPr>
                <w:rFonts w:ascii="Arial" w:hAnsi="Arial" w:cs="Arial"/>
                <w:sz w:val="22"/>
                <w:szCs w:val="22"/>
              </w:rPr>
            </w:pPr>
          </w:p>
          <w:p w14:paraId="300A18FD" w14:textId="77777777" w:rsidR="00BF7C9A" w:rsidRDefault="00BF7C9A" w:rsidP="00093A7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RESEARCH METHODOLOGY</w:t>
            </w:r>
          </w:p>
          <w:p w14:paraId="0E6D73F6" w14:textId="77777777" w:rsidR="00BF7C9A" w:rsidRDefault="00BF7C9A" w:rsidP="00093A73">
            <w:pPr>
              <w:pStyle w:val="NormalWeb"/>
              <w:spacing w:before="0" w:beforeAutospacing="0" w:after="0" w:afterAutospacing="0"/>
              <w:ind w:right="34"/>
              <w:rPr>
                <w:rFonts w:ascii="Arial" w:hAnsi="Arial" w:cs="Arial"/>
                <w:sz w:val="22"/>
                <w:szCs w:val="22"/>
              </w:rPr>
            </w:pPr>
          </w:p>
          <w:p w14:paraId="180653E0" w14:textId="77777777" w:rsidR="00BF7C9A" w:rsidRPr="00230F35" w:rsidRDefault="00BF7C9A" w:rsidP="00093A73">
            <w:pPr>
              <w:pStyle w:val="NormalWeb"/>
              <w:spacing w:before="0" w:beforeAutospacing="0" w:after="0" w:afterAutospacing="0"/>
              <w:ind w:right="34"/>
              <w:rPr>
                <w:rFonts w:ascii="Arial" w:hAnsi="Arial" w:cs="Arial"/>
                <w:sz w:val="22"/>
                <w:szCs w:val="22"/>
              </w:rPr>
            </w:pPr>
          </w:p>
        </w:tc>
        <w:tc>
          <w:tcPr>
            <w:tcW w:w="2266" w:type="dxa"/>
            <w:gridSpan w:val="3"/>
          </w:tcPr>
          <w:p w14:paraId="45CC71FF" w14:textId="77777777" w:rsidR="00BF7C9A" w:rsidRDefault="00BF7C9A" w:rsidP="00093A7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4F3E1143" w14:textId="77777777" w:rsidR="00BF7C9A" w:rsidRDefault="00BF7C9A" w:rsidP="00093A73">
            <w:pPr>
              <w:pStyle w:val="NormalWeb"/>
              <w:spacing w:before="0" w:beforeAutospacing="0" w:after="0" w:afterAutospacing="0"/>
              <w:ind w:right="34"/>
              <w:rPr>
                <w:rFonts w:ascii="Arial" w:hAnsi="Arial" w:cs="Arial"/>
                <w:sz w:val="22"/>
                <w:szCs w:val="22"/>
              </w:rPr>
            </w:pPr>
          </w:p>
          <w:p w14:paraId="1B291813" w14:textId="77777777" w:rsidR="00BF7C9A" w:rsidRPr="00230F35" w:rsidRDefault="00BF7C9A" w:rsidP="00093A73">
            <w:pPr>
              <w:pStyle w:val="NormalWeb"/>
              <w:spacing w:before="0" w:beforeAutospacing="0" w:after="0" w:afterAutospacing="0"/>
              <w:ind w:right="34"/>
              <w:rPr>
                <w:rFonts w:ascii="Arial" w:hAnsi="Arial" w:cs="Arial"/>
                <w:sz w:val="22"/>
                <w:szCs w:val="22"/>
              </w:rPr>
            </w:pPr>
            <w:r>
              <w:rPr>
                <w:rFonts w:ascii="Arial" w:hAnsi="Arial" w:cs="Arial"/>
                <w:sz w:val="22"/>
                <w:szCs w:val="22"/>
              </w:rPr>
              <w:t>1402307</w:t>
            </w:r>
          </w:p>
        </w:tc>
        <w:tc>
          <w:tcPr>
            <w:tcW w:w="1802" w:type="dxa"/>
          </w:tcPr>
          <w:p w14:paraId="128D577D" w14:textId="77777777" w:rsidR="00BF7C9A" w:rsidRPr="00230F35" w:rsidRDefault="00BF7C9A" w:rsidP="00093A7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53620DEE" w14:textId="77777777" w:rsidR="00BF7C9A" w:rsidRPr="00230F35" w:rsidRDefault="00BF7C9A" w:rsidP="00093A7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BF7C9A" w:rsidRPr="00230F35" w14:paraId="790A47F4" w14:textId="77777777" w:rsidTr="00093A73">
        <w:trPr>
          <w:trHeight w:val="1139"/>
        </w:trPr>
        <w:tc>
          <w:tcPr>
            <w:tcW w:w="8856" w:type="dxa"/>
            <w:gridSpan w:val="5"/>
          </w:tcPr>
          <w:p w14:paraId="41523D33" w14:textId="7E1993F8" w:rsidR="00BF7C9A" w:rsidRPr="00230F35" w:rsidRDefault="00BF7C9A" w:rsidP="00093A73">
            <w:pPr>
              <w:pStyle w:val="NormalWeb"/>
              <w:spacing w:before="0" w:beforeAutospacing="0" w:after="0" w:afterAutospacing="0"/>
              <w:ind w:right="34"/>
              <w:rPr>
                <w:rFonts w:ascii="Arial" w:hAnsi="Arial" w:cs="Arial"/>
                <w:sz w:val="22"/>
                <w:szCs w:val="22"/>
              </w:rPr>
            </w:pPr>
            <w:r>
              <w:rPr>
                <w:rFonts w:ascii="Arial" w:hAnsi="Arial" w:cs="Arial"/>
                <w:sz w:val="22"/>
                <w:szCs w:val="22"/>
              </w:rPr>
              <w:t>Module tutor:</w:t>
            </w:r>
            <w:r w:rsidR="007624F9">
              <w:rPr>
                <w:rFonts w:ascii="Arial" w:hAnsi="Arial" w:cs="Arial"/>
                <w:sz w:val="22"/>
                <w:szCs w:val="22"/>
              </w:rPr>
              <w:t xml:space="preserve">     </w:t>
            </w:r>
            <w:r>
              <w:rPr>
                <w:rFonts w:ascii="Arial" w:hAnsi="Arial" w:cs="Arial"/>
                <w:sz w:val="22"/>
                <w:szCs w:val="22"/>
              </w:rPr>
              <w:t>JANET BURTON</w:t>
            </w:r>
          </w:p>
          <w:p w14:paraId="0B02B010" w14:textId="77777777" w:rsidR="00BF7C9A" w:rsidRPr="00230F35" w:rsidRDefault="00BF7C9A" w:rsidP="00093A73">
            <w:pPr>
              <w:pStyle w:val="NormalWeb"/>
              <w:spacing w:before="0" w:beforeAutospacing="0" w:after="0" w:afterAutospacing="0"/>
              <w:ind w:right="34"/>
              <w:rPr>
                <w:rFonts w:ascii="Arial" w:hAnsi="Arial" w:cs="Arial"/>
                <w:sz w:val="22"/>
                <w:szCs w:val="22"/>
              </w:rPr>
            </w:pPr>
          </w:p>
          <w:p w14:paraId="012903D3" w14:textId="77777777" w:rsidR="00BF7C9A" w:rsidRDefault="00BF7C9A" w:rsidP="00093A73">
            <w:pPr>
              <w:pStyle w:val="NormalWeb"/>
              <w:spacing w:before="0" w:beforeAutospacing="0" w:after="0" w:afterAutospacing="0"/>
              <w:ind w:right="34"/>
              <w:rPr>
                <w:rFonts w:ascii="Arial" w:hAnsi="Arial" w:cs="Arial"/>
                <w:sz w:val="22"/>
                <w:szCs w:val="22"/>
              </w:rPr>
            </w:pPr>
          </w:p>
          <w:p w14:paraId="1D8456FF" w14:textId="497C9DE7" w:rsidR="00BF7C9A" w:rsidRPr="00230F35" w:rsidRDefault="00BF7C9A" w:rsidP="00093A7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ab/>
              <w:t xml:space="preserve">    3</w:t>
            </w:r>
            <w:r w:rsidR="00F505DE">
              <w:rPr>
                <w:rFonts w:ascii="Arial" w:hAnsi="Arial" w:cs="Arial"/>
                <w:sz w:val="22"/>
                <w:szCs w:val="22"/>
              </w:rPr>
              <w:t>1</w:t>
            </w:r>
            <w:r>
              <w:rPr>
                <w:rFonts w:ascii="Arial" w:hAnsi="Arial" w:cs="Arial"/>
                <w:sz w:val="22"/>
                <w:szCs w:val="22"/>
              </w:rPr>
              <w:t>.08.2018</w:t>
            </w:r>
          </w:p>
        </w:tc>
      </w:tr>
      <w:tr w:rsidR="00BF7C9A" w:rsidRPr="00230F35" w14:paraId="3293FB4F" w14:textId="77777777" w:rsidTr="00093A73">
        <w:trPr>
          <w:trHeight w:val="978"/>
        </w:trPr>
        <w:tc>
          <w:tcPr>
            <w:tcW w:w="8856" w:type="dxa"/>
            <w:gridSpan w:val="5"/>
            <w:tcBorders>
              <w:bottom w:val="single" w:sz="4" w:space="0" w:color="000000"/>
            </w:tcBorders>
          </w:tcPr>
          <w:p w14:paraId="1A7766BF" w14:textId="77777777" w:rsidR="00BF7C9A" w:rsidRDefault="00BF7C9A" w:rsidP="00093A73">
            <w:pPr>
              <w:rPr>
                <w:rFonts w:ascii="Arial" w:hAnsi="Arial" w:cs="Arial"/>
                <w:sz w:val="22"/>
                <w:szCs w:val="22"/>
              </w:rPr>
            </w:pPr>
            <w:r>
              <w:rPr>
                <w:rFonts w:ascii="Arial" w:hAnsi="Arial" w:cs="Arial"/>
                <w:sz w:val="22"/>
                <w:szCs w:val="22"/>
              </w:rPr>
              <w:t>If your module has multiple submissions, please indicate which piece of work this is.</w:t>
            </w:r>
          </w:p>
          <w:p w14:paraId="71AD7C6F" w14:textId="77777777" w:rsidR="00BF7C9A" w:rsidRDefault="00BF7C9A" w:rsidP="00093A73">
            <w:pPr>
              <w:rPr>
                <w:rFonts w:ascii="Arial" w:hAnsi="Arial" w:cs="Arial"/>
                <w:sz w:val="22"/>
                <w:szCs w:val="22"/>
              </w:rPr>
            </w:pPr>
          </w:p>
          <w:p w14:paraId="278BA05E" w14:textId="553E60E0" w:rsidR="00BF7C9A" w:rsidRPr="00230F35" w:rsidRDefault="00BF7C9A" w:rsidP="00093A73">
            <w:pPr>
              <w:rPr>
                <w:rFonts w:ascii="Arial" w:hAnsi="Arial" w:cs="Arial"/>
                <w:sz w:val="22"/>
                <w:szCs w:val="22"/>
              </w:rPr>
            </w:pPr>
            <w:r w:rsidRPr="00230F35">
              <w:rPr>
                <w:rFonts w:ascii="Arial" w:hAnsi="Arial" w:cs="Arial"/>
                <w:sz w:val="22"/>
                <w:szCs w:val="22"/>
              </w:rPr>
              <w:t>1</w:t>
            </w:r>
            <w:r w:rsidRPr="00230F35">
              <w:rPr>
                <w:rFonts w:ascii="Arial" w:hAnsi="Arial" w:cs="Arial"/>
                <w:sz w:val="22"/>
                <w:szCs w:val="22"/>
                <w:vertAlign w:val="superscript"/>
              </w:rPr>
              <w:t xml:space="preserve">st </w:t>
            </w:r>
            <w:r w:rsidRPr="00230F35">
              <w:rPr>
                <w:rFonts w:ascii="Arial" w:hAnsi="Arial" w:cs="Arial"/>
                <w:sz w:val="22"/>
                <w:szCs w:val="22"/>
              </w:rPr>
              <w:fldChar w:fldCharType="begin">
                <w:ffData>
                  <w:name w:val="Check13"/>
                  <w:enabled/>
                  <w:calcOnExit w:val="0"/>
                  <w:checkBox>
                    <w:sizeAuto/>
                    <w:default w:val="0"/>
                  </w:checkBox>
                </w:ffData>
              </w:fldChar>
            </w:r>
            <w:bookmarkStart w:id="0" w:name="Check13"/>
            <w:r w:rsidRPr="00230F35">
              <w:rPr>
                <w:rFonts w:ascii="Arial" w:hAnsi="Arial" w:cs="Arial"/>
                <w:sz w:val="22"/>
                <w:szCs w:val="22"/>
              </w:rPr>
              <w:instrText xml:space="preserve"> FORMCHECKBOX </w:instrText>
            </w:r>
            <w:r w:rsidR="00251E9A">
              <w:rPr>
                <w:rFonts w:ascii="Arial" w:hAnsi="Arial" w:cs="Arial"/>
                <w:sz w:val="22"/>
                <w:szCs w:val="22"/>
              </w:rPr>
            </w:r>
            <w:r w:rsidR="00251E9A">
              <w:rPr>
                <w:rFonts w:ascii="Arial" w:hAnsi="Arial" w:cs="Arial"/>
                <w:sz w:val="22"/>
                <w:szCs w:val="22"/>
              </w:rPr>
              <w:fldChar w:fldCharType="separate"/>
            </w:r>
            <w:r w:rsidRPr="00230F35">
              <w:rPr>
                <w:rFonts w:ascii="Arial" w:hAnsi="Arial" w:cs="Arial"/>
                <w:sz w:val="22"/>
                <w:szCs w:val="22"/>
              </w:rPr>
              <w:fldChar w:fldCharType="end"/>
            </w:r>
            <w:bookmarkEnd w:id="0"/>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Pr="00230F35">
              <w:rPr>
                <w:rFonts w:ascii="Arial" w:hAnsi="Arial" w:cs="Arial"/>
                <w:sz w:val="22"/>
                <w:szCs w:val="22"/>
              </w:rPr>
              <w:fldChar w:fldCharType="begin">
                <w:ffData>
                  <w:name w:val="Check14"/>
                  <w:enabled/>
                  <w:calcOnExit w:val="0"/>
                  <w:checkBox>
                    <w:sizeAuto/>
                    <w:default w:val="0"/>
                  </w:checkBox>
                </w:ffData>
              </w:fldChar>
            </w:r>
            <w:bookmarkStart w:id="1" w:name="Check14"/>
            <w:r w:rsidRPr="00230F35">
              <w:rPr>
                <w:rFonts w:ascii="Arial" w:hAnsi="Arial" w:cs="Arial"/>
                <w:sz w:val="22"/>
                <w:szCs w:val="22"/>
              </w:rPr>
              <w:instrText xml:space="preserve"> FORMCHECKBOX </w:instrText>
            </w:r>
            <w:r w:rsidR="00251E9A">
              <w:rPr>
                <w:rFonts w:ascii="Arial" w:hAnsi="Arial" w:cs="Arial"/>
                <w:sz w:val="22"/>
                <w:szCs w:val="22"/>
              </w:rPr>
            </w:r>
            <w:r w:rsidR="00251E9A">
              <w:rPr>
                <w:rFonts w:ascii="Arial" w:hAnsi="Arial" w:cs="Arial"/>
                <w:sz w:val="22"/>
                <w:szCs w:val="22"/>
              </w:rPr>
              <w:fldChar w:fldCharType="separate"/>
            </w:r>
            <w:r w:rsidRPr="00230F35">
              <w:rPr>
                <w:rFonts w:ascii="Arial" w:hAnsi="Arial" w:cs="Arial"/>
                <w:sz w:val="22"/>
                <w:szCs w:val="22"/>
              </w:rPr>
              <w:fldChar w:fldCharType="end"/>
            </w:r>
            <w:bookmarkEnd w:id="1"/>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2" w:name="Check16"/>
            <w:r w:rsidRPr="00230F35">
              <w:rPr>
                <w:rFonts w:ascii="Arial" w:hAnsi="Arial" w:cs="Arial"/>
                <w:sz w:val="22"/>
                <w:szCs w:val="22"/>
              </w:rPr>
              <w:instrText xml:space="preserve"> FORMCHECKBOX </w:instrText>
            </w:r>
            <w:r w:rsidR="00251E9A">
              <w:rPr>
                <w:rFonts w:ascii="Arial" w:hAnsi="Arial" w:cs="Arial"/>
                <w:sz w:val="22"/>
                <w:szCs w:val="22"/>
              </w:rPr>
            </w:r>
            <w:r w:rsidR="00251E9A">
              <w:rPr>
                <w:rFonts w:ascii="Arial" w:hAnsi="Arial" w:cs="Arial"/>
                <w:sz w:val="22"/>
                <w:szCs w:val="22"/>
              </w:rPr>
              <w:fldChar w:fldCharType="separate"/>
            </w:r>
            <w:r w:rsidRPr="00230F35">
              <w:rPr>
                <w:rFonts w:ascii="Arial" w:hAnsi="Arial" w:cs="Arial"/>
                <w:sz w:val="22"/>
                <w:szCs w:val="22"/>
              </w:rPr>
              <w:fldChar w:fldCharType="end"/>
            </w:r>
            <w:bookmarkEnd w:id="2"/>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184FEE">
              <w:rPr>
                <w:rFonts w:ascii="Arial" w:hAnsi="Arial" w:cs="Arial"/>
                <w:sz w:val="28"/>
                <w:szCs w:val="28"/>
              </w:rPr>
              <w:sym w:font="Wingdings" w:char="F0FC"/>
            </w:r>
            <w:r>
              <w:rPr>
                <w:rFonts w:ascii="Arial" w:hAnsi="Arial" w:cs="Arial"/>
                <w:sz w:val="28"/>
                <w:szCs w:val="28"/>
              </w:rPr>
              <w:t xml:space="preserve">   </w:t>
            </w:r>
            <w:r w:rsidRPr="00230F35">
              <w:rPr>
                <w:rFonts w:ascii="Arial" w:hAnsi="Arial" w:cs="Arial"/>
                <w:sz w:val="22"/>
                <w:szCs w:val="22"/>
              </w:rPr>
              <w:t>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3" w:name="Check17"/>
            <w:r w:rsidRPr="00230F35">
              <w:rPr>
                <w:rFonts w:ascii="Arial" w:hAnsi="Arial" w:cs="Arial"/>
                <w:sz w:val="22"/>
                <w:szCs w:val="22"/>
              </w:rPr>
              <w:instrText xml:space="preserve"> FORMCHECKBOX </w:instrText>
            </w:r>
            <w:r w:rsidR="00251E9A">
              <w:rPr>
                <w:rFonts w:ascii="Arial" w:hAnsi="Arial" w:cs="Arial"/>
                <w:sz w:val="22"/>
                <w:szCs w:val="22"/>
              </w:rPr>
            </w:r>
            <w:r w:rsidR="00251E9A">
              <w:rPr>
                <w:rFonts w:ascii="Arial" w:hAnsi="Arial" w:cs="Arial"/>
                <w:sz w:val="22"/>
                <w:szCs w:val="22"/>
              </w:rPr>
              <w:fldChar w:fldCharType="separate"/>
            </w:r>
            <w:r w:rsidRPr="00230F35">
              <w:rPr>
                <w:rFonts w:ascii="Arial" w:hAnsi="Arial" w:cs="Arial"/>
                <w:sz w:val="22"/>
                <w:szCs w:val="22"/>
              </w:rPr>
              <w:fldChar w:fldCharType="end"/>
            </w:r>
            <w:bookmarkEnd w:id="3"/>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4" w:name="Check18"/>
            <w:r w:rsidRPr="00230F35">
              <w:rPr>
                <w:rFonts w:ascii="Arial" w:hAnsi="Arial" w:cs="Arial"/>
                <w:sz w:val="22"/>
                <w:szCs w:val="22"/>
              </w:rPr>
              <w:instrText xml:space="preserve"> FORMCHECKBOX </w:instrText>
            </w:r>
            <w:r w:rsidR="00251E9A">
              <w:rPr>
                <w:rFonts w:ascii="Arial" w:hAnsi="Arial" w:cs="Arial"/>
                <w:sz w:val="22"/>
                <w:szCs w:val="22"/>
              </w:rPr>
            </w:r>
            <w:r w:rsidR="00251E9A">
              <w:rPr>
                <w:rFonts w:ascii="Arial" w:hAnsi="Arial" w:cs="Arial"/>
                <w:sz w:val="22"/>
                <w:szCs w:val="22"/>
              </w:rPr>
              <w:fldChar w:fldCharType="separate"/>
            </w:r>
            <w:r w:rsidRPr="00230F35">
              <w:rPr>
                <w:rFonts w:ascii="Arial" w:hAnsi="Arial" w:cs="Arial"/>
                <w:sz w:val="22"/>
                <w:szCs w:val="22"/>
              </w:rPr>
              <w:fldChar w:fldCharType="end"/>
            </w:r>
            <w:bookmarkEnd w:id="4"/>
          </w:p>
        </w:tc>
      </w:tr>
      <w:tr w:rsidR="00BF7C9A" w:rsidRPr="00230F35" w14:paraId="6728D5F0" w14:textId="77777777" w:rsidTr="00093A73">
        <w:trPr>
          <w:trHeight w:val="978"/>
        </w:trPr>
        <w:tc>
          <w:tcPr>
            <w:tcW w:w="8856" w:type="dxa"/>
            <w:gridSpan w:val="5"/>
            <w:shd w:val="clear" w:color="auto" w:fill="D9D9D9"/>
          </w:tcPr>
          <w:p w14:paraId="721CD246" w14:textId="77777777" w:rsidR="00BF7C9A" w:rsidRPr="00230F35" w:rsidRDefault="00BF7C9A" w:rsidP="00093A7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56BBB9B2" w14:textId="03DAADB4" w:rsidR="00BF7C9A" w:rsidRDefault="00BF7C9A" w:rsidP="00093A7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Pr>
                <w:rFonts w:ascii="Arial" w:hAnsi="Arial" w:cs="Arial"/>
                <w:sz w:val="22"/>
                <w:szCs w:val="22"/>
              </w:rPr>
              <w:t>SANDRA HARRISS</w:t>
            </w:r>
            <w:r w:rsidRPr="00230F35">
              <w:rPr>
                <w:rFonts w:ascii="Arial" w:hAnsi="Arial" w:cs="Arial"/>
                <w:sz w:val="22"/>
                <w:szCs w:val="22"/>
              </w:rPr>
              <w:t>………………………………</w:t>
            </w:r>
          </w:p>
          <w:p w14:paraId="7ACFBBA6" w14:textId="77777777" w:rsidR="00BF7C9A" w:rsidRDefault="00BF7C9A" w:rsidP="00093A73">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 if you are submitting this form via email, please tick this box </w:t>
            </w:r>
            <w:r w:rsidRPr="00184FEE">
              <w:rPr>
                <w:rFonts w:ascii="Arial" w:hAnsi="Arial" w:cs="Arial"/>
                <w:sz w:val="28"/>
                <w:szCs w:val="28"/>
              </w:rPr>
              <w:sym w:font="Wingdings" w:char="F0FC"/>
            </w:r>
          </w:p>
          <w:p w14:paraId="0E5ED548" w14:textId="77777777" w:rsidR="00BF7C9A" w:rsidRPr="00230F35" w:rsidRDefault="00BF7C9A" w:rsidP="00093A73">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BF7C9A" w:rsidRPr="00230F35" w14:paraId="19E47DD7" w14:textId="77777777" w:rsidTr="00093A73">
        <w:trPr>
          <w:trHeight w:val="3972"/>
        </w:trPr>
        <w:tc>
          <w:tcPr>
            <w:tcW w:w="8856" w:type="dxa"/>
            <w:gridSpan w:val="5"/>
          </w:tcPr>
          <w:p w14:paraId="24A44D87" w14:textId="77777777" w:rsidR="00BF7C9A" w:rsidRDefault="00BF7C9A" w:rsidP="00093A73">
            <w:pPr>
              <w:rPr>
                <w:rFonts w:ascii="Arial" w:hAnsi="Arial"/>
                <w:b/>
              </w:rPr>
            </w:pPr>
          </w:p>
          <w:p w14:paraId="4E3EF8C0" w14:textId="77777777" w:rsidR="00BF7C9A" w:rsidRPr="00116CE6" w:rsidRDefault="00BF7C9A" w:rsidP="00093A73">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90"/>
              <w:gridCol w:w="1578"/>
            </w:tblGrid>
            <w:tr w:rsidR="00BF7C9A" w:rsidRPr="00116CE6" w14:paraId="70775425" w14:textId="77777777" w:rsidTr="00093A73">
              <w:tc>
                <w:tcPr>
                  <w:tcW w:w="6970" w:type="dxa"/>
                </w:tcPr>
                <w:p w14:paraId="60D9CD3E" w14:textId="77777777" w:rsidR="00BF7C9A" w:rsidRPr="00116CE6" w:rsidRDefault="00BF7C9A" w:rsidP="00093A73">
                  <w:pPr>
                    <w:rPr>
                      <w:rFonts w:ascii="Arial" w:hAnsi="Arial"/>
                      <w:sz w:val="20"/>
                      <w:szCs w:val="20"/>
                    </w:rPr>
                  </w:pPr>
                </w:p>
                <w:p w14:paraId="1EA3A828" w14:textId="77777777" w:rsidR="00BF7C9A" w:rsidRPr="00116CE6" w:rsidRDefault="00BF7C9A" w:rsidP="00093A73">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0776B7D6" w14:textId="77777777" w:rsidR="00BF7C9A" w:rsidRPr="00116CE6" w:rsidRDefault="00BF7C9A" w:rsidP="00093A73">
                  <w:pPr>
                    <w:rPr>
                      <w:rFonts w:ascii="Arial" w:hAnsi="Arial"/>
                      <w:sz w:val="20"/>
                      <w:szCs w:val="20"/>
                    </w:rPr>
                  </w:pPr>
                </w:p>
              </w:tc>
            </w:tr>
            <w:tr w:rsidR="00BF7C9A" w:rsidRPr="00116CE6" w14:paraId="32A60C92" w14:textId="77777777" w:rsidTr="00093A73">
              <w:tc>
                <w:tcPr>
                  <w:tcW w:w="6970" w:type="dxa"/>
                </w:tcPr>
                <w:p w14:paraId="2CE4139E" w14:textId="77777777" w:rsidR="00BF7C9A" w:rsidRPr="00116CE6" w:rsidRDefault="00BF7C9A" w:rsidP="00093A73">
                  <w:pPr>
                    <w:rPr>
                      <w:rFonts w:ascii="Arial" w:hAnsi="Arial"/>
                      <w:sz w:val="20"/>
                      <w:szCs w:val="20"/>
                    </w:rPr>
                  </w:pPr>
                </w:p>
                <w:p w14:paraId="44D157C2" w14:textId="77777777" w:rsidR="00BF7C9A" w:rsidRPr="00116CE6" w:rsidRDefault="00BF7C9A" w:rsidP="00093A73">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2E2092A2" w14:textId="77777777" w:rsidR="00BF7C9A" w:rsidRPr="00116CE6" w:rsidRDefault="00BF7C9A" w:rsidP="00093A73">
                  <w:pPr>
                    <w:rPr>
                      <w:rFonts w:ascii="Arial" w:hAnsi="Arial"/>
                      <w:sz w:val="20"/>
                      <w:szCs w:val="20"/>
                    </w:rPr>
                  </w:pPr>
                </w:p>
              </w:tc>
            </w:tr>
            <w:tr w:rsidR="00BF7C9A" w:rsidRPr="00116CE6" w14:paraId="33382E04" w14:textId="77777777" w:rsidTr="00093A73">
              <w:tc>
                <w:tcPr>
                  <w:tcW w:w="6970" w:type="dxa"/>
                </w:tcPr>
                <w:p w14:paraId="273D0DF7" w14:textId="77777777" w:rsidR="00BF7C9A" w:rsidRPr="00116CE6" w:rsidRDefault="00BF7C9A" w:rsidP="00093A73">
                  <w:pPr>
                    <w:rPr>
                      <w:rFonts w:ascii="Arial" w:hAnsi="Arial"/>
                      <w:sz w:val="20"/>
                      <w:szCs w:val="20"/>
                    </w:rPr>
                  </w:pPr>
                </w:p>
                <w:p w14:paraId="6C4D76CC" w14:textId="77777777" w:rsidR="00BF7C9A" w:rsidRPr="00116CE6" w:rsidRDefault="00BF7C9A" w:rsidP="00093A73">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72D3678B" w14:textId="77777777" w:rsidR="00BF7C9A" w:rsidRPr="00116CE6" w:rsidRDefault="00BF7C9A" w:rsidP="00093A73">
                  <w:pPr>
                    <w:rPr>
                      <w:rFonts w:ascii="Arial" w:hAnsi="Arial"/>
                      <w:sz w:val="20"/>
                      <w:szCs w:val="20"/>
                    </w:rPr>
                  </w:pPr>
                </w:p>
              </w:tc>
            </w:tr>
            <w:tr w:rsidR="00BF7C9A" w:rsidRPr="00116CE6" w14:paraId="1E3E6B0B" w14:textId="77777777" w:rsidTr="00093A73">
              <w:tc>
                <w:tcPr>
                  <w:tcW w:w="6970" w:type="dxa"/>
                </w:tcPr>
                <w:p w14:paraId="0D4A264C" w14:textId="77777777" w:rsidR="00BF7C9A" w:rsidRDefault="00BF7C9A" w:rsidP="00093A73">
                  <w:pPr>
                    <w:rPr>
                      <w:rFonts w:ascii="Arial" w:hAnsi="Arial"/>
                      <w:sz w:val="20"/>
                      <w:szCs w:val="20"/>
                    </w:rPr>
                  </w:pPr>
                </w:p>
                <w:p w14:paraId="70ABF917" w14:textId="77777777" w:rsidR="00BF7C9A" w:rsidRPr="00022345" w:rsidRDefault="00BF7C9A" w:rsidP="00093A73">
                  <w:pPr>
                    <w:rPr>
                      <w:rFonts w:ascii="Arial" w:hAnsi="Arial"/>
                      <w:b/>
                      <w:sz w:val="20"/>
                      <w:szCs w:val="20"/>
                    </w:rPr>
                  </w:pPr>
                  <w:r w:rsidRPr="00022345">
                    <w:rPr>
                      <w:rFonts w:ascii="Arial" w:hAnsi="Arial"/>
                      <w:b/>
                      <w:sz w:val="20"/>
                      <w:szCs w:val="20"/>
                    </w:rPr>
                    <w:t>Final Mark</w:t>
                  </w:r>
                </w:p>
                <w:p w14:paraId="107FCC23" w14:textId="77777777" w:rsidR="00BF7C9A" w:rsidRPr="00116CE6" w:rsidRDefault="00BF7C9A" w:rsidP="00093A73">
                  <w:pPr>
                    <w:rPr>
                      <w:rFonts w:ascii="Arial" w:hAnsi="Arial"/>
                      <w:sz w:val="20"/>
                      <w:szCs w:val="20"/>
                    </w:rPr>
                  </w:pPr>
                </w:p>
              </w:tc>
              <w:tc>
                <w:tcPr>
                  <w:tcW w:w="1660" w:type="dxa"/>
                </w:tcPr>
                <w:p w14:paraId="11C71A08" w14:textId="77777777" w:rsidR="00BF7C9A" w:rsidRPr="00116CE6" w:rsidRDefault="00BF7C9A" w:rsidP="00093A73">
                  <w:pPr>
                    <w:rPr>
                      <w:rFonts w:ascii="Arial" w:hAnsi="Arial"/>
                      <w:sz w:val="20"/>
                      <w:szCs w:val="20"/>
                    </w:rPr>
                  </w:pPr>
                </w:p>
              </w:tc>
            </w:tr>
          </w:tbl>
          <w:p w14:paraId="5B9D3912" w14:textId="77777777" w:rsidR="00BF7C9A" w:rsidRDefault="00BF7C9A" w:rsidP="00093A73">
            <w:pPr>
              <w:pStyle w:val="NormalWeb"/>
              <w:spacing w:before="0" w:beforeAutospacing="0" w:after="0" w:afterAutospacing="0"/>
              <w:ind w:left="142" w:right="34"/>
              <w:rPr>
                <w:rFonts w:ascii="Arial" w:hAnsi="Arial" w:cs="Arial"/>
                <w:b/>
                <w:sz w:val="22"/>
                <w:szCs w:val="22"/>
              </w:rPr>
            </w:pPr>
          </w:p>
          <w:p w14:paraId="39A34A98" w14:textId="77777777" w:rsidR="00BF7C9A" w:rsidRPr="00230F35" w:rsidRDefault="00BF7C9A" w:rsidP="00093A73">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48718801" w14:textId="77777777" w:rsidR="00BF7C9A" w:rsidRDefault="00BF7C9A" w:rsidP="00093A73">
            <w:pPr>
              <w:pStyle w:val="NormalWeb"/>
              <w:spacing w:before="0" w:beforeAutospacing="0" w:after="0" w:afterAutospacing="0"/>
              <w:rPr>
                <w:rFonts w:ascii="Arial" w:hAnsi="Arial" w:cs="Arial"/>
                <w:b/>
                <w:sz w:val="22"/>
                <w:szCs w:val="22"/>
              </w:rPr>
            </w:pPr>
          </w:p>
          <w:p w14:paraId="467B5F96" w14:textId="77777777" w:rsidR="00BF7C9A" w:rsidRDefault="00BF7C9A" w:rsidP="00093A73">
            <w:pPr>
              <w:pStyle w:val="NormalWeb"/>
              <w:spacing w:before="0" w:beforeAutospacing="0" w:after="0" w:afterAutospacing="0"/>
              <w:rPr>
                <w:rFonts w:ascii="Arial" w:hAnsi="Arial" w:cs="Arial"/>
                <w:b/>
                <w:sz w:val="22"/>
                <w:szCs w:val="22"/>
              </w:rPr>
            </w:pPr>
          </w:p>
          <w:p w14:paraId="060ED370" w14:textId="77777777" w:rsidR="00BF7C9A" w:rsidRDefault="00BF7C9A" w:rsidP="00093A73">
            <w:pPr>
              <w:pStyle w:val="NormalWeb"/>
              <w:spacing w:before="0" w:beforeAutospacing="0" w:after="0" w:afterAutospacing="0"/>
              <w:rPr>
                <w:rFonts w:ascii="Arial" w:hAnsi="Arial" w:cs="Arial"/>
                <w:b/>
                <w:sz w:val="22"/>
                <w:szCs w:val="22"/>
              </w:rPr>
            </w:pPr>
          </w:p>
          <w:p w14:paraId="01D23048" w14:textId="77777777" w:rsidR="00BF7C9A" w:rsidRDefault="00BF7C9A" w:rsidP="00093A73">
            <w:pPr>
              <w:pStyle w:val="NormalWeb"/>
              <w:spacing w:before="0" w:beforeAutospacing="0" w:after="0" w:afterAutospacing="0"/>
              <w:rPr>
                <w:rFonts w:ascii="Arial" w:hAnsi="Arial" w:cs="Arial"/>
                <w:b/>
                <w:sz w:val="22"/>
                <w:szCs w:val="22"/>
              </w:rPr>
            </w:pPr>
          </w:p>
          <w:p w14:paraId="7792DD4B" w14:textId="77777777" w:rsidR="00BF7C9A" w:rsidRDefault="00BF7C9A" w:rsidP="00093A73">
            <w:pPr>
              <w:pStyle w:val="NormalWeb"/>
              <w:spacing w:before="0" w:beforeAutospacing="0" w:after="0" w:afterAutospacing="0"/>
              <w:rPr>
                <w:rFonts w:ascii="Arial" w:hAnsi="Arial" w:cs="Arial"/>
                <w:b/>
                <w:sz w:val="22"/>
                <w:szCs w:val="22"/>
              </w:rPr>
            </w:pPr>
          </w:p>
          <w:p w14:paraId="58408DB8" w14:textId="77777777" w:rsidR="00BF7C9A" w:rsidRPr="00230F35" w:rsidRDefault="00BF7C9A" w:rsidP="00093A73">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14:paraId="3F89A5FC" w14:textId="77777777" w:rsidR="00BF7C9A" w:rsidRDefault="00BF7C9A" w:rsidP="00093A73">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1EB17BBB" w14:textId="77777777" w:rsidR="00BF7C9A" w:rsidRPr="00001C3B" w:rsidRDefault="00BF7C9A" w:rsidP="00093A73">
            <w:pPr>
              <w:pStyle w:val="NormalWeb"/>
              <w:rPr>
                <w:rFonts w:ascii="Arial" w:hAnsi="Arial" w:cs="Arial"/>
                <w:sz w:val="22"/>
                <w:szCs w:val="22"/>
              </w:rPr>
            </w:pPr>
          </w:p>
        </w:tc>
      </w:tr>
      <w:tr w:rsidR="00BF7C9A" w:rsidRPr="00230F35" w14:paraId="7301E7B7" w14:textId="77777777" w:rsidTr="00093A73">
        <w:trPr>
          <w:trHeight w:val="492"/>
        </w:trPr>
        <w:tc>
          <w:tcPr>
            <w:tcW w:w="6768" w:type="dxa"/>
            <w:gridSpan w:val="3"/>
          </w:tcPr>
          <w:p w14:paraId="6DBC70D4" w14:textId="77777777" w:rsidR="00BF7C9A" w:rsidRPr="00230F35" w:rsidRDefault="00BF7C9A" w:rsidP="00093A73">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7141590B" w14:textId="77777777" w:rsidR="00BF7C9A" w:rsidRPr="00230F35" w:rsidRDefault="00BF7C9A" w:rsidP="00093A73">
            <w:pPr>
              <w:pStyle w:val="NormalWeb"/>
              <w:spacing w:after="0"/>
              <w:ind w:left="142" w:right="34"/>
              <w:rPr>
                <w:rFonts w:ascii="Arial" w:hAnsi="Arial" w:cs="Arial"/>
                <w:sz w:val="22"/>
                <w:szCs w:val="22"/>
              </w:rPr>
            </w:pPr>
            <w:r w:rsidRPr="00230F35">
              <w:rPr>
                <w:rFonts w:ascii="Arial" w:hAnsi="Arial" w:cs="Arial"/>
                <w:sz w:val="22"/>
                <w:szCs w:val="22"/>
              </w:rPr>
              <w:t>Date:</w:t>
            </w:r>
          </w:p>
        </w:tc>
      </w:tr>
      <w:tr w:rsidR="00BF7C9A" w:rsidRPr="002F467C" w14:paraId="77C5B115" w14:textId="77777777" w:rsidTr="00093A73">
        <w:tc>
          <w:tcPr>
            <w:tcW w:w="8856" w:type="dxa"/>
            <w:gridSpan w:val="5"/>
          </w:tcPr>
          <w:p w14:paraId="2B2346E7" w14:textId="77777777" w:rsidR="00BF7C9A" w:rsidRPr="00230F35" w:rsidRDefault="00BF7C9A" w:rsidP="00093A73">
            <w:pPr>
              <w:pStyle w:val="NormalWeb"/>
              <w:spacing w:before="0" w:beforeAutospacing="0" w:after="0" w:afterAutospacing="0"/>
              <w:ind w:right="-334"/>
              <w:rPr>
                <w:rFonts w:ascii="Arial" w:hAnsi="Arial" w:cs="Arial"/>
                <w:bCs/>
                <w:i/>
                <w:sz w:val="22"/>
                <w:szCs w:val="22"/>
              </w:rPr>
            </w:pPr>
          </w:p>
          <w:p w14:paraId="0363C34B" w14:textId="77777777" w:rsidR="00BF7C9A" w:rsidRPr="00230F35" w:rsidRDefault="00BF7C9A" w:rsidP="00093A73">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2547D0A4" w14:textId="77777777" w:rsidR="00BF7C9A" w:rsidRPr="00230F35" w:rsidRDefault="00BF7C9A" w:rsidP="00093A73">
            <w:pPr>
              <w:pStyle w:val="NormalWeb"/>
              <w:spacing w:before="0" w:beforeAutospacing="0" w:after="0" w:afterAutospacing="0"/>
              <w:ind w:right="-334"/>
              <w:rPr>
                <w:rFonts w:ascii="Arial" w:hAnsi="Arial" w:cs="Arial"/>
                <w:b/>
                <w:bCs/>
                <w:sz w:val="22"/>
                <w:szCs w:val="22"/>
              </w:rPr>
            </w:pPr>
          </w:p>
          <w:p w14:paraId="4F1BE67D" w14:textId="77777777" w:rsidR="00BF7C9A" w:rsidRPr="00230F35" w:rsidRDefault="00BF7C9A" w:rsidP="00093A73">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7C662B1D" w14:textId="77777777" w:rsidR="00BF7C9A" w:rsidRPr="00230F35" w:rsidRDefault="00BF7C9A" w:rsidP="00093A73">
            <w:pPr>
              <w:pStyle w:val="NormalWeb"/>
              <w:spacing w:before="0" w:beforeAutospacing="0" w:after="0" w:afterAutospacing="0"/>
              <w:ind w:right="-334"/>
              <w:rPr>
                <w:rFonts w:ascii="Arial" w:hAnsi="Arial" w:cs="Arial"/>
                <w:bCs/>
                <w:sz w:val="22"/>
                <w:szCs w:val="22"/>
              </w:rPr>
            </w:pPr>
          </w:p>
          <w:p w14:paraId="7690F257" w14:textId="77777777" w:rsidR="00BF7C9A" w:rsidRPr="00230F35" w:rsidRDefault="00BF7C9A" w:rsidP="00093A73">
            <w:pPr>
              <w:pStyle w:val="NormalWeb"/>
              <w:spacing w:before="0" w:beforeAutospacing="0" w:after="0" w:afterAutospacing="0"/>
              <w:ind w:right="-334"/>
              <w:rPr>
                <w:rFonts w:ascii="Arial" w:hAnsi="Arial" w:cs="Arial"/>
                <w:bCs/>
                <w:sz w:val="22"/>
                <w:szCs w:val="22"/>
              </w:rPr>
            </w:pPr>
          </w:p>
          <w:p w14:paraId="31ADE8B8" w14:textId="77777777" w:rsidR="00BF7C9A" w:rsidRPr="00230F35" w:rsidRDefault="00BF7C9A" w:rsidP="00093A73">
            <w:pPr>
              <w:pStyle w:val="NormalWeb"/>
              <w:spacing w:before="0" w:beforeAutospacing="0" w:after="0" w:afterAutospacing="0"/>
              <w:ind w:right="-334"/>
              <w:rPr>
                <w:rFonts w:ascii="Arial" w:hAnsi="Arial" w:cs="Arial"/>
                <w:bCs/>
                <w:sz w:val="22"/>
                <w:szCs w:val="22"/>
              </w:rPr>
            </w:pPr>
          </w:p>
        </w:tc>
      </w:tr>
      <w:tr w:rsidR="00BF7C9A" w:rsidRPr="002F467C" w14:paraId="2426311B" w14:textId="77777777" w:rsidTr="00093A73">
        <w:trPr>
          <w:trHeight w:val="720"/>
        </w:trPr>
        <w:tc>
          <w:tcPr>
            <w:tcW w:w="5211" w:type="dxa"/>
            <w:gridSpan w:val="2"/>
          </w:tcPr>
          <w:p w14:paraId="76277573" w14:textId="77777777" w:rsidR="00BF7C9A" w:rsidRPr="00230F35" w:rsidRDefault="00BF7C9A" w:rsidP="00093A73">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62D1C2AC" w14:textId="77777777" w:rsidR="00BF7C9A" w:rsidRPr="00230F35" w:rsidRDefault="00BF7C9A" w:rsidP="00093A73">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BF7C9A" w:rsidRPr="002F467C" w14:paraId="40D0BB67" w14:textId="77777777" w:rsidTr="00093A73">
        <w:trPr>
          <w:trHeight w:val="720"/>
        </w:trPr>
        <w:tc>
          <w:tcPr>
            <w:tcW w:w="8856" w:type="dxa"/>
            <w:gridSpan w:val="5"/>
          </w:tcPr>
          <w:p w14:paraId="68368C82" w14:textId="77777777" w:rsidR="00BF7C9A" w:rsidRPr="00B34964" w:rsidRDefault="00BF7C9A" w:rsidP="00093A73">
            <w:pPr>
              <w:rPr>
                <w:rFonts w:ascii="Arial" w:hAnsi="Arial" w:cs="Arial"/>
                <w:b/>
                <w:sz w:val="22"/>
                <w:szCs w:val="22"/>
              </w:rPr>
            </w:pPr>
            <w:r w:rsidRPr="00B34964">
              <w:rPr>
                <w:rFonts w:ascii="Arial" w:hAnsi="Arial" w:cs="Arial"/>
                <w:b/>
                <w:sz w:val="22"/>
                <w:szCs w:val="22"/>
              </w:rPr>
              <w:t>External Examiner’s comments (if relevant)</w:t>
            </w:r>
          </w:p>
          <w:p w14:paraId="0FB93DCF" w14:textId="77777777" w:rsidR="00BF7C9A" w:rsidRPr="00230F35" w:rsidRDefault="00BF7C9A" w:rsidP="00093A73">
            <w:pPr>
              <w:pStyle w:val="NormalWeb"/>
              <w:spacing w:before="0" w:beforeAutospacing="0" w:after="0" w:afterAutospacing="0"/>
              <w:ind w:right="-334"/>
              <w:rPr>
                <w:rFonts w:ascii="Arial" w:hAnsi="Arial" w:cs="Arial"/>
                <w:bCs/>
                <w:sz w:val="22"/>
                <w:szCs w:val="22"/>
              </w:rPr>
            </w:pPr>
          </w:p>
          <w:p w14:paraId="5084D4DD" w14:textId="77777777" w:rsidR="00BF7C9A" w:rsidRPr="00230F35" w:rsidRDefault="00BF7C9A" w:rsidP="00093A73">
            <w:pPr>
              <w:pStyle w:val="NormalWeb"/>
              <w:spacing w:before="0" w:beforeAutospacing="0" w:after="0" w:afterAutospacing="0"/>
              <w:ind w:right="-334"/>
              <w:rPr>
                <w:rFonts w:ascii="Arial" w:hAnsi="Arial" w:cs="Arial"/>
                <w:bCs/>
                <w:sz w:val="22"/>
                <w:szCs w:val="22"/>
              </w:rPr>
            </w:pPr>
          </w:p>
          <w:p w14:paraId="12E6F1A3" w14:textId="77777777" w:rsidR="00BF7C9A" w:rsidRPr="00230F35" w:rsidRDefault="00BF7C9A" w:rsidP="00093A73">
            <w:pPr>
              <w:pStyle w:val="NormalWeb"/>
              <w:spacing w:before="0" w:beforeAutospacing="0" w:after="0" w:afterAutospacing="0"/>
              <w:ind w:right="-334"/>
              <w:rPr>
                <w:rFonts w:ascii="Arial" w:hAnsi="Arial" w:cs="Arial"/>
                <w:bCs/>
                <w:sz w:val="22"/>
                <w:szCs w:val="22"/>
              </w:rPr>
            </w:pPr>
          </w:p>
        </w:tc>
      </w:tr>
      <w:tr w:rsidR="00BF7C9A" w:rsidRPr="002F467C" w14:paraId="72633D29" w14:textId="77777777" w:rsidTr="00093A73">
        <w:trPr>
          <w:trHeight w:val="720"/>
        </w:trPr>
        <w:tc>
          <w:tcPr>
            <w:tcW w:w="5211" w:type="dxa"/>
            <w:gridSpan w:val="2"/>
          </w:tcPr>
          <w:p w14:paraId="22B2394F" w14:textId="77777777" w:rsidR="00BF7C9A" w:rsidRPr="00230F35" w:rsidRDefault="00BF7C9A" w:rsidP="00093A73">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14:paraId="2A4D4BD7" w14:textId="77777777" w:rsidR="00BF7C9A" w:rsidRPr="00230F35" w:rsidRDefault="00BF7C9A" w:rsidP="00093A73">
            <w:pPr>
              <w:rPr>
                <w:rFonts w:ascii="Arial" w:hAnsi="Arial" w:cs="Arial"/>
                <w:sz w:val="22"/>
                <w:szCs w:val="22"/>
              </w:rPr>
            </w:pPr>
            <w:r w:rsidRPr="00230F35">
              <w:rPr>
                <w:rFonts w:ascii="Arial" w:hAnsi="Arial" w:cs="Arial"/>
                <w:sz w:val="22"/>
                <w:szCs w:val="22"/>
              </w:rPr>
              <w:t>Date:</w:t>
            </w:r>
          </w:p>
        </w:tc>
      </w:tr>
    </w:tbl>
    <w:p w14:paraId="642E47BA" w14:textId="77777777" w:rsidR="00BF7C9A" w:rsidRDefault="00BF7C9A" w:rsidP="00BF7C9A">
      <w:pPr>
        <w:jc w:val="both"/>
      </w:pPr>
    </w:p>
    <w:p w14:paraId="22B51D51" w14:textId="46E97CA2" w:rsidR="00BF7C9A" w:rsidRDefault="00BF7C9A">
      <w:pPr>
        <w:spacing w:after="160" w:line="259" w:lineRule="auto"/>
      </w:pPr>
      <w:r>
        <w:br w:type="page"/>
      </w:r>
    </w:p>
    <w:p w14:paraId="7696FDA7" w14:textId="0EFD33B3" w:rsidR="00D017B0" w:rsidRPr="00FF3475" w:rsidRDefault="00D017B0" w:rsidP="00001B71">
      <w:pPr>
        <w:spacing w:line="360" w:lineRule="auto"/>
        <w:contextualSpacing/>
        <w:jc w:val="both"/>
      </w:pPr>
      <w:r w:rsidRPr="00FF3475">
        <w:lastRenderedPageBreak/>
        <w:t>Battle of Hastings, 14 October 1066</w:t>
      </w:r>
    </w:p>
    <w:p w14:paraId="74F5F2A8" w14:textId="19DD340B" w:rsidR="00D017B0" w:rsidRPr="00FF3475" w:rsidRDefault="00D017B0" w:rsidP="00001B71">
      <w:pPr>
        <w:spacing w:line="360" w:lineRule="auto"/>
        <w:contextualSpacing/>
        <w:jc w:val="both"/>
      </w:pPr>
      <w:r w:rsidRPr="00FF3475">
        <w:t>______________________________________________________________________</w:t>
      </w:r>
    </w:p>
    <w:p w14:paraId="203D057D" w14:textId="77777777" w:rsidR="00D017B0" w:rsidRPr="00FF3475" w:rsidRDefault="00D017B0" w:rsidP="00001B71">
      <w:pPr>
        <w:spacing w:line="360" w:lineRule="auto"/>
        <w:contextualSpacing/>
        <w:jc w:val="both"/>
      </w:pPr>
    </w:p>
    <w:p w14:paraId="005465F2" w14:textId="511366F2" w:rsidR="000449BA" w:rsidRDefault="00886944" w:rsidP="00001B71">
      <w:pPr>
        <w:spacing w:line="360" w:lineRule="auto"/>
        <w:jc w:val="both"/>
      </w:pPr>
      <w:r w:rsidRPr="00FF3475">
        <w:t xml:space="preserve">Medieval chroniclers </w:t>
      </w:r>
      <w:r w:rsidR="004D2218" w:rsidRPr="00FF3475">
        <w:t xml:space="preserve">relied on </w:t>
      </w:r>
      <w:r w:rsidR="002C524E" w:rsidRPr="00FF3475">
        <w:t xml:space="preserve">oral and </w:t>
      </w:r>
      <w:r w:rsidR="003C475C" w:rsidRPr="00FF3475">
        <w:t xml:space="preserve">eye-witness </w:t>
      </w:r>
      <w:r w:rsidR="00FA69F7" w:rsidRPr="00FF3475">
        <w:t>accounts</w:t>
      </w:r>
      <w:r w:rsidR="003C475C" w:rsidRPr="00FF3475">
        <w:t xml:space="preserve">, their own </w:t>
      </w:r>
      <w:r w:rsidR="00F055A9" w:rsidRPr="00FF3475">
        <w:t>recollections</w:t>
      </w:r>
      <w:r w:rsidR="003C475C" w:rsidRPr="00FF3475">
        <w:t xml:space="preserve"> and written sources</w:t>
      </w:r>
      <w:r w:rsidR="00323D83" w:rsidRPr="00FF3475">
        <w:t xml:space="preserve">. This </w:t>
      </w:r>
      <w:r w:rsidR="00F43BAC" w:rsidRPr="00FF3475">
        <w:t xml:space="preserve">meant that </w:t>
      </w:r>
      <w:r w:rsidR="005E102B" w:rsidRPr="00FF3475">
        <w:t xml:space="preserve">sometimes </w:t>
      </w:r>
      <w:r w:rsidR="00F43BAC" w:rsidRPr="00FF3475">
        <w:t xml:space="preserve">incorrect information </w:t>
      </w:r>
      <w:r w:rsidR="002C524E" w:rsidRPr="00FF3475">
        <w:t>was</w:t>
      </w:r>
      <w:r w:rsidR="00F43BAC" w:rsidRPr="00FF3475">
        <w:t xml:space="preserve"> unwittingly</w:t>
      </w:r>
      <w:r w:rsidR="003D6541" w:rsidRPr="00FF3475">
        <w:t xml:space="preserve"> </w:t>
      </w:r>
      <w:r w:rsidR="00F43BAC" w:rsidRPr="00FF3475">
        <w:t xml:space="preserve">taken as fact. </w:t>
      </w:r>
      <w:r w:rsidR="00B012F4" w:rsidRPr="00FF3475">
        <w:t xml:space="preserve">Lay chroniclers were unusual as the </w:t>
      </w:r>
      <w:r w:rsidR="00B673FA" w:rsidRPr="00FF3475">
        <w:t>majority were in monastic orders</w:t>
      </w:r>
      <w:r w:rsidR="00FA69F7" w:rsidRPr="00FF3475">
        <w:t>.</w:t>
      </w:r>
      <w:r w:rsidR="00D33A51" w:rsidRPr="00FF3475">
        <w:t xml:space="preserve"> </w:t>
      </w:r>
      <w:r w:rsidR="00A677D5" w:rsidRPr="00FF3475">
        <w:t>A</w:t>
      </w:r>
      <w:r w:rsidR="005F41D3" w:rsidRPr="00FF3475">
        <w:t>cademic</w:t>
      </w:r>
      <w:r w:rsidR="0083155D" w:rsidRPr="00FF3475">
        <w:t>s</w:t>
      </w:r>
      <w:r w:rsidR="005F41D3" w:rsidRPr="00FF3475">
        <w:t xml:space="preserve"> </w:t>
      </w:r>
      <w:r w:rsidR="007C3565" w:rsidRPr="00FF3475">
        <w:t xml:space="preserve">debate </w:t>
      </w:r>
      <w:r w:rsidR="009B2191" w:rsidRPr="00FF3475">
        <w:t>on who is more reliable or whose work offers more value</w:t>
      </w:r>
      <w:r w:rsidR="007664C1" w:rsidRPr="00FF3475">
        <w:t>,</w:t>
      </w:r>
      <w:r w:rsidR="007664C1" w:rsidRPr="00FF3475">
        <w:rPr>
          <w:rStyle w:val="FootnoteReference"/>
        </w:rPr>
        <w:footnoteReference w:id="1"/>
      </w:r>
      <w:r w:rsidR="007664C1" w:rsidRPr="00FF3475">
        <w:t xml:space="preserve"> but a</w:t>
      </w:r>
      <w:r w:rsidR="00026B83" w:rsidRPr="00FF3475">
        <w:t xml:space="preserve">ll these </w:t>
      </w:r>
      <w:r w:rsidR="00D017B0" w:rsidRPr="00FF3475">
        <w:t>chronicles</w:t>
      </w:r>
      <w:r w:rsidR="00026B83" w:rsidRPr="00FF3475">
        <w:t xml:space="preserve"> have historical value </w:t>
      </w:r>
      <w:r w:rsidR="0000458D" w:rsidRPr="00FF3475">
        <w:t>in their own right</w:t>
      </w:r>
      <w:r w:rsidR="00FC4C49" w:rsidRPr="00FF3475">
        <w:t>,</w:t>
      </w:r>
      <w:r w:rsidR="0000458D" w:rsidRPr="00FF3475">
        <w:t xml:space="preserve"> </w:t>
      </w:r>
      <w:r w:rsidR="00A14814" w:rsidRPr="00FF3475">
        <w:t>even</w:t>
      </w:r>
      <w:r w:rsidR="005E102B" w:rsidRPr="00FF3475">
        <w:t xml:space="preserve"> </w:t>
      </w:r>
      <w:r w:rsidR="00A14814" w:rsidRPr="00FF3475">
        <w:t>though</w:t>
      </w:r>
      <w:r w:rsidR="00F64565" w:rsidRPr="00FF3475">
        <w:t xml:space="preserve"> </w:t>
      </w:r>
      <w:r w:rsidR="00D33A51" w:rsidRPr="00FF3475">
        <w:t>the</w:t>
      </w:r>
      <w:r w:rsidR="004F7AF4" w:rsidRPr="00FF3475">
        <w:t xml:space="preserve"> authors</w:t>
      </w:r>
      <w:r w:rsidR="00D33A51" w:rsidRPr="00FF3475">
        <w:t xml:space="preserve"> were commissioned for various reasons and </w:t>
      </w:r>
      <w:r w:rsidR="004F7AF4" w:rsidRPr="00FF3475">
        <w:t>held</w:t>
      </w:r>
      <w:r w:rsidR="00D33A51" w:rsidRPr="00FF3475">
        <w:t xml:space="preserve"> their own bias</w:t>
      </w:r>
      <w:r w:rsidR="00FD20D9" w:rsidRPr="00FF3475">
        <w:t>.</w:t>
      </w:r>
    </w:p>
    <w:p w14:paraId="70612D66" w14:textId="77777777" w:rsidR="006A639C" w:rsidRPr="00FF3475" w:rsidRDefault="006A639C" w:rsidP="00001B71">
      <w:pPr>
        <w:spacing w:line="360" w:lineRule="auto"/>
        <w:jc w:val="both"/>
      </w:pPr>
    </w:p>
    <w:p w14:paraId="53F1F2A3" w14:textId="62A326E6" w:rsidR="00D017B0" w:rsidRPr="00FF3475" w:rsidRDefault="00D017B0" w:rsidP="00001B71">
      <w:pPr>
        <w:spacing w:line="360" w:lineRule="auto"/>
        <w:jc w:val="both"/>
        <w:rPr>
          <w:b/>
          <w:i/>
        </w:rPr>
      </w:pPr>
      <w:r w:rsidRPr="00FF3475">
        <w:rPr>
          <w:b/>
          <w:i/>
          <w:smallCaps/>
        </w:rPr>
        <w:t>Anglo-Saxon Chronicles</w:t>
      </w:r>
      <w:r w:rsidR="00A87642" w:rsidRPr="00FF3475">
        <w:rPr>
          <w:b/>
          <w:i/>
          <w:smallCaps/>
        </w:rPr>
        <w:t xml:space="preserve">: </w:t>
      </w:r>
      <w:r w:rsidRPr="00FF3475">
        <w:rPr>
          <w:b/>
          <w:i/>
        </w:rPr>
        <w:t>various monastic authors</w:t>
      </w:r>
    </w:p>
    <w:p w14:paraId="3A0150DB" w14:textId="38C4FD32" w:rsidR="003307D5" w:rsidRDefault="00E07B14" w:rsidP="006A639C">
      <w:pPr>
        <w:spacing w:line="360" w:lineRule="auto"/>
        <w:jc w:val="both"/>
      </w:pPr>
      <w:r w:rsidRPr="00FF3475">
        <w:t xml:space="preserve">Covering the period </w:t>
      </w:r>
      <w:r w:rsidR="00D017B0" w:rsidRPr="00FF3475">
        <w:t>494 to 1154,</w:t>
      </w:r>
      <w:r w:rsidR="00D017B0" w:rsidRPr="00FF3475">
        <w:rPr>
          <w:rStyle w:val="FootnoteReference"/>
        </w:rPr>
        <w:footnoteReference w:id="2"/>
      </w:r>
      <w:r w:rsidR="00D017B0" w:rsidRPr="00FF3475">
        <w:t xml:space="preserve"> </w:t>
      </w:r>
      <w:r w:rsidR="00DD6117" w:rsidRPr="00FF3475">
        <w:t xml:space="preserve">these chronicles </w:t>
      </w:r>
      <w:r w:rsidR="00D017B0" w:rsidRPr="00FF3475">
        <w:t>are the first historical accounts of a group of people written in their own language</w:t>
      </w:r>
      <w:r w:rsidR="00AB4CF0" w:rsidRPr="00FF3475">
        <w:t>.</w:t>
      </w:r>
      <w:r w:rsidR="00D017B0" w:rsidRPr="00FF3475">
        <w:rPr>
          <w:rStyle w:val="FootnoteReference"/>
        </w:rPr>
        <w:footnoteReference w:id="3"/>
      </w:r>
      <w:r w:rsidR="00AB4CF0" w:rsidRPr="00FF3475">
        <w:t xml:space="preserve"> Written by anonymous </w:t>
      </w:r>
      <w:r w:rsidR="00B1671F" w:rsidRPr="00FF3475">
        <w:t>authors</w:t>
      </w:r>
      <w:r w:rsidR="00AB4CF0" w:rsidRPr="00FF3475">
        <w:t>, the entries are localised to reflect regional interests and concerns.</w:t>
      </w:r>
      <w:r w:rsidR="00AB4CF0" w:rsidRPr="00FF3475">
        <w:rPr>
          <w:rStyle w:val="FootnoteReference"/>
        </w:rPr>
        <w:footnoteReference w:id="4"/>
      </w:r>
      <w:r w:rsidR="0049133B" w:rsidRPr="00FF3475">
        <w:t xml:space="preserve"> </w:t>
      </w:r>
      <w:r w:rsidR="00C21E14" w:rsidRPr="00FF3475">
        <w:t xml:space="preserve">In a period when dated written </w:t>
      </w:r>
      <w:r w:rsidR="002241C7" w:rsidRPr="00FF3475">
        <w:t xml:space="preserve">accounts </w:t>
      </w:r>
      <w:r w:rsidR="008E528B" w:rsidRPr="00FF3475">
        <w:t>were</w:t>
      </w:r>
      <w:r w:rsidR="002241C7" w:rsidRPr="00FF3475">
        <w:t xml:space="preserve"> </w:t>
      </w:r>
      <w:r w:rsidR="00D91E9A" w:rsidRPr="00FF3475">
        <w:t xml:space="preserve">quite </w:t>
      </w:r>
      <w:r w:rsidR="002241C7" w:rsidRPr="00FF3475">
        <w:t xml:space="preserve">rare, these chronicles are </w:t>
      </w:r>
      <w:r w:rsidR="008E528B" w:rsidRPr="00FF3475">
        <w:t>p</w:t>
      </w:r>
      <w:r w:rsidR="00DD6117" w:rsidRPr="00FF3475">
        <w:t>ossibly the most important English version of 1066.</w:t>
      </w:r>
    </w:p>
    <w:p w14:paraId="783227D3" w14:textId="77777777" w:rsidR="00214D89" w:rsidRPr="00FF3475" w:rsidRDefault="00214D89" w:rsidP="006A639C">
      <w:pPr>
        <w:spacing w:line="360" w:lineRule="auto"/>
        <w:jc w:val="both"/>
      </w:pPr>
    </w:p>
    <w:p w14:paraId="5BF23EE5" w14:textId="77777777" w:rsidR="008B3B49" w:rsidRPr="00FF3475" w:rsidRDefault="008B3B49" w:rsidP="00001B71">
      <w:pPr>
        <w:spacing w:line="360" w:lineRule="auto"/>
        <w:jc w:val="both"/>
      </w:pPr>
      <w:r w:rsidRPr="00FF3475">
        <w:rPr>
          <w:b/>
          <w:i/>
          <w:smallCaps/>
        </w:rPr>
        <w:t xml:space="preserve">Carmen de Hastingae Proelio: </w:t>
      </w:r>
      <w:r w:rsidRPr="00FF3475">
        <w:rPr>
          <w:b/>
          <w:i/>
        </w:rPr>
        <w:t>possibly Guy, bishop of Amiens</w:t>
      </w:r>
    </w:p>
    <w:p w14:paraId="7763BEE4" w14:textId="77777777" w:rsidR="008B3B49" w:rsidRPr="00FF3475" w:rsidRDefault="008B3B49" w:rsidP="00001B71">
      <w:pPr>
        <w:spacing w:line="360" w:lineRule="auto"/>
        <w:jc w:val="both"/>
      </w:pPr>
      <w:r w:rsidRPr="00FF3475">
        <w:t>A Latin poem describing the battle in detail. Some academics credit Guy writing before 11 May 1068,</w:t>
      </w:r>
      <w:r w:rsidRPr="00FF3475">
        <w:rPr>
          <w:rStyle w:val="FootnoteReference"/>
        </w:rPr>
        <w:footnoteReference w:id="5"/>
      </w:r>
      <w:r w:rsidRPr="00FF3475">
        <w:t xml:space="preserve"> while others propose a much later date by an unknown author. If 1068 is correct, the </w:t>
      </w:r>
      <w:r w:rsidRPr="00FF3475">
        <w:rPr>
          <w:i/>
        </w:rPr>
        <w:t xml:space="preserve">Carmen </w:t>
      </w:r>
      <w:r w:rsidRPr="00FF3475">
        <w:t>is the earliest account of the battle and thus an invaluable contemporary source.</w:t>
      </w:r>
      <w:r w:rsidRPr="00FF3475">
        <w:rPr>
          <w:rStyle w:val="FootnoteReference"/>
        </w:rPr>
        <w:footnoteReference w:id="6"/>
      </w:r>
      <w:r w:rsidRPr="00FF3475">
        <w:t xml:space="preserve"> Advocates of Guy claim the </w:t>
      </w:r>
      <w:r w:rsidRPr="00FF3475">
        <w:rPr>
          <w:i/>
        </w:rPr>
        <w:t>Carmen</w:t>
      </w:r>
      <w:r w:rsidRPr="00FF3475">
        <w:t xml:space="preserve"> is more detailed than the </w:t>
      </w:r>
      <w:r w:rsidRPr="00FF3475">
        <w:rPr>
          <w:i/>
        </w:rPr>
        <w:t xml:space="preserve">Gesta Normannorum Ducum, </w:t>
      </w:r>
      <w:r w:rsidRPr="00FF3475">
        <w:t xml:space="preserve">more honest and reliable than the </w:t>
      </w:r>
      <w:r w:rsidRPr="00FF3475">
        <w:rPr>
          <w:i/>
        </w:rPr>
        <w:t xml:space="preserve">Gesta Guillelmi </w:t>
      </w:r>
      <w:r w:rsidRPr="00FF3475">
        <w:t>and more precise than the Bayeux Tapestry.</w:t>
      </w:r>
      <w:r w:rsidRPr="00FF3475">
        <w:rPr>
          <w:rStyle w:val="FootnoteReference"/>
        </w:rPr>
        <w:footnoteReference w:id="7"/>
      </w:r>
    </w:p>
    <w:p w14:paraId="613F7ED9" w14:textId="77777777" w:rsidR="008B3B49" w:rsidRPr="00FF3475" w:rsidRDefault="008B3B49" w:rsidP="00001B71">
      <w:pPr>
        <w:spacing w:after="160" w:line="360" w:lineRule="auto"/>
        <w:jc w:val="both"/>
      </w:pPr>
    </w:p>
    <w:p w14:paraId="5F87B57A" w14:textId="77777777" w:rsidR="003307D5" w:rsidRPr="00FF3475" w:rsidRDefault="003307D5" w:rsidP="00001B71">
      <w:pPr>
        <w:spacing w:line="360" w:lineRule="auto"/>
        <w:jc w:val="both"/>
      </w:pPr>
      <w:r w:rsidRPr="00FF3475">
        <w:rPr>
          <w:b/>
          <w:i/>
          <w:smallCaps/>
        </w:rPr>
        <w:lastRenderedPageBreak/>
        <w:t xml:space="preserve">Gesta Normannorum Ducum: </w:t>
      </w:r>
      <w:r w:rsidRPr="00FF3475">
        <w:rPr>
          <w:b/>
          <w:i/>
        </w:rPr>
        <w:t>William of Jumièges</w:t>
      </w:r>
    </w:p>
    <w:p w14:paraId="66622397" w14:textId="7BADAEC5" w:rsidR="003307D5" w:rsidRDefault="003307D5" w:rsidP="00214D89">
      <w:pPr>
        <w:spacing w:line="360" w:lineRule="auto"/>
        <w:jc w:val="both"/>
      </w:pPr>
      <w:r w:rsidRPr="00FF3475">
        <w:t xml:space="preserve">William began revising Dudo of Saint-Quentin’s </w:t>
      </w:r>
      <w:r w:rsidRPr="00FF3475">
        <w:rPr>
          <w:i/>
        </w:rPr>
        <w:t>De moribus</w:t>
      </w:r>
      <w:r w:rsidRPr="00FF3475">
        <w:t xml:space="preserve"> in the 1050s, and within four years after the battle, extended his work up to the 1070s. Thus, the </w:t>
      </w:r>
      <w:r w:rsidRPr="00FF3475">
        <w:rPr>
          <w:i/>
        </w:rPr>
        <w:t>Gesta</w:t>
      </w:r>
      <w:r w:rsidRPr="00FF3475">
        <w:t xml:space="preserve"> is possibly the earliest </w:t>
      </w:r>
      <w:r w:rsidR="00507469" w:rsidRPr="00FF3475">
        <w:t xml:space="preserve">Norman </w:t>
      </w:r>
      <w:r w:rsidRPr="00FF3475">
        <w:t>account of the Conquest.</w:t>
      </w:r>
      <w:r w:rsidRPr="00FF3475">
        <w:rPr>
          <w:rStyle w:val="FootnoteReference"/>
        </w:rPr>
        <w:footnoteReference w:id="8"/>
      </w:r>
      <w:r w:rsidRPr="00FF3475">
        <w:t xml:space="preserve"> It was later redacted by many authors, most notably Orderic Vitalis between c.1109 and c.1113 and Robert of Torigni in the late 1130s.</w:t>
      </w:r>
      <w:r w:rsidRPr="00FF3475">
        <w:rPr>
          <w:rStyle w:val="FootnoteReference"/>
        </w:rPr>
        <w:footnoteReference w:id="9"/>
      </w:r>
      <w:r w:rsidRPr="00FF3475">
        <w:t xml:space="preserve"> William’s narrative holds value as his position at Jumièges meant he was well informed.</w:t>
      </w:r>
      <w:r w:rsidRPr="00FF3475">
        <w:rPr>
          <w:rStyle w:val="FootnoteReference"/>
        </w:rPr>
        <w:footnoteReference w:id="10"/>
      </w:r>
    </w:p>
    <w:p w14:paraId="5116AC2F" w14:textId="77777777" w:rsidR="00214D89" w:rsidRPr="00FF3475" w:rsidRDefault="00214D89" w:rsidP="00214D89">
      <w:pPr>
        <w:spacing w:line="360" w:lineRule="auto"/>
        <w:jc w:val="both"/>
      </w:pPr>
    </w:p>
    <w:p w14:paraId="53C80C9C" w14:textId="77777777" w:rsidR="00F874C1" w:rsidRPr="00FF3475" w:rsidRDefault="00F874C1" w:rsidP="00001B71">
      <w:pPr>
        <w:spacing w:line="360" w:lineRule="auto"/>
        <w:jc w:val="both"/>
      </w:pPr>
      <w:r w:rsidRPr="00FF3475">
        <w:rPr>
          <w:b/>
          <w:i/>
          <w:smallCaps/>
        </w:rPr>
        <w:t>Adalae Comitissae:</w:t>
      </w:r>
      <w:r w:rsidRPr="00FF3475">
        <w:rPr>
          <w:b/>
          <w:i/>
        </w:rPr>
        <w:t xml:space="preserve"> Baudri, abbot of Bourgeuil </w:t>
      </w:r>
    </w:p>
    <w:p w14:paraId="1FD4B1AF" w14:textId="5C69021B" w:rsidR="008B3B49" w:rsidRDefault="00F874C1" w:rsidP="00001B71">
      <w:pPr>
        <w:spacing w:line="360" w:lineRule="auto"/>
        <w:jc w:val="both"/>
      </w:pPr>
      <w:r w:rsidRPr="00FF3475">
        <w:t>A poem dedicated to Adele, daughter of William I. Possibly written between 1099 and 1102, the poem’s focus is on a wall hanging in Adele’s chamber that describes the conquest in great detail. There is debate as to whether this poem lends value to the date of the Bayeux Tapestry; if it does, it is the earliest record and of great significance to the events of 1066.</w:t>
      </w:r>
      <w:r w:rsidRPr="00FF3475">
        <w:rPr>
          <w:rStyle w:val="FootnoteReference"/>
        </w:rPr>
        <w:footnoteReference w:id="11"/>
      </w:r>
    </w:p>
    <w:p w14:paraId="43829A67" w14:textId="77777777" w:rsidR="00214D89" w:rsidRPr="00214D89" w:rsidRDefault="00214D89" w:rsidP="00001B71">
      <w:pPr>
        <w:spacing w:line="360" w:lineRule="auto"/>
        <w:jc w:val="both"/>
      </w:pPr>
    </w:p>
    <w:p w14:paraId="06663E1C" w14:textId="4A970CD9" w:rsidR="008B3B49" w:rsidRPr="00FF3475" w:rsidRDefault="008B3B49" w:rsidP="00001B71">
      <w:pPr>
        <w:spacing w:line="360" w:lineRule="auto"/>
        <w:jc w:val="both"/>
        <w:rPr>
          <w:b/>
          <w:i/>
        </w:rPr>
      </w:pPr>
      <w:r w:rsidRPr="00FF3475">
        <w:rPr>
          <w:b/>
          <w:i/>
          <w:smallCaps/>
        </w:rPr>
        <w:t>Gesta Regum Anglorum:</w:t>
      </w:r>
      <w:r w:rsidRPr="00FF3475">
        <w:rPr>
          <w:smallCaps/>
        </w:rPr>
        <w:t xml:space="preserve"> </w:t>
      </w:r>
      <w:r w:rsidRPr="00FF3475">
        <w:rPr>
          <w:b/>
          <w:i/>
        </w:rPr>
        <w:t>William of Malmesbury</w:t>
      </w:r>
    </w:p>
    <w:p w14:paraId="1B6972FF" w14:textId="77777777" w:rsidR="008B3B49" w:rsidRPr="00FF3475" w:rsidRDefault="008B3B49" w:rsidP="00001B71">
      <w:pPr>
        <w:spacing w:line="360" w:lineRule="auto"/>
        <w:jc w:val="both"/>
      </w:pPr>
      <w:r w:rsidRPr="00FF3475">
        <w:t>‘The deeds of the Kings of the English People’ covers the 449 conquest of England to 1125.</w:t>
      </w:r>
      <w:r w:rsidRPr="00FF3475">
        <w:rPr>
          <w:rStyle w:val="FootnoteReference"/>
        </w:rPr>
        <w:footnoteReference w:id="12"/>
      </w:r>
      <w:r w:rsidRPr="00FF3475">
        <w:t xml:space="preserve"> William says that out of the love for his country and through the encouragement of influential friends, he felt the need to fill in the historical gaps left by earlier chroniclers.</w:t>
      </w:r>
      <w:r w:rsidRPr="00FF3475">
        <w:rPr>
          <w:rStyle w:val="FootnoteReference"/>
        </w:rPr>
        <w:footnoteReference w:id="13"/>
      </w:r>
      <w:r w:rsidRPr="00FF3475">
        <w:t xml:space="preserve"> He assures the reader that as an Anglo-Norman, he proposes to ‘keep a middle path.’</w:t>
      </w:r>
      <w:r w:rsidRPr="00FF3475">
        <w:rPr>
          <w:rStyle w:val="FootnoteReference"/>
        </w:rPr>
        <w:footnoteReference w:id="14"/>
      </w:r>
      <w:r w:rsidRPr="00FF3475">
        <w:t xml:space="preserve"> There is however always bias, and the title is an indication that William wrote from an English point of view.</w:t>
      </w:r>
      <w:r w:rsidRPr="00FF3475">
        <w:rPr>
          <w:rStyle w:val="FootnoteReference"/>
        </w:rPr>
        <w:footnoteReference w:id="15"/>
      </w:r>
    </w:p>
    <w:p w14:paraId="324AE67B" w14:textId="77777777" w:rsidR="008B3B49" w:rsidRPr="00FF3475" w:rsidRDefault="008B3B49" w:rsidP="00001B71">
      <w:pPr>
        <w:spacing w:line="360" w:lineRule="auto"/>
        <w:jc w:val="both"/>
      </w:pPr>
      <w:r w:rsidRPr="00FF3475">
        <w:rPr>
          <w:b/>
          <w:i/>
          <w:smallCaps/>
        </w:rPr>
        <w:lastRenderedPageBreak/>
        <w:t xml:space="preserve">L’Estoire de Engleis: </w:t>
      </w:r>
      <w:r w:rsidRPr="00FF3475">
        <w:rPr>
          <w:b/>
          <w:i/>
        </w:rPr>
        <w:t>Geoffrey Gaimar</w:t>
      </w:r>
    </w:p>
    <w:p w14:paraId="43B5BB29" w14:textId="53F98B8A" w:rsidR="006A639C" w:rsidRDefault="008B3B49" w:rsidP="00001B71">
      <w:pPr>
        <w:spacing w:line="360" w:lineRule="auto"/>
        <w:jc w:val="both"/>
      </w:pPr>
      <w:r w:rsidRPr="00FF3475">
        <w:t>Very little is known about the Lancashire clergyman and historians differ over the date of his work.</w:t>
      </w:r>
      <w:r w:rsidRPr="00FF3475">
        <w:rPr>
          <w:rStyle w:val="FootnoteReference"/>
        </w:rPr>
        <w:footnoteReference w:id="16"/>
      </w:r>
      <w:r w:rsidRPr="00FF3475">
        <w:t xml:space="preserve"> He seemed ambivalent about the invasion and saw 1066 more as a union than a conquest.</w:t>
      </w:r>
      <w:r w:rsidRPr="00FF3475">
        <w:rPr>
          <w:rStyle w:val="FootnoteReference"/>
        </w:rPr>
        <w:footnoteReference w:id="17"/>
      </w:r>
      <w:r w:rsidRPr="00FF3475">
        <w:t xml:space="preserve"> Gaimar wrote an entertaining romantic history that catered for the way his lay audience wished to view past events.</w:t>
      </w:r>
      <w:r w:rsidRPr="00FF3475">
        <w:rPr>
          <w:rStyle w:val="FootnoteReference"/>
        </w:rPr>
        <w:footnoteReference w:id="18"/>
      </w:r>
    </w:p>
    <w:p w14:paraId="276B1DFA" w14:textId="77777777" w:rsidR="00214D89" w:rsidRPr="006A639C" w:rsidRDefault="00214D89" w:rsidP="00001B71">
      <w:pPr>
        <w:spacing w:line="360" w:lineRule="auto"/>
        <w:jc w:val="both"/>
      </w:pPr>
    </w:p>
    <w:p w14:paraId="7AD8B583" w14:textId="7490733D" w:rsidR="00D017B0" w:rsidRPr="00FF3475" w:rsidRDefault="00D017B0" w:rsidP="00001B71">
      <w:pPr>
        <w:spacing w:line="360" w:lineRule="auto"/>
        <w:jc w:val="both"/>
      </w:pPr>
      <w:r w:rsidRPr="00FF3475">
        <w:rPr>
          <w:b/>
          <w:i/>
          <w:smallCaps/>
        </w:rPr>
        <w:t>Historia Anglorum</w:t>
      </w:r>
      <w:r w:rsidR="00564C32" w:rsidRPr="00FF3475">
        <w:rPr>
          <w:b/>
          <w:i/>
          <w:smallCaps/>
        </w:rPr>
        <w:t>:</w:t>
      </w:r>
      <w:r w:rsidRPr="00FF3475">
        <w:rPr>
          <w:b/>
          <w:i/>
          <w:smallCaps/>
        </w:rPr>
        <w:t xml:space="preserve"> </w:t>
      </w:r>
      <w:r w:rsidRPr="00FF3475">
        <w:rPr>
          <w:b/>
          <w:i/>
        </w:rPr>
        <w:t>Henry, archdeacon of Huntingdon</w:t>
      </w:r>
    </w:p>
    <w:p w14:paraId="58E2ABB4" w14:textId="203075FC" w:rsidR="006A639C" w:rsidRDefault="00D017B0" w:rsidP="006A639C">
      <w:pPr>
        <w:spacing w:line="360" w:lineRule="auto"/>
        <w:jc w:val="both"/>
      </w:pPr>
      <w:r w:rsidRPr="00FF3475">
        <w:t>Commissioned by Alexander, bishop of Lincoln</w:t>
      </w:r>
      <w:r w:rsidR="00671533" w:rsidRPr="00FF3475">
        <w:t xml:space="preserve"> c.</w:t>
      </w:r>
      <w:r w:rsidR="004972FD" w:rsidRPr="00FF3475">
        <w:t>112</w:t>
      </w:r>
      <w:r w:rsidR="000623E5" w:rsidRPr="00FF3475">
        <w:t>3/c.1130</w:t>
      </w:r>
      <w:r w:rsidR="001A7DC4" w:rsidRPr="00FF3475">
        <w:t>,</w:t>
      </w:r>
      <w:r w:rsidRPr="00FF3475">
        <w:t xml:space="preserve"> the </w:t>
      </w:r>
      <w:r w:rsidRPr="00FF3475">
        <w:rPr>
          <w:i/>
        </w:rPr>
        <w:t>Historia</w:t>
      </w:r>
      <w:r w:rsidRPr="00FF3475">
        <w:t xml:space="preserve"> </w:t>
      </w:r>
      <w:r w:rsidR="00641FB0" w:rsidRPr="00FF3475">
        <w:t xml:space="preserve">was to be an abbreviated guide to </w:t>
      </w:r>
      <w:r w:rsidR="00D3439F" w:rsidRPr="00FF3475">
        <w:t>the</w:t>
      </w:r>
      <w:r w:rsidR="001E10EC" w:rsidRPr="00FF3475">
        <w:t xml:space="preserve"> past and </w:t>
      </w:r>
      <w:r w:rsidR="000D17AB" w:rsidRPr="00FF3475">
        <w:t>present</w:t>
      </w:r>
      <w:r w:rsidR="00D3439F" w:rsidRPr="00FF3475">
        <w:t xml:space="preserve"> history of England.</w:t>
      </w:r>
      <w:r w:rsidR="00B63EB0" w:rsidRPr="00FF3475">
        <w:rPr>
          <w:rStyle w:val="FootnoteReference"/>
        </w:rPr>
        <w:footnoteReference w:id="19"/>
      </w:r>
      <w:r w:rsidR="00B63EB0" w:rsidRPr="00FF3475">
        <w:t xml:space="preserve"> </w:t>
      </w:r>
      <w:r w:rsidR="001B2B1B" w:rsidRPr="00FF3475">
        <w:t>Instructed to use Bede</w:t>
      </w:r>
      <w:r w:rsidR="00AC4DD2" w:rsidRPr="00FF3475">
        <w:t xml:space="preserve"> as his primary source,</w:t>
      </w:r>
      <w:r w:rsidR="001B2B1B" w:rsidRPr="00FF3475">
        <w:t xml:space="preserve"> Henry also </w:t>
      </w:r>
      <w:r w:rsidR="00613F9D" w:rsidRPr="00FF3475">
        <w:t xml:space="preserve">used the </w:t>
      </w:r>
      <w:r w:rsidR="00613F9D" w:rsidRPr="00FF3475">
        <w:rPr>
          <w:i/>
        </w:rPr>
        <w:t>Anglo-Saxon Chronicle</w:t>
      </w:r>
      <w:r w:rsidR="00FA421A" w:rsidRPr="00FF3475">
        <w:t xml:space="preserve"> and select material from other written and oral sources</w:t>
      </w:r>
      <w:r w:rsidR="00613F9D" w:rsidRPr="00FF3475">
        <w:t>.</w:t>
      </w:r>
      <w:r w:rsidR="00413BF0" w:rsidRPr="00FF3475">
        <w:rPr>
          <w:rStyle w:val="FootnoteReference"/>
        </w:rPr>
        <w:footnoteReference w:id="20"/>
      </w:r>
      <w:r w:rsidR="00CA0447" w:rsidRPr="00FF3475">
        <w:t xml:space="preserve"> </w:t>
      </w:r>
      <w:r w:rsidR="009607CE" w:rsidRPr="00FF3475">
        <w:t>H</w:t>
      </w:r>
      <w:r w:rsidR="0002449B" w:rsidRPr="00FF3475">
        <w:t>is</w:t>
      </w:r>
      <w:r w:rsidR="009607CE" w:rsidRPr="00FF3475">
        <w:t xml:space="preserve"> </w:t>
      </w:r>
      <w:r w:rsidR="005B3470" w:rsidRPr="00FF3475">
        <w:t xml:space="preserve">artistic </w:t>
      </w:r>
      <w:r w:rsidR="000C7B67" w:rsidRPr="00FF3475">
        <w:t xml:space="preserve">writing </w:t>
      </w:r>
      <w:r w:rsidR="009607CE" w:rsidRPr="00FF3475">
        <w:t>style and</w:t>
      </w:r>
      <w:r w:rsidR="000C7B67" w:rsidRPr="00FF3475">
        <w:t xml:space="preserve"> use of different genres made his work very popular</w:t>
      </w:r>
      <w:r w:rsidR="00C33DDE" w:rsidRPr="00FF3475">
        <w:t>.</w:t>
      </w:r>
      <w:r w:rsidR="003320D1" w:rsidRPr="00FF3475">
        <w:rPr>
          <w:rStyle w:val="FootnoteReference"/>
        </w:rPr>
        <w:footnoteReference w:id="21"/>
      </w:r>
      <w:r w:rsidR="00E97DF7" w:rsidRPr="00FF3475">
        <w:t xml:space="preserve"> </w:t>
      </w:r>
      <w:r w:rsidRPr="00FF3475">
        <w:t>This Chronicle is staunchly pro-English</w:t>
      </w:r>
      <w:r w:rsidR="00214D89">
        <w:t>.</w:t>
      </w:r>
    </w:p>
    <w:p w14:paraId="7E2AF639" w14:textId="77777777" w:rsidR="00214D89" w:rsidRPr="006A639C" w:rsidRDefault="00214D89" w:rsidP="006A639C">
      <w:pPr>
        <w:spacing w:line="360" w:lineRule="auto"/>
        <w:jc w:val="both"/>
      </w:pPr>
    </w:p>
    <w:p w14:paraId="28C34781" w14:textId="77777777" w:rsidR="008B3B49" w:rsidRPr="00FF3475" w:rsidRDefault="008B3B49" w:rsidP="00001B71">
      <w:pPr>
        <w:spacing w:line="360" w:lineRule="auto"/>
        <w:jc w:val="both"/>
      </w:pPr>
      <w:r w:rsidRPr="00FF3475">
        <w:rPr>
          <w:b/>
          <w:i/>
          <w:smallCaps/>
        </w:rPr>
        <w:t xml:space="preserve">Historia Novorum in Anglia:  </w:t>
      </w:r>
      <w:r w:rsidRPr="00FF3475">
        <w:rPr>
          <w:b/>
          <w:i/>
        </w:rPr>
        <w:t>Eadmer of Canterbury</w:t>
      </w:r>
    </w:p>
    <w:p w14:paraId="4753D792" w14:textId="106414F4" w:rsidR="006A639C" w:rsidRDefault="008B3B49" w:rsidP="00001B71">
      <w:pPr>
        <w:spacing w:line="360" w:lineRule="auto"/>
        <w:jc w:val="both"/>
      </w:pPr>
      <w:r w:rsidRPr="00FF3475">
        <w:t>Although Eadmer covers the conquest and its aftermath, he nevertheless concentrates on ‘an accurate description’ of dealings between the king of England and the archbishop of Canterbury.</w:t>
      </w:r>
      <w:r w:rsidRPr="00FF3475">
        <w:rPr>
          <w:rStyle w:val="FootnoteReference"/>
        </w:rPr>
        <w:footnoteReference w:id="22"/>
      </w:r>
      <w:r w:rsidRPr="00FF3475">
        <w:t xml:space="preserve"> Thus this work may not be as significant as other work dealing with 1066, but it is still an important historical account of Anglo-Norman England.</w:t>
      </w:r>
      <w:r w:rsidRPr="00FF3475">
        <w:rPr>
          <w:rStyle w:val="FootnoteReference"/>
        </w:rPr>
        <w:footnoteReference w:id="23"/>
      </w:r>
    </w:p>
    <w:p w14:paraId="6A849FA4" w14:textId="77777777" w:rsidR="00214D89" w:rsidRPr="006A639C" w:rsidRDefault="00214D89" w:rsidP="00001B71">
      <w:pPr>
        <w:spacing w:line="360" w:lineRule="auto"/>
        <w:jc w:val="both"/>
      </w:pPr>
    </w:p>
    <w:p w14:paraId="20365CD9" w14:textId="77777777" w:rsidR="008A2414" w:rsidRPr="00FF3475" w:rsidRDefault="008A2414" w:rsidP="00001B71">
      <w:pPr>
        <w:spacing w:line="360" w:lineRule="auto"/>
        <w:jc w:val="both"/>
      </w:pPr>
      <w:r w:rsidRPr="00FF3475">
        <w:rPr>
          <w:b/>
          <w:i/>
          <w:smallCaps/>
        </w:rPr>
        <w:t xml:space="preserve">Chronicon ex Chronicis: </w:t>
      </w:r>
      <w:r w:rsidRPr="00FF3475">
        <w:rPr>
          <w:b/>
          <w:i/>
        </w:rPr>
        <w:t>Florence of Worcester, followed by John of Worcester</w:t>
      </w:r>
    </w:p>
    <w:p w14:paraId="5E05948C" w14:textId="6D568AEC" w:rsidR="007B0B7E" w:rsidRDefault="008A2414" w:rsidP="00001B71">
      <w:pPr>
        <w:spacing w:line="360" w:lineRule="auto"/>
        <w:jc w:val="both"/>
      </w:pPr>
      <w:r w:rsidRPr="00FF3475">
        <w:t xml:space="preserve">Written on the instruction of Wulfstan, bishop of Worcester (d.1095), the </w:t>
      </w:r>
      <w:r w:rsidRPr="00FF3475">
        <w:rPr>
          <w:i/>
        </w:rPr>
        <w:t>Chronicon</w:t>
      </w:r>
      <w:r w:rsidRPr="00FF3475">
        <w:t xml:space="preserve"> is a continuation of Marianus Scotus’s chronicle. Florence wrote until his death in 1118 and John continued up to 1141.</w:t>
      </w:r>
      <w:r w:rsidRPr="00FF3475">
        <w:rPr>
          <w:rStyle w:val="FootnoteReference"/>
        </w:rPr>
        <w:footnoteReference w:id="24"/>
      </w:r>
      <w:r w:rsidRPr="00FF3475">
        <w:t xml:space="preserve"> Bede, Asser, William of Poitiers and Guy of Amiens are </w:t>
      </w:r>
      <w:r w:rsidRPr="00FF3475">
        <w:lastRenderedPageBreak/>
        <w:t>some notable sources.</w:t>
      </w:r>
      <w:r w:rsidRPr="00FF3475">
        <w:rPr>
          <w:rStyle w:val="FootnoteReference"/>
        </w:rPr>
        <w:footnoteReference w:id="25"/>
      </w:r>
      <w:r w:rsidRPr="00FF3475">
        <w:t xml:space="preserve"> Written post 1066, the </w:t>
      </w:r>
      <w:r w:rsidRPr="00FF3475">
        <w:rPr>
          <w:i/>
        </w:rPr>
        <w:t>Chronicon</w:t>
      </w:r>
      <w:r w:rsidRPr="00FF3475">
        <w:t xml:space="preserve"> is from an Anglo-Norman perspective.</w:t>
      </w:r>
      <w:r w:rsidRPr="00FF3475">
        <w:rPr>
          <w:rStyle w:val="FootnoteReference"/>
        </w:rPr>
        <w:footnoteReference w:id="26"/>
      </w:r>
    </w:p>
    <w:p w14:paraId="2C1C7B4B" w14:textId="77777777" w:rsidR="00214D89" w:rsidRPr="00FF3475" w:rsidRDefault="00214D89" w:rsidP="00001B71">
      <w:pPr>
        <w:spacing w:line="360" w:lineRule="auto"/>
        <w:jc w:val="both"/>
      </w:pPr>
    </w:p>
    <w:p w14:paraId="1B44ADC2" w14:textId="0374B070" w:rsidR="00442D36" w:rsidRPr="00FF3475" w:rsidRDefault="00D46C50" w:rsidP="00001B71">
      <w:pPr>
        <w:spacing w:line="360" w:lineRule="auto"/>
        <w:jc w:val="both"/>
      </w:pPr>
      <w:r w:rsidRPr="00FF3475">
        <w:rPr>
          <w:b/>
          <w:i/>
          <w:smallCaps/>
        </w:rPr>
        <w:t>Gesta Guillelmi</w:t>
      </w:r>
      <w:r w:rsidR="007B0B7E" w:rsidRPr="00FF3475">
        <w:rPr>
          <w:b/>
          <w:i/>
          <w:smallCaps/>
        </w:rPr>
        <w:t>:</w:t>
      </w:r>
      <w:r w:rsidR="00113250" w:rsidRPr="00FF3475">
        <w:rPr>
          <w:b/>
          <w:i/>
          <w:smallCaps/>
        </w:rPr>
        <w:t xml:space="preserve"> </w:t>
      </w:r>
      <w:r w:rsidR="00113250" w:rsidRPr="00FF3475">
        <w:rPr>
          <w:b/>
          <w:i/>
        </w:rPr>
        <w:t>William of Poitiers</w:t>
      </w:r>
    </w:p>
    <w:p w14:paraId="5C3232CC" w14:textId="796A7908" w:rsidR="00464E1B" w:rsidRDefault="00CB72D9" w:rsidP="00001B71">
      <w:pPr>
        <w:spacing w:line="360" w:lineRule="auto"/>
        <w:jc w:val="both"/>
      </w:pPr>
      <w:r w:rsidRPr="00FF3475">
        <w:t xml:space="preserve">A </w:t>
      </w:r>
      <w:r w:rsidR="004957CF" w:rsidRPr="00FF3475">
        <w:t>biography of King Willia</w:t>
      </w:r>
      <w:r w:rsidR="00EB2B09" w:rsidRPr="00FF3475">
        <w:t>m</w:t>
      </w:r>
      <w:r w:rsidR="00966707" w:rsidRPr="00FF3475">
        <w:t xml:space="preserve"> descri</w:t>
      </w:r>
      <w:r w:rsidR="00951567" w:rsidRPr="00FF3475">
        <w:t>b</w:t>
      </w:r>
      <w:r w:rsidR="00966707" w:rsidRPr="00FF3475">
        <w:t>ed as a ‘book of memoirs</w:t>
      </w:r>
      <w:r w:rsidR="00BA1FB2" w:rsidRPr="00FF3475">
        <w:t>,</w:t>
      </w:r>
      <w:r w:rsidR="00966707" w:rsidRPr="00FF3475">
        <w:t xml:space="preserve"> written by a </w:t>
      </w:r>
      <w:r w:rsidR="00BA1FB2" w:rsidRPr="00FF3475">
        <w:t>man of letters</w:t>
      </w:r>
      <w:r w:rsidR="00AE3519" w:rsidRPr="00FF3475">
        <w:t>.</w:t>
      </w:r>
      <w:r w:rsidR="00951567" w:rsidRPr="00FF3475">
        <w:t>’</w:t>
      </w:r>
      <w:r w:rsidR="00966707" w:rsidRPr="00FF3475">
        <w:rPr>
          <w:rStyle w:val="FootnoteReference"/>
        </w:rPr>
        <w:footnoteReference w:id="27"/>
      </w:r>
      <w:r w:rsidRPr="00FF3475">
        <w:t xml:space="preserve"> </w:t>
      </w:r>
      <w:r w:rsidR="006A6F08" w:rsidRPr="00FF3475">
        <w:t xml:space="preserve">Writing not too long after the battle, William </w:t>
      </w:r>
      <w:r w:rsidR="00706C03" w:rsidRPr="00FF3475">
        <w:t xml:space="preserve">made use of oral and eye-witness </w:t>
      </w:r>
      <w:r w:rsidR="00A36076" w:rsidRPr="00FF3475">
        <w:t>test</w:t>
      </w:r>
      <w:r w:rsidR="00A977ED" w:rsidRPr="00FF3475">
        <w:t>imony</w:t>
      </w:r>
      <w:r w:rsidR="00470A82" w:rsidRPr="00FF3475">
        <w:t>,</w:t>
      </w:r>
      <w:r w:rsidR="00E22F39" w:rsidRPr="00FF3475">
        <w:rPr>
          <w:rStyle w:val="FootnoteReference"/>
        </w:rPr>
        <w:footnoteReference w:id="28"/>
      </w:r>
      <w:r w:rsidR="00470A82" w:rsidRPr="00FF3475">
        <w:t xml:space="preserve"> and the work of Dudo of Saint-Quentin and William of Jumièges</w:t>
      </w:r>
      <w:r w:rsidR="002A62AD" w:rsidRPr="00FF3475">
        <w:t>.</w:t>
      </w:r>
      <w:r w:rsidR="002A62AD" w:rsidRPr="00FF3475">
        <w:rPr>
          <w:rStyle w:val="FootnoteReference"/>
        </w:rPr>
        <w:footnoteReference w:id="29"/>
      </w:r>
      <w:r w:rsidR="002400E3" w:rsidRPr="00FF3475">
        <w:t xml:space="preserve"> </w:t>
      </w:r>
      <w:r w:rsidR="000C33EF" w:rsidRPr="00FF3475">
        <w:t>Although un</w:t>
      </w:r>
      <w:r w:rsidR="00F821C4" w:rsidRPr="00FF3475">
        <w:t xml:space="preserve">doubtedly pro-Norman, </w:t>
      </w:r>
      <w:r w:rsidR="00B2113B" w:rsidRPr="00FF3475">
        <w:t xml:space="preserve">the </w:t>
      </w:r>
      <w:r w:rsidR="00B2113B" w:rsidRPr="00FF3475">
        <w:rPr>
          <w:i/>
        </w:rPr>
        <w:t xml:space="preserve">Gesta </w:t>
      </w:r>
      <w:r w:rsidR="00BE52BE" w:rsidRPr="00FF3475">
        <w:t xml:space="preserve">is </w:t>
      </w:r>
      <w:r w:rsidR="00DA263A" w:rsidRPr="00FF3475">
        <w:t>a valuable military account</w:t>
      </w:r>
      <w:r w:rsidR="00BA20C6" w:rsidRPr="00FF3475">
        <w:t xml:space="preserve"> of the battle</w:t>
      </w:r>
      <w:r w:rsidR="005D1642" w:rsidRPr="00FF3475">
        <w:t xml:space="preserve"> and held to be generally reliable</w:t>
      </w:r>
      <w:r w:rsidR="00DA263A" w:rsidRPr="00FF3475">
        <w:t>.</w:t>
      </w:r>
      <w:r w:rsidR="00DA263A" w:rsidRPr="00FF3475">
        <w:rPr>
          <w:rStyle w:val="FootnoteReference"/>
        </w:rPr>
        <w:footnoteReference w:id="30"/>
      </w:r>
    </w:p>
    <w:p w14:paraId="04B2293D" w14:textId="77777777" w:rsidR="00214D89" w:rsidRPr="00214D89" w:rsidRDefault="00214D89" w:rsidP="00001B71">
      <w:pPr>
        <w:spacing w:line="360" w:lineRule="auto"/>
        <w:jc w:val="both"/>
      </w:pPr>
    </w:p>
    <w:p w14:paraId="308CF055" w14:textId="6A4B1E9A" w:rsidR="00D46B4D" w:rsidRPr="00FF3475" w:rsidRDefault="00D46B4D" w:rsidP="00001B71">
      <w:pPr>
        <w:spacing w:line="360" w:lineRule="auto"/>
        <w:jc w:val="both"/>
      </w:pPr>
      <w:r w:rsidRPr="00FF3475">
        <w:rPr>
          <w:b/>
          <w:i/>
          <w:smallCaps/>
        </w:rPr>
        <w:t>Historia Ecclesiastica</w:t>
      </w:r>
      <w:r w:rsidR="00090658" w:rsidRPr="00FF3475">
        <w:rPr>
          <w:b/>
          <w:i/>
          <w:smallCaps/>
        </w:rPr>
        <w:t>:</w:t>
      </w:r>
      <w:r w:rsidR="005B4B2D" w:rsidRPr="00FF3475">
        <w:rPr>
          <w:b/>
          <w:i/>
        </w:rPr>
        <w:t xml:space="preserve"> Orderic Vitalis</w:t>
      </w:r>
    </w:p>
    <w:p w14:paraId="2D3A90CB" w14:textId="411D0B41" w:rsidR="005E42E8" w:rsidRDefault="00A2164C" w:rsidP="00001B71">
      <w:pPr>
        <w:spacing w:line="360" w:lineRule="auto"/>
        <w:jc w:val="both"/>
      </w:pPr>
      <w:r w:rsidRPr="00FF3475">
        <w:t>Instructed to write a history of his monastery at St. Êvroul, Orderic’s history of the church in Normandy slowly developed into Book III of the</w:t>
      </w:r>
      <w:r w:rsidR="0039221E" w:rsidRPr="00FF3475">
        <w:t xml:space="preserve"> </w:t>
      </w:r>
      <w:r w:rsidR="0039221E" w:rsidRPr="00FF3475">
        <w:rPr>
          <w:i/>
        </w:rPr>
        <w:t>Historia</w:t>
      </w:r>
      <w:r w:rsidRPr="00FF3475">
        <w:t xml:space="preserve"> that covers 1066.</w:t>
      </w:r>
      <w:r w:rsidR="0039221E" w:rsidRPr="00FF3475">
        <w:rPr>
          <w:rStyle w:val="FootnoteReference"/>
        </w:rPr>
        <w:footnoteReference w:id="31"/>
      </w:r>
      <w:r w:rsidR="0039221E" w:rsidRPr="00FF3475">
        <w:t xml:space="preserve"> </w:t>
      </w:r>
      <w:r w:rsidR="002A49DA" w:rsidRPr="00FF3475">
        <w:t xml:space="preserve">Like other chroniclers writing long after </w:t>
      </w:r>
      <w:r w:rsidR="0039221E" w:rsidRPr="00FF3475">
        <w:t>the event</w:t>
      </w:r>
      <w:r w:rsidR="0022464C" w:rsidRPr="00FF3475">
        <w:t xml:space="preserve">, </w:t>
      </w:r>
      <w:r w:rsidR="0039221E" w:rsidRPr="00FF3475">
        <w:t xml:space="preserve">he </w:t>
      </w:r>
      <w:r w:rsidR="0022464C" w:rsidRPr="00FF3475">
        <w:t xml:space="preserve">does not </w:t>
      </w:r>
      <w:r w:rsidR="00CC438F" w:rsidRPr="00FF3475">
        <w:t xml:space="preserve">provide any </w:t>
      </w:r>
      <w:r w:rsidR="00B12ED9" w:rsidRPr="00FF3475">
        <w:t xml:space="preserve">new </w:t>
      </w:r>
      <w:r w:rsidR="006B160B" w:rsidRPr="00FF3475">
        <w:t xml:space="preserve">material </w:t>
      </w:r>
      <w:r w:rsidR="00C118E3" w:rsidRPr="00FF3475">
        <w:t>of value</w:t>
      </w:r>
      <w:r w:rsidR="00CC438F" w:rsidRPr="00FF3475">
        <w:t>, but a</w:t>
      </w:r>
      <w:r w:rsidR="00D46B4D" w:rsidRPr="00FF3475">
        <w:t>s a social history</w:t>
      </w:r>
      <w:r w:rsidR="00C72A7D" w:rsidRPr="00FF3475">
        <w:t>,</w:t>
      </w:r>
      <w:r w:rsidR="00D46B4D" w:rsidRPr="00FF3475">
        <w:t xml:space="preserve"> </w:t>
      </w:r>
      <w:r w:rsidR="0039221E" w:rsidRPr="00FF3475">
        <w:t xml:space="preserve">the </w:t>
      </w:r>
      <w:r w:rsidR="0039221E" w:rsidRPr="00FF3475">
        <w:rPr>
          <w:i/>
        </w:rPr>
        <w:t>Historia</w:t>
      </w:r>
      <w:r w:rsidR="00D46B4D" w:rsidRPr="00FF3475">
        <w:t xml:space="preserve"> is of great importance as it gives insight into the intricate familial allegiances </w:t>
      </w:r>
      <w:r w:rsidR="0039221E" w:rsidRPr="00FF3475">
        <w:t>between</w:t>
      </w:r>
      <w:r w:rsidR="00D46B4D" w:rsidRPr="00FF3475">
        <w:t xml:space="preserve"> the community and monastic houses.</w:t>
      </w:r>
      <w:r w:rsidR="00C118E3" w:rsidRPr="00FF3475">
        <w:rPr>
          <w:rStyle w:val="FootnoteReference"/>
        </w:rPr>
        <w:footnoteReference w:id="32"/>
      </w:r>
    </w:p>
    <w:p w14:paraId="1245970E" w14:textId="77777777" w:rsidR="0001467C" w:rsidRPr="00214D89" w:rsidRDefault="0001467C" w:rsidP="00001B71">
      <w:pPr>
        <w:spacing w:line="360" w:lineRule="auto"/>
        <w:jc w:val="both"/>
        <w:rPr>
          <w:color w:val="FF0000"/>
        </w:rPr>
      </w:pPr>
    </w:p>
    <w:p w14:paraId="3D2B4A8E" w14:textId="7D91865D" w:rsidR="001B367C" w:rsidRPr="00FF3475" w:rsidRDefault="001B367C" w:rsidP="00001B71">
      <w:pPr>
        <w:spacing w:line="360" w:lineRule="auto"/>
        <w:jc w:val="both"/>
      </w:pPr>
      <w:r w:rsidRPr="00FF3475">
        <w:rPr>
          <w:b/>
          <w:i/>
          <w:smallCaps/>
        </w:rPr>
        <w:t>Roman de Rou</w:t>
      </w:r>
      <w:r w:rsidR="00990EEB" w:rsidRPr="00FF3475">
        <w:rPr>
          <w:b/>
          <w:i/>
          <w:smallCaps/>
        </w:rPr>
        <w:t>:</w:t>
      </w:r>
      <w:r w:rsidR="005B4B2D" w:rsidRPr="00FF3475">
        <w:rPr>
          <w:b/>
          <w:i/>
          <w:smallCaps/>
        </w:rPr>
        <w:t xml:space="preserve"> </w:t>
      </w:r>
      <w:r w:rsidR="005B4B2D" w:rsidRPr="00FF3475">
        <w:rPr>
          <w:b/>
          <w:i/>
        </w:rPr>
        <w:t>Master Wace</w:t>
      </w:r>
    </w:p>
    <w:p w14:paraId="10DB9DC0" w14:textId="28338A5B" w:rsidR="00233FC2" w:rsidRDefault="00325EC0" w:rsidP="0001467C">
      <w:pPr>
        <w:pStyle w:val="FootnoteText"/>
        <w:spacing w:line="360" w:lineRule="auto"/>
        <w:jc w:val="both"/>
        <w:rPr>
          <w:sz w:val="24"/>
          <w:szCs w:val="24"/>
        </w:rPr>
      </w:pPr>
      <w:r w:rsidRPr="00FF3475">
        <w:rPr>
          <w:sz w:val="24"/>
          <w:szCs w:val="24"/>
        </w:rPr>
        <w:t>Begun in the 1160s, this narrative was c</w:t>
      </w:r>
      <w:r w:rsidR="00DC3A6E" w:rsidRPr="00FF3475">
        <w:rPr>
          <w:sz w:val="24"/>
          <w:szCs w:val="24"/>
        </w:rPr>
        <w:t>ommissioned by Henry II as a propaganda too</w:t>
      </w:r>
      <w:r w:rsidR="001113AA" w:rsidRPr="00FF3475">
        <w:rPr>
          <w:sz w:val="24"/>
          <w:szCs w:val="24"/>
        </w:rPr>
        <w:t>l</w:t>
      </w:r>
      <w:r w:rsidR="00DC3A6E" w:rsidRPr="00FF3475">
        <w:rPr>
          <w:sz w:val="24"/>
          <w:szCs w:val="24"/>
        </w:rPr>
        <w:t xml:space="preserve"> to </w:t>
      </w:r>
      <w:r w:rsidR="008F1EFF" w:rsidRPr="00FF3475">
        <w:rPr>
          <w:sz w:val="24"/>
          <w:szCs w:val="24"/>
        </w:rPr>
        <w:t xml:space="preserve">justify his legitimacy to the </w:t>
      </w:r>
      <w:r w:rsidR="009207D5" w:rsidRPr="00FF3475">
        <w:rPr>
          <w:sz w:val="24"/>
          <w:szCs w:val="24"/>
        </w:rPr>
        <w:t xml:space="preserve">English </w:t>
      </w:r>
      <w:r w:rsidR="008F1EFF" w:rsidRPr="00FF3475">
        <w:rPr>
          <w:sz w:val="24"/>
          <w:szCs w:val="24"/>
        </w:rPr>
        <w:t>throne through his kinship to the early Norman dukes.</w:t>
      </w:r>
      <w:r w:rsidR="00E4142E" w:rsidRPr="00FF3475">
        <w:rPr>
          <w:rStyle w:val="FootnoteReference"/>
          <w:sz w:val="24"/>
          <w:szCs w:val="24"/>
        </w:rPr>
        <w:footnoteReference w:id="33"/>
      </w:r>
      <w:r w:rsidR="00FA30B5" w:rsidRPr="00FF3475">
        <w:rPr>
          <w:sz w:val="24"/>
          <w:szCs w:val="24"/>
        </w:rPr>
        <w:t xml:space="preserve"> </w:t>
      </w:r>
      <w:r w:rsidR="009442D0" w:rsidRPr="00FF3475">
        <w:rPr>
          <w:sz w:val="24"/>
          <w:szCs w:val="24"/>
        </w:rPr>
        <w:t>Wace did not follow Henry’s directive</w:t>
      </w:r>
      <w:r w:rsidR="002C524E" w:rsidRPr="00FF3475">
        <w:rPr>
          <w:sz w:val="24"/>
          <w:szCs w:val="24"/>
        </w:rPr>
        <w:t xml:space="preserve">; </w:t>
      </w:r>
      <w:r w:rsidR="009442D0" w:rsidRPr="00FF3475">
        <w:rPr>
          <w:sz w:val="24"/>
          <w:szCs w:val="24"/>
        </w:rPr>
        <w:t xml:space="preserve">he seems to suggest that William pressured Harold until he ‘agreed to hand England over to him as soon as King Edward </w:t>
      </w:r>
      <w:r w:rsidR="009442D0" w:rsidRPr="00FF3475">
        <w:rPr>
          <w:sz w:val="24"/>
          <w:szCs w:val="24"/>
        </w:rPr>
        <w:lastRenderedPageBreak/>
        <w:t>died.’ He also goes into detail about Harold unknowingly swearing on relics</w:t>
      </w:r>
      <w:r w:rsidR="00895BA1" w:rsidRPr="00FF3475">
        <w:rPr>
          <w:sz w:val="24"/>
          <w:szCs w:val="24"/>
        </w:rPr>
        <w:t>.</w:t>
      </w:r>
      <w:r w:rsidR="00895BA1" w:rsidRPr="00FF3475">
        <w:rPr>
          <w:rStyle w:val="FootnoteReference"/>
          <w:sz w:val="24"/>
          <w:szCs w:val="24"/>
        </w:rPr>
        <w:footnoteReference w:id="34"/>
      </w:r>
      <w:r w:rsidR="00975E7E" w:rsidRPr="00FF3475">
        <w:rPr>
          <w:sz w:val="24"/>
          <w:szCs w:val="24"/>
        </w:rPr>
        <w:t xml:space="preserve"> This clearly annoyed Henry and he dismissed Wace </w:t>
      </w:r>
      <w:r w:rsidR="00FA30B5" w:rsidRPr="00FF3475">
        <w:rPr>
          <w:sz w:val="24"/>
          <w:szCs w:val="24"/>
        </w:rPr>
        <w:t>favour of Benoît de Sainte-Maure</w:t>
      </w:r>
      <w:r w:rsidR="006751D1" w:rsidRPr="00FF3475">
        <w:rPr>
          <w:sz w:val="24"/>
          <w:szCs w:val="24"/>
        </w:rPr>
        <w:t>.</w:t>
      </w:r>
      <w:r w:rsidR="009207D5" w:rsidRPr="00FF3475">
        <w:rPr>
          <w:rStyle w:val="FootnoteReference"/>
          <w:sz w:val="24"/>
          <w:szCs w:val="24"/>
        </w:rPr>
        <w:footnoteReference w:id="35"/>
      </w:r>
    </w:p>
    <w:p w14:paraId="5C4F85A5" w14:textId="77777777" w:rsidR="0001467C" w:rsidRPr="00FF3475" w:rsidRDefault="0001467C" w:rsidP="0001467C">
      <w:pPr>
        <w:pStyle w:val="FootnoteText"/>
        <w:spacing w:line="360" w:lineRule="auto"/>
        <w:jc w:val="both"/>
        <w:rPr>
          <w:sz w:val="24"/>
          <w:szCs w:val="24"/>
        </w:rPr>
      </w:pPr>
    </w:p>
    <w:p w14:paraId="3C897B6D" w14:textId="61E359B5" w:rsidR="00C52142" w:rsidRPr="00FF3475" w:rsidRDefault="00215B66" w:rsidP="00001B71">
      <w:pPr>
        <w:spacing w:line="360" w:lineRule="auto"/>
        <w:jc w:val="both"/>
        <w:rPr>
          <w:smallCaps/>
        </w:rPr>
      </w:pPr>
      <w:r w:rsidRPr="00FF3475">
        <w:rPr>
          <w:b/>
          <w:i/>
          <w:smallCaps/>
        </w:rPr>
        <w:t>Chroniques</w:t>
      </w:r>
      <w:r w:rsidR="00C52142" w:rsidRPr="00FF3475">
        <w:rPr>
          <w:b/>
          <w:i/>
          <w:smallCaps/>
        </w:rPr>
        <w:t xml:space="preserve"> des Ducs de Normandie</w:t>
      </w:r>
      <w:r w:rsidR="002C524E" w:rsidRPr="00FF3475">
        <w:rPr>
          <w:b/>
          <w:i/>
          <w:smallCaps/>
        </w:rPr>
        <w:t>:</w:t>
      </w:r>
      <w:r w:rsidR="005B4B2D" w:rsidRPr="00FF3475">
        <w:rPr>
          <w:b/>
          <w:i/>
          <w:smallCaps/>
        </w:rPr>
        <w:t xml:space="preserve"> </w:t>
      </w:r>
      <w:r w:rsidR="005B4B2D" w:rsidRPr="00FF3475">
        <w:rPr>
          <w:b/>
          <w:i/>
        </w:rPr>
        <w:t>Benoît de Saint</w:t>
      </w:r>
      <w:r w:rsidR="00471C91" w:rsidRPr="00FF3475">
        <w:rPr>
          <w:b/>
          <w:i/>
        </w:rPr>
        <w:t>e</w:t>
      </w:r>
      <w:r w:rsidR="005B4B2D" w:rsidRPr="00FF3475">
        <w:rPr>
          <w:b/>
          <w:i/>
        </w:rPr>
        <w:t>-Maure</w:t>
      </w:r>
      <w:r w:rsidR="005B4B2D" w:rsidRPr="00FF3475">
        <w:rPr>
          <w:b/>
          <w:i/>
          <w:smallCaps/>
        </w:rPr>
        <w:t xml:space="preserve"> </w:t>
      </w:r>
    </w:p>
    <w:p w14:paraId="0FA58673" w14:textId="376E1374" w:rsidR="00161619" w:rsidRPr="00FF3475" w:rsidRDefault="002C524E" w:rsidP="00001B71">
      <w:pPr>
        <w:spacing w:line="360" w:lineRule="auto"/>
        <w:jc w:val="both"/>
      </w:pPr>
      <w:r w:rsidRPr="00FF3475">
        <w:t xml:space="preserve">Following Wace, Benoît </w:t>
      </w:r>
      <w:r w:rsidR="00026B83" w:rsidRPr="00FF3475">
        <w:t xml:space="preserve">has </w:t>
      </w:r>
      <w:r w:rsidRPr="00FF3475">
        <w:t xml:space="preserve">generally </w:t>
      </w:r>
      <w:r w:rsidR="00C5502D" w:rsidRPr="00FF3475">
        <w:t xml:space="preserve">been </w:t>
      </w:r>
      <w:r w:rsidRPr="00FF3475">
        <w:t xml:space="preserve">labelled a fawning </w:t>
      </w:r>
      <w:r w:rsidR="002C34DF" w:rsidRPr="00FF3475">
        <w:t>propagand</w:t>
      </w:r>
      <w:r w:rsidRPr="00FF3475">
        <w:t>ist</w:t>
      </w:r>
      <w:r w:rsidR="00C16DC3" w:rsidRPr="00FF3475">
        <w:t>.</w:t>
      </w:r>
      <w:r w:rsidR="004D427F" w:rsidRPr="00FF3475">
        <w:rPr>
          <w:rStyle w:val="FootnoteReference"/>
        </w:rPr>
        <w:footnoteReference w:id="36"/>
      </w:r>
      <w:r w:rsidR="008277D7" w:rsidRPr="00FF3475">
        <w:t xml:space="preserve"> However, </w:t>
      </w:r>
      <w:r w:rsidRPr="00FF3475">
        <w:t>his</w:t>
      </w:r>
      <w:r w:rsidR="00E674DC" w:rsidRPr="00FF3475">
        <w:t xml:space="preserve"> writing style was </w:t>
      </w:r>
      <w:r w:rsidRPr="00FF3475">
        <w:t>different,</w:t>
      </w:r>
      <w:r w:rsidR="00E674DC" w:rsidRPr="00FF3475">
        <w:t xml:space="preserve"> </w:t>
      </w:r>
      <w:r w:rsidR="00615D09" w:rsidRPr="00FF3475">
        <w:t>and he use</w:t>
      </w:r>
      <w:r w:rsidR="00D67144" w:rsidRPr="00FF3475">
        <w:t>d</w:t>
      </w:r>
      <w:r w:rsidR="00615D09" w:rsidRPr="00FF3475">
        <w:t xml:space="preserve"> much the sam</w:t>
      </w:r>
      <w:r w:rsidR="00EF1923" w:rsidRPr="00FF3475">
        <w:t>e sources</w:t>
      </w:r>
      <w:r w:rsidR="00D32E9E" w:rsidRPr="00FF3475">
        <w:t>.</w:t>
      </w:r>
      <w:r w:rsidR="00D44675" w:rsidRPr="00FF3475">
        <w:t xml:space="preserve"> That is not to say he did not embellish</w:t>
      </w:r>
      <w:r w:rsidR="001E10A0" w:rsidRPr="00FF3475">
        <w:t xml:space="preserve"> </w:t>
      </w:r>
      <w:r w:rsidR="007F1B86" w:rsidRPr="00FF3475">
        <w:t>his work,</w:t>
      </w:r>
      <w:r w:rsidR="00026B83" w:rsidRPr="00FF3475">
        <w:t xml:space="preserve"> which was deemed </w:t>
      </w:r>
      <w:r w:rsidR="00D33A51" w:rsidRPr="00FF3475">
        <w:t xml:space="preserve">an </w:t>
      </w:r>
      <w:r w:rsidR="00026B83" w:rsidRPr="00FF3475">
        <w:t xml:space="preserve">acceptable part of the </w:t>
      </w:r>
      <w:r w:rsidR="00C8023A" w:rsidRPr="00FF3475">
        <w:t>audience entertainment.</w:t>
      </w:r>
      <w:r w:rsidR="001C6B04" w:rsidRPr="00FF3475">
        <w:rPr>
          <w:rStyle w:val="FootnoteReference"/>
        </w:rPr>
        <w:footnoteReference w:id="37"/>
      </w:r>
    </w:p>
    <w:p w14:paraId="54556DC8" w14:textId="77777777" w:rsidR="002C524E" w:rsidRPr="00FF3475" w:rsidRDefault="002C524E" w:rsidP="00FF3475">
      <w:pPr>
        <w:spacing w:line="360" w:lineRule="auto"/>
        <w:jc w:val="both"/>
      </w:pPr>
    </w:p>
    <w:p w14:paraId="11013E85" w14:textId="7179E6B2" w:rsidR="00D017B0" w:rsidRPr="00FF3475" w:rsidRDefault="00C44A82" w:rsidP="00001B71">
      <w:pPr>
        <w:spacing w:line="360" w:lineRule="auto"/>
        <w:jc w:val="right"/>
      </w:pPr>
      <w:r w:rsidRPr="00FF3475">
        <w:t>10</w:t>
      </w:r>
      <w:r w:rsidR="007F6EBA" w:rsidRPr="00FF3475">
        <w:t>00</w:t>
      </w:r>
      <w:r w:rsidRPr="00FF3475">
        <w:t xml:space="preserve"> words</w:t>
      </w:r>
    </w:p>
    <w:p w14:paraId="541BAEE2" w14:textId="4510FBBA" w:rsidR="00D017B0" w:rsidRPr="00FF3475" w:rsidRDefault="00D017B0" w:rsidP="00FF3475">
      <w:pPr>
        <w:spacing w:line="360" w:lineRule="auto"/>
        <w:jc w:val="both"/>
      </w:pPr>
    </w:p>
    <w:p w14:paraId="3795F06D" w14:textId="0E3567FB" w:rsidR="00D017B0" w:rsidRPr="00FF3475" w:rsidRDefault="00D017B0" w:rsidP="00FF3475">
      <w:pPr>
        <w:spacing w:line="360" w:lineRule="auto"/>
        <w:jc w:val="both"/>
      </w:pPr>
    </w:p>
    <w:p w14:paraId="31E2CE9E" w14:textId="651D5358" w:rsidR="00D017B0" w:rsidRPr="00FF3475" w:rsidRDefault="00D017B0" w:rsidP="00FF3475">
      <w:pPr>
        <w:spacing w:line="360" w:lineRule="auto"/>
        <w:jc w:val="both"/>
      </w:pPr>
    </w:p>
    <w:p w14:paraId="31134FE7" w14:textId="4CED3133" w:rsidR="00D017B0" w:rsidRPr="00FF3475" w:rsidRDefault="00D017B0" w:rsidP="00FF3475">
      <w:pPr>
        <w:spacing w:line="360" w:lineRule="auto"/>
        <w:jc w:val="both"/>
      </w:pPr>
    </w:p>
    <w:p w14:paraId="42855B07" w14:textId="6BE364B4" w:rsidR="00D017B0" w:rsidRPr="00FF3475" w:rsidRDefault="00D017B0" w:rsidP="00FF3475">
      <w:pPr>
        <w:spacing w:line="360" w:lineRule="auto"/>
        <w:jc w:val="both"/>
        <w:rPr>
          <w:b/>
        </w:rPr>
      </w:pPr>
    </w:p>
    <w:p w14:paraId="11BF92D5" w14:textId="7D709ED0" w:rsidR="00D017B0" w:rsidRPr="00FF3475" w:rsidRDefault="00D017B0" w:rsidP="00FF3475">
      <w:pPr>
        <w:spacing w:line="360" w:lineRule="auto"/>
        <w:jc w:val="both"/>
      </w:pPr>
    </w:p>
    <w:p w14:paraId="64897C8F" w14:textId="097C627A" w:rsidR="00D017B0" w:rsidRPr="00FF3475" w:rsidRDefault="00D017B0" w:rsidP="00FF3475">
      <w:pPr>
        <w:spacing w:line="360" w:lineRule="auto"/>
        <w:jc w:val="both"/>
      </w:pPr>
    </w:p>
    <w:p w14:paraId="03DAA4B6" w14:textId="75ED8B0B" w:rsidR="00D017B0" w:rsidRPr="00FF3475" w:rsidRDefault="00D017B0" w:rsidP="00FF3475">
      <w:pPr>
        <w:spacing w:line="360" w:lineRule="auto"/>
        <w:jc w:val="both"/>
      </w:pPr>
    </w:p>
    <w:p w14:paraId="34FC164A" w14:textId="45EFE0EF" w:rsidR="00D017B0" w:rsidRPr="00FF3475" w:rsidRDefault="00D017B0" w:rsidP="00FF3475">
      <w:pPr>
        <w:spacing w:line="360" w:lineRule="auto"/>
        <w:jc w:val="both"/>
      </w:pPr>
    </w:p>
    <w:p w14:paraId="1E9518AD" w14:textId="58E0753F" w:rsidR="00D017B0" w:rsidRPr="00FF3475" w:rsidRDefault="00D017B0" w:rsidP="00FF3475">
      <w:pPr>
        <w:spacing w:line="360" w:lineRule="auto"/>
        <w:jc w:val="both"/>
      </w:pPr>
    </w:p>
    <w:p w14:paraId="35FEC7E8" w14:textId="0A47D6D7" w:rsidR="00D017B0" w:rsidRPr="00FF3475" w:rsidRDefault="00D017B0" w:rsidP="00FF3475">
      <w:pPr>
        <w:spacing w:line="360" w:lineRule="auto"/>
        <w:jc w:val="both"/>
      </w:pPr>
    </w:p>
    <w:p w14:paraId="0109BB7E" w14:textId="6D6A8BE4" w:rsidR="00D017B0" w:rsidRPr="00FF3475" w:rsidRDefault="00D017B0" w:rsidP="00FF3475">
      <w:pPr>
        <w:spacing w:line="360" w:lineRule="auto"/>
        <w:jc w:val="both"/>
      </w:pPr>
    </w:p>
    <w:p w14:paraId="2B858FBC" w14:textId="3DE7DF83" w:rsidR="00D017B0" w:rsidRPr="00FF3475" w:rsidRDefault="00D017B0" w:rsidP="00FF3475">
      <w:pPr>
        <w:spacing w:line="360" w:lineRule="auto"/>
        <w:jc w:val="both"/>
      </w:pPr>
    </w:p>
    <w:p w14:paraId="0376719F" w14:textId="052BF083" w:rsidR="00D017B0" w:rsidRPr="00FF3475" w:rsidRDefault="00D017B0" w:rsidP="00FF3475">
      <w:pPr>
        <w:spacing w:line="360" w:lineRule="auto"/>
        <w:jc w:val="both"/>
      </w:pPr>
    </w:p>
    <w:p w14:paraId="7990B84E" w14:textId="05D0CAD6" w:rsidR="0001467C" w:rsidRDefault="0001467C">
      <w:pPr>
        <w:spacing w:after="160" w:line="259" w:lineRule="auto"/>
        <w:rPr>
          <w:b/>
        </w:rPr>
      </w:pPr>
    </w:p>
    <w:p w14:paraId="096B5AC1" w14:textId="77777777" w:rsidR="001C210F" w:rsidRDefault="001C210F">
      <w:pPr>
        <w:spacing w:after="160" w:line="259" w:lineRule="auto"/>
        <w:rPr>
          <w:b/>
        </w:rPr>
      </w:pPr>
      <w:r>
        <w:rPr>
          <w:b/>
        </w:rPr>
        <w:br w:type="page"/>
      </w:r>
    </w:p>
    <w:p w14:paraId="1B0CD677" w14:textId="3602184F" w:rsidR="00D33A51" w:rsidRPr="00FF3475" w:rsidRDefault="00D33A51" w:rsidP="00001B71">
      <w:pPr>
        <w:rPr>
          <w:b/>
        </w:rPr>
      </w:pPr>
      <w:r w:rsidRPr="00FF3475">
        <w:rPr>
          <w:b/>
        </w:rPr>
        <w:lastRenderedPageBreak/>
        <w:t>Bibliography</w:t>
      </w:r>
    </w:p>
    <w:p w14:paraId="7478B371" w14:textId="77777777" w:rsidR="00C44A82" w:rsidRPr="00FF3475" w:rsidRDefault="00C44A82" w:rsidP="00001B71"/>
    <w:p w14:paraId="62B74EED" w14:textId="1D69874F" w:rsidR="00D33A51" w:rsidRPr="00FF3475" w:rsidRDefault="00D33A51" w:rsidP="00001B71">
      <w:r w:rsidRPr="00FF3475">
        <w:t>Printed Primary Sources</w:t>
      </w:r>
    </w:p>
    <w:p w14:paraId="2D5BCEFD" w14:textId="77777777" w:rsidR="00D33A51" w:rsidRPr="00FF3475" w:rsidRDefault="00D33A51" w:rsidP="00001B71">
      <w:bookmarkStart w:id="5" w:name="_GoBack"/>
      <w:bookmarkEnd w:id="5"/>
    </w:p>
    <w:p w14:paraId="3620812C" w14:textId="77777777" w:rsidR="00D33A51" w:rsidRPr="00FF3475" w:rsidRDefault="00D33A51" w:rsidP="00001B71">
      <w:r w:rsidRPr="00FF3475">
        <w:rPr>
          <w:i/>
        </w:rPr>
        <w:t>Florentii Wigorniensis Monachi Chronicon ex Chronensis,</w:t>
      </w:r>
      <w:r w:rsidRPr="00FF3475">
        <w:t xml:space="preserve"> Tomus II, Edited by B. Thorpe (Londini: Sumptibus Societatis: M.DCCC.XLIX). [online]. Available at</w:t>
      </w:r>
    </w:p>
    <w:p w14:paraId="180856D8" w14:textId="77777777" w:rsidR="00D33A51" w:rsidRPr="00FF3475" w:rsidRDefault="00251E9A" w:rsidP="00001B71">
      <w:hyperlink r:id="rId9" w:anchor="v=onepage&amp;q=chronicon%20ex%20chronicis&amp;f=false" w:history="1">
        <w:r w:rsidR="00D33A51" w:rsidRPr="00FF3475">
          <w:rPr>
            <w:rStyle w:val="Hyperlink"/>
          </w:rPr>
          <w:t>https://books.google.co.uk/books?id=N2kNAAAAIAAJ&amp;printsec=frontcover&amp;dq=chronicon+ex+chronicis&amp;hl=en&amp;sa=X&amp;ved=0ahUKEwjEh5un4N3cAhVBJ8AKHaNHCWsQ6AEIKjAA#v=onepage&amp;q=chronicon%20ex%20chronicis&amp;f=false</w:t>
        </w:r>
      </w:hyperlink>
      <w:r w:rsidR="00D33A51" w:rsidRPr="00FF3475">
        <w:t xml:space="preserve"> (Accessed 8 August 2018)</w:t>
      </w:r>
    </w:p>
    <w:p w14:paraId="12F8587D" w14:textId="77777777" w:rsidR="00D33A51" w:rsidRPr="00FF3475" w:rsidRDefault="00D33A51" w:rsidP="00001B71"/>
    <w:p w14:paraId="5C6779D7" w14:textId="77777777" w:rsidR="00D33A51" w:rsidRPr="00FF3475" w:rsidRDefault="00D33A51" w:rsidP="00001B71">
      <w:r w:rsidRPr="00FF3475">
        <w:t xml:space="preserve">Gaimar, G. </w:t>
      </w:r>
      <w:r w:rsidRPr="00FF3475">
        <w:rPr>
          <w:i/>
        </w:rPr>
        <w:t>Estoire des Engleis,</w:t>
      </w:r>
      <w:r w:rsidRPr="00FF3475">
        <w:t xml:space="preserve"> Edited and Translated by I. Short (Oxford: Oxford University Press, 2009). [online]. Available at </w:t>
      </w:r>
    </w:p>
    <w:p w14:paraId="08BA236C" w14:textId="77777777" w:rsidR="00D33A51" w:rsidRPr="00FF3475" w:rsidRDefault="00251E9A" w:rsidP="00001B71">
      <w:hyperlink r:id="rId10" w:anchor="v=onepage&amp;q=geoffrey%20gaimar%20estoire%20des%20engleis&amp;f=false" w:history="1">
        <w:r w:rsidR="00D33A51" w:rsidRPr="00FF3475">
          <w:rPr>
            <w:rStyle w:val="Hyperlink"/>
          </w:rPr>
          <w:t>https://books.google.co.uk/books?id=c2gVDAAAQBAJ&amp;printsec=frontcover&amp;dq=geoffrey+gaimar+estoire+des+engleis&amp;hl=en&amp;sa=X&amp;ved=0ahUKEwi-veyxx6bcAhVKKlAKHWSECFQQ6AEIJzAA#v=onepage&amp;q=geoffrey%20gaimar%20estoire%20des%20engleis&amp;f=false</w:t>
        </w:r>
      </w:hyperlink>
      <w:r w:rsidR="00D33A51" w:rsidRPr="00FF3475">
        <w:t xml:space="preserve"> (Accessed 17 July 2018)</w:t>
      </w:r>
    </w:p>
    <w:p w14:paraId="67ED9271" w14:textId="77777777" w:rsidR="00D33A51" w:rsidRPr="00FF3475" w:rsidRDefault="00D33A51" w:rsidP="00001B71"/>
    <w:p w14:paraId="2017D956" w14:textId="77777777" w:rsidR="00D33A51" w:rsidRPr="00FF3475" w:rsidRDefault="00D33A51" w:rsidP="00001B71">
      <w:r w:rsidRPr="00FF3475">
        <w:t xml:space="preserve">Henry, Archdeacon of Huntingdon, </w:t>
      </w:r>
      <w:r w:rsidRPr="00FF3475">
        <w:rPr>
          <w:i/>
        </w:rPr>
        <w:t>Historia Anglorum,</w:t>
      </w:r>
      <w:r w:rsidRPr="00FF3475">
        <w:t xml:space="preserve"> Edited and Translated by D.E Greenway, Oxford Medieval Texts, General Editors D.E Greenway, B.F Harvey and M. Lapridge (Oxford: Clarendon Press, 1996, repr. 2007)</w:t>
      </w:r>
    </w:p>
    <w:p w14:paraId="4DF97B61" w14:textId="77777777" w:rsidR="00D33A51" w:rsidRPr="00FF3475" w:rsidRDefault="00D33A51" w:rsidP="00001B71"/>
    <w:p w14:paraId="76FF087C" w14:textId="77777777" w:rsidR="00D33A51" w:rsidRPr="00FF3475" w:rsidRDefault="00D33A51" w:rsidP="00001B71">
      <w:r w:rsidRPr="00FF3475">
        <w:rPr>
          <w:i/>
        </w:rPr>
        <w:t>The Anglo-Saxon Chronicles,</w:t>
      </w:r>
      <w:r w:rsidRPr="00FF3475">
        <w:t xml:space="preserve"> Edited and Translated by M. Swanton (London: Phoenix Press, 1996, repr. 2000)</w:t>
      </w:r>
    </w:p>
    <w:p w14:paraId="30F56B7E" w14:textId="77777777" w:rsidR="00D33A51" w:rsidRPr="00FF3475" w:rsidRDefault="00D33A51" w:rsidP="00001B71"/>
    <w:p w14:paraId="522990B9" w14:textId="77777777" w:rsidR="00D33A51" w:rsidRPr="00FF3475" w:rsidRDefault="00D33A51" w:rsidP="00001B71">
      <w:r w:rsidRPr="00FF3475">
        <w:rPr>
          <w:i/>
        </w:rPr>
        <w:t>The Carmen de Hastingae Proelio of Guy Bishop of Amiens,</w:t>
      </w:r>
      <w:r w:rsidRPr="00FF3475">
        <w:t xml:space="preserve"> Edited by C. Morton and H. Muntz, Oxford Medieval Texts, General Editors V.H Galbraith, R.A.B Mynors and C.N.L Brooks (Oxford: Clarendon Press, 1972)</w:t>
      </w:r>
    </w:p>
    <w:p w14:paraId="1FA1DBC8" w14:textId="77777777" w:rsidR="00D33A51" w:rsidRPr="00FF3475" w:rsidRDefault="00D33A51" w:rsidP="00001B71"/>
    <w:p w14:paraId="1F794194" w14:textId="77777777" w:rsidR="00D33A51" w:rsidRPr="00FF3475" w:rsidRDefault="00D33A51" w:rsidP="00001B71">
      <w:r w:rsidRPr="00FF3475">
        <w:rPr>
          <w:i/>
        </w:rPr>
        <w:t>The Ecclesiastical History of Orderic Vitalis,</w:t>
      </w:r>
      <w:r w:rsidRPr="00FF3475">
        <w:t xml:space="preserve"> Vol. II Books III and IV, Edited and Translated by C. Chibnall, Oxford Medieval Texts, General Editors D.E Greenway, B.F Harvey and M. Lapridge (Oxford: Clarendon Press, 1969, repr. 2006)</w:t>
      </w:r>
    </w:p>
    <w:p w14:paraId="09D58DE8" w14:textId="77777777" w:rsidR="00D33A51" w:rsidRPr="00FF3475" w:rsidRDefault="00D33A51" w:rsidP="00001B71"/>
    <w:p w14:paraId="60B1A72A" w14:textId="77777777" w:rsidR="00D33A51" w:rsidRPr="00FF3475" w:rsidRDefault="00D33A51" w:rsidP="00001B71">
      <w:r w:rsidRPr="00FF3475">
        <w:rPr>
          <w:i/>
        </w:rPr>
        <w:t>The Gesta Normannorum Ducum of William of Jumièges, Orderic Vitalis and Robert of Torigni,</w:t>
      </w:r>
      <w:r w:rsidRPr="00FF3475">
        <w:t xml:space="preserve"> Volume I, Introduction and Books I-IV, Edited and Translated by E.M.C van Houts, Oxford Medieval Texts, General Editors D.E Greenway, B.F Harvey and M. Lapridge (Oxford: Clarendon Press, 1992)</w:t>
      </w:r>
    </w:p>
    <w:p w14:paraId="1A66E4B4" w14:textId="77777777" w:rsidR="00D33A51" w:rsidRPr="00FF3475" w:rsidRDefault="00D33A51" w:rsidP="00001B71"/>
    <w:p w14:paraId="78609D30" w14:textId="77777777" w:rsidR="00D33A51" w:rsidRPr="00FF3475" w:rsidRDefault="00D33A51" w:rsidP="00001B71">
      <w:r w:rsidRPr="00FF3475">
        <w:rPr>
          <w:i/>
        </w:rPr>
        <w:t>The History of the Norman People: Wace’s Roman De Rou,</w:t>
      </w:r>
      <w:r w:rsidRPr="00FF3475">
        <w:t xml:space="preserve"> Translated by G.S. Burgess with Notes by G.S Burgess and E.M.C van Houts (Woodbridge: Boydell Press, 2004). [online]. Available at</w:t>
      </w:r>
    </w:p>
    <w:p w14:paraId="2D7B2570" w14:textId="77777777" w:rsidR="00D33A51" w:rsidRPr="00FF3475" w:rsidRDefault="00251E9A" w:rsidP="00001B71">
      <w:hyperlink r:id="rId11" w:anchor="v=onepage&amp;q=roman%20de%20rou%20wace&amp;f=false" w:history="1">
        <w:r w:rsidR="00D33A51" w:rsidRPr="00FF3475">
          <w:rPr>
            <w:rStyle w:val="Hyperlink"/>
          </w:rPr>
          <w:t>https://books.google.co.uk/books?id=Thwv9WLq_50C&amp;printsec=frontcover&amp;dq=roman+de+rou+wace&amp;hl=en&amp;sa=X&amp;ved=0ahUKEwid54TOzqbcAhUGzaQKHZn-Cd4Q6AEIJzAA#v=onepage&amp;q=roman%20de%20rou%20wace&amp;f=false</w:t>
        </w:r>
      </w:hyperlink>
      <w:r w:rsidR="00D33A51" w:rsidRPr="00FF3475">
        <w:t xml:space="preserve"> (Accessed 17 July 2018)</w:t>
      </w:r>
    </w:p>
    <w:p w14:paraId="6857FBD9" w14:textId="77777777" w:rsidR="00D33A51" w:rsidRPr="00FF3475" w:rsidRDefault="00D33A51" w:rsidP="00001B71"/>
    <w:p w14:paraId="12659C96" w14:textId="77777777" w:rsidR="00D33A51" w:rsidRPr="00FF3475" w:rsidRDefault="00D33A51" w:rsidP="00001B71">
      <w:pPr>
        <w:rPr>
          <w:i/>
        </w:rPr>
      </w:pPr>
      <w:r w:rsidRPr="00FF3475">
        <w:lastRenderedPageBreak/>
        <w:t xml:space="preserve">William of Malmesbury, </w:t>
      </w:r>
      <w:r w:rsidRPr="00FF3475">
        <w:rPr>
          <w:i/>
        </w:rPr>
        <w:t xml:space="preserve">Gesta Regum Anglorum, </w:t>
      </w:r>
      <w:r w:rsidRPr="00FF3475">
        <w:t xml:space="preserve">Volume I, Edited and Translated by R.A.B. Mynors, R.M. Thomson and  M. Winterbottom, Oxford Medieval Texts, General Editors D.E Greenway, B.F Harvey and M. Lapridge (Oxford: Clarendon Press, 1998, repr. 2006) </w:t>
      </w:r>
    </w:p>
    <w:p w14:paraId="5F34D76B" w14:textId="77777777" w:rsidR="00D33A51" w:rsidRPr="00FF3475" w:rsidRDefault="00D33A51" w:rsidP="00001B71"/>
    <w:p w14:paraId="0939152B" w14:textId="2D373A36" w:rsidR="00D33A51" w:rsidRPr="00FF3475" w:rsidRDefault="00203799" w:rsidP="00001B71">
      <w:r w:rsidRPr="00FF3475">
        <w:t>_____</w:t>
      </w:r>
      <w:r w:rsidR="00D33A51" w:rsidRPr="00FF3475">
        <w:t xml:space="preserve">, </w:t>
      </w:r>
      <w:r w:rsidR="00D33A51" w:rsidRPr="00FF3475">
        <w:rPr>
          <w:i/>
        </w:rPr>
        <w:t>Gesta Regum Anglorum,</w:t>
      </w:r>
      <w:r w:rsidR="00D33A51" w:rsidRPr="00FF3475">
        <w:t xml:space="preserve"> Volume II General Introduction and Commentary by R.M. Thomson with M. Winterbottom, Oxford Medieval Texts, General Editors D.E Greenway, B.F Harvey and M. Lapridge (Oxford: Clarendon Press, 1999, repr. 2003)</w:t>
      </w:r>
    </w:p>
    <w:p w14:paraId="6DEDB84F" w14:textId="77777777" w:rsidR="00D33A51" w:rsidRPr="00FF3475" w:rsidRDefault="00D33A51" w:rsidP="00001B71"/>
    <w:p w14:paraId="53C4968D" w14:textId="77777777" w:rsidR="00D33A51" w:rsidRPr="00FF3475" w:rsidRDefault="00D33A51" w:rsidP="00001B71">
      <w:r w:rsidRPr="00FF3475">
        <w:t xml:space="preserve">William of Poitiers, </w:t>
      </w:r>
      <w:r w:rsidRPr="00FF3475">
        <w:rPr>
          <w:i/>
        </w:rPr>
        <w:t>Gesta Guillelmi,</w:t>
      </w:r>
      <w:r w:rsidRPr="00FF3475">
        <w:t xml:space="preserve"> Edited and Translated by R.H.C Davis, and M. Chibnall, Oxford Medieval Texts, General Editors D.E Greenway, B.F Harvey and M. Lapridge (Oxford: Clarendon Press, 1998, repr. 2006)</w:t>
      </w:r>
    </w:p>
    <w:p w14:paraId="37D06FC5" w14:textId="77777777" w:rsidR="00D33A51" w:rsidRPr="00FF3475" w:rsidRDefault="00D33A51" w:rsidP="00001B71"/>
    <w:p w14:paraId="525CBC85" w14:textId="285F7138" w:rsidR="00D33A51" w:rsidRPr="00FF3475" w:rsidRDefault="00D33A51" w:rsidP="00001B71"/>
    <w:p w14:paraId="708735AD" w14:textId="77777777" w:rsidR="009718D0" w:rsidRPr="00FF3475" w:rsidRDefault="009718D0" w:rsidP="00001B71"/>
    <w:p w14:paraId="4AB91FFE" w14:textId="77777777" w:rsidR="00D33A51" w:rsidRPr="00FF3475" w:rsidRDefault="00D33A51" w:rsidP="00001B71">
      <w:r w:rsidRPr="00FF3475">
        <w:t>Secondary Sources</w:t>
      </w:r>
    </w:p>
    <w:p w14:paraId="3B0D3FC5" w14:textId="14589724" w:rsidR="00D33A51" w:rsidRPr="00FF3475" w:rsidRDefault="00D33A51" w:rsidP="00001B71"/>
    <w:p w14:paraId="25AB096F" w14:textId="19967C2D" w:rsidR="00AC01A6" w:rsidRPr="00FF3475" w:rsidRDefault="00AC01A6" w:rsidP="00001B71">
      <w:r w:rsidRPr="00FF3475">
        <w:t>Brown</w:t>
      </w:r>
      <w:r w:rsidR="005D7424" w:rsidRPr="00FF3475">
        <w:t>, S.A.</w:t>
      </w:r>
      <w:r w:rsidRPr="00FF3475">
        <w:t xml:space="preserve"> and </w:t>
      </w:r>
      <w:proofErr w:type="spellStart"/>
      <w:r w:rsidRPr="00FF3475">
        <w:t>Herren</w:t>
      </w:r>
      <w:proofErr w:type="spellEnd"/>
      <w:r w:rsidRPr="00FF3475">
        <w:t>,</w:t>
      </w:r>
      <w:r w:rsidR="005D7424" w:rsidRPr="00FF3475">
        <w:t xml:space="preserve"> M.W.</w:t>
      </w:r>
      <w:r w:rsidRPr="00FF3475">
        <w:t xml:space="preserve"> ‘The </w:t>
      </w:r>
      <w:r w:rsidRPr="00FF3475">
        <w:rPr>
          <w:i/>
        </w:rPr>
        <w:t>Adelae Comitissae</w:t>
      </w:r>
      <w:r w:rsidRPr="00FF3475">
        <w:t xml:space="preserve"> of Baudri of Bourgeuil and the Bayeux Tapestry’ in </w:t>
      </w:r>
      <w:r w:rsidRPr="00FF3475">
        <w:rPr>
          <w:i/>
        </w:rPr>
        <w:t>Anglo-Norman Studies XVI: Proceedings of the Battle Conference 1993,</w:t>
      </w:r>
      <w:r w:rsidRPr="00FF3475">
        <w:t xml:space="preserve"> Edited by M. Chibnall (Woodbridge: Boydell Press, 1994)</w:t>
      </w:r>
      <w:r w:rsidR="000A188E" w:rsidRPr="00FF3475">
        <w:t>. [online]. Available at</w:t>
      </w:r>
      <w:r w:rsidR="00C53673" w:rsidRPr="00FF3475">
        <w:t xml:space="preserve"> </w:t>
      </w:r>
      <w:hyperlink r:id="rId12" w:anchor="v=onepage&amp;q=Brown%20and%20Herren%20the%20adelae%20comitissae%20of%20baudri%20of%20bourgeuil%20and%20the%20bayeux%20tapestry&amp;f=false" w:history="1">
        <w:r w:rsidR="00C53673" w:rsidRPr="00FF3475">
          <w:rPr>
            <w:rStyle w:val="Hyperlink"/>
          </w:rPr>
          <w:t>https://books.google.co.uk/books?id=cmOp0A7acHoC&amp;pg=PA55&amp;dq=Brown+and+Herren+the+adelae+comitissae+of+baudri+of+bourgeuil+and+the+bayeux+tapestry&amp;hl=en&amp;sa=X&amp;ved=0ahUKEwjn89bJhpXdAhUOqaQKHb_bDl8Q6AEIKTAA#v=onepage&amp;q=Brown%20and%20Herren%20the%20adelae%20comitissae%20of%20baudri%20of%20bourgeuil%20and%20the%20bayeux%20tapestry&amp;f=false</w:t>
        </w:r>
      </w:hyperlink>
      <w:r w:rsidR="00C53673" w:rsidRPr="00FF3475">
        <w:t xml:space="preserve"> (Accessed </w:t>
      </w:r>
      <w:r w:rsidR="007E6E7A" w:rsidRPr="00FF3475">
        <w:t>28 August 2018)</w:t>
      </w:r>
    </w:p>
    <w:p w14:paraId="64206570" w14:textId="77777777" w:rsidR="00AC01A6" w:rsidRPr="00FF3475" w:rsidRDefault="00AC01A6" w:rsidP="00001B71"/>
    <w:p w14:paraId="08CEC7A9" w14:textId="77777777" w:rsidR="00D33A51" w:rsidRPr="00FF3475" w:rsidRDefault="00D33A51" w:rsidP="00001B71">
      <w:r w:rsidRPr="00FF3475">
        <w:t>Damian-</w:t>
      </w:r>
      <w:proofErr w:type="spellStart"/>
      <w:r w:rsidRPr="00FF3475">
        <w:t>Grint</w:t>
      </w:r>
      <w:proofErr w:type="spellEnd"/>
      <w:r w:rsidRPr="00FF3475">
        <w:t xml:space="preserve">, P. ‘Propaganda and essample in Benoît de Sainte-Maure’s Chronique des ducs de Normandie’ in </w:t>
      </w:r>
      <w:r w:rsidRPr="00FF3475">
        <w:rPr>
          <w:i/>
        </w:rPr>
        <w:t>The Medieval Chronicle IV,</w:t>
      </w:r>
      <w:r w:rsidRPr="00FF3475">
        <w:t xml:space="preserve"> Edited by E. </w:t>
      </w:r>
      <w:proofErr w:type="spellStart"/>
      <w:r w:rsidRPr="00FF3475">
        <w:t>Kooper</w:t>
      </w:r>
      <w:proofErr w:type="spellEnd"/>
      <w:r w:rsidRPr="00FF3475">
        <w:t xml:space="preserve"> (Editions </w:t>
      </w:r>
      <w:proofErr w:type="spellStart"/>
      <w:r w:rsidRPr="00FF3475">
        <w:t>Rodopi</w:t>
      </w:r>
      <w:proofErr w:type="spellEnd"/>
      <w:r w:rsidRPr="00FF3475">
        <w:t xml:space="preserve"> B.V., Amsterdam – New York, NY 2006). [online]. Available at </w:t>
      </w:r>
      <w:hyperlink r:id="rId13" w:anchor="v=onepage&amp;q=chronique%20des%20ducs%20de%20normandie%20medieval%20chronicle&amp;f=false" w:history="1">
        <w:r w:rsidRPr="00FF3475">
          <w:rPr>
            <w:rStyle w:val="Hyperlink"/>
          </w:rPr>
          <w:t>https://books.google.co.uk/books?id=aLUGdr4-0j4C&amp;pg=PA39&amp;dq=chronique+des+ducs+de+normandie+medieval+chronicle&amp;hl=en&amp;sa=X&amp;ved=0ahUKEwjjwcTKioPdAhUJC8AKHSLIBUMQ6AEIJzAA#v=onepage&amp;q=chronique%20des%20ducs%20de%20normandie%20medieval%20chronicle&amp;f=false</w:t>
        </w:r>
      </w:hyperlink>
      <w:r w:rsidRPr="00FF3475">
        <w:t xml:space="preserve"> (Accessed 23 August 2018)</w:t>
      </w:r>
    </w:p>
    <w:p w14:paraId="7FCE4940" w14:textId="77777777" w:rsidR="00D33A51" w:rsidRPr="00FF3475" w:rsidRDefault="00D33A51" w:rsidP="00001B71"/>
    <w:p w14:paraId="27DD188F" w14:textId="77777777" w:rsidR="00D33A51" w:rsidRPr="00FF3475" w:rsidRDefault="00D33A51" w:rsidP="00001B71">
      <w:r w:rsidRPr="00FF3475">
        <w:t xml:space="preserve">Morillo, S. </w:t>
      </w:r>
      <w:r w:rsidRPr="00FF3475">
        <w:rPr>
          <w:i/>
        </w:rPr>
        <w:t>The Battle of Hastings Sources and Interpretations</w:t>
      </w:r>
      <w:r w:rsidRPr="00FF3475">
        <w:t xml:space="preserve"> (Woodbridge: Boydell Press, 1996, repr paperback 1998, 1999)</w:t>
      </w:r>
    </w:p>
    <w:p w14:paraId="6803E69C" w14:textId="77777777" w:rsidR="00D33A51" w:rsidRPr="00FF3475" w:rsidRDefault="00D33A51" w:rsidP="00001B71"/>
    <w:p w14:paraId="78B2E581" w14:textId="77777777" w:rsidR="00D33A51" w:rsidRPr="00FF3475" w:rsidRDefault="00D33A51" w:rsidP="00001B71">
      <w:r w:rsidRPr="00FF3475">
        <w:t xml:space="preserve">Vaughan, S. N. ‘Eadmer’s Historia Novorum: A Reinterpretation’ in </w:t>
      </w:r>
      <w:r w:rsidRPr="00FF3475">
        <w:rPr>
          <w:i/>
        </w:rPr>
        <w:t>Anglo-Norman Studies X: Proceedings of the Battle Conference 1987,</w:t>
      </w:r>
      <w:r w:rsidRPr="00FF3475">
        <w:t xml:space="preserve"> Edited by R.A. Brown (Woodbridge: Boydell Press,1987, 1988). [online]. Available at</w:t>
      </w:r>
    </w:p>
    <w:p w14:paraId="021B8937" w14:textId="03408097" w:rsidR="00D33A51" w:rsidRPr="00FF3475" w:rsidRDefault="00251E9A" w:rsidP="00001B71">
      <w:pPr>
        <w:rPr>
          <w:rStyle w:val="Hyperlink"/>
          <w:color w:val="auto"/>
          <w:u w:val="none"/>
        </w:rPr>
      </w:pPr>
      <w:hyperlink r:id="rId14" w:anchor="v=onepage&amp;q=hastings&amp;f=false" w:history="1">
        <w:r w:rsidR="00886AF3" w:rsidRPr="00BB333D">
          <w:rPr>
            <w:rStyle w:val="Hyperlink"/>
          </w:rPr>
          <w:t>https://books.google.co.uk/books?id=oel1lQ_iJ48C&amp;pg=PA259&amp;dq=eadmer+historia+novorum+in+anglia&amp;hl=en&amp;sa=X&amp;ved=0ahUKEwjp0ZPWx67cAhWS16QKHV48Ajg/Q6AEIPTAE#v=onepage&amp;q=hastings&amp;f=false</w:t>
        </w:r>
      </w:hyperlink>
      <w:r w:rsidR="00D33A51" w:rsidRPr="00FF3475">
        <w:rPr>
          <w:rStyle w:val="Hyperlink"/>
        </w:rPr>
        <w:t xml:space="preserve"> </w:t>
      </w:r>
      <w:r w:rsidR="00D33A51" w:rsidRPr="00FF3475">
        <w:rPr>
          <w:rStyle w:val="Hyperlink"/>
          <w:color w:val="auto"/>
          <w:u w:val="none"/>
        </w:rPr>
        <w:t>(Accessed 17 July 2018)</w:t>
      </w:r>
    </w:p>
    <w:sectPr w:rsidR="00D33A51" w:rsidRPr="00FF3475" w:rsidSect="00C513FE">
      <w:headerReference w:type="even" r:id="rId15"/>
      <w:headerReference w:type="default" r:id="rId16"/>
      <w:footerReference w:type="even" r:id="rId17"/>
      <w:footerReference w:type="default" r:id="rId18"/>
      <w:headerReference w:type="first" r:id="rId19"/>
      <w:footerReference w:type="first" r:id="rId20"/>
      <w:pgSz w:w="11906" w:h="16838"/>
      <w:pgMar w:top="1985" w:right="1701" w:bottom="1985"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FB8501" w14:textId="77777777" w:rsidR="00251E9A" w:rsidRDefault="00251E9A" w:rsidP="009C0D06">
      <w:r>
        <w:separator/>
      </w:r>
    </w:p>
  </w:endnote>
  <w:endnote w:type="continuationSeparator" w:id="0">
    <w:p w14:paraId="294AF224" w14:textId="77777777" w:rsidR="00251E9A" w:rsidRDefault="00251E9A" w:rsidP="009C0D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3"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20B8AF" w14:textId="77777777" w:rsidR="0047633F" w:rsidRDefault="0047633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5BA22E" w14:textId="77777777" w:rsidR="0047633F" w:rsidRDefault="0047633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326CFD" w14:textId="77777777" w:rsidR="0047633F" w:rsidRDefault="004763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AB3486" w14:textId="77777777" w:rsidR="00251E9A" w:rsidRDefault="00251E9A" w:rsidP="009C0D06">
      <w:r>
        <w:separator/>
      </w:r>
    </w:p>
  </w:footnote>
  <w:footnote w:type="continuationSeparator" w:id="0">
    <w:p w14:paraId="18D6C58A" w14:textId="77777777" w:rsidR="00251E9A" w:rsidRDefault="00251E9A" w:rsidP="009C0D06">
      <w:r>
        <w:continuationSeparator/>
      </w:r>
    </w:p>
  </w:footnote>
  <w:footnote w:id="1">
    <w:p w14:paraId="21B587FD" w14:textId="724C6D92" w:rsidR="007664C1" w:rsidRPr="00001B71" w:rsidRDefault="007664C1" w:rsidP="00B5510A">
      <w:pPr>
        <w:pStyle w:val="FootnoteText"/>
        <w:ind w:left="-57"/>
        <w:rPr>
          <w:sz w:val="18"/>
          <w:szCs w:val="18"/>
        </w:rPr>
      </w:pPr>
      <w:r w:rsidRPr="00001B71">
        <w:rPr>
          <w:rStyle w:val="FootnoteReference"/>
          <w:sz w:val="18"/>
          <w:szCs w:val="18"/>
        </w:rPr>
        <w:footnoteRef/>
      </w:r>
      <w:r w:rsidRPr="00001B71">
        <w:rPr>
          <w:sz w:val="18"/>
          <w:szCs w:val="18"/>
        </w:rPr>
        <w:t xml:space="preserve"> See </w:t>
      </w:r>
      <w:r w:rsidR="002F08AF" w:rsidRPr="00001B71">
        <w:rPr>
          <w:sz w:val="18"/>
          <w:szCs w:val="18"/>
        </w:rPr>
        <w:t xml:space="preserve">comparison between </w:t>
      </w:r>
      <w:r w:rsidR="004F7AF4" w:rsidRPr="00001B71">
        <w:rPr>
          <w:sz w:val="18"/>
          <w:szCs w:val="18"/>
        </w:rPr>
        <w:t xml:space="preserve">Geoffrey </w:t>
      </w:r>
      <w:r w:rsidR="002F08AF" w:rsidRPr="00001B71">
        <w:rPr>
          <w:sz w:val="18"/>
          <w:szCs w:val="18"/>
        </w:rPr>
        <w:t>Gaimar and William of Malmesbury</w:t>
      </w:r>
      <w:r w:rsidR="004F7AF4" w:rsidRPr="00001B71">
        <w:rPr>
          <w:sz w:val="18"/>
          <w:szCs w:val="18"/>
        </w:rPr>
        <w:t xml:space="preserve"> in </w:t>
      </w:r>
      <w:r w:rsidR="00CA74C3" w:rsidRPr="00001B71">
        <w:rPr>
          <w:sz w:val="18"/>
          <w:szCs w:val="18"/>
        </w:rPr>
        <w:t xml:space="preserve">G. Gaimar, </w:t>
      </w:r>
      <w:r w:rsidR="00CA74C3" w:rsidRPr="00001B71">
        <w:rPr>
          <w:i/>
          <w:sz w:val="18"/>
          <w:szCs w:val="18"/>
        </w:rPr>
        <w:t>Estoire des Engleis,</w:t>
      </w:r>
      <w:r w:rsidR="00CA74C3" w:rsidRPr="00001B71">
        <w:rPr>
          <w:sz w:val="18"/>
          <w:szCs w:val="18"/>
        </w:rPr>
        <w:t xml:space="preserve"> ed. and trans.by I. Short (Oxford: Oxford University Press, 2009),</w:t>
      </w:r>
      <w:r w:rsidR="00717F5A" w:rsidRPr="00001B71">
        <w:rPr>
          <w:sz w:val="18"/>
          <w:szCs w:val="18"/>
        </w:rPr>
        <w:t xml:space="preserve"> </w:t>
      </w:r>
      <w:proofErr w:type="spellStart"/>
      <w:r w:rsidR="001F0922" w:rsidRPr="00001B71">
        <w:rPr>
          <w:sz w:val="18"/>
          <w:szCs w:val="18"/>
        </w:rPr>
        <w:t>p</w:t>
      </w:r>
      <w:r w:rsidR="00717F5A" w:rsidRPr="00001B71">
        <w:rPr>
          <w:sz w:val="18"/>
          <w:szCs w:val="18"/>
        </w:rPr>
        <w:t>p.xiii</w:t>
      </w:r>
      <w:proofErr w:type="spellEnd"/>
      <w:r w:rsidR="00717F5A" w:rsidRPr="00001B71">
        <w:rPr>
          <w:sz w:val="18"/>
          <w:szCs w:val="18"/>
        </w:rPr>
        <w:t>-xiv</w:t>
      </w:r>
    </w:p>
  </w:footnote>
  <w:footnote w:id="2">
    <w:p w14:paraId="18C460BE" w14:textId="6A740D46" w:rsidR="00D017B0" w:rsidRPr="00001B71" w:rsidRDefault="00D017B0" w:rsidP="00B5510A">
      <w:pPr>
        <w:ind w:left="-57"/>
        <w:rPr>
          <w:sz w:val="18"/>
          <w:szCs w:val="18"/>
        </w:rPr>
      </w:pPr>
      <w:r w:rsidRPr="00001B71">
        <w:rPr>
          <w:rStyle w:val="FootnoteReference"/>
          <w:sz w:val="18"/>
          <w:szCs w:val="18"/>
        </w:rPr>
        <w:footnoteRef/>
      </w:r>
      <w:r w:rsidRPr="00001B71">
        <w:rPr>
          <w:sz w:val="18"/>
          <w:szCs w:val="18"/>
        </w:rPr>
        <w:t xml:space="preserve"> </w:t>
      </w:r>
      <w:r w:rsidRPr="00001B71">
        <w:rPr>
          <w:i/>
          <w:sz w:val="18"/>
          <w:szCs w:val="18"/>
        </w:rPr>
        <w:t xml:space="preserve">The Anglo-Saxon Chronicles, </w:t>
      </w:r>
      <w:r w:rsidR="00B67C98" w:rsidRPr="00001B71">
        <w:rPr>
          <w:sz w:val="18"/>
          <w:szCs w:val="18"/>
        </w:rPr>
        <w:t xml:space="preserve">ed. </w:t>
      </w:r>
      <w:r w:rsidRPr="00001B71">
        <w:rPr>
          <w:sz w:val="18"/>
          <w:szCs w:val="18"/>
        </w:rPr>
        <w:t xml:space="preserve">and </w:t>
      </w:r>
      <w:r w:rsidR="00B67C98" w:rsidRPr="00001B71">
        <w:rPr>
          <w:sz w:val="18"/>
          <w:szCs w:val="18"/>
        </w:rPr>
        <w:t>trans.</w:t>
      </w:r>
      <w:r w:rsidRPr="00001B71">
        <w:rPr>
          <w:sz w:val="18"/>
          <w:szCs w:val="18"/>
        </w:rPr>
        <w:t>by M. Swanton (London: Phoenix Press, 1996, repr. 2000), p.2 and p.26</w:t>
      </w:r>
      <w:r w:rsidR="009B34F0" w:rsidRPr="00001B71">
        <w:rPr>
          <w:sz w:val="18"/>
          <w:szCs w:val="18"/>
        </w:rPr>
        <w:t>8</w:t>
      </w:r>
    </w:p>
  </w:footnote>
  <w:footnote w:id="3">
    <w:p w14:paraId="40C00768" w14:textId="428F1CAC" w:rsidR="00D017B0" w:rsidRPr="00001B71" w:rsidRDefault="00D017B0" w:rsidP="00B5510A">
      <w:pPr>
        <w:pStyle w:val="FootnoteText"/>
        <w:ind w:left="-57"/>
        <w:rPr>
          <w:sz w:val="18"/>
          <w:szCs w:val="18"/>
        </w:rPr>
      </w:pPr>
      <w:r w:rsidRPr="00001B71">
        <w:rPr>
          <w:rStyle w:val="FootnoteReference"/>
          <w:sz w:val="18"/>
          <w:szCs w:val="18"/>
        </w:rPr>
        <w:footnoteRef/>
      </w:r>
      <w:r w:rsidRPr="00001B71">
        <w:rPr>
          <w:sz w:val="18"/>
          <w:szCs w:val="18"/>
        </w:rPr>
        <w:t xml:space="preserve"> </w:t>
      </w:r>
      <w:r w:rsidR="00A379DA" w:rsidRPr="00001B71">
        <w:rPr>
          <w:i/>
          <w:sz w:val="18"/>
          <w:szCs w:val="18"/>
        </w:rPr>
        <w:t xml:space="preserve">Ibid., </w:t>
      </w:r>
      <w:proofErr w:type="spellStart"/>
      <w:r w:rsidRPr="00001B71">
        <w:rPr>
          <w:sz w:val="18"/>
          <w:szCs w:val="18"/>
        </w:rPr>
        <w:t>p.xx</w:t>
      </w:r>
      <w:proofErr w:type="spellEnd"/>
    </w:p>
  </w:footnote>
  <w:footnote w:id="4">
    <w:p w14:paraId="77D00765" w14:textId="0354B585" w:rsidR="00AB4CF0" w:rsidRPr="00001B71" w:rsidRDefault="00AB4CF0" w:rsidP="00B5510A">
      <w:pPr>
        <w:pStyle w:val="FootnoteText"/>
        <w:ind w:left="-57"/>
        <w:rPr>
          <w:sz w:val="18"/>
          <w:szCs w:val="18"/>
        </w:rPr>
      </w:pPr>
      <w:r w:rsidRPr="00001B71">
        <w:rPr>
          <w:rStyle w:val="FootnoteReference"/>
          <w:sz w:val="18"/>
          <w:szCs w:val="18"/>
        </w:rPr>
        <w:footnoteRef/>
      </w:r>
      <w:r w:rsidRPr="00001B71">
        <w:rPr>
          <w:sz w:val="18"/>
          <w:szCs w:val="18"/>
        </w:rPr>
        <w:t xml:space="preserve"> S. Morillo, </w:t>
      </w:r>
      <w:r w:rsidRPr="00001B71">
        <w:rPr>
          <w:i/>
          <w:sz w:val="18"/>
          <w:szCs w:val="18"/>
        </w:rPr>
        <w:t>The Battle of Hastings</w:t>
      </w:r>
      <w:r w:rsidR="00BD49B9" w:rsidRPr="00001B71">
        <w:rPr>
          <w:i/>
          <w:sz w:val="18"/>
          <w:szCs w:val="18"/>
        </w:rPr>
        <w:t xml:space="preserve"> </w:t>
      </w:r>
      <w:r w:rsidRPr="00001B71">
        <w:rPr>
          <w:sz w:val="18"/>
          <w:szCs w:val="18"/>
        </w:rPr>
        <w:t xml:space="preserve">(Woodbridge: Boydell Press, 1996) </w:t>
      </w:r>
      <w:proofErr w:type="spellStart"/>
      <w:r w:rsidRPr="00001B71">
        <w:rPr>
          <w:sz w:val="18"/>
          <w:szCs w:val="18"/>
        </w:rPr>
        <w:t>p.xx</w:t>
      </w:r>
      <w:proofErr w:type="spellEnd"/>
      <w:r w:rsidRPr="00001B71">
        <w:rPr>
          <w:sz w:val="18"/>
          <w:szCs w:val="18"/>
        </w:rPr>
        <w:t xml:space="preserve">  </w:t>
      </w:r>
    </w:p>
  </w:footnote>
  <w:footnote w:id="5">
    <w:p w14:paraId="489F19A7" w14:textId="77777777" w:rsidR="008B3B49" w:rsidRPr="00001B71" w:rsidRDefault="008B3B49" w:rsidP="00B5510A">
      <w:pPr>
        <w:ind w:left="-57"/>
        <w:rPr>
          <w:sz w:val="18"/>
          <w:szCs w:val="18"/>
        </w:rPr>
      </w:pPr>
      <w:r w:rsidRPr="00001B71">
        <w:rPr>
          <w:rStyle w:val="FootnoteReference"/>
          <w:sz w:val="18"/>
          <w:szCs w:val="18"/>
        </w:rPr>
        <w:footnoteRef/>
      </w:r>
      <w:r w:rsidRPr="00001B71">
        <w:rPr>
          <w:sz w:val="18"/>
          <w:szCs w:val="18"/>
        </w:rPr>
        <w:t xml:space="preserve"> </w:t>
      </w:r>
      <w:r w:rsidRPr="00001B71">
        <w:rPr>
          <w:i/>
          <w:sz w:val="18"/>
          <w:szCs w:val="18"/>
        </w:rPr>
        <w:t>The Carmen de Hastingae Proelio of Guy Bishop of Amiens,</w:t>
      </w:r>
      <w:r w:rsidRPr="00001B71">
        <w:rPr>
          <w:sz w:val="18"/>
          <w:szCs w:val="18"/>
        </w:rPr>
        <w:t xml:space="preserve"> ed. by C. Morton and H. Muntz, Oxford Medieval Texts, gen. eds. V.H Galbraith, R.A.B Mynors and C.N.L Brooks (Oxford: Clarendon Press, 1972), </w:t>
      </w:r>
      <w:proofErr w:type="spellStart"/>
      <w:r w:rsidRPr="00001B71">
        <w:rPr>
          <w:sz w:val="18"/>
          <w:szCs w:val="18"/>
        </w:rPr>
        <w:t>p.xv</w:t>
      </w:r>
      <w:proofErr w:type="spellEnd"/>
    </w:p>
  </w:footnote>
  <w:footnote w:id="6">
    <w:p w14:paraId="1AA7FA01" w14:textId="77777777" w:rsidR="008B3B49" w:rsidRPr="00001B71" w:rsidRDefault="008B3B49" w:rsidP="00B5510A">
      <w:pPr>
        <w:ind w:left="-57"/>
        <w:rPr>
          <w:sz w:val="18"/>
          <w:szCs w:val="18"/>
        </w:rPr>
      </w:pPr>
      <w:r w:rsidRPr="00001B71">
        <w:rPr>
          <w:rStyle w:val="FootnoteReference"/>
          <w:sz w:val="18"/>
          <w:szCs w:val="18"/>
        </w:rPr>
        <w:footnoteRef/>
      </w:r>
      <w:r w:rsidRPr="00001B71">
        <w:rPr>
          <w:sz w:val="18"/>
          <w:szCs w:val="18"/>
        </w:rPr>
        <w:t xml:space="preserve"> S. Morillo, </w:t>
      </w:r>
      <w:r w:rsidRPr="00001B71">
        <w:rPr>
          <w:i/>
          <w:sz w:val="18"/>
          <w:szCs w:val="18"/>
        </w:rPr>
        <w:t>op. cit.,</w:t>
      </w:r>
      <w:r w:rsidRPr="00001B71">
        <w:rPr>
          <w:sz w:val="18"/>
          <w:szCs w:val="18"/>
        </w:rPr>
        <w:t xml:space="preserve"> p.45</w:t>
      </w:r>
    </w:p>
  </w:footnote>
  <w:footnote w:id="7">
    <w:p w14:paraId="392EC624" w14:textId="77777777" w:rsidR="008B3B49" w:rsidRPr="00001B71" w:rsidRDefault="008B3B49" w:rsidP="00B5510A">
      <w:pPr>
        <w:pStyle w:val="FootnoteText"/>
        <w:ind w:left="-57"/>
        <w:rPr>
          <w:sz w:val="18"/>
          <w:szCs w:val="18"/>
        </w:rPr>
      </w:pPr>
      <w:r w:rsidRPr="00001B71">
        <w:rPr>
          <w:rStyle w:val="FootnoteReference"/>
          <w:sz w:val="18"/>
          <w:szCs w:val="18"/>
        </w:rPr>
        <w:footnoteRef/>
      </w:r>
      <w:r w:rsidRPr="00001B71">
        <w:rPr>
          <w:sz w:val="18"/>
          <w:szCs w:val="18"/>
        </w:rPr>
        <w:t xml:space="preserve"> </w:t>
      </w:r>
      <w:r w:rsidRPr="00001B71">
        <w:rPr>
          <w:i/>
          <w:sz w:val="18"/>
          <w:szCs w:val="18"/>
        </w:rPr>
        <w:t xml:space="preserve">The Carmen, op. cit., </w:t>
      </w:r>
      <w:proofErr w:type="spellStart"/>
      <w:r w:rsidRPr="00001B71">
        <w:rPr>
          <w:sz w:val="18"/>
          <w:szCs w:val="18"/>
        </w:rPr>
        <w:t>p.xxxv</w:t>
      </w:r>
      <w:proofErr w:type="spellEnd"/>
    </w:p>
  </w:footnote>
  <w:footnote w:id="8">
    <w:p w14:paraId="54205099" w14:textId="77777777" w:rsidR="003307D5" w:rsidRPr="00001B71" w:rsidRDefault="003307D5" w:rsidP="00B5510A">
      <w:pPr>
        <w:ind w:left="-57"/>
        <w:rPr>
          <w:sz w:val="18"/>
          <w:szCs w:val="18"/>
        </w:rPr>
      </w:pPr>
      <w:r w:rsidRPr="00001B71">
        <w:rPr>
          <w:rStyle w:val="FootnoteReference"/>
          <w:sz w:val="18"/>
          <w:szCs w:val="18"/>
        </w:rPr>
        <w:footnoteRef/>
      </w:r>
      <w:r w:rsidRPr="00001B71">
        <w:rPr>
          <w:sz w:val="18"/>
          <w:szCs w:val="18"/>
        </w:rPr>
        <w:t xml:space="preserve"> </w:t>
      </w:r>
      <w:r w:rsidRPr="00001B71">
        <w:rPr>
          <w:i/>
          <w:sz w:val="18"/>
          <w:szCs w:val="18"/>
        </w:rPr>
        <w:t>The Gesta Normannorum Ducum of William of Jumièges, Orderic Vitalis and Robert of Torigni,</w:t>
      </w:r>
      <w:r w:rsidRPr="00001B71">
        <w:rPr>
          <w:sz w:val="18"/>
          <w:szCs w:val="18"/>
        </w:rPr>
        <w:t xml:space="preserve"> Vol. I, Intro. and Books I-IV, ed. and trans.by E.M.C van Houts, Oxford Medieval Texts, gen. eds. D.E Greenway, B.F Harvey and M. Lapridge (Oxford: Clarendon Press, 1992), p. xx and </w:t>
      </w:r>
      <w:proofErr w:type="spellStart"/>
      <w:r w:rsidRPr="00001B71">
        <w:rPr>
          <w:sz w:val="18"/>
          <w:szCs w:val="18"/>
        </w:rPr>
        <w:t>p.xlvi</w:t>
      </w:r>
      <w:proofErr w:type="spellEnd"/>
    </w:p>
  </w:footnote>
  <w:footnote w:id="9">
    <w:p w14:paraId="76C0D4B8" w14:textId="77777777" w:rsidR="003307D5" w:rsidRPr="00001B71" w:rsidRDefault="003307D5" w:rsidP="00B5510A">
      <w:pPr>
        <w:pStyle w:val="FootnoteText"/>
        <w:ind w:left="-57"/>
        <w:rPr>
          <w:sz w:val="18"/>
          <w:szCs w:val="18"/>
        </w:rPr>
      </w:pPr>
      <w:r w:rsidRPr="00001B71">
        <w:rPr>
          <w:rStyle w:val="FootnoteReference"/>
          <w:sz w:val="18"/>
          <w:szCs w:val="18"/>
        </w:rPr>
        <w:footnoteRef/>
      </w:r>
      <w:r w:rsidRPr="00001B71">
        <w:rPr>
          <w:sz w:val="18"/>
          <w:szCs w:val="18"/>
        </w:rPr>
        <w:t xml:space="preserve"> </w:t>
      </w:r>
      <w:r w:rsidRPr="00001B71">
        <w:rPr>
          <w:i/>
          <w:sz w:val="18"/>
          <w:szCs w:val="18"/>
        </w:rPr>
        <w:t xml:space="preserve">Ibid., </w:t>
      </w:r>
      <w:proofErr w:type="spellStart"/>
      <w:r w:rsidRPr="00001B71">
        <w:rPr>
          <w:sz w:val="18"/>
          <w:szCs w:val="18"/>
        </w:rPr>
        <w:t>p.xxi</w:t>
      </w:r>
      <w:proofErr w:type="spellEnd"/>
    </w:p>
  </w:footnote>
  <w:footnote w:id="10">
    <w:p w14:paraId="5EADA08F" w14:textId="3A00596C" w:rsidR="003307D5" w:rsidRPr="00001B71" w:rsidRDefault="003307D5" w:rsidP="00B5510A">
      <w:pPr>
        <w:pStyle w:val="FootnoteText"/>
        <w:ind w:left="-57"/>
        <w:rPr>
          <w:sz w:val="18"/>
          <w:szCs w:val="18"/>
        </w:rPr>
      </w:pPr>
      <w:r w:rsidRPr="00001B71">
        <w:rPr>
          <w:rStyle w:val="FootnoteReference"/>
          <w:sz w:val="18"/>
          <w:szCs w:val="18"/>
        </w:rPr>
        <w:footnoteRef/>
      </w:r>
      <w:r w:rsidRPr="00001B71">
        <w:rPr>
          <w:sz w:val="18"/>
          <w:szCs w:val="18"/>
        </w:rPr>
        <w:t xml:space="preserve"> </w:t>
      </w:r>
      <w:r w:rsidRPr="00001B71">
        <w:rPr>
          <w:i/>
          <w:sz w:val="18"/>
          <w:szCs w:val="18"/>
        </w:rPr>
        <w:t xml:space="preserve">Ibid., </w:t>
      </w:r>
      <w:proofErr w:type="spellStart"/>
      <w:r w:rsidRPr="00001B71">
        <w:rPr>
          <w:sz w:val="18"/>
          <w:szCs w:val="18"/>
        </w:rPr>
        <w:t>p.xlvii</w:t>
      </w:r>
      <w:proofErr w:type="spellEnd"/>
    </w:p>
  </w:footnote>
  <w:footnote w:id="11">
    <w:p w14:paraId="46655F28" w14:textId="77777777" w:rsidR="00F874C1" w:rsidRPr="00001B71" w:rsidRDefault="00F874C1" w:rsidP="00B5510A">
      <w:pPr>
        <w:pStyle w:val="FootnoteText"/>
        <w:ind w:left="-57"/>
        <w:rPr>
          <w:sz w:val="18"/>
          <w:szCs w:val="18"/>
        </w:rPr>
      </w:pPr>
      <w:r w:rsidRPr="00001B71">
        <w:rPr>
          <w:rStyle w:val="FootnoteReference"/>
          <w:sz w:val="18"/>
          <w:szCs w:val="18"/>
        </w:rPr>
        <w:footnoteRef/>
      </w:r>
      <w:r w:rsidRPr="00001B71">
        <w:rPr>
          <w:sz w:val="18"/>
          <w:szCs w:val="18"/>
        </w:rPr>
        <w:t xml:space="preserve"> S.A. Brown and M.W. </w:t>
      </w:r>
      <w:proofErr w:type="spellStart"/>
      <w:r w:rsidRPr="00001B71">
        <w:rPr>
          <w:sz w:val="18"/>
          <w:szCs w:val="18"/>
        </w:rPr>
        <w:t>Herren</w:t>
      </w:r>
      <w:proofErr w:type="spellEnd"/>
      <w:r w:rsidRPr="00001B71">
        <w:rPr>
          <w:sz w:val="18"/>
          <w:szCs w:val="18"/>
        </w:rPr>
        <w:t xml:space="preserve">, ‘The </w:t>
      </w:r>
      <w:r w:rsidRPr="00001B71">
        <w:rPr>
          <w:i/>
          <w:sz w:val="18"/>
          <w:szCs w:val="18"/>
        </w:rPr>
        <w:t>Adelae Comitissae</w:t>
      </w:r>
      <w:r w:rsidRPr="00001B71">
        <w:rPr>
          <w:sz w:val="18"/>
          <w:szCs w:val="18"/>
        </w:rPr>
        <w:t xml:space="preserve"> of Baudri of Bourgeuil and the Bayeux Tapestry’ in </w:t>
      </w:r>
      <w:r w:rsidRPr="00001B71">
        <w:rPr>
          <w:i/>
          <w:sz w:val="18"/>
          <w:szCs w:val="18"/>
        </w:rPr>
        <w:t>Anglo-Norman Studies XVI: Proceedings of the Battle Conference 1993,</w:t>
      </w:r>
      <w:r w:rsidRPr="00001B71">
        <w:rPr>
          <w:sz w:val="18"/>
          <w:szCs w:val="18"/>
        </w:rPr>
        <w:t xml:space="preserve"> Edited by M. Chibnall (Woodbridge: Boydell Press, 1994), pp.56-57</w:t>
      </w:r>
    </w:p>
  </w:footnote>
  <w:footnote w:id="12">
    <w:p w14:paraId="376D5B4C" w14:textId="77777777" w:rsidR="008B3B49" w:rsidRPr="00001B71" w:rsidRDefault="008B3B49" w:rsidP="00B5510A">
      <w:pPr>
        <w:ind w:left="-57"/>
        <w:rPr>
          <w:sz w:val="18"/>
          <w:szCs w:val="18"/>
        </w:rPr>
      </w:pPr>
      <w:r w:rsidRPr="00001B71">
        <w:rPr>
          <w:rStyle w:val="FootnoteReference"/>
          <w:sz w:val="18"/>
          <w:szCs w:val="18"/>
        </w:rPr>
        <w:footnoteRef/>
      </w:r>
      <w:r w:rsidRPr="00001B71">
        <w:rPr>
          <w:sz w:val="18"/>
          <w:szCs w:val="18"/>
        </w:rPr>
        <w:t xml:space="preserve"> William of Malmesbury, </w:t>
      </w:r>
      <w:r w:rsidRPr="00001B71">
        <w:rPr>
          <w:i/>
          <w:sz w:val="18"/>
          <w:szCs w:val="18"/>
        </w:rPr>
        <w:t xml:space="preserve">Gesta Regum Anglorum, </w:t>
      </w:r>
      <w:r w:rsidRPr="00001B71">
        <w:rPr>
          <w:sz w:val="18"/>
          <w:szCs w:val="18"/>
        </w:rPr>
        <w:t xml:space="preserve">Vol. I, ed. and trans.by R.A.B. Mynors, R.M. Thomson and  M. Winterbottom, Oxford Medieval Texts, gen. eds. D.E Greenway, B.F Harvey and M. Lapridge (Oxford: Clarendon Press, 1998, repr. 2006), </w:t>
      </w:r>
      <w:proofErr w:type="spellStart"/>
      <w:r w:rsidRPr="00001B71">
        <w:rPr>
          <w:sz w:val="18"/>
          <w:szCs w:val="18"/>
        </w:rPr>
        <w:t>pp.xxxi</w:t>
      </w:r>
      <w:proofErr w:type="spellEnd"/>
      <w:r w:rsidRPr="00001B71">
        <w:rPr>
          <w:sz w:val="18"/>
          <w:szCs w:val="18"/>
        </w:rPr>
        <w:t>-xxxii</w:t>
      </w:r>
    </w:p>
  </w:footnote>
  <w:footnote w:id="13">
    <w:p w14:paraId="795445D0" w14:textId="77777777" w:rsidR="008B3B49" w:rsidRPr="00001B71" w:rsidRDefault="008B3B49" w:rsidP="00B5510A">
      <w:pPr>
        <w:pStyle w:val="FootnoteText"/>
        <w:ind w:left="-57"/>
        <w:rPr>
          <w:sz w:val="18"/>
          <w:szCs w:val="18"/>
        </w:rPr>
      </w:pPr>
      <w:r w:rsidRPr="00001B71">
        <w:rPr>
          <w:rStyle w:val="FootnoteReference"/>
          <w:sz w:val="18"/>
          <w:szCs w:val="18"/>
        </w:rPr>
        <w:footnoteRef/>
      </w:r>
      <w:r w:rsidRPr="00001B71">
        <w:rPr>
          <w:sz w:val="18"/>
          <w:szCs w:val="18"/>
        </w:rPr>
        <w:t xml:space="preserve"> </w:t>
      </w:r>
      <w:r w:rsidRPr="00001B71">
        <w:rPr>
          <w:i/>
          <w:sz w:val="18"/>
          <w:szCs w:val="18"/>
        </w:rPr>
        <w:t>Ibid.,</w:t>
      </w:r>
      <w:r w:rsidRPr="00001B71">
        <w:rPr>
          <w:sz w:val="18"/>
          <w:szCs w:val="18"/>
        </w:rPr>
        <w:t xml:space="preserve"> p.15</w:t>
      </w:r>
    </w:p>
  </w:footnote>
  <w:footnote w:id="14">
    <w:p w14:paraId="310744EF" w14:textId="77777777" w:rsidR="008B3B49" w:rsidRPr="00001B71" w:rsidRDefault="008B3B49" w:rsidP="00B5510A">
      <w:pPr>
        <w:pStyle w:val="FootnoteText"/>
        <w:ind w:left="-57"/>
        <w:rPr>
          <w:sz w:val="18"/>
          <w:szCs w:val="18"/>
        </w:rPr>
      </w:pPr>
      <w:r w:rsidRPr="00001B71">
        <w:rPr>
          <w:rStyle w:val="FootnoteReference"/>
          <w:sz w:val="18"/>
          <w:szCs w:val="18"/>
        </w:rPr>
        <w:footnoteRef/>
      </w:r>
      <w:r w:rsidRPr="00001B71">
        <w:rPr>
          <w:sz w:val="18"/>
          <w:szCs w:val="18"/>
        </w:rPr>
        <w:t xml:space="preserve"> </w:t>
      </w:r>
      <w:r w:rsidRPr="00001B71">
        <w:rPr>
          <w:i/>
          <w:sz w:val="18"/>
          <w:szCs w:val="18"/>
        </w:rPr>
        <w:t xml:space="preserve">Ibid., </w:t>
      </w:r>
      <w:r w:rsidRPr="00001B71">
        <w:rPr>
          <w:sz w:val="18"/>
          <w:szCs w:val="18"/>
        </w:rPr>
        <w:t>p.425</w:t>
      </w:r>
    </w:p>
  </w:footnote>
  <w:footnote w:id="15">
    <w:p w14:paraId="7EEC4EC6" w14:textId="77777777" w:rsidR="008B3B49" w:rsidRPr="00001B71" w:rsidRDefault="008B3B49" w:rsidP="00B5510A">
      <w:pPr>
        <w:ind w:left="-57"/>
        <w:rPr>
          <w:sz w:val="18"/>
          <w:szCs w:val="18"/>
        </w:rPr>
      </w:pPr>
      <w:r w:rsidRPr="00001B71">
        <w:rPr>
          <w:rStyle w:val="FootnoteReference"/>
          <w:sz w:val="18"/>
          <w:szCs w:val="18"/>
        </w:rPr>
        <w:footnoteRef/>
      </w:r>
      <w:r w:rsidRPr="00001B71">
        <w:rPr>
          <w:sz w:val="18"/>
          <w:szCs w:val="18"/>
        </w:rPr>
        <w:t xml:space="preserve"> William of Malmesbury, </w:t>
      </w:r>
      <w:r w:rsidRPr="00001B71">
        <w:rPr>
          <w:i/>
          <w:sz w:val="18"/>
          <w:szCs w:val="18"/>
        </w:rPr>
        <w:t>Gesta Regum Anglorum,</w:t>
      </w:r>
      <w:r w:rsidRPr="00001B71">
        <w:rPr>
          <w:sz w:val="18"/>
          <w:szCs w:val="18"/>
        </w:rPr>
        <w:t xml:space="preserve"> Vol. II, gen. intro. and comm. by R.M. Thomson with M. Winterbottom, Oxford Medieval Texts, gen. eds. D.E Greenway, B.F Harvey and M. Lapridge (Oxford: Clarendon Press, 1999, repr. 2003), p.4</w:t>
      </w:r>
    </w:p>
  </w:footnote>
  <w:footnote w:id="16">
    <w:p w14:paraId="7D6E7CFA" w14:textId="77777777" w:rsidR="008B3B49" w:rsidRPr="00001B71" w:rsidRDefault="008B3B49" w:rsidP="00B5510A">
      <w:pPr>
        <w:ind w:left="-57"/>
        <w:rPr>
          <w:sz w:val="18"/>
          <w:szCs w:val="18"/>
        </w:rPr>
      </w:pPr>
      <w:r w:rsidRPr="00001B71">
        <w:rPr>
          <w:rStyle w:val="FootnoteReference"/>
          <w:sz w:val="18"/>
          <w:szCs w:val="18"/>
        </w:rPr>
        <w:footnoteRef/>
      </w:r>
      <w:r w:rsidRPr="00001B71">
        <w:rPr>
          <w:sz w:val="18"/>
          <w:szCs w:val="18"/>
        </w:rPr>
        <w:t xml:space="preserve"> G. Gaimar, </w:t>
      </w:r>
      <w:r w:rsidRPr="00001B71">
        <w:rPr>
          <w:i/>
          <w:sz w:val="18"/>
          <w:szCs w:val="18"/>
        </w:rPr>
        <w:t>Estoire des Engleis,</w:t>
      </w:r>
      <w:r w:rsidRPr="00001B71">
        <w:rPr>
          <w:sz w:val="18"/>
          <w:szCs w:val="18"/>
        </w:rPr>
        <w:t xml:space="preserve"> ed. and trans.by I. Short (Oxford: Oxford University Press, 2009), p.xii and fn.11 for alternative date</w:t>
      </w:r>
    </w:p>
  </w:footnote>
  <w:footnote w:id="17">
    <w:p w14:paraId="12BD7DEE" w14:textId="77777777" w:rsidR="008B3B49" w:rsidRPr="00001B71" w:rsidRDefault="008B3B49" w:rsidP="00B5510A">
      <w:pPr>
        <w:pStyle w:val="FootnoteText"/>
        <w:ind w:left="-57"/>
        <w:rPr>
          <w:sz w:val="18"/>
          <w:szCs w:val="18"/>
        </w:rPr>
      </w:pPr>
      <w:r w:rsidRPr="00001B71">
        <w:rPr>
          <w:rStyle w:val="FootnoteReference"/>
          <w:sz w:val="18"/>
          <w:szCs w:val="18"/>
        </w:rPr>
        <w:footnoteRef/>
      </w:r>
      <w:r w:rsidRPr="00001B71">
        <w:rPr>
          <w:sz w:val="18"/>
          <w:szCs w:val="18"/>
        </w:rPr>
        <w:t xml:space="preserve"> </w:t>
      </w:r>
      <w:r w:rsidRPr="00001B71">
        <w:rPr>
          <w:i/>
          <w:sz w:val="18"/>
          <w:szCs w:val="18"/>
        </w:rPr>
        <w:t xml:space="preserve">Ibid., </w:t>
      </w:r>
      <w:proofErr w:type="spellStart"/>
      <w:r w:rsidRPr="00001B71">
        <w:rPr>
          <w:sz w:val="18"/>
          <w:szCs w:val="18"/>
        </w:rPr>
        <w:t>p.xliv</w:t>
      </w:r>
      <w:proofErr w:type="spellEnd"/>
    </w:p>
  </w:footnote>
  <w:footnote w:id="18">
    <w:p w14:paraId="0A94D7B9" w14:textId="77777777" w:rsidR="008B3B49" w:rsidRPr="00001B71" w:rsidRDefault="008B3B49" w:rsidP="00B5510A">
      <w:pPr>
        <w:pStyle w:val="FootnoteText"/>
        <w:ind w:left="-57"/>
        <w:rPr>
          <w:sz w:val="18"/>
          <w:szCs w:val="18"/>
        </w:rPr>
      </w:pPr>
      <w:r w:rsidRPr="00001B71">
        <w:rPr>
          <w:rStyle w:val="FootnoteReference"/>
          <w:sz w:val="18"/>
          <w:szCs w:val="18"/>
        </w:rPr>
        <w:footnoteRef/>
      </w:r>
      <w:r w:rsidRPr="00001B71">
        <w:rPr>
          <w:sz w:val="18"/>
          <w:szCs w:val="18"/>
        </w:rPr>
        <w:t xml:space="preserve"> </w:t>
      </w:r>
      <w:r w:rsidRPr="00001B71">
        <w:rPr>
          <w:i/>
          <w:sz w:val="18"/>
          <w:szCs w:val="18"/>
        </w:rPr>
        <w:t xml:space="preserve">Ibid., </w:t>
      </w:r>
      <w:proofErr w:type="spellStart"/>
      <w:r w:rsidRPr="00001B71">
        <w:rPr>
          <w:sz w:val="18"/>
          <w:szCs w:val="18"/>
        </w:rPr>
        <w:t>p.xiv</w:t>
      </w:r>
      <w:proofErr w:type="spellEnd"/>
    </w:p>
  </w:footnote>
  <w:footnote w:id="19">
    <w:p w14:paraId="5FF89727" w14:textId="2104018C" w:rsidR="00B63EB0" w:rsidRPr="00001B71" w:rsidRDefault="00B63EB0" w:rsidP="00B5510A">
      <w:pPr>
        <w:ind w:left="-57"/>
        <w:rPr>
          <w:sz w:val="18"/>
          <w:szCs w:val="18"/>
        </w:rPr>
      </w:pPr>
      <w:r w:rsidRPr="00001B71">
        <w:rPr>
          <w:rStyle w:val="FootnoteReference"/>
          <w:sz w:val="18"/>
          <w:szCs w:val="18"/>
        </w:rPr>
        <w:footnoteRef/>
      </w:r>
      <w:r w:rsidRPr="00001B71">
        <w:rPr>
          <w:sz w:val="18"/>
          <w:szCs w:val="18"/>
        </w:rPr>
        <w:t xml:space="preserve"> Henry, Archdeacon of Huntingdon, </w:t>
      </w:r>
      <w:r w:rsidRPr="00001B71">
        <w:rPr>
          <w:i/>
          <w:sz w:val="18"/>
          <w:szCs w:val="18"/>
        </w:rPr>
        <w:t>Historia Anglorum,</w:t>
      </w:r>
      <w:r w:rsidRPr="00001B71">
        <w:rPr>
          <w:sz w:val="18"/>
          <w:szCs w:val="18"/>
        </w:rPr>
        <w:t xml:space="preserve"> ed. and trans. by D.E Greenway, Oxford Medieval Texts, gen. eds D.E Greenway, B.F Harvey and M. Lapridge (Oxford: Clarendon Press, 1996, repr. 2007), </w:t>
      </w:r>
      <w:proofErr w:type="spellStart"/>
      <w:r w:rsidRPr="00001B71">
        <w:rPr>
          <w:sz w:val="18"/>
          <w:szCs w:val="18"/>
        </w:rPr>
        <w:t>pp.lvii</w:t>
      </w:r>
      <w:proofErr w:type="spellEnd"/>
      <w:r w:rsidRPr="00001B71">
        <w:rPr>
          <w:sz w:val="18"/>
          <w:szCs w:val="18"/>
        </w:rPr>
        <w:t>-</w:t>
      </w:r>
      <w:r w:rsidR="00D05AD5" w:rsidRPr="00001B71">
        <w:rPr>
          <w:sz w:val="18"/>
          <w:szCs w:val="18"/>
        </w:rPr>
        <w:t>lviii</w:t>
      </w:r>
    </w:p>
  </w:footnote>
  <w:footnote w:id="20">
    <w:p w14:paraId="4F99599F" w14:textId="42F854A6" w:rsidR="00413BF0" w:rsidRPr="00001B71" w:rsidRDefault="00413BF0" w:rsidP="00B5510A">
      <w:pPr>
        <w:pStyle w:val="FootnoteText"/>
        <w:ind w:left="-57"/>
        <w:rPr>
          <w:sz w:val="18"/>
          <w:szCs w:val="18"/>
        </w:rPr>
      </w:pPr>
      <w:r w:rsidRPr="00001B71">
        <w:rPr>
          <w:rStyle w:val="FootnoteReference"/>
          <w:sz w:val="18"/>
          <w:szCs w:val="18"/>
        </w:rPr>
        <w:footnoteRef/>
      </w:r>
      <w:r w:rsidRPr="00001B71">
        <w:rPr>
          <w:sz w:val="18"/>
          <w:szCs w:val="18"/>
        </w:rPr>
        <w:t xml:space="preserve"> </w:t>
      </w:r>
      <w:r w:rsidRPr="00001B71">
        <w:rPr>
          <w:i/>
          <w:sz w:val="18"/>
          <w:szCs w:val="18"/>
        </w:rPr>
        <w:t>Ibid.,</w:t>
      </w:r>
      <w:r w:rsidRPr="00001B71">
        <w:rPr>
          <w:sz w:val="18"/>
          <w:szCs w:val="18"/>
        </w:rPr>
        <w:t xml:space="preserve"> </w:t>
      </w:r>
      <w:proofErr w:type="spellStart"/>
      <w:r w:rsidRPr="00001B71">
        <w:rPr>
          <w:sz w:val="18"/>
          <w:szCs w:val="18"/>
        </w:rPr>
        <w:t>p.</w:t>
      </w:r>
      <w:r w:rsidR="005F7156" w:rsidRPr="00001B71">
        <w:rPr>
          <w:sz w:val="18"/>
          <w:szCs w:val="18"/>
        </w:rPr>
        <w:t>lxxxv</w:t>
      </w:r>
      <w:proofErr w:type="spellEnd"/>
    </w:p>
  </w:footnote>
  <w:footnote w:id="21">
    <w:p w14:paraId="35AC1C4F" w14:textId="6ED0BDF8" w:rsidR="003320D1" w:rsidRPr="00001B71" w:rsidRDefault="003320D1" w:rsidP="00B5510A">
      <w:pPr>
        <w:ind w:left="-57"/>
        <w:rPr>
          <w:sz w:val="18"/>
          <w:szCs w:val="18"/>
        </w:rPr>
      </w:pPr>
      <w:r w:rsidRPr="00001B71">
        <w:rPr>
          <w:rStyle w:val="FootnoteReference"/>
          <w:sz w:val="18"/>
          <w:szCs w:val="18"/>
        </w:rPr>
        <w:footnoteRef/>
      </w:r>
      <w:r w:rsidRPr="00001B71">
        <w:rPr>
          <w:sz w:val="18"/>
          <w:szCs w:val="18"/>
        </w:rPr>
        <w:t xml:space="preserve"> </w:t>
      </w:r>
      <w:r w:rsidR="00C57925" w:rsidRPr="00001B71">
        <w:rPr>
          <w:i/>
          <w:sz w:val="18"/>
          <w:szCs w:val="18"/>
        </w:rPr>
        <w:t xml:space="preserve">Ibid., </w:t>
      </w:r>
      <w:proofErr w:type="spellStart"/>
      <w:r w:rsidRPr="00001B71">
        <w:rPr>
          <w:sz w:val="18"/>
          <w:szCs w:val="18"/>
        </w:rPr>
        <w:t>p.lxvi</w:t>
      </w:r>
      <w:proofErr w:type="spellEnd"/>
    </w:p>
  </w:footnote>
  <w:footnote w:id="22">
    <w:p w14:paraId="5FCF5E10" w14:textId="77777777" w:rsidR="008B3B49" w:rsidRPr="00001B71" w:rsidRDefault="008B3B49" w:rsidP="00B5510A">
      <w:pPr>
        <w:ind w:left="-57"/>
        <w:rPr>
          <w:sz w:val="18"/>
          <w:szCs w:val="18"/>
        </w:rPr>
      </w:pPr>
      <w:r w:rsidRPr="00001B71">
        <w:rPr>
          <w:rStyle w:val="FootnoteReference"/>
          <w:sz w:val="18"/>
          <w:szCs w:val="18"/>
        </w:rPr>
        <w:footnoteRef/>
      </w:r>
      <w:r w:rsidRPr="00001B71">
        <w:rPr>
          <w:sz w:val="18"/>
          <w:szCs w:val="18"/>
        </w:rPr>
        <w:t xml:space="preserve"> S.N. Vaughan, ‘Eadmer’s Historia Novorum: A Reinterpretation’ in </w:t>
      </w:r>
      <w:r w:rsidRPr="00001B71">
        <w:rPr>
          <w:i/>
          <w:sz w:val="18"/>
          <w:szCs w:val="18"/>
        </w:rPr>
        <w:t>Anglo-Norman Studies X: Proceedings of the Battle Conference 1987,</w:t>
      </w:r>
      <w:r w:rsidRPr="00001B71">
        <w:rPr>
          <w:sz w:val="18"/>
          <w:szCs w:val="18"/>
        </w:rPr>
        <w:t xml:space="preserve"> ed. by R.A. Brown (Woodbridge: Boydell Press,1987, 1988), p.259</w:t>
      </w:r>
    </w:p>
  </w:footnote>
  <w:footnote w:id="23">
    <w:p w14:paraId="31588892" w14:textId="77777777" w:rsidR="008B3B49" w:rsidRPr="00001B71" w:rsidRDefault="008B3B49" w:rsidP="00B5510A">
      <w:pPr>
        <w:pStyle w:val="FootnoteText"/>
        <w:ind w:left="-57"/>
        <w:rPr>
          <w:sz w:val="18"/>
          <w:szCs w:val="18"/>
        </w:rPr>
      </w:pPr>
      <w:r w:rsidRPr="00001B71">
        <w:rPr>
          <w:rStyle w:val="FootnoteReference"/>
          <w:sz w:val="18"/>
          <w:szCs w:val="18"/>
        </w:rPr>
        <w:footnoteRef/>
      </w:r>
      <w:r w:rsidRPr="00001B71">
        <w:rPr>
          <w:sz w:val="18"/>
          <w:szCs w:val="18"/>
        </w:rPr>
        <w:t xml:space="preserve"> </w:t>
      </w:r>
      <w:r w:rsidRPr="00001B71">
        <w:rPr>
          <w:i/>
          <w:sz w:val="18"/>
          <w:szCs w:val="18"/>
        </w:rPr>
        <w:t xml:space="preserve">Ibid., </w:t>
      </w:r>
      <w:r w:rsidRPr="00001B71">
        <w:rPr>
          <w:sz w:val="18"/>
          <w:szCs w:val="18"/>
        </w:rPr>
        <w:t>p.260</w:t>
      </w:r>
    </w:p>
  </w:footnote>
  <w:footnote w:id="24">
    <w:p w14:paraId="4192BAD2" w14:textId="77777777" w:rsidR="008A2414" w:rsidRPr="00001B71" w:rsidRDefault="008A2414" w:rsidP="00B5510A">
      <w:pPr>
        <w:ind w:left="-57"/>
        <w:rPr>
          <w:sz w:val="18"/>
          <w:szCs w:val="18"/>
        </w:rPr>
      </w:pPr>
      <w:r w:rsidRPr="00001B71">
        <w:rPr>
          <w:rStyle w:val="FootnoteReference"/>
          <w:sz w:val="18"/>
          <w:szCs w:val="18"/>
        </w:rPr>
        <w:footnoteRef/>
      </w:r>
      <w:r w:rsidRPr="00001B71">
        <w:rPr>
          <w:sz w:val="18"/>
          <w:szCs w:val="18"/>
        </w:rPr>
        <w:t xml:space="preserve"> </w:t>
      </w:r>
      <w:r w:rsidRPr="00001B71">
        <w:rPr>
          <w:i/>
          <w:sz w:val="18"/>
          <w:szCs w:val="18"/>
        </w:rPr>
        <w:t>Florentii Wigorniensis Monachi Chronicon ex Chronensis,</w:t>
      </w:r>
      <w:r w:rsidRPr="00001B71">
        <w:rPr>
          <w:sz w:val="18"/>
          <w:szCs w:val="18"/>
        </w:rPr>
        <w:t xml:space="preserve"> Tomus II, Edited by B. Thorpe (Londini: Sumptibus Societatis: M.DCCC.XLIX), </w:t>
      </w:r>
      <w:proofErr w:type="spellStart"/>
      <w:r w:rsidRPr="00001B71">
        <w:rPr>
          <w:sz w:val="18"/>
          <w:szCs w:val="18"/>
        </w:rPr>
        <w:t>pp.v</w:t>
      </w:r>
      <w:proofErr w:type="spellEnd"/>
      <w:r w:rsidRPr="00001B71">
        <w:rPr>
          <w:sz w:val="18"/>
          <w:szCs w:val="18"/>
        </w:rPr>
        <w:t>-vii</w:t>
      </w:r>
    </w:p>
  </w:footnote>
  <w:footnote w:id="25">
    <w:p w14:paraId="3515D897" w14:textId="77777777" w:rsidR="008A2414" w:rsidRPr="00001B71" w:rsidRDefault="008A2414" w:rsidP="00B5510A">
      <w:pPr>
        <w:pStyle w:val="FootnoteText"/>
        <w:ind w:left="-57"/>
        <w:rPr>
          <w:sz w:val="18"/>
          <w:szCs w:val="18"/>
        </w:rPr>
      </w:pPr>
      <w:r w:rsidRPr="00001B71">
        <w:rPr>
          <w:rStyle w:val="FootnoteReference"/>
          <w:sz w:val="18"/>
          <w:szCs w:val="18"/>
        </w:rPr>
        <w:footnoteRef/>
      </w:r>
      <w:r w:rsidRPr="00001B71">
        <w:rPr>
          <w:sz w:val="18"/>
          <w:szCs w:val="18"/>
        </w:rPr>
        <w:t xml:space="preserve"> </w:t>
      </w:r>
      <w:r w:rsidRPr="00001B71">
        <w:rPr>
          <w:i/>
          <w:sz w:val="18"/>
          <w:szCs w:val="18"/>
        </w:rPr>
        <w:t xml:space="preserve">Ibid., </w:t>
      </w:r>
      <w:r w:rsidRPr="00001B71">
        <w:rPr>
          <w:sz w:val="18"/>
          <w:szCs w:val="18"/>
        </w:rPr>
        <w:t xml:space="preserve">p.vi and </w:t>
      </w:r>
      <w:proofErr w:type="spellStart"/>
      <w:r w:rsidRPr="00001B71">
        <w:rPr>
          <w:sz w:val="18"/>
          <w:szCs w:val="18"/>
        </w:rPr>
        <w:t>p.viii</w:t>
      </w:r>
      <w:proofErr w:type="spellEnd"/>
    </w:p>
  </w:footnote>
  <w:footnote w:id="26">
    <w:p w14:paraId="2222EB94" w14:textId="77777777" w:rsidR="008A2414" w:rsidRPr="00001B71" w:rsidRDefault="008A2414" w:rsidP="00B5510A">
      <w:pPr>
        <w:pStyle w:val="FootnoteText"/>
        <w:ind w:left="-57"/>
        <w:rPr>
          <w:sz w:val="18"/>
          <w:szCs w:val="18"/>
        </w:rPr>
      </w:pPr>
      <w:r w:rsidRPr="00001B71">
        <w:rPr>
          <w:rStyle w:val="FootnoteReference"/>
          <w:sz w:val="18"/>
          <w:szCs w:val="18"/>
        </w:rPr>
        <w:footnoteRef/>
      </w:r>
      <w:r w:rsidRPr="00001B71">
        <w:rPr>
          <w:sz w:val="18"/>
          <w:szCs w:val="18"/>
        </w:rPr>
        <w:t xml:space="preserve"> S. Morillo, </w:t>
      </w:r>
      <w:r w:rsidRPr="00001B71">
        <w:rPr>
          <w:i/>
          <w:sz w:val="18"/>
          <w:szCs w:val="18"/>
        </w:rPr>
        <w:t xml:space="preserve">The Battle of Hastings </w:t>
      </w:r>
      <w:r w:rsidRPr="00001B71">
        <w:rPr>
          <w:sz w:val="18"/>
          <w:szCs w:val="18"/>
        </w:rPr>
        <w:t>(Woodbridge: Boydell Press, 1996, repr paperback 1998, 1999), p.29</w:t>
      </w:r>
    </w:p>
  </w:footnote>
  <w:footnote w:id="27">
    <w:p w14:paraId="2F457C89" w14:textId="3F02C4CB" w:rsidR="00966707" w:rsidRPr="00001B71" w:rsidRDefault="00966707" w:rsidP="00B5510A">
      <w:pPr>
        <w:ind w:left="-57"/>
        <w:rPr>
          <w:sz w:val="18"/>
          <w:szCs w:val="18"/>
        </w:rPr>
      </w:pPr>
      <w:r w:rsidRPr="00001B71">
        <w:rPr>
          <w:rStyle w:val="FootnoteReference"/>
          <w:sz w:val="18"/>
          <w:szCs w:val="18"/>
        </w:rPr>
        <w:footnoteRef/>
      </w:r>
      <w:r w:rsidRPr="00001B71">
        <w:rPr>
          <w:sz w:val="18"/>
          <w:szCs w:val="18"/>
        </w:rPr>
        <w:t xml:space="preserve"> </w:t>
      </w:r>
      <w:r w:rsidR="00E978A8" w:rsidRPr="00001B71">
        <w:rPr>
          <w:sz w:val="18"/>
          <w:szCs w:val="18"/>
        </w:rPr>
        <w:t xml:space="preserve">William of Poitiers, </w:t>
      </w:r>
      <w:r w:rsidR="00E978A8" w:rsidRPr="00001B71">
        <w:rPr>
          <w:i/>
          <w:sz w:val="18"/>
          <w:szCs w:val="18"/>
        </w:rPr>
        <w:t>Gesta Guillelmi,</w:t>
      </w:r>
      <w:r w:rsidR="00E978A8" w:rsidRPr="00001B71">
        <w:rPr>
          <w:sz w:val="18"/>
          <w:szCs w:val="18"/>
        </w:rPr>
        <w:t xml:space="preserve"> </w:t>
      </w:r>
      <w:r w:rsidR="007B0B7E" w:rsidRPr="00001B71">
        <w:rPr>
          <w:sz w:val="18"/>
          <w:szCs w:val="18"/>
        </w:rPr>
        <w:t>ed. and trans.</w:t>
      </w:r>
      <w:r w:rsidR="00E978A8" w:rsidRPr="00001B71">
        <w:rPr>
          <w:sz w:val="18"/>
          <w:szCs w:val="18"/>
        </w:rPr>
        <w:t xml:space="preserve">by R.H.C Davis, and M. Chibnall, Oxford Medieval Texts, </w:t>
      </w:r>
      <w:r w:rsidR="009F56CC" w:rsidRPr="00001B71">
        <w:rPr>
          <w:sz w:val="18"/>
          <w:szCs w:val="18"/>
        </w:rPr>
        <w:t xml:space="preserve">gen. eds. </w:t>
      </w:r>
      <w:r w:rsidR="00E978A8" w:rsidRPr="00001B71">
        <w:rPr>
          <w:sz w:val="18"/>
          <w:szCs w:val="18"/>
        </w:rPr>
        <w:t xml:space="preserve">D.E Greenway, B.F Harvey and M. Lapridge (Oxford: Clarendon Press, 1998, repr. 2006), </w:t>
      </w:r>
      <w:proofErr w:type="spellStart"/>
      <w:r w:rsidRPr="00001B71">
        <w:rPr>
          <w:sz w:val="18"/>
          <w:szCs w:val="18"/>
        </w:rPr>
        <w:t>p.xix</w:t>
      </w:r>
      <w:proofErr w:type="spellEnd"/>
    </w:p>
  </w:footnote>
  <w:footnote w:id="28">
    <w:p w14:paraId="59CE5FE8" w14:textId="4C9F9E76" w:rsidR="00E22F39" w:rsidRPr="00001B71" w:rsidRDefault="00E22F39" w:rsidP="00B5510A">
      <w:pPr>
        <w:pStyle w:val="FootnoteText"/>
        <w:ind w:left="-57"/>
        <w:rPr>
          <w:sz w:val="18"/>
          <w:szCs w:val="18"/>
        </w:rPr>
      </w:pPr>
      <w:r w:rsidRPr="00001B71">
        <w:rPr>
          <w:rStyle w:val="FootnoteReference"/>
          <w:sz w:val="18"/>
          <w:szCs w:val="18"/>
        </w:rPr>
        <w:footnoteRef/>
      </w:r>
      <w:r w:rsidRPr="00001B71">
        <w:rPr>
          <w:sz w:val="18"/>
          <w:szCs w:val="18"/>
        </w:rPr>
        <w:t xml:space="preserve"> </w:t>
      </w:r>
      <w:r w:rsidR="009C4247" w:rsidRPr="00001B71">
        <w:rPr>
          <w:i/>
          <w:sz w:val="18"/>
          <w:szCs w:val="18"/>
        </w:rPr>
        <w:t xml:space="preserve">Ibid., </w:t>
      </w:r>
      <w:proofErr w:type="spellStart"/>
      <w:r w:rsidR="009C4247" w:rsidRPr="00001B71">
        <w:rPr>
          <w:sz w:val="18"/>
          <w:szCs w:val="18"/>
        </w:rPr>
        <w:t>p</w:t>
      </w:r>
      <w:r w:rsidR="00AD5800" w:rsidRPr="00001B71">
        <w:rPr>
          <w:sz w:val="18"/>
          <w:szCs w:val="18"/>
        </w:rPr>
        <w:t>.xxxii</w:t>
      </w:r>
      <w:proofErr w:type="spellEnd"/>
    </w:p>
  </w:footnote>
  <w:footnote w:id="29">
    <w:p w14:paraId="76EFA155" w14:textId="6E5432A0" w:rsidR="002A62AD" w:rsidRPr="00001B71" w:rsidRDefault="002A62AD" w:rsidP="00B5510A">
      <w:pPr>
        <w:pStyle w:val="FootnoteText"/>
        <w:ind w:left="-57"/>
        <w:rPr>
          <w:sz w:val="18"/>
          <w:szCs w:val="18"/>
        </w:rPr>
      </w:pPr>
      <w:r w:rsidRPr="00001B71">
        <w:rPr>
          <w:rStyle w:val="FootnoteReference"/>
          <w:sz w:val="18"/>
          <w:szCs w:val="18"/>
        </w:rPr>
        <w:footnoteRef/>
      </w:r>
      <w:r w:rsidRPr="00001B71">
        <w:rPr>
          <w:sz w:val="18"/>
          <w:szCs w:val="18"/>
        </w:rPr>
        <w:t xml:space="preserve"> </w:t>
      </w:r>
      <w:r w:rsidRPr="00001B71">
        <w:rPr>
          <w:i/>
          <w:sz w:val="18"/>
          <w:szCs w:val="18"/>
        </w:rPr>
        <w:t>Ibid.,</w:t>
      </w:r>
      <w:r w:rsidRPr="00001B71">
        <w:rPr>
          <w:sz w:val="18"/>
          <w:szCs w:val="18"/>
        </w:rPr>
        <w:t xml:space="preserve"> </w:t>
      </w:r>
      <w:proofErr w:type="spellStart"/>
      <w:r w:rsidRPr="00001B71">
        <w:rPr>
          <w:sz w:val="18"/>
          <w:szCs w:val="18"/>
        </w:rPr>
        <w:t>p.xxvii</w:t>
      </w:r>
      <w:proofErr w:type="spellEnd"/>
    </w:p>
  </w:footnote>
  <w:footnote w:id="30">
    <w:p w14:paraId="381C37E9" w14:textId="2ED8F287" w:rsidR="00DA263A" w:rsidRPr="00001B71" w:rsidRDefault="00DA263A" w:rsidP="00B5510A">
      <w:pPr>
        <w:pStyle w:val="FootnoteText"/>
        <w:ind w:left="-57"/>
        <w:rPr>
          <w:sz w:val="18"/>
          <w:szCs w:val="18"/>
        </w:rPr>
      </w:pPr>
      <w:r w:rsidRPr="00001B71">
        <w:rPr>
          <w:rStyle w:val="FootnoteReference"/>
          <w:sz w:val="18"/>
          <w:szCs w:val="18"/>
        </w:rPr>
        <w:footnoteRef/>
      </w:r>
      <w:r w:rsidRPr="00001B71">
        <w:rPr>
          <w:sz w:val="18"/>
          <w:szCs w:val="18"/>
        </w:rPr>
        <w:t xml:space="preserve"> S. Morillo, </w:t>
      </w:r>
      <w:r w:rsidR="0070508D" w:rsidRPr="00001B71">
        <w:rPr>
          <w:i/>
          <w:sz w:val="18"/>
          <w:szCs w:val="18"/>
        </w:rPr>
        <w:t>op. cit.</w:t>
      </w:r>
      <w:r w:rsidR="0070508D" w:rsidRPr="00001B71">
        <w:rPr>
          <w:sz w:val="18"/>
          <w:szCs w:val="18"/>
        </w:rPr>
        <w:t>,</w:t>
      </w:r>
      <w:r w:rsidRPr="00001B71">
        <w:rPr>
          <w:sz w:val="18"/>
          <w:szCs w:val="18"/>
        </w:rPr>
        <w:t>p.3</w:t>
      </w:r>
    </w:p>
  </w:footnote>
  <w:footnote w:id="31">
    <w:p w14:paraId="5A16B2EC" w14:textId="2C469FF3" w:rsidR="0039221E" w:rsidRPr="00001B71" w:rsidRDefault="0039221E" w:rsidP="00B5510A">
      <w:pPr>
        <w:ind w:left="-57"/>
        <w:rPr>
          <w:sz w:val="18"/>
          <w:szCs w:val="18"/>
        </w:rPr>
      </w:pPr>
      <w:r w:rsidRPr="00001B71">
        <w:rPr>
          <w:rStyle w:val="FootnoteReference"/>
          <w:sz w:val="18"/>
          <w:szCs w:val="18"/>
        </w:rPr>
        <w:footnoteRef/>
      </w:r>
      <w:r w:rsidRPr="00001B71">
        <w:rPr>
          <w:sz w:val="18"/>
          <w:szCs w:val="18"/>
        </w:rPr>
        <w:t xml:space="preserve"> </w:t>
      </w:r>
      <w:r w:rsidRPr="00001B71">
        <w:rPr>
          <w:i/>
          <w:sz w:val="18"/>
          <w:szCs w:val="18"/>
        </w:rPr>
        <w:t>The Ecclesiastical History of Orderic Vitalis,</w:t>
      </w:r>
      <w:r w:rsidRPr="00001B71">
        <w:rPr>
          <w:sz w:val="18"/>
          <w:szCs w:val="18"/>
        </w:rPr>
        <w:t xml:space="preserve"> Vol. II Books III and IV, ed. and trans. by C. Chibnall, Oxford Medieval Texts, gen. eds. D.E Greenway, B.F Harvey and M. Lapridge (Oxford: Clarendon Press, 1969, repr. 2006), p. x</w:t>
      </w:r>
      <w:r w:rsidR="00A2164C" w:rsidRPr="00001B71">
        <w:rPr>
          <w:sz w:val="18"/>
          <w:szCs w:val="18"/>
        </w:rPr>
        <w:t>i</w:t>
      </w:r>
      <w:r w:rsidRPr="00001B71">
        <w:rPr>
          <w:sz w:val="18"/>
          <w:szCs w:val="18"/>
        </w:rPr>
        <w:t>v</w:t>
      </w:r>
    </w:p>
  </w:footnote>
  <w:footnote w:id="32">
    <w:p w14:paraId="1056B00A" w14:textId="30CA6442" w:rsidR="00C118E3" w:rsidRPr="00001B71" w:rsidRDefault="00C118E3" w:rsidP="00B5510A">
      <w:pPr>
        <w:pStyle w:val="FootnoteText"/>
        <w:ind w:left="-57"/>
        <w:rPr>
          <w:sz w:val="18"/>
          <w:szCs w:val="18"/>
        </w:rPr>
      </w:pPr>
      <w:r w:rsidRPr="00001B71">
        <w:rPr>
          <w:rStyle w:val="FootnoteReference"/>
          <w:sz w:val="18"/>
          <w:szCs w:val="18"/>
        </w:rPr>
        <w:footnoteRef/>
      </w:r>
      <w:r w:rsidRPr="00001B71">
        <w:rPr>
          <w:sz w:val="18"/>
          <w:szCs w:val="18"/>
        </w:rPr>
        <w:t xml:space="preserve"> </w:t>
      </w:r>
      <w:r w:rsidR="00CC438F" w:rsidRPr="00001B71">
        <w:rPr>
          <w:i/>
          <w:sz w:val="18"/>
          <w:szCs w:val="18"/>
        </w:rPr>
        <w:t xml:space="preserve">Ibid., </w:t>
      </w:r>
      <w:r w:rsidRPr="00001B71">
        <w:rPr>
          <w:sz w:val="18"/>
          <w:szCs w:val="18"/>
        </w:rPr>
        <w:t>p. xxix</w:t>
      </w:r>
    </w:p>
  </w:footnote>
  <w:footnote w:id="33">
    <w:p w14:paraId="7C452E6D" w14:textId="03773623" w:rsidR="00E4142E" w:rsidRPr="00001B71" w:rsidRDefault="00E4142E" w:rsidP="00B5510A">
      <w:pPr>
        <w:ind w:left="-57"/>
        <w:rPr>
          <w:sz w:val="18"/>
          <w:szCs w:val="18"/>
        </w:rPr>
      </w:pPr>
      <w:r w:rsidRPr="00001B71">
        <w:rPr>
          <w:rStyle w:val="FootnoteReference"/>
          <w:sz w:val="18"/>
          <w:szCs w:val="18"/>
        </w:rPr>
        <w:footnoteRef/>
      </w:r>
      <w:r w:rsidR="00FF4576" w:rsidRPr="00001B71">
        <w:rPr>
          <w:sz w:val="18"/>
          <w:szCs w:val="18"/>
        </w:rPr>
        <w:t xml:space="preserve"> </w:t>
      </w:r>
      <w:r w:rsidR="009B4836" w:rsidRPr="00001B71">
        <w:rPr>
          <w:i/>
          <w:sz w:val="18"/>
          <w:szCs w:val="18"/>
        </w:rPr>
        <w:t>The History of the Norman People: Wace’s Roman De Rou,</w:t>
      </w:r>
      <w:r w:rsidR="009B4836" w:rsidRPr="00001B71">
        <w:rPr>
          <w:sz w:val="18"/>
          <w:szCs w:val="18"/>
        </w:rPr>
        <w:t xml:space="preserve"> </w:t>
      </w:r>
      <w:r w:rsidR="006F4D31" w:rsidRPr="00001B71">
        <w:rPr>
          <w:sz w:val="18"/>
          <w:szCs w:val="18"/>
        </w:rPr>
        <w:t>trans.</w:t>
      </w:r>
      <w:r w:rsidR="009B4836" w:rsidRPr="00001B71">
        <w:rPr>
          <w:sz w:val="18"/>
          <w:szCs w:val="18"/>
        </w:rPr>
        <w:t xml:space="preserve">by G.S. Burgess with </w:t>
      </w:r>
      <w:r w:rsidR="00195910" w:rsidRPr="00001B71">
        <w:rPr>
          <w:sz w:val="18"/>
          <w:szCs w:val="18"/>
        </w:rPr>
        <w:t>n</w:t>
      </w:r>
      <w:r w:rsidR="009B4836" w:rsidRPr="00001B71">
        <w:rPr>
          <w:sz w:val="18"/>
          <w:szCs w:val="18"/>
        </w:rPr>
        <w:t>otes by E.M.C van Houts (Woodbridge: Boydell Press, 2004)</w:t>
      </w:r>
      <w:r w:rsidR="006E5F86" w:rsidRPr="00001B71">
        <w:rPr>
          <w:sz w:val="18"/>
          <w:szCs w:val="18"/>
        </w:rPr>
        <w:t>, p.</w:t>
      </w:r>
      <w:r w:rsidR="000D6B68" w:rsidRPr="00001B71">
        <w:rPr>
          <w:sz w:val="18"/>
          <w:szCs w:val="18"/>
        </w:rPr>
        <w:t>xi</w:t>
      </w:r>
    </w:p>
  </w:footnote>
  <w:footnote w:id="34">
    <w:p w14:paraId="0A316C0A" w14:textId="5BDA3B7A" w:rsidR="00895BA1" w:rsidRPr="00001B71" w:rsidRDefault="00895BA1" w:rsidP="00B5510A">
      <w:pPr>
        <w:pStyle w:val="FootnoteText"/>
        <w:ind w:left="-57"/>
        <w:rPr>
          <w:sz w:val="18"/>
          <w:szCs w:val="18"/>
        </w:rPr>
      </w:pPr>
      <w:r w:rsidRPr="00001B71">
        <w:rPr>
          <w:rStyle w:val="FootnoteReference"/>
          <w:sz w:val="18"/>
          <w:szCs w:val="18"/>
        </w:rPr>
        <w:footnoteRef/>
      </w:r>
      <w:r w:rsidRPr="00001B71">
        <w:rPr>
          <w:sz w:val="18"/>
          <w:szCs w:val="18"/>
        </w:rPr>
        <w:t xml:space="preserve"> </w:t>
      </w:r>
      <w:r w:rsidRPr="00001B71">
        <w:rPr>
          <w:i/>
          <w:sz w:val="18"/>
          <w:szCs w:val="18"/>
        </w:rPr>
        <w:t xml:space="preserve">Ibid., </w:t>
      </w:r>
      <w:r w:rsidRPr="00001B71">
        <w:rPr>
          <w:sz w:val="18"/>
          <w:szCs w:val="18"/>
        </w:rPr>
        <w:t>p.154</w:t>
      </w:r>
    </w:p>
  </w:footnote>
  <w:footnote w:id="35">
    <w:p w14:paraId="0F7C6F15" w14:textId="44BC04CE" w:rsidR="009207D5" w:rsidRPr="00001B71" w:rsidRDefault="009207D5" w:rsidP="00B5510A">
      <w:pPr>
        <w:pStyle w:val="FootnoteText"/>
        <w:ind w:left="-57"/>
        <w:jc w:val="both"/>
        <w:rPr>
          <w:sz w:val="18"/>
          <w:szCs w:val="18"/>
        </w:rPr>
      </w:pPr>
      <w:r w:rsidRPr="00001B71">
        <w:rPr>
          <w:rStyle w:val="FootnoteReference"/>
          <w:sz w:val="18"/>
          <w:szCs w:val="18"/>
        </w:rPr>
        <w:footnoteRef/>
      </w:r>
      <w:r w:rsidRPr="00001B71">
        <w:rPr>
          <w:sz w:val="18"/>
          <w:szCs w:val="18"/>
        </w:rPr>
        <w:t xml:space="preserve"> </w:t>
      </w:r>
      <w:r w:rsidR="00735773" w:rsidRPr="00001B71">
        <w:rPr>
          <w:i/>
          <w:sz w:val="18"/>
          <w:szCs w:val="18"/>
        </w:rPr>
        <w:t xml:space="preserve">Ibid., </w:t>
      </w:r>
      <w:r w:rsidRPr="00001B71">
        <w:rPr>
          <w:sz w:val="18"/>
          <w:szCs w:val="18"/>
        </w:rPr>
        <w:t>p.xii</w:t>
      </w:r>
    </w:p>
  </w:footnote>
  <w:footnote w:id="36">
    <w:p w14:paraId="2DE3F6BC" w14:textId="5B9F7BD0" w:rsidR="004D427F" w:rsidRPr="00001B71" w:rsidRDefault="004D427F" w:rsidP="00B5510A">
      <w:pPr>
        <w:ind w:left="-57"/>
        <w:rPr>
          <w:sz w:val="18"/>
          <w:szCs w:val="18"/>
        </w:rPr>
      </w:pPr>
      <w:r w:rsidRPr="00001B71">
        <w:rPr>
          <w:rStyle w:val="FootnoteReference"/>
          <w:sz w:val="18"/>
          <w:szCs w:val="18"/>
        </w:rPr>
        <w:footnoteRef/>
      </w:r>
      <w:r w:rsidRPr="00001B71">
        <w:rPr>
          <w:sz w:val="18"/>
          <w:szCs w:val="18"/>
        </w:rPr>
        <w:t xml:space="preserve"> </w:t>
      </w:r>
      <w:r w:rsidR="00662D17" w:rsidRPr="00001B71">
        <w:rPr>
          <w:sz w:val="18"/>
          <w:szCs w:val="18"/>
        </w:rPr>
        <w:t>P. Damian-</w:t>
      </w:r>
      <w:proofErr w:type="spellStart"/>
      <w:r w:rsidR="00662D17" w:rsidRPr="00001B71">
        <w:rPr>
          <w:sz w:val="18"/>
          <w:szCs w:val="18"/>
        </w:rPr>
        <w:t>Grint</w:t>
      </w:r>
      <w:proofErr w:type="spellEnd"/>
      <w:r w:rsidR="00662D17" w:rsidRPr="00001B71">
        <w:rPr>
          <w:sz w:val="18"/>
          <w:szCs w:val="18"/>
        </w:rPr>
        <w:t xml:space="preserve">, ‘Propaganda and essample in Benoît de Sainte-Maure’s Chronique des ducs de Normandie’ in </w:t>
      </w:r>
      <w:r w:rsidR="00662D17" w:rsidRPr="00001B71">
        <w:rPr>
          <w:i/>
          <w:sz w:val="18"/>
          <w:szCs w:val="18"/>
        </w:rPr>
        <w:t>The Medieval Chronicle IV,</w:t>
      </w:r>
      <w:r w:rsidR="00662D17" w:rsidRPr="00001B71">
        <w:rPr>
          <w:sz w:val="18"/>
          <w:szCs w:val="18"/>
        </w:rPr>
        <w:t xml:space="preserve"> </w:t>
      </w:r>
      <w:r w:rsidR="00171AB3" w:rsidRPr="00001B71">
        <w:rPr>
          <w:sz w:val="18"/>
          <w:szCs w:val="18"/>
        </w:rPr>
        <w:t>ed.</w:t>
      </w:r>
      <w:r w:rsidR="00662D17" w:rsidRPr="00001B71">
        <w:rPr>
          <w:sz w:val="18"/>
          <w:szCs w:val="18"/>
        </w:rPr>
        <w:t xml:space="preserve">by E. </w:t>
      </w:r>
      <w:proofErr w:type="spellStart"/>
      <w:r w:rsidR="00662D17" w:rsidRPr="00001B71">
        <w:rPr>
          <w:sz w:val="18"/>
          <w:szCs w:val="18"/>
        </w:rPr>
        <w:t>Kooper</w:t>
      </w:r>
      <w:proofErr w:type="spellEnd"/>
      <w:r w:rsidR="00662D17" w:rsidRPr="00001B71">
        <w:rPr>
          <w:sz w:val="18"/>
          <w:szCs w:val="18"/>
        </w:rPr>
        <w:t xml:space="preserve"> (Ed</w:t>
      </w:r>
      <w:r w:rsidR="00574053" w:rsidRPr="00001B71">
        <w:rPr>
          <w:sz w:val="18"/>
          <w:szCs w:val="18"/>
        </w:rPr>
        <w:t xml:space="preserve">s. </w:t>
      </w:r>
      <w:proofErr w:type="spellStart"/>
      <w:r w:rsidR="00662D17" w:rsidRPr="00001B71">
        <w:rPr>
          <w:sz w:val="18"/>
          <w:szCs w:val="18"/>
        </w:rPr>
        <w:t>Rodopi</w:t>
      </w:r>
      <w:proofErr w:type="spellEnd"/>
      <w:r w:rsidR="00662D17" w:rsidRPr="00001B71">
        <w:rPr>
          <w:sz w:val="18"/>
          <w:szCs w:val="18"/>
        </w:rPr>
        <w:t xml:space="preserve"> B.V., Amsterdam – New York, NY 2006), </w:t>
      </w:r>
      <w:r w:rsidRPr="00001B71">
        <w:rPr>
          <w:sz w:val="18"/>
          <w:szCs w:val="18"/>
        </w:rPr>
        <w:t>p.39</w:t>
      </w:r>
    </w:p>
  </w:footnote>
  <w:footnote w:id="37">
    <w:p w14:paraId="2DF02CEA" w14:textId="25452763" w:rsidR="001C6B04" w:rsidRDefault="001C6B04" w:rsidP="00B5510A">
      <w:pPr>
        <w:pStyle w:val="FootnoteText"/>
        <w:ind w:left="-57"/>
      </w:pPr>
      <w:r w:rsidRPr="00001B71">
        <w:rPr>
          <w:rStyle w:val="FootnoteReference"/>
          <w:sz w:val="18"/>
          <w:szCs w:val="18"/>
        </w:rPr>
        <w:footnoteRef/>
      </w:r>
      <w:r w:rsidRPr="00001B71">
        <w:rPr>
          <w:sz w:val="18"/>
          <w:szCs w:val="18"/>
        </w:rPr>
        <w:t xml:space="preserve"> </w:t>
      </w:r>
      <w:r w:rsidR="00B1799A" w:rsidRPr="00001B71">
        <w:rPr>
          <w:i/>
          <w:sz w:val="18"/>
          <w:szCs w:val="18"/>
        </w:rPr>
        <w:t>Ibid.,</w:t>
      </w:r>
      <w:r w:rsidR="008133B6" w:rsidRPr="00001B71">
        <w:rPr>
          <w:sz w:val="18"/>
          <w:szCs w:val="18"/>
        </w:rPr>
        <w:t xml:space="preserve"> </w:t>
      </w:r>
      <w:r w:rsidRPr="00001B71">
        <w:rPr>
          <w:sz w:val="18"/>
          <w:szCs w:val="18"/>
        </w:rPr>
        <w:t>p</w:t>
      </w:r>
      <w:r w:rsidR="00056D55" w:rsidRPr="00001B71">
        <w:rPr>
          <w:sz w:val="18"/>
          <w:szCs w:val="18"/>
        </w:rPr>
        <w:t>p</w:t>
      </w:r>
      <w:r w:rsidRPr="00001B71">
        <w:rPr>
          <w:sz w:val="18"/>
          <w:szCs w:val="18"/>
        </w:rPr>
        <w:t>.</w:t>
      </w:r>
      <w:r w:rsidR="00056D55" w:rsidRPr="00001B71">
        <w:rPr>
          <w:sz w:val="18"/>
          <w:szCs w:val="18"/>
        </w:rPr>
        <w:t>41-</w:t>
      </w:r>
      <w:r w:rsidRPr="00001B71">
        <w:rPr>
          <w:sz w:val="18"/>
          <w:szCs w:val="18"/>
        </w:rPr>
        <w:t>42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9415DA" w14:textId="77777777" w:rsidR="0047633F" w:rsidRDefault="0047633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4D7145" w14:textId="39E4247A" w:rsidR="009C0D06" w:rsidRPr="002D007A" w:rsidRDefault="009C0D06" w:rsidP="002D007A">
    <w:pPr>
      <w:pStyle w:val="Header"/>
      <w:jc w:val="center"/>
    </w:pPr>
    <w:r>
      <w:t xml:space="preserve">Sandi Harriss – 1402307. </w:t>
    </w:r>
    <w:r w:rsidR="001F68D1">
      <w:t>AHHI70</w:t>
    </w:r>
    <w:r w:rsidR="00D44743">
      <w:t>01</w:t>
    </w:r>
    <w:r>
      <w:t xml:space="preserve">. </w:t>
    </w:r>
    <w:r w:rsidR="00CF506C">
      <w:t>Printed Primary Sources</w:t>
    </w:r>
    <w:r w:rsidR="0047633F">
      <w:t xml:space="preserve"> </w:t>
    </w:r>
    <w:r w:rsidR="00992BF8">
      <w:t>Exercis</w:t>
    </w:r>
    <w:r w:rsidR="002D007A">
      <w:t>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A34D26" w14:textId="77777777" w:rsidR="0047633F" w:rsidRDefault="0047633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684008"/>
    <w:multiLevelType w:val="hybridMultilevel"/>
    <w:tmpl w:val="7DF82B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006362"/>
    <w:multiLevelType w:val="hybridMultilevel"/>
    <w:tmpl w:val="6220DA6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E43BCA"/>
    <w:multiLevelType w:val="hybridMultilevel"/>
    <w:tmpl w:val="9BCC63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DC13BA"/>
    <w:multiLevelType w:val="hybridMultilevel"/>
    <w:tmpl w:val="693A464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1BC247D"/>
    <w:multiLevelType w:val="hybridMultilevel"/>
    <w:tmpl w:val="E6782E24"/>
    <w:lvl w:ilvl="0" w:tplc="1C74FA4C">
      <w:numFmt w:val="bullet"/>
      <w:lvlText w:val="-"/>
      <w:lvlJc w:val="left"/>
      <w:pPr>
        <w:ind w:left="420" w:hanging="360"/>
      </w:pPr>
      <w:rPr>
        <w:rFonts w:ascii="Times New Roman" w:eastAsia="Times New Roman" w:hAnsi="Times New Roman" w:cs="Times New Roman"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5" w15:restartNumberingAfterBreak="0">
    <w:nsid w:val="34C641C8"/>
    <w:multiLevelType w:val="hybridMultilevel"/>
    <w:tmpl w:val="74A430D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E087463"/>
    <w:multiLevelType w:val="hybridMultilevel"/>
    <w:tmpl w:val="D432344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5"/>
  </w:num>
  <w:num w:numId="4">
    <w:abstractNumId w:val="6"/>
  </w:num>
  <w:num w:numId="5">
    <w:abstractNumId w:val="3"/>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0D06"/>
    <w:rsid w:val="00000C23"/>
    <w:rsid w:val="00001014"/>
    <w:rsid w:val="00001B71"/>
    <w:rsid w:val="000022D9"/>
    <w:rsid w:val="000023C8"/>
    <w:rsid w:val="0000458D"/>
    <w:rsid w:val="00005EA9"/>
    <w:rsid w:val="0000678B"/>
    <w:rsid w:val="00007A24"/>
    <w:rsid w:val="000128AD"/>
    <w:rsid w:val="00013FC3"/>
    <w:rsid w:val="0001467C"/>
    <w:rsid w:val="00014C31"/>
    <w:rsid w:val="0001727F"/>
    <w:rsid w:val="000206E1"/>
    <w:rsid w:val="0002286A"/>
    <w:rsid w:val="0002449B"/>
    <w:rsid w:val="00024878"/>
    <w:rsid w:val="000266EF"/>
    <w:rsid w:val="00026B83"/>
    <w:rsid w:val="0003358D"/>
    <w:rsid w:val="00033AF0"/>
    <w:rsid w:val="0003413A"/>
    <w:rsid w:val="0003749F"/>
    <w:rsid w:val="00037A83"/>
    <w:rsid w:val="0004015E"/>
    <w:rsid w:val="0004174E"/>
    <w:rsid w:val="00042220"/>
    <w:rsid w:val="00042567"/>
    <w:rsid w:val="00043961"/>
    <w:rsid w:val="000449BA"/>
    <w:rsid w:val="0004567D"/>
    <w:rsid w:val="00047C53"/>
    <w:rsid w:val="00051FC0"/>
    <w:rsid w:val="00054AFB"/>
    <w:rsid w:val="000563EE"/>
    <w:rsid w:val="000568A4"/>
    <w:rsid w:val="00056D55"/>
    <w:rsid w:val="00060367"/>
    <w:rsid w:val="00061272"/>
    <w:rsid w:val="000623E5"/>
    <w:rsid w:val="00063089"/>
    <w:rsid w:val="00064990"/>
    <w:rsid w:val="0006551E"/>
    <w:rsid w:val="00067241"/>
    <w:rsid w:val="000673B0"/>
    <w:rsid w:val="00067888"/>
    <w:rsid w:val="00067B0F"/>
    <w:rsid w:val="0007160B"/>
    <w:rsid w:val="00075B76"/>
    <w:rsid w:val="00075DE3"/>
    <w:rsid w:val="00075E0F"/>
    <w:rsid w:val="00082BB6"/>
    <w:rsid w:val="00090658"/>
    <w:rsid w:val="000908D8"/>
    <w:rsid w:val="00090B6A"/>
    <w:rsid w:val="000913F6"/>
    <w:rsid w:val="00091A74"/>
    <w:rsid w:val="0009207D"/>
    <w:rsid w:val="0009307F"/>
    <w:rsid w:val="00093450"/>
    <w:rsid w:val="00093924"/>
    <w:rsid w:val="00093ADE"/>
    <w:rsid w:val="00096AF4"/>
    <w:rsid w:val="000A03D3"/>
    <w:rsid w:val="000A08DB"/>
    <w:rsid w:val="000A188E"/>
    <w:rsid w:val="000A5959"/>
    <w:rsid w:val="000A6465"/>
    <w:rsid w:val="000A7867"/>
    <w:rsid w:val="000B1F29"/>
    <w:rsid w:val="000B33DA"/>
    <w:rsid w:val="000B3E2C"/>
    <w:rsid w:val="000C33EF"/>
    <w:rsid w:val="000C4902"/>
    <w:rsid w:val="000C5B04"/>
    <w:rsid w:val="000C6D86"/>
    <w:rsid w:val="000C738F"/>
    <w:rsid w:val="000C7B67"/>
    <w:rsid w:val="000D17AB"/>
    <w:rsid w:val="000D25AE"/>
    <w:rsid w:val="000D507F"/>
    <w:rsid w:val="000D6B68"/>
    <w:rsid w:val="000E0441"/>
    <w:rsid w:val="000E0742"/>
    <w:rsid w:val="000E0A02"/>
    <w:rsid w:val="000E0DF5"/>
    <w:rsid w:val="000E29D4"/>
    <w:rsid w:val="000E3C23"/>
    <w:rsid w:val="000E4783"/>
    <w:rsid w:val="000E4F78"/>
    <w:rsid w:val="000E6B44"/>
    <w:rsid w:val="000E6B80"/>
    <w:rsid w:val="000F298A"/>
    <w:rsid w:val="000F4A3A"/>
    <w:rsid w:val="000F68F3"/>
    <w:rsid w:val="000F6A2D"/>
    <w:rsid w:val="000F74D1"/>
    <w:rsid w:val="000F7FB5"/>
    <w:rsid w:val="00100E86"/>
    <w:rsid w:val="001058B4"/>
    <w:rsid w:val="00106BE2"/>
    <w:rsid w:val="00106F7D"/>
    <w:rsid w:val="0010717F"/>
    <w:rsid w:val="001075AB"/>
    <w:rsid w:val="00107DAB"/>
    <w:rsid w:val="001113AA"/>
    <w:rsid w:val="00111915"/>
    <w:rsid w:val="00111FB7"/>
    <w:rsid w:val="001122BE"/>
    <w:rsid w:val="00113250"/>
    <w:rsid w:val="00114F80"/>
    <w:rsid w:val="00120B13"/>
    <w:rsid w:val="00120B79"/>
    <w:rsid w:val="00121C91"/>
    <w:rsid w:val="00124043"/>
    <w:rsid w:val="00124B22"/>
    <w:rsid w:val="00124B75"/>
    <w:rsid w:val="001250C5"/>
    <w:rsid w:val="00125E1C"/>
    <w:rsid w:val="0013302F"/>
    <w:rsid w:val="0013655E"/>
    <w:rsid w:val="00137141"/>
    <w:rsid w:val="001409CD"/>
    <w:rsid w:val="001412AC"/>
    <w:rsid w:val="001422F1"/>
    <w:rsid w:val="00142B34"/>
    <w:rsid w:val="00145612"/>
    <w:rsid w:val="001458C2"/>
    <w:rsid w:val="0014679D"/>
    <w:rsid w:val="001513A0"/>
    <w:rsid w:val="00155D8B"/>
    <w:rsid w:val="00157D75"/>
    <w:rsid w:val="00161619"/>
    <w:rsid w:val="00162A2A"/>
    <w:rsid w:val="00163F40"/>
    <w:rsid w:val="00163FAE"/>
    <w:rsid w:val="001640D8"/>
    <w:rsid w:val="00166561"/>
    <w:rsid w:val="00166804"/>
    <w:rsid w:val="00170493"/>
    <w:rsid w:val="001717C4"/>
    <w:rsid w:val="00171AB3"/>
    <w:rsid w:val="001736A1"/>
    <w:rsid w:val="001737EC"/>
    <w:rsid w:val="00174EEE"/>
    <w:rsid w:val="00176F51"/>
    <w:rsid w:val="00180299"/>
    <w:rsid w:val="001826E8"/>
    <w:rsid w:val="00184CBB"/>
    <w:rsid w:val="001857C0"/>
    <w:rsid w:val="00186BC1"/>
    <w:rsid w:val="00187AB6"/>
    <w:rsid w:val="00190ADF"/>
    <w:rsid w:val="00190E2D"/>
    <w:rsid w:val="00191045"/>
    <w:rsid w:val="00191B38"/>
    <w:rsid w:val="00192184"/>
    <w:rsid w:val="00193FC5"/>
    <w:rsid w:val="0019423C"/>
    <w:rsid w:val="00195910"/>
    <w:rsid w:val="00196FF5"/>
    <w:rsid w:val="00197082"/>
    <w:rsid w:val="00197DC4"/>
    <w:rsid w:val="001A0324"/>
    <w:rsid w:val="001A0546"/>
    <w:rsid w:val="001A106E"/>
    <w:rsid w:val="001A2D51"/>
    <w:rsid w:val="001A4567"/>
    <w:rsid w:val="001A4F31"/>
    <w:rsid w:val="001A6931"/>
    <w:rsid w:val="001A7034"/>
    <w:rsid w:val="001A7DC4"/>
    <w:rsid w:val="001B1147"/>
    <w:rsid w:val="001B1747"/>
    <w:rsid w:val="001B2B1B"/>
    <w:rsid w:val="001B367C"/>
    <w:rsid w:val="001B399B"/>
    <w:rsid w:val="001B5E81"/>
    <w:rsid w:val="001B7866"/>
    <w:rsid w:val="001B7FF9"/>
    <w:rsid w:val="001C164D"/>
    <w:rsid w:val="001C1936"/>
    <w:rsid w:val="001C1B05"/>
    <w:rsid w:val="001C210F"/>
    <w:rsid w:val="001C2477"/>
    <w:rsid w:val="001C6B04"/>
    <w:rsid w:val="001C721F"/>
    <w:rsid w:val="001C7E45"/>
    <w:rsid w:val="001D5E92"/>
    <w:rsid w:val="001D61AC"/>
    <w:rsid w:val="001D6842"/>
    <w:rsid w:val="001D7808"/>
    <w:rsid w:val="001E0FA5"/>
    <w:rsid w:val="001E10A0"/>
    <w:rsid w:val="001E10EC"/>
    <w:rsid w:val="001E18F3"/>
    <w:rsid w:val="001E2CD3"/>
    <w:rsid w:val="001E4AE8"/>
    <w:rsid w:val="001E4D09"/>
    <w:rsid w:val="001E5FC0"/>
    <w:rsid w:val="001F002B"/>
    <w:rsid w:val="001F02AE"/>
    <w:rsid w:val="001F0922"/>
    <w:rsid w:val="001F2E31"/>
    <w:rsid w:val="001F3048"/>
    <w:rsid w:val="001F5E7A"/>
    <w:rsid w:val="001F68D1"/>
    <w:rsid w:val="001F7F93"/>
    <w:rsid w:val="0020187E"/>
    <w:rsid w:val="0020247A"/>
    <w:rsid w:val="002025C0"/>
    <w:rsid w:val="0020371D"/>
    <w:rsid w:val="00203799"/>
    <w:rsid w:val="0020443E"/>
    <w:rsid w:val="002060C2"/>
    <w:rsid w:val="00211AA0"/>
    <w:rsid w:val="00214D89"/>
    <w:rsid w:val="00215B66"/>
    <w:rsid w:val="00221C8C"/>
    <w:rsid w:val="002241C7"/>
    <w:rsid w:val="00224239"/>
    <w:rsid w:val="0022464C"/>
    <w:rsid w:val="00224B64"/>
    <w:rsid w:val="00233FC2"/>
    <w:rsid w:val="00235193"/>
    <w:rsid w:val="0023619B"/>
    <w:rsid w:val="002400E3"/>
    <w:rsid w:val="00240D4B"/>
    <w:rsid w:val="0024197B"/>
    <w:rsid w:val="002442E3"/>
    <w:rsid w:val="00245356"/>
    <w:rsid w:val="00247501"/>
    <w:rsid w:val="002501A1"/>
    <w:rsid w:val="00251D5F"/>
    <w:rsid w:val="00251E9A"/>
    <w:rsid w:val="002532B7"/>
    <w:rsid w:val="00256FA3"/>
    <w:rsid w:val="00260048"/>
    <w:rsid w:val="0026188E"/>
    <w:rsid w:val="00262A95"/>
    <w:rsid w:val="00262ED2"/>
    <w:rsid w:val="00265590"/>
    <w:rsid w:val="00265C78"/>
    <w:rsid w:val="00267245"/>
    <w:rsid w:val="00267F3D"/>
    <w:rsid w:val="0027253A"/>
    <w:rsid w:val="00273837"/>
    <w:rsid w:val="00274720"/>
    <w:rsid w:val="00275DFF"/>
    <w:rsid w:val="0027629B"/>
    <w:rsid w:val="002803A3"/>
    <w:rsid w:val="0028256A"/>
    <w:rsid w:val="002859FC"/>
    <w:rsid w:val="00287888"/>
    <w:rsid w:val="0029342D"/>
    <w:rsid w:val="00294A34"/>
    <w:rsid w:val="00294AA5"/>
    <w:rsid w:val="00297AB9"/>
    <w:rsid w:val="002A088C"/>
    <w:rsid w:val="002A1231"/>
    <w:rsid w:val="002A1897"/>
    <w:rsid w:val="002A439A"/>
    <w:rsid w:val="002A4535"/>
    <w:rsid w:val="002A4903"/>
    <w:rsid w:val="002A49DA"/>
    <w:rsid w:val="002A5EE4"/>
    <w:rsid w:val="002A60F9"/>
    <w:rsid w:val="002A62AD"/>
    <w:rsid w:val="002B094B"/>
    <w:rsid w:val="002B1D35"/>
    <w:rsid w:val="002B2457"/>
    <w:rsid w:val="002B3FC7"/>
    <w:rsid w:val="002B7499"/>
    <w:rsid w:val="002B7EAC"/>
    <w:rsid w:val="002C34DF"/>
    <w:rsid w:val="002C429F"/>
    <w:rsid w:val="002C524E"/>
    <w:rsid w:val="002C5295"/>
    <w:rsid w:val="002D007A"/>
    <w:rsid w:val="002D080D"/>
    <w:rsid w:val="002D0B8B"/>
    <w:rsid w:val="002D1D9A"/>
    <w:rsid w:val="002D61EE"/>
    <w:rsid w:val="002D626C"/>
    <w:rsid w:val="002E1F4C"/>
    <w:rsid w:val="002E2B63"/>
    <w:rsid w:val="002E2FC4"/>
    <w:rsid w:val="002E39B6"/>
    <w:rsid w:val="002E3E3E"/>
    <w:rsid w:val="002E771C"/>
    <w:rsid w:val="002F08AF"/>
    <w:rsid w:val="002F1138"/>
    <w:rsid w:val="002F2664"/>
    <w:rsid w:val="002F3C35"/>
    <w:rsid w:val="002F6488"/>
    <w:rsid w:val="002F66C3"/>
    <w:rsid w:val="002F7EF0"/>
    <w:rsid w:val="00301D81"/>
    <w:rsid w:val="003020B3"/>
    <w:rsid w:val="003060C0"/>
    <w:rsid w:val="003072BA"/>
    <w:rsid w:val="003072D1"/>
    <w:rsid w:val="00313817"/>
    <w:rsid w:val="00314952"/>
    <w:rsid w:val="0032151F"/>
    <w:rsid w:val="00323D83"/>
    <w:rsid w:val="003241B0"/>
    <w:rsid w:val="00325DEA"/>
    <w:rsid w:val="00325EC0"/>
    <w:rsid w:val="003266BA"/>
    <w:rsid w:val="0032679F"/>
    <w:rsid w:val="003269B4"/>
    <w:rsid w:val="003305F8"/>
    <w:rsid w:val="003307D5"/>
    <w:rsid w:val="00331F70"/>
    <w:rsid w:val="003320D1"/>
    <w:rsid w:val="00332C25"/>
    <w:rsid w:val="00334384"/>
    <w:rsid w:val="00335838"/>
    <w:rsid w:val="00335E3A"/>
    <w:rsid w:val="0033778C"/>
    <w:rsid w:val="00337932"/>
    <w:rsid w:val="00340332"/>
    <w:rsid w:val="00341A5A"/>
    <w:rsid w:val="0034350E"/>
    <w:rsid w:val="00345BC9"/>
    <w:rsid w:val="003469AD"/>
    <w:rsid w:val="00350A8A"/>
    <w:rsid w:val="0035136C"/>
    <w:rsid w:val="00352F5D"/>
    <w:rsid w:val="0035357D"/>
    <w:rsid w:val="0035793E"/>
    <w:rsid w:val="00357AFE"/>
    <w:rsid w:val="00360B6C"/>
    <w:rsid w:val="003658CA"/>
    <w:rsid w:val="00365D84"/>
    <w:rsid w:val="0037157B"/>
    <w:rsid w:val="003719B6"/>
    <w:rsid w:val="0037230C"/>
    <w:rsid w:val="00373DB4"/>
    <w:rsid w:val="00374099"/>
    <w:rsid w:val="00375308"/>
    <w:rsid w:val="003773CB"/>
    <w:rsid w:val="00383A78"/>
    <w:rsid w:val="00385339"/>
    <w:rsid w:val="00386B8F"/>
    <w:rsid w:val="0039095F"/>
    <w:rsid w:val="003921D4"/>
    <w:rsid w:val="0039221E"/>
    <w:rsid w:val="0039350F"/>
    <w:rsid w:val="00393B66"/>
    <w:rsid w:val="00397754"/>
    <w:rsid w:val="003A13E6"/>
    <w:rsid w:val="003A23CF"/>
    <w:rsid w:val="003A4392"/>
    <w:rsid w:val="003A5A68"/>
    <w:rsid w:val="003A5E0D"/>
    <w:rsid w:val="003B3F61"/>
    <w:rsid w:val="003B5219"/>
    <w:rsid w:val="003B5A18"/>
    <w:rsid w:val="003B5F94"/>
    <w:rsid w:val="003B6B93"/>
    <w:rsid w:val="003B7565"/>
    <w:rsid w:val="003B7997"/>
    <w:rsid w:val="003C14E8"/>
    <w:rsid w:val="003C18DA"/>
    <w:rsid w:val="003C19E6"/>
    <w:rsid w:val="003C206F"/>
    <w:rsid w:val="003C475C"/>
    <w:rsid w:val="003C4D5C"/>
    <w:rsid w:val="003C4F47"/>
    <w:rsid w:val="003C5BF7"/>
    <w:rsid w:val="003C70FD"/>
    <w:rsid w:val="003C713D"/>
    <w:rsid w:val="003D3849"/>
    <w:rsid w:val="003D4FC8"/>
    <w:rsid w:val="003D5397"/>
    <w:rsid w:val="003D6541"/>
    <w:rsid w:val="003D656D"/>
    <w:rsid w:val="003D657B"/>
    <w:rsid w:val="003E49DE"/>
    <w:rsid w:val="003E4E13"/>
    <w:rsid w:val="003E59BC"/>
    <w:rsid w:val="003E5C62"/>
    <w:rsid w:val="003E7CC4"/>
    <w:rsid w:val="003F02FC"/>
    <w:rsid w:val="003F2FA3"/>
    <w:rsid w:val="003F373D"/>
    <w:rsid w:val="003F43F3"/>
    <w:rsid w:val="003F5915"/>
    <w:rsid w:val="00400774"/>
    <w:rsid w:val="00400CD7"/>
    <w:rsid w:val="00401891"/>
    <w:rsid w:val="00402AD7"/>
    <w:rsid w:val="00403056"/>
    <w:rsid w:val="00404102"/>
    <w:rsid w:val="00404D43"/>
    <w:rsid w:val="00404D64"/>
    <w:rsid w:val="0040679C"/>
    <w:rsid w:val="00406F37"/>
    <w:rsid w:val="004106A9"/>
    <w:rsid w:val="0041220B"/>
    <w:rsid w:val="00413BF0"/>
    <w:rsid w:val="00422E6A"/>
    <w:rsid w:val="00423B26"/>
    <w:rsid w:val="00423D29"/>
    <w:rsid w:val="00426C20"/>
    <w:rsid w:val="00427537"/>
    <w:rsid w:val="00430970"/>
    <w:rsid w:val="00430C79"/>
    <w:rsid w:val="004310B4"/>
    <w:rsid w:val="0043151A"/>
    <w:rsid w:val="0043160D"/>
    <w:rsid w:val="0043229F"/>
    <w:rsid w:val="00434149"/>
    <w:rsid w:val="0043484C"/>
    <w:rsid w:val="00434F88"/>
    <w:rsid w:val="00435AD5"/>
    <w:rsid w:val="00441158"/>
    <w:rsid w:val="00442122"/>
    <w:rsid w:val="00442C40"/>
    <w:rsid w:val="00442D36"/>
    <w:rsid w:val="00442F41"/>
    <w:rsid w:val="004456F5"/>
    <w:rsid w:val="004459B5"/>
    <w:rsid w:val="00446F16"/>
    <w:rsid w:val="004478A8"/>
    <w:rsid w:val="0045162E"/>
    <w:rsid w:val="0045273E"/>
    <w:rsid w:val="00454FAC"/>
    <w:rsid w:val="00461795"/>
    <w:rsid w:val="00464E1B"/>
    <w:rsid w:val="00466A71"/>
    <w:rsid w:val="00470A82"/>
    <w:rsid w:val="00471C91"/>
    <w:rsid w:val="00472110"/>
    <w:rsid w:val="00472926"/>
    <w:rsid w:val="004738D8"/>
    <w:rsid w:val="00475958"/>
    <w:rsid w:val="0047633F"/>
    <w:rsid w:val="0047675F"/>
    <w:rsid w:val="00476BE3"/>
    <w:rsid w:val="00477396"/>
    <w:rsid w:val="004829D0"/>
    <w:rsid w:val="00482DBE"/>
    <w:rsid w:val="004836EE"/>
    <w:rsid w:val="00483823"/>
    <w:rsid w:val="004859C5"/>
    <w:rsid w:val="00485E85"/>
    <w:rsid w:val="004905EE"/>
    <w:rsid w:val="00490FC4"/>
    <w:rsid w:val="0049133B"/>
    <w:rsid w:val="00493155"/>
    <w:rsid w:val="00493A55"/>
    <w:rsid w:val="004957CF"/>
    <w:rsid w:val="00495FC2"/>
    <w:rsid w:val="004972FD"/>
    <w:rsid w:val="004A0450"/>
    <w:rsid w:val="004A0925"/>
    <w:rsid w:val="004A2368"/>
    <w:rsid w:val="004A3119"/>
    <w:rsid w:val="004A42A2"/>
    <w:rsid w:val="004A4670"/>
    <w:rsid w:val="004A4826"/>
    <w:rsid w:val="004A5E27"/>
    <w:rsid w:val="004B1D46"/>
    <w:rsid w:val="004B3215"/>
    <w:rsid w:val="004B35A4"/>
    <w:rsid w:val="004B3924"/>
    <w:rsid w:val="004C1642"/>
    <w:rsid w:val="004C337C"/>
    <w:rsid w:val="004C389F"/>
    <w:rsid w:val="004C42BF"/>
    <w:rsid w:val="004C47DB"/>
    <w:rsid w:val="004C6DA3"/>
    <w:rsid w:val="004C73E8"/>
    <w:rsid w:val="004C7F41"/>
    <w:rsid w:val="004D0772"/>
    <w:rsid w:val="004D0B18"/>
    <w:rsid w:val="004D2218"/>
    <w:rsid w:val="004D2674"/>
    <w:rsid w:val="004D2D43"/>
    <w:rsid w:val="004D2F52"/>
    <w:rsid w:val="004D3059"/>
    <w:rsid w:val="004D427F"/>
    <w:rsid w:val="004D5941"/>
    <w:rsid w:val="004D65CB"/>
    <w:rsid w:val="004D66CD"/>
    <w:rsid w:val="004D734B"/>
    <w:rsid w:val="004E3B09"/>
    <w:rsid w:val="004E41EE"/>
    <w:rsid w:val="004E5A08"/>
    <w:rsid w:val="004E7473"/>
    <w:rsid w:val="004F0C28"/>
    <w:rsid w:val="004F0D06"/>
    <w:rsid w:val="004F1116"/>
    <w:rsid w:val="004F4C64"/>
    <w:rsid w:val="004F4F87"/>
    <w:rsid w:val="004F5B39"/>
    <w:rsid w:val="004F70F7"/>
    <w:rsid w:val="004F795C"/>
    <w:rsid w:val="004F7AF4"/>
    <w:rsid w:val="005015D2"/>
    <w:rsid w:val="0050492D"/>
    <w:rsid w:val="00506188"/>
    <w:rsid w:val="00507469"/>
    <w:rsid w:val="005119CC"/>
    <w:rsid w:val="00511B14"/>
    <w:rsid w:val="00515090"/>
    <w:rsid w:val="00515F3B"/>
    <w:rsid w:val="005164F3"/>
    <w:rsid w:val="0051751F"/>
    <w:rsid w:val="00524114"/>
    <w:rsid w:val="00524320"/>
    <w:rsid w:val="00524327"/>
    <w:rsid w:val="0052516D"/>
    <w:rsid w:val="00525CC8"/>
    <w:rsid w:val="00526CD4"/>
    <w:rsid w:val="00531E71"/>
    <w:rsid w:val="005325D1"/>
    <w:rsid w:val="00532DFA"/>
    <w:rsid w:val="00533B1B"/>
    <w:rsid w:val="005344CF"/>
    <w:rsid w:val="00535077"/>
    <w:rsid w:val="005366A6"/>
    <w:rsid w:val="0054077E"/>
    <w:rsid w:val="00541AA2"/>
    <w:rsid w:val="00542621"/>
    <w:rsid w:val="0054493D"/>
    <w:rsid w:val="00546DD5"/>
    <w:rsid w:val="005513DB"/>
    <w:rsid w:val="00554D09"/>
    <w:rsid w:val="005565FD"/>
    <w:rsid w:val="00556616"/>
    <w:rsid w:val="00557F19"/>
    <w:rsid w:val="0056011B"/>
    <w:rsid w:val="00560EEC"/>
    <w:rsid w:val="00562831"/>
    <w:rsid w:val="00564233"/>
    <w:rsid w:val="0056492B"/>
    <w:rsid w:val="00564C32"/>
    <w:rsid w:val="005653A4"/>
    <w:rsid w:val="00565D04"/>
    <w:rsid w:val="0056651E"/>
    <w:rsid w:val="005702C9"/>
    <w:rsid w:val="005704CF"/>
    <w:rsid w:val="00571A97"/>
    <w:rsid w:val="00572504"/>
    <w:rsid w:val="005725C3"/>
    <w:rsid w:val="0057388C"/>
    <w:rsid w:val="00574053"/>
    <w:rsid w:val="00575F86"/>
    <w:rsid w:val="00576C7A"/>
    <w:rsid w:val="00580258"/>
    <w:rsid w:val="00582C6F"/>
    <w:rsid w:val="00584E92"/>
    <w:rsid w:val="00584F55"/>
    <w:rsid w:val="005856D5"/>
    <w:rsid w:val="00585D08"/>
    <w:rsid w:val="0059093C"/>
    <w:rsid w:val="00590CB0"/>
    <w:rsid w:val="0059193A"/>
    <w:rsid w:val="00592336"/>
    <w:rsid w:val="005932F0"/>
    <w:rsid w:val="00594083"/>
    <w:rsid w:val="005944D3"/>
    <w:rsid w:val="005953A6"/>
    <w:rsid w:val="00597895"/>
    <w:rsid w:val="005A1E0D"/>
    <w:rsid w:val="005A22A6"/>
    <w:rsid w:val="005A3BD7"/>
    <w:rsid w:val="005A56A2"/>
    <w:rsid w:val="005A5E48"/>
    <w:rsid w:val="005B0FAF"/>
    <w:rsid w:val="005B1EFC"/>
    <w:rsid w:val="005B2202"/>
    <w:rsid w:val="005B3017"/>
    <w:rsid w:val="005B3470"/>
    <w:rsid w:val="005B3C35"/>
    <w:rsid w:val="005B4B2D"/>
    <w:rsid w:val="005B51A8"/>
    <w:rsid w:val="005B599D"/>
    <w:rsid w:val="005C1DE5"/>
    <w:rsid w:val="005C2DE9"/>
    <w:rsid w:val="005C5253"/>
    <w:rsid w:val="005C5E79"/>
    <w:rsid w:val="005D0492"/>
    <w:rsid w:val="005D1642"/>
    <w:rsid w:val="005D3B96"/>
    <w:rsid w:val="005D5BE9"/>
    <w:rsid w:val="005D5CA3"/>
    <w:rsid w:val="005D7403"/>
    <w:rsid w:val="005D7424"/>
    <w:rsid w:val="005E060F"/>
    <w:rsid w:val="005E0853"/>
    <w:rsid w:val="005E102B"/>
    <w:rsid w:val="005E1C8F"/>
    <w:rsid w:val="005E2B72"/>
    <w:rsid w:val="005E42E8"/>
    <w:rsid w:val="005E4C4B"/>
    <w:rsid w:val="005E4FAC"/>
    <w:rsid w:val="005E53E3"/>
    <w:rsid w:val="005E66C3"/>
    <w:rsid w:val="005E7545"/>
    <w:rsid w:val="005F04CB"/>
    <w:rsid w:val="005F04EB"/>
    <w:rsid w:val="005F282B"/>
    <w:rsid w:val="005F3741"/>
    <w:rsid w:val="005F41D3"/>
    <w:rsid w:val="005F4F67"/>
    <w:rsid w:val="005F6E81"/>
    <w:rsid w:val="005F7087"/>
    <w:rsid w:val="005F7156"/>
    <w:rsid w:val="005F7593"/>
    <w:rsid w:val="005F7700"/>
    <w:rsid w:val="00600071"/>
    <w:rsid w:val="00600E1E"/>
    <w:rsid w:val="00606714"/>
    <w:rsid w:val="00606FBB"/>
    <w:rsid w:val="00607BC4"/>
    <w:rsid w:val="006126C6"/>
    <w:rsid w:val="00612E50"/>
    <w:rsid w:val="00613796"/>
    <w:rsid w:val="00613F9D"/>
    <w:rsid w:val="0061486E"/>
    <w:rsid w:val="00615B19"/>
    <w:rsid w:val="00615D09"/>
    <w:rsid w:val="00616130"/>
    <w:rsid w:val="0061631D"/>
    <w:rsid w:val="00616F3B"/>
    <w:rsid w:val="00621463"/>
    <w:rsid w:val="00622652"/>
    <w:rsid w:val="00625AA8"/>
    <w:rsid w:val="006342D5"/>
    <w:rsid w:val="00635EE2"/>
    <w:rsid w:val="006366DA"/>
    <w:rsid w:val="00636F8B"/>
    <w:rsid w:val="00637897"/>
    <w:rsid w:val="00637DC5"/>
    <w:rsid w:val="00640E35"/>
    <w:rsid w:val="00641FB0"/>
    <w:rsid w:val="00647930"/>
    <w:rsid w:val="006479A6"/>
    <w:rsid w:val="00650F3F"/>
    <w:rsid w:val="00651183"/>
    <w:rsid w:val="006519F8"/>
    <w:rsid w:val="00651BAF"/>
    <w:rsid w:val="00652505"/>
    <w:rsid w:val="00653434"/>
    <w:rsid w:val="0065463A"/>
    <w:rsid w:val="00655666"/>
    <w:rsid w:val="00655D13"/>
    <w:rsid w:val="0065761C"/>
    <w:rsid w:val="00661422"/>
    <w:rsid w:val="00662D17"/>
    <w:rsid w:val="00664CDC"/>
    <w:rsid w:val="00667D28"/>
    <w:rsid w:val="00671533"/>
    <w:rsid w:val="006751D1"/>
    <w:rsid w:val="00676FD2"/>
    <w:rsid w:val="00677A3E"/>
    <w:rsid w:val="006810D5"/>
    <w:rsid w:val="00681267"/>
    <w:rsid w:val="00681438"/>
    <w:rsid w:val="006843A3"/>
    <w:rsid w:val="00685016"/>
    <w:rsid w:val="00685686"/>
    <w:rsid w:val="00686840"/>
    <w:rsid w:val="00686AEF"/>
    <w:rsid w:val="006900C1"/>
    <w:rsid w:val="00690719"/>
    <w:rsid w:val="0069231A"/>
    <w:rsid w:val="006A039B"/>
    <w:rsid w:val="006A1487"/>
    <w:rsid w:val="006A29B0"/>
    <w:rsid w:val="006A43E0"/>
    <w:rsid w:val="006A46DE"/>
    <w:rsid w:val="006A54FD"/>
    <w:rsid w:val="006A639C"/>
    <w:rsid w:val="006A659D"/>
    <w:rsid w:val="006A6F02"/>
    <w:rsid w:val="006A6F08"/>
    <w:rsid w:val="006B00B6"/>
    <w:rsid w:val="006B0985"/>
    <w:rsid w:val="006B160B"/>
    <w:rsid w:val="006B244B"/>
    <w:rsid w:val="006B244E"/>
    <w:rsid w:val="006B42A6"/>
    <w:rsid w:val="006B42BC"/>
    <w:rsid w:val="006C1E50"/>
    <w:rsid w:val="006C457F"/>
    <w:rsid w:val="006C6E03"/>
    <w:rsid w:val="006C737A"/>
    <w:rsid w:val="006D0856"/>
    <w:rsid w:val="006D09E0"/>
    <w:rsid w:val="006D0F40"/>
    <w:rsid w:val="006D17EB"/>
    <w:rsid w:val="006D5FA0"/>
    <w:rsid w:val="006D6F0B"/>
    <w:rsid w:val="006D70AF"/>
    <w:rsid w:val="006D7E8A"/>
    <w:rsid w:val="006E0ABE"/>
    <w:rsid w:val="006E0EC0"/>
    <w:rsid w:val="006E132C"/>
    <w:rsid w:val="006E18C8"/>
    <w:rsid w:val="006E287A"/>
    <w:rsid w:val="006E2D01"/>
    <w:rsid w:val="006E2E2F"/>
    <w:rsid w:val="006E2ECB"/>
    <w:rsid w:val="006E4563"/>
    <w:rsid w:val="006E46A0"/>
    <w:rsid w:val="006E5981"/>
    <w:rsid w:val="006E5F86"/>
    <w:rsid w:val="006E6880"/>
    <w:rsid w:val="006F051A"/>
    <w:rsid w:val="006F1769"/>
    <w:rsid w:val="006F2476"/>
    <w:rsid w:val="006F4C4C"/>
    <w:rsid w:val="006F4D31"/>
    <w:rsid w:val="006F53A8"/>
    <w:rsid w:val="0070145E"/>
    <w:rsid w:val="0070150A"/>
    <w:rsid w:val="00701921"/>
    <w:rsid w:val="0070508D"/>
    <w:rsid w:val="007058EE"/>
    <w:rsid w:val="00705C14"/>
    <w:rsid w:val="00706C03"/>
    <w:rsid w:val="00713D29"/>
    <w:rsid w:val="00716AA2"/>
    <w:rsid w:val="007173FC"/>
    <w:rsid w:val="00717F5A"/>
    <w:rsid w:val="00724A33"/>
    <w:rsid w:val="007254D7"/>
    <w:rsid w:val="00725D6D"/>
    <w:rsid w:val="00726BE8"/>
    <w:rsid w:val="00731E0B"/>
    <w:rsid w:val="007335AE"/>
    <w:rsid w:val="00733AA6"/>
    <w:rsid w:val="00733BC2"/>
    <w:rsid w:val="00733E5D"/>
    <w:rsid w:val="007351AD"/>
    <w:rsid w:val="00735773"/>
    <w:rsid w:val="00735E4B"/>
    <w:rsid w:val="007360A4"/>
    <w:rsid w:val="007372A2"/>
    <w:rsid w:val="00737327"/>
    <w:rsid w:val="00740FB2"/>
    <w:rsid w:val="00741D17"/>
    <w:rsid w:val="00741FBB"/>
    <w:rsid w:val="00743A44"/>
    <w:rsid w:val="007462BE"/>
    <w:rsid w:val="00746D49"/>
    <w:rsid w:val="007532E2"/>
    <w:rsid w:val="00753BEB"/>
    <w:rsid w:val="00753C12"/>
    <w:rsid w:val="00753EA9"/>
    <w:rsid w:val="00755BF2"/>
    <w:rsid w:val="00757993"/>
    <w:rsid w:val="007605DC"/>
    <w:rsid w:val="007624F9"/>
    <w:rsid w:val="00762714"/>
    <w:rsid w:val="00763DDC"/>
    <w:rsid w:val="0076410E"/>
    <w:rsid w:val="00764D27"/>
    <w:rsid w:val="007662D7"/>
    <w:rsid w:val="007664C1"/>
    <w:rsid w:val="00767799"/>
    <w:rsid w:val="00767A67"/>
    <w:rsid w:val="00771B99"/>
    <w:rsid w:val="00772604"/>
    <w:rsid w:val="007730AA"/>
    <w:rsid w:val="00773374"/>
    <w:rsid w:val="0077382C"/>
    <w:rsid w:val="00773BAD"/>
    <w:rsid w:val="00775CB5"/>
    <w:rsid w:val="007761E6"/>
    <w:rsid w:val="00776B60"/>
    <w:rsid w:val="00777027"/>
    <w:rsid w:val="0078335F"/>
    <w:rsid w:val="0078415D"/>
    <w:rsid w:val="00784B47"/>
    <w:rsid w:val="00785611"/>
    <w:rsid w:val="00785701"/>
    <w:rsid w:val="0079052C"/>
    <w:rsid w:val="00790C82"/>
    <w:rsid w:val="00791622"/>
    <w:rsid w:val="00791CCC"/>
    <w:rsid w:val="0079238A"/>
    <w:rsid w:val="00793EC3"/>
    <w:rsid w:val="007941A2"/>
    <w:rsid w:val="00795436"/>
    <w:rsid w:val="00796B87"/>
    <w:rsid w:val="00797650"/>
    <w:rsid w:val="007A0711"/>
    <w:rsid w:val="007A0B86"/>
    <w:rsid w:val="007A42E2"/>
    <w:rsid w:val="007A4468"/>
    <w:rsid w:val="007A6A85"/>
    <w:rsid w:val="007A7F37"/>
    <w:rsid w:val="007A7FD4"/>
    <w:rsid w:val="007B0087"/>
    <w:rsid w:val="007B0B7E"/>
    <w:rsid w:val="007B25CF"/>
    <w:rsid w:val="007B4D8A"/>
    <w:rsid w:val="007B7447"/>
    <w:rsid w:val="007C066E"/>
    <w:rsid w:val="007C0902"/>
    <w:rsid w:val="007C1082"/>
    <w:rsid w:val="007C13F2"/>
    <w:rsid w:val="007C14F1"/>
    <w:rsid w:val="007C3565"/>
    <w:rsid w:val="007C465C"/>
    <w:rsid w:val="007C4A5E"/>
    <w:rsid w:val="007C6360"/>
    <w:rsid w:val="007C747C"/>
    <w:rsid w:val="007D2D05"/>
    <w:rsid w:val="007D39CA"/>
    <w:rsid w:val="007D450F"/>
    <w:rsid w:val="007D520E"/>
    <w:rsid w:val="007D5EEB"/>
    <w:rsid w:val="007D641F"/>
    <w:rsid w:val="007D665A"/>
    <w:rsid w:val="007E1C56"/>
    <w:rsid w:val="007E1CE8"/>
    <w:rsid w:val="007E22B6"/>
    <w:rsid w:val="007E6E7A"/>
    <w:rsid w:val="007E74D7"/>
    <w:rsid w:val="007E7A5B"/>
    <w:rsid w:val="007F1B86"/>
    <w:rsid w:val="007F56AE"/>
    <w:rsid w:val="007F6EBA"/>
    <w:rsid w:val="007F74BE"/>
    <w:rsid w:val="008000C4"/>
    <w:rsid w:val="00800E89"/>
    <w:rsid w:val="008017C2"/>
    <w:rsid w:val="00803B16"/>
    <w:rsid w:val="00803C1A"/>
    <w:rsid w:val="00804388"/>
    <w:rsid w:val="00804752"/>
    <w:rsid w:val="00807EED"/>
    <w:rsid w:val="00812286"/>
    <w:rsid w:val="008133B6"/>
    <w:rsid w:val="00815634"/>
    <w:rsid w:val="008167F3"/>
    <w:rsid w:val="00820C9B"/>
    <w:rsid w:val="00820E6E"/>
    <w:rsid w:val="00821F00"/>
    <w:rsid w:val="008222F3"/>
    <w:rsid w:val="0082566B"/>
    <w:rsid w:val="00825AA3"/>
    <w:rsid w:val="00825D84"/>
    <w:rsid w:val="00826D4C"/>
    <w:rsid w:val="00827697"/>
    <w:rsid w:val="008277D7"/>
    <w:rsid w:val="00827F60"/>
    <w:rsid w:val="00830B43"/>
    <w:rsid w:val="0083155D"/>
    <w:rsid w:val="008320D6"/>
    <w:rsid w:val="008343D3"/>
    <w:rsid w:val="008377A2"/>
    <w:rsid w:val="008421E8"/>
    <w:rsid w:val="00842BE1"/>
    <w:rsid w:val="00845A0E"/>
    <w:rsid w:val="00846F86"/>
    <w:rsid w:val="00847630"/>
    <w:rsid w:val="00847A5B"/>
    <w:rsid w:val="0085046D"/>
    <w:rsid w:val="008507ED"/>
    <w:rsid w:val="0085449E"/>
    <w:rsid w:val="00855605"/>
    <w:rsid w:val="00860711"/>
    <w:rsid w:val="00861BA9"/>
    <w:rsid w:val="008627A3"/>
    <w:rsid w:val="00862DD0"/>
    <w:rsid w:val="00863429"/>
    <w:rsid w:val="008641AE"/>
    <w:rsid w:val="00864C31"/>
    <w:rsid w:val="00865FC0"/>
    <w:rsid w:val="0086687A"/>
    <w:rsid w:val="00866DA2"/>
    <w:rsid w:val="00867FAD"/>
    <w:rsid w:val="00870C10"/>
    <w:rsid w:val="00870F0B"/>
    <w:rsid w:val="00871472"/>
    <w:rsid w:val="008715DC"/>
    <w:rsid w:val="00873363"/>
    <w:rsid w:val="00874FD0"/>
    <w:rsid w:val="00875C56"/>
    <w:rsid w:val="00875FC7"/>
    <w:rsid w:val="00876CD9"/>
    <w:rsid w:val="00877F2B"/>
    <w:rsid w:val="00880149"/>
    <w:rsid w:val="0088032F"/>
    <w:rsid w:val="00881EE2"/>
    <w:rsid w:val="00882CAC"/>
    <w:rsid w:val="00883F28"/>
    <w:rsid w:val="00886944"/>
    <w:rsid w:val="00886AF3"/>
    <w:rsid w:val="00893283"/>
    <w:rsid w:val="008954E0"/>
    <w:rsid w:val="00895BA1"/>
    <w:rsid w:val="0089633E"/>
    <w:rsid w:val="0089786E"/>
    <w:rsid w:val="008A059D"/>
    <w:rsid w:val="008A1088"/>
    <w:rsid w:val="008A2414"/>
    <w:rsid w:val="008A2FA7"/>
    <w:rsid w:val="008A2FDB"/>
    <w:rsid w:val="008A7F91"/>
    <w:rsid w:val="008B11AF"/>
    <w:rsid w:val="008B2960"/>
    <w:rsid w:val="008B3B49"/>
    <w:rsid w:val="008B509A"/>
    <w:rsid w:val="008B628A"/>
    <w:rsid w:val="008B7FD4"/>
    <w:rsid w:val="008C1ADE"/>
    <w:rsid w:val="008C3ABC"/>
    <w:rsid w:val="008C64B8"/>
    <w:rsid w:val="008C7374"/>
    <w:rsid w:val="008C76C0"/>
    <w:rsid w:val="008C798F"/>
    <w:rsid w:val="008D1A0E"/>
    <w:rsid w:val="008D1F88"/>
    <w:rsid w:val="008D32C8"/>
    <w:rsid w:val="008D4551"/>
    <w:rsid w:val="008D46C0"/>
    <w:rsid w:val="008D50F5"/>
    <w:rsid w:val="008D5DF5"/>
    <w:rsid w:val="008D6001"/>
    <w:rsid w:val="008D661E"/>
    <w:rsid w:val="008D7C4F"/>
    <w:rsid w:val="008D7D6E"/>
    <w:rsid w:val="008D7EFC"/>
    <w:rsid w:val="008E1369"/>
    <w:rsid w:val="008E386C"/>
    <w:rsid w:val="008E4FAE"/>
    <w:rsid w:val="008E528B"/>
    <w:rsid w:val="008E5AFE"/>
    <w:rsid w:val="008F1EFF"/>
    <w:rsid w:val="008F3BD6"/>
    <w:rsid w:val="008F4D1D"/>
    <w:rsid w:val="008F5EC2"/>
    <w:rsid w:val="008F6D0E"/>
    <w:rsid w:val="0090076C"/>
    <w:rsid w:val="0090099D"/>
    <w:rsid w:val="00904D6A"/>
    <w:rsid w:val="00905447"/>
    <w:rsid w:val="009072C5"/>
    <w:rsid w:val="009116F6"/>
    <w:rsid w:val="00911D1C"/>
    <w:rsid w:val="009144C8"/>
    <w:rsid w:val="00915296"/>
    <w:rsid w:val="00915E3F"/>
    <w:rsid w:val="00916B5A"/>
    <w:rsid w:val="0092068C"/>
    <w:rsid w:val="009207D5"/>
    <w:rsid w:val="009236B9"/>
    <w:rsid w:val="009239B1"/>
    <w:rsid w:val="00927E88"/>
    <w:rsid w:val="009304E2"/>
    <w:rsid w:val="00930A0F"/>
    <w:rsid w:val="00930C0F"/>
    <w:rsid w:val="0093165E"/>
    <w:rsid w:val="0093192D"/>
    <w:rsid w:val="00931959"/>
    <w:rsid w:val="00935FDF"/>
    <w:rsid w:val="0094283C"/>
    <w:rsid w:val="00942BD1"/>
    <w:rsid w:val="009442D0"/>
    <w:rsid w:val="00945882"/>
    <w:rsid w:val="00947578"/>
    <w:rsid w:val="00950DF7"/>
    <w:rsid w:val="00951567"/>
    <w:rsid w:val="00952DB4"/>
    <w:rsid w:val="009566F5"/>
    <w:rsid w:val="009603C8"/>
    <w:rsid w:val="009607CE"/>
    <w:rsid w:val="0096122D"/>
    <w:rsid w:val="00961FD0"/>
    <w:rsid w:val="00962447"/>
    <w:rsid w:val="009629AA"/>
    <w:rsid w:val="00962C3D"/>
    <w:rsid w:val="0096309F"/>
    <w:rsid w:val="00965798"/>
    <w:rsid w:val="00966707"/>
    <w:rsid w:val="0096688A"/>
    <w:rsid w:val="0096712A"/>
    <w:rsid w:val="009671BB"/>
    <w:rsid w:val="009679AA"/>
    <w:rsid w:val="0097091D"/>
    <w:rsid w:val="00970E49"/>
    <w:rsid w:val="009718D0"/>
    <w:rsid w:val="00975DF0"/>
    <w:rsid w:val="00975E7E"/>
    <w:rsid w:val="00976DD6"/>
    <w:rsid w:val="00977D33"/>
    <w:rsid w:val="00980F13"/>
    <w:rsid w:val="00983B6E"/>
    <w:rsid w:val="00983C12"/>
    <w:rsid w:val="009842D2"/>
    <w:rsid w:val="00984A9E"/>
    <w:rsid w:val="00985099"/>
    <w:rsid w:val="0098527E"/>
    <w:rsid w:val="009858A2"/>
    <w:rsid w:val="00990857"/>
    <w:rsid w:val="00990EEB"/>
    <w:rsid w:val="00992BF8"/>
    <w:rsid w:val="00992F14"/>
    <w:rsid w:val="009966E4"/>
    <w:rsid w:val="009A3434"/>
    <w:rsid w:val="009A7B08"/>
    <w:rsid w:val="009A7CED"/>
    <w:rsid w:val="009B0D3C"/>
    <w:rsid w:val="009B116F"/>
    <w:rsid w:val="009B2191"/>
    <w:rsid w:val="009B34F0"/>
    <w:rsid w:val="009B4836"/>
    <w:rsid w:val="009B504B"/>
    <w:rsid w:val="009B607A"/>
    <w:rsid w:val="009B64C9"/>
    <w:rsid w:val="009C0B30"/>
    <w:rsid w:val="009C0D06"/>
    <w:rsid w:val="009C17F7"/>
    <w:rsid w:val="009C1993"/>
    <w:rsid w:val="009C4247"/>
    <w:rsid w:val="009C4ED3"/>
    <w:rsid w:val="009C4F0A"/>
    <w:rsid w:val="009C526A"/>
    <w:rsid w:val="009C76DD"/>
    <w:rsid w:val="009D1CCC"/>
    <w:rsid w:val="009D234E"/>
    <w:rsid w:val="009D2ED6"/>
    <w:rsid w:val="009D59AB"/>
    <w:rsid w:val="009D6741"/>
    <w:rsid w:val="009D7B44"/>
    <w:rsid w:val="009D7E79"/>
    <w:rsid w:val="009E0034"/>
    <w:rsid w:val="009E13DD"/>
    <w:rsid w:val="009E23D6"/>
    <w:rsid w:val="009E7821"/>
    <w:rsid w:val="009F0CDC"/>
    <w:rsid w:val="009F2987"/>
    <w:rsid w:val="009F2D3A"/>
    <w:rsid w:val="009F4F7A"/>
    <w:rsid w:val="009F56CC"/>
    <w:rsid w:val="009F656E"/>
    <w:rsid w:val="009F72D2"/>
    <w:rsid w:val="00A00152"/>
    <w:rsid w:val="00A047A8"/>
    <w:rsid w:val="00A10841"/>
    <w:rsid w:val="00A112E5"/>
    <w:rsid w:val="00A11EE0"/>
    <w:rsid w:val="00A11FAB"/>
    <w:rsid w:val="00A14814"/>
    <w:rsid w:val="00A1577B"/>
    <w:rsid w:val="00A159AB"/>
    <w:rsid w:val="00A20791"/>
    <w:rsid w:val="00A2164C"/>
    <w:rsid w:val="00A23F6C"/>
    <w:rsid w:val="00A240DC"/>
    <w:rsid w:val="00A2613B"/>
    <w:rsid w:val="00A27CDF"/>
    <w:rsid w:val="00A300A2"/>
    <w:rsid w:val="00A30313"/>
    <w:rsid w:val="00A32249"/>
    <w:rsid w:val="00A323AB"/>
    <w:rsid w:val="00A335B5"/>
    <w:rsid w:val="00A33FCA"/>
    <w:rsid w:val="00A34E0F"/>
    <w:rsid w:val="00A36076"/>
    <w:rsid w:val="00A379DA"/>
    <w:rsid w:val="00A37F03"/>
    <w:rsid w:val="00A405EF"/>
    <w:rsid w:val="00A41242"/>
    <w:rsid w:val="00A41336"/>
    <w:rsid w:val="00A4180A"/>
    <w:rsid w:val="00A44244"/>
    <w:rsid w:val="00A44313"/>
    <w:rsid w:val="00A44581"/>
    <w:rsid w:val="00A45622"/>
    <w:rsid w:val="00A469EA"/>
    <w:rsid w:val="00A47CF8"/>
    <w:rsid w:val="00A47EA3"/>
    <w:rsid w:val="00A50011"/>
    <w:rsid w:val="00A50E4D"/>
    <w:rsid w:val="00A525A2"/>
    <w:rsid w:val="00A52D91"/>
    <w:rsid w:val="00A52FA7"/>
    <w:rsid w:val="00A5325E"/>
    <w:rsid w:val="00A54804"/>
    <w:rsid w:val="00A54B16"/>
    <w:rsid w:val="00A61C0A"/>
    <w:rsid w:val="00A620CA"/>
    <w:rsid w:val="00A63CB1"/>
    <w:rsid w:val="00A64EDF"/>
    <w:rsid w:val="00A65919"/>
    <w:rsid w:val="00A65D57"/>
    <w:rsid w:val="00A663B0"/>
    <w:rsid w:val="00A677D5"/>
    <w:rsid w:val="00A71692"/>
    <w:rsid w:val="00A72A9E"/>
    <w:rsid w:val="00A73C96"/>
    <w:rsid w:val="00A749F1"/>
    <w:rsid w:val="00A74ABB"/>
    <w:rsid w:val="00A77293"/>
    <w:rsid w:val="00A80DCA"/>
    <w:rsid w:val="00A81732"/>
    <w:rsid w:val="00A821D3"/>
    <w:rsid w:val="00A82498"/>
    <w:rsid w:val="00A87642"/>
    <w:rsid w:val="00A87759"/>
    <w:rsid w:val="00A90C71"/>
    <w:rsid w:val="00A91387"/>
    <w:rsid w:val="00A91A48"/>
    <w:rsid w:val="00A91EDB"/>
    <w:rsid w:val="00A92B1A"/>
    <w:rsid w:val="00A9476A"/>
    <w:rsid w:val="00A94EAF"/>
    <w:rsid w:val="00A96DB9"/>
    <w:rsid w:val="00A977ED"/>
    <w:rsid w:val="00AA4282"/>
    <w:rsid w:val="00AA43F6"/>
    <w:rsid w:val="00AA7035"/>
    <w:rsid w:val="00AA7583"/>
    <w:rsid w:val="00AA7ACF"/>
    <w:rsid w:val="00AB26BA"/>
    <w:rsid w:val="00AB3DA7"/>
    <w:rsid w:val="00AB4CF0"/>
    <w:rsid w:val="00AB6043"/>
    <w:rsid w:val="00AB626E"/>
    <w:rsid w:val="00AC01A6"/>
    <w:rsid w:val="00AC4DD2"/>
    <w:rsid w:val="00AC595D"/>
    <w:rsid w:val="00AC68D0"/>
    <w:rsid w:val="00AC765D"/>
    <w:rsid w:val="00AC769A"/>
    <w:rsid w:val="00AC7890"/>
    <w:rsid w:val="00AD0CA2"/>
    <w:rsid w:val="00AD1F92"/>
    <w:rsid w:val="00AD2B54"/>
    <w:rsid w:val="00AD44B8"/>
    <w:rsid w:val="00AD5800"/>
    <w:rsid w:val="00AD6692"/>
    <w:rsid w:val="00AE1CB9"/>
    <w:rsid w:val="00AE3519"/>
    <w:rsid w:val="00AE4442"/>
    <w:rsid w:val="00AE55F2"/>
    <w:rsid w:val="00AE5CE6"/>
    <w:rsid w:val="00AE5F1E"/>
    <w:rsid w:val="00AE6216"/>
    <w:rsid w:val="00AE6B5E"/>
    <w:rsid w:val="00AF08A1"/>
    <w:rsid w:val="00AF2245"/>
    <w:rsid w:val="00AF2D59"/>
    <w:rsid w:val="00AF3B98"/>
    <w:rsid w:val="00AF4381"/>
    <w:rsid w:val="00AF461C"/>
    <w:rsid w:val="00AF463A"/>
    <w:rsid w:val="00AF46A1"/>
    <w:rsid w:val="00AF5BDD"/>
    <w:rsid w:val="00AF7EA2"/>
    <w:rsid w:val="00B012F4"/>
    <w:rsid w:val="00B0145F"/>
    <w:rsid w:val="00B01B55"/>
    <w:rsid w:val="00B02F90"/>
    <w:rsid w:val="00B04EEF"/>
    <w:rsid w:val="00B04F3F"/>
    <w:rsid w:val="00B0728C"/>
    <w:rsid w:val="00B1039E"/>
    <w:rsid w:val="00B108D0"/>
    <w:rsid w:val="00B12ED9"/>
    <w:rsid w:val="00B14116"/>
    <w:rsid w:val="00B157AF"/>
    <w:rsid w:val="00B15841"/>
    <w:rsid w:val="00B15D60"/>
    <w:rsid w:val="00B1671F"/>
    <w:rsid w:val="00B1799A"/>
    <w:rsid w:val="00B20582"/>
    <w:rsid w:val="00B2113B"/>
    <w:rsid w:val="00B22005"/>
    <w:rsid w:val="00B23A0F"/>
    <w:rsid w:val="00B24E34"/>
    <w:rsid w:val="00B254E3"/>
    <w:rsid w:val="00B25A70"/>
    <w:rsid w:val="00B2733C"/>
    <w:rsid w:val="00B31989"/>
    <w:rsid w:val="00B32566"/>
    <w:rsid w:val="00B330D4"/>
    <w:rsid w:val="00B3370A"/>
    <w:rsid w:val="00B33B70"/>
    <w:rsid w:val="00B33CCC"/>
    <w:rsid w:val="00B349E5"/>
    <w:rsid w:val="00B3595D"/>
    <w:rsid w:val="00B37103"/>
    <w:rsid w:val="00B37F7A"/>
    <w:rsid w:val="00B413DF"/>
    <w:rsid w:val="00B41905"/>
    <w:rsid w:val="00B4429B"/>
    <w:rsid w:val="00B443E6"/>
    <w:rsid w:val="00B45295"/>
    <w:rsid w:val="00B45469"/>
    <w:rsid w:val="00B46250"/>
    <w:rsid w:val="00B472A1"/>
    <w:rsid w:val="00B50989"/>
    <w:rsid w:val="00B51ECA"/>
    <w:rsid w:val="00B5416F"/>
    <w:rsid w:val="00B54CAA"/>
    <w:rsid w:val="00B5510A"/>
    <w:rsid w:val="00B55A11"/>
    <w:rsid w:val="00B60126"/>
    <w:rsid w:val="00B6040E"/>
    <w:rsid w:val="00B63EB0"/>
    <w:rsid w:val="00B64B7F"/>
    <w:rsid w:val="00B669A9"/>
    <w:rsid w:val="00B66D7B"/>
    <w:rsid w:val="00B673FA"/>
    <w:rsid w:val="00B67C98"/>
    <w:rsid w:val="00B714A2"/>
    <w:rsid w:val="00B71BA0"/>
    <w:rsid w:val="00B71FF2"/>
    <w:rsid w:val="00B72677"/>
    <w:rsid w:val="00B73502"/>
    <w:rsid w:val="00B7660E"/>
    <w:rsid w:val="00B77C41"/>
    <w:rsid w:val="00B83562"/>
    <w:rsid w:val="00B851A8"/>
    <w:rsid w:val="00B865FD"/>
    <w:rsid w:val="00B873BC"/>
    <w:rsid w:val="00B87BE6"/>
    <w:rsid w:val="00B87D03"/>
    <w:rsid w:val="00B90ED1"/>
    <w:rsid w:val="00B92331"/>
    <w:rsid w:val="00B925C7"/>
    <w:rsid w:val="00B9692F"/>
    <w:rsid w:val="00BA1CB0"/>
    <w:rsid w:val="00BA1FB2"/>
    <w:rsid w:val="00BA20C6"/>
    <w:rsid w:val="00BA2319"/>
    <w:rsid w:val="00BA3180"/>
    <w:rsid w:val="00BA3693"/>
    <w:rsid w:val="00BA4DF3"/>
    <w:rsid w:val="00BA61A9"/>
    <w:rsid w:val="00BA754C"/>
    <w:rsid w:val="00BB08C9"/>
    <w:rsid w:val="00BB1BE9"/>
    <w:rsid w:val="00BB20DD"/>
    <w:rsid w:val="00BB2792"/>
    <w:rsid w:val="00BB304B"/>
    <w:rsid w:val="00BB313D"/>
    <w:rsid w:val="00BB4AD3"/>
    <w:rsid w:val="00BB635E"/>
    <w:rsid w:val="00BB6BF2"/>
    <w:rsid w:val="00BB7F78"/>
    <w:rsid w:val="00BC0C9C"/>
    <w:rsid w:val="00BC1625"/>
    <w:rsid w:val="00BC1A84"/>
    <w:rsid w:val="00BC40B8"/>
    <w:rsid w:val="00BC4952"/>
    <w:rsid w:val="00BC5930"/>
    <w:rsid w:val="00BC6460"/>
    <w:rsid w:val="00BC7B01"/>
    <w:rsid w:val="00BC7E29"/>
    <w:rsid w:val="00BD49B9"/>
    <w:rsid w:val="00BE1C26"/>
    <w:rsid w:val="00BE52BE"/>
    <w:rsid w:val="00BF0D64"/>
    <w:rsid w:val="00BF111A"/>
    <w:rsid w:val="00BF11D2"/>
    <w:rsid w:val="00BF1794"/>
    <w:rsid w:val="00BF45FA"/>
    <w:rsid w:val="00BF6B73"/>
    <w:rsid w:val="00BF7C9A"/>
    <w:rsid w:val="00C00393"/>
    <w:rsid w:val="00C01140"/>
    <w:rsid w:val="00C021FA"/>
    <w:rsid w:val="00C03B4C"/>
    <w:rsid w:val="00C03C6A"/>
    <w:rsid w:val="00C055E5"/>
    <w:rsid w:val="00C057DF"/>
    <w:rsid w:val="00C05D7C"/>
    <w:rsid w:val="00C05FD8"/>
    <w:rsid w:val="00C075C1"/>
    <w:rsid w:val="00C075FB"/>
    <w:rsid w:val="00C07B43"/>
    <w:rsid w:val="00C10014"/>
    <w:rsid w:val="00C118E3"/>
    <w:rsid w:val="00C127B8"/>
    <w:rsid w:val="00C155C8"/>
    <w:rsid w:val="00C15A83"/>
    <w:rsid w:val="00C166F4"/>
    <w:rsid w:val="00C16DC3"/>
    <w:rsid w:val="00C1765E"/>
    <w:rsid w:val="00C20412"/>
    <w:rsid w:val="00C21BE0"/>
    <w:rsid w:val="00C21E14"/>
    <w:rsid w:val="00C21E95"/>
    <w:rsid w:val="00C22D84"/>
    <w:rsid w:val="00C2423E"/>
    <w:rsid w:val="00C24276"/>
    <w:rsid w:val="00C249C8"/>
    <w:rsid w:val="00C24D7F"/>
    <w:rsid w:val="00C24DF2"/>
    <w:rsid w:val="00C26307"/>
    <w:rsid w:val="00C30629"/>
    <w:rsid w:val="00C30F1F"/>
    <w:rsid w:val="00C31C1B"/>
    <w:rsid w:val="00C33DDE"/>
    <w:rsid w:val="00C34463"/>
    <w:rsid w:val="00C34FA6"/>
    <w:rsid w:val="00C3647F"/>
    <w:rsid w:val="00C401A3"/>
    <w:rsid w:val="00C41FA3"/>
    <w:rsid w:val="00C4381C"/>
    <w:rsid w:val="00C43D7F"/>
    <w:rsid w:val="00C43E5B"/>
    <w:rsid w:val="00C44A82"/>
    <w:rsid w:val="00C45EF3"/>
    <w:rsid w:val="00C513C5"/>
    <w:rsid w:val="00C513FE"/>
    <w:rsid w:val="00C52142"/>
    <w:rsid w:val="00C524E1"/>
    <w:rsid w:val="00C53673"/>
    <w:rsid w:val="00C53E05"/>
    <w:rsid w:val="00C5502D"/>
    <w:rsid w:val="00C57925"/>
    <w:rsid w:val="00C57D81"/>
    <w:rsid w:val="00C57DDE"/>
    <w:rsid w:val="00C613E9"/>
    <w:rsid w:val="00C618BE"/>
    <w:rsid w:val="00C61C69"/>
    <w:rsid w:val="00C61E29"/>
    <w:rsid w:val="00C626D4"/>
    <w:rsid w:val="00C65515"/>
    <w:rsid w:val="00C6721A"/>
    <w:rsid w:val="00C67BBA"/>
    <w:rsid w:val="00C702CB"/>
    <w:rsid w:val="00C70E40"/>
    <w:rsid w:val="00C716A0"/>
    <w:rsid w:val="00C71872"/>
    <w:rsid w:val="00C71900"/>
    <w:rsid w:val="00C725BD"/>
    <w:rsid w:val="00C72A7D"/>
    <w:rsid w:val="00C72C0D"/>
    <w:rsid w:val="00C74061"/>
    <w:rsid w:val="00C75275"/>
    <w:rsid w:val="00C76331"/>
    <w:rsid w:val="00C76431"/>
    <w:rsid w:val="00C77C08"/>
    <w:rsid w:val="00C8023A"/>
    <w:rsid w:val="00C807B1"/>
    <w:rsid w:val="00C81CEE"/>
    <w:rsid w:val="00C82288"/>
    <w:rsid w:val="00C82687"/>
    <w:rsid w:val="00C836C4"/>
    <w:rsid w:val="00C85E7B"/>
    <w:rsid w:val="00C864FD"/>
    <w:rsid w:val="00C86DEC"/>
    <w:rsid w:val="00C8711E"/>
    <w:rsid w:val="00C877EA"/>
    <w:rsid w:val="00C9098D"/>
    <w:rsid w:val="00C91B87"/>
    <w:rsid w:val="00C92293"/>
    <w:rsid w:val="00C92DF0"/>
    <w:rsid w:val="00C93519"/>
    <w:rsid w:val="00C935CE"/>
    <w:rsid w:val="00C935FF"/>
    <w:rsid w:val="00C9474D"/>
    <w:rsid w:val="00C96639"/>
    <w:rsid w:val="00CA0447"/>
    <w:rsid w:val="00CA5532"/>
    <w:rsid w:val="00CA5F9C"/>
    <w:rsid w:val="00CA623C"/>
    <w:rsid w:val="00CA74C3"/>
    <w:rsid w:val="00CB1709"/>
    <w:rsid w:val="00CB302B"/>
    <w:rsid w:val="00CB322D"/>
    <w:rsid w:val="00CB4C60"/>
    <w:rsid w:val="00CB54D6"/>
    <w:rsid w:val="00CB64F1"/>
    <w:rsid w:val="00CB6A4F"/>
    <w:rsid w:val="00CB71AA"/>
    <w:rsid w:val="00CB72D9"/>
    <w:rsid w:val="00CB7D10"/>
    <w:rsid w:val="00CC438F"/>
    <w:rsid w:val="00CC44E4"/>
    <w:rsid w:val="00CD052A"/>
    <w:rsid w:val="00CD2A87"/>
    <w:rsid w:val="00CD3C92"/>
    <w:rsid w:val="00CD5126"/>
    <w:rsid w:val="00CD56C5"/>
    <w:rsid w:val="00CD7A0A"/>
    <w:rsid w:val="00CE26C4"/>
    <w:rsid w:val="00CE2C9B"/>
    <w:rsid w:val="00CE3AF3"/>
    <w:rsid w:val="00CE4EFD"/>
    <w:rsid w:val="00CE55A5"/>
    <w:rsid w:val="00CE566E"/>
    <w:rsid w:val="00CE7BA6"/>
    <w:rsid w:val="00CF0495"/>
    <w:rsid w:val="00CF0D25"/>
    <w:rsid w:val="00CF2216"/>
    <w:rsid w:val="00CF24EB"/>
    <w:rsid w:val="00CF3220"/>
    <w:rsid w:val="00CF506C"/>
    <w:rsid w:val="00CF5B4B"/>
    <w:rsid w:val="00CF5CF7"/>
    <w:rsid w:val="00D006A1"/>
    <w:rsid w:val="00D017B0"/>
    <w:rsid w:val="00D0289E"/>
    <w:rsid w:val="00D04869"/>
    <w:rsid w:val="00D05128"/>
    <w:rsid w:val="00D05777"/>
    <w:rsid w:val="00D05AD5"/>
    <w:rsid w:val="00D07028"/>
    <w:rsid w:val="00D112E3"/>
    <w:rsid w:val="00D1519A"/>
    <w:rsid w:val="00D1675B"/>
    <w:rsid w:val="00D20AE3"/>
    <w:rsid w:val="00D21957"/>
    <w:rsid w:val="00D22674"/>
    <w:rsid w:val="00D23070"/>
    <w:rsid w:val="00D23E38"/>
    <w:rsid w:val="00D25685"/>
    <w:rsid w:val="00D25C08"/>
    <w:rsid w:val="00D26471"/>
    <w:rsid w:val="00D27CDD"/>
    <w:rsid w:val="00D32B49"/>
    <w:rsid w:val="00D32E9E"/>
    <w:rsid w:val="00D33A51"/>
    <w:rsid w:val="00D3439F"/>
    <w:rsid w:val="00D34774"/>
    <w:rsid w:val="00D35097"/>
    <w:rsid w:val="00D3538D"/>
    <w:rsid w:val="00D35C71"/>
    <w:rsid w:val="00D44675"/>
    <w:rsid w:val="00D44743"/>
    <w:rsid w:val="00D44CFA"/>
    <w:rsid w:val="00D45A2E"/>
    <w:rsid w:val="00D46B4D"/>
    <w:rsid w:val="00D46C50"/>
    <w:rsid w:val="00D47583"/>
    <w:rsid w:val="00D5218C"/>
    <w:rsid w:val="00D52877"/>
    <w:rsid w:val="00D5531A"/>
    <w:rsid w:val="00D55CB5"/>
    <w:rsid w:val="00D57B30"/>
    <w:rsid w:val="00D60625"/>
    <w:rsid w:val="00D61134"/>
    <w:rsid w:val="00D6240C"/>
    <w:rsid w:val="00D635C6"/>
    <w:rsid w:val="00D66141"/>
    <w:rsid w:val="00D67144"/>
    <w:rsid w:val="00D706C0"/>
    <w:rsid w:val="00D73269"/>
    <w:rsid w:val="00D74D05"/>
    <w:rsid w:val="00D75204"/>
    <w:rsid w:val="00D824B6"/>
    <w:rsid w:val="00D82B82"/>
    <w:rsid w:val="00D85986"/>
    <w:rsid w:val="00D868B4"/>
    <w:rsid w:val="00D87C31"/>
    <w:rsid w:val="00D90F61"/>
    <w:rsid w:val="00D91470"/>
    <w:rsid w:val="00D91DF8"/>
    <w:rsid w:val="00D91E9A"/>
    <w:rsid w:val="00D92872"/>
    <w:rsid w:val="00D92AB7"/>
    <w:rsid w:val="00D93667"/>
    <w:rsid w:val="00D9448A"/>
    <w:rsid w:val="00D94EC3"/>
    <w:rsid w:val="00D94F1A"/>
    <w:rsid w:val="00D95A37"/>
    <w:rsid w:val="00DA1F6C"/>
    <w:rsid w:val="00DA263A"/>
    <w:rsid w:val="00DA4284"/>
    <w:rsid w:val="00DA5605"/>
    <w:rsid w:val="00DA78B8"/>
    <w:rsid w:val="00DB1982"/>
    <w:rsid w:val="00DB220D"/>
    <w:rsid w:val="00DB368D"/>
    <w:rsid w:val="00DB4DDA"/>
    <w:rsid w:val="00DB4E2F"/>
    <w:rsid w:val="00DB6854"/>
    <w:rsid w:val="00DC02BB"/>
    <w:rsid w:val="00DC070F"/>
    <w:rsid w:val="00DC1CB2"/>
    <w:rsid w:val="00DC226C"/>
    <w:rsid w:val="00DC35F6"/>
    <w:rsid w:val="00DC3A6E"/>
    <w:rsid w:val="00DC5EE4"/>
    <w:rsid w:val="00DC7E2B"/>
    <w:rsid w:val="00DD2DCE"/>
    <w:rsid w:val="00DD2F63"/>
    <w:rsid w:val="00DD45F1"/>
    <w:rsid w:val="00DD463E"/>
    <w:rsid w:val="00DD5D48"/>
    <w:rsid w:val="00DD6117"/>
    <w:rsid w:val="00DD62CE"/>
    <w:rsid w:val="00DE1D62"/>
    <w:rsid w:val="00DE41E2"/>
    <w:rsid w:val="00DE7535"/>
    <w:rsid w:val="00DF0D48"/>
    <w:rsid w:val="00DF141D"/>
    <w:rsid w:val="00DF2C82"/>
    <w:rsid w:val="00DF2ED5"/>
    <w:rsid w:val="00DF536C"/>
    <w:rsid w:val="00DF5888"/>
    <w:rsid w:val="00DF7544"/>
    <w:rsid w:val="00DF76BB"/>
    <w:rsid w:val="00DF7BFB"/>
    <w:rsid w:val="00E03CBC"/>
    <w:rsid w:val="00E05065"/>
    <w:rsid w:val="00E07B14"/>
    <w:rsid w:val="00E07CCF"/>
    <w:rsid w:val="00E108B3"/>
    <w:rsid w:val="00E12152"/>
    <w:rsid w:val="00E123E9"/>
    <w:rsid w:val="00E12694"/>
    <w:rsid w:val="00E12ADD"/>
    <w:rsid w:val="00E14796"/>
    <w:rsid w:val="00E149D6"/>
    <w:rsid w:val="00E15525"/>
    <w:rsid w:val="00E16E80"/>
    <w:rsid w:val="00E200AE"/>
    <w:rsid w:val="00E205EF"/>
    <w:rsid w:val="00E214FC"/>
    <w:rsid w:val="00E223E9"/>
    <w:rsid w:val="00E22F39"/>
    <w:rsid w:val="00E236AB"/>
    <w:rsid w:val="00E26027"/>
    <w:rsid w:val="00E358BF"/>
    <w:rsid w:val="00E4142E"/>
    <w:rsid w:val="00E436AB"/>
    <w:rsid w:val="00E450FF"/>
    <w:rsid w:val="00E466D5"/>
    <w:rsid w:val="00E46DE9"/>
    <w:rsid w:val="00E47AE9"/>
    <w:rsid w:val="00E50894"/>
    <w:rsid w:val="00E51F32"/>
    <w:rsid w:val="00E5340E"/>
    <w:rsid w:val="00E54344"/>
    <w:rsid w:val="00E57848"/>
    <w:rsid w:val="00E57D6B"/>
    <w:rsid w:val="00E613B3"/>
    <w:rsid w:val="00E637EA"/>
    <w:rsid w:val="00E64E26"/>
    <w:rsid w:val="00E66256"/>
    <w:rsid w:val="00E66DD1"/>
    <w:rsid w:val="00E674DC"/>
    <w:rsid w:val="00E73698"/>
    <w:rsid w:val="00E7399E"/>
    <w:rsid w:val="00E839E2"/>
    <w:rsid w:val="00E8485C"/>
    <w:rsid w:val="00E86FCA"/>
    <w:rsid w:val="00E876B7"/>
    <w:rsid w:val="00E904DD"/>
    <w:rsid w:val="00E90E6D"/>
    <w:rsid w:val="00E915C7"/>
    <w:rsid w:val="00E9160D"/>
    <w:rsid w:val="00E91AF7"/>
    <w:rsid w:val="00E9298D"/>
    <w:rsid w:val="00E94BD6"/>
    <w:rsid w:val="00E950E4"/>
    <w:rsid w:val="00E978A8"/>
    <w:rsid w:val="00E979B8"/>
    <w:rsid w:val="00E97DF7"/>
    <w:rsid w:val="00EA27E2"/>
    <w:rsid w:val="00EA32E0"/>
    <w:rsid w:val="00EA3507"/>
    <w:rsid w:val="00EA3BFD"/>
    <w:rsid w:val="00EA67E6"/>
    <w:rsid w:val="00EA7D43"/>
    <w:rsid w:val="00EB10F0"/>
    <w:rsid w:val="00EB115E"/>
    <w:rsid w:val="00EB2107"/>
    <w:rsid w:val="00EB2772"/>
    <w:rsid w:val="00EB2B09"/>
    <w:rsid w:val="00EB30CD"/>
    <w:rsid w:val="00EB58BB"/>
    <w:rsid w:val="00EB610E"/>
    <w:rsid w:val="00EC060A"/>
    <w:rsid w:val="00EC16B5"/>
    <w:rsid w:val="00EC3FEE"/>
    <w:rsid w:val="00EC6759"/>
    <w:rsid w:val="00EC7629"/>
    <w:rsid w:val="00ED03D0"/>
    <w:rsid w:val="00ED0F93"/>
    <w:rsid w:val="00ED1E73"/>
    <w:rsid w:val="00ED23E7"/>
    <w:rsid w:val="00ED28C8"/>
    <w:rsid w:val="00ED306A"/>
    <w:rsid w:val="00ED6AB4"/>
    <w:rsid w:val="00EE06C5"/>
    <w:rsid w:val="00EE06EB"/>
    <w:rsid w:val="00EE1AC3"/>
    <w:rsid w:val="00EE1C41"/>
    <w:rsid w:val="00EE1EAF"/>
    <w:rsid w:val="00EE2AA3"/>
    <w:rsid w:val="00EE3AA5"/>
    <w:rsid w:val="00EE3BCC"/>
    <w:rsid w:val="00EE5D45"/>
    <w:rsid w:val="00EE6A02"/>
    <w:rsid w:val="00EF09E7"/>
    <w:rsid w:val="00EF1923"/>
    <w:rsid w:val="00EF1B8E"/>
    <w:rsid w:val="00EF3610"/>
    <w:rsid w:val="00EF405C"/>
    <w:rsid w:val="00F02E79"/>
    <w:rsid w:val="00F02F80"/>
    <w:rsid w:val="00F048F9"/>
    <w:rsid w:val="00F04914"/>
    <w:rsid w:val="00F04B51"/>
    <w:rsid w:val="00F055A9"/>
    <w:rsid w:val="00F1206D"/>
    <w:rsid w:val="00F12430"/>
    <w:rsid w:val="00F15F7E"/>
    <w:rsid w:val="00F16A3F"/>
    <w:rsid w:val="00F16C6A"/>
    <w:rsid w:val="00F17195"/>
    <w:rsid w:val="00F22D79"/>
    <w:rsid w:val="00F2310F"/>
    <w:rsid w:val="00F2699D"/>
    <w:rsid w:val="00F319C3"/>
    <w:rsid w:val="00F3238E"/>
    <w:rsid w:val="00F3240D"/>
    <w:rsid w:val="00F3511A"/>
    <w:rsid w:val="00F357BC"/>
    <w:rsid w:val="00F41059"/>
    <w:rsid w:val="00F41A98"/>
    <w:rsid w:val="00F423F4"/>
    <w:rsid w:val="00F429CA"/>
    <w:rsid w:val="00F43BAC"/>
    <w:rsid w:val="00F4640C"/>
    <w:rsid w:val="00F46FAE"/>
    <w:rsid w:val="00F47505"/>
    <w:rsid w:val="00F47F99"/>
    <w:rsid w:val="00F50375"/>
    <w:rsid w:val="00F505DE"/>
    <w:rsid w:val="00F50B4E"/>
    <w:rsid w:val="00F518E0"/>
    <w:rsid w:val="00F521E7"/>
    <w:rsid w:val="00F543C8"/>
    <w:rsid w:val="00F55866"/>
    <w:rsid w:val="00F57A93"/>
    <w:rsid w:val="00F60F64"/>
    <w:rsid w:val="00F64565"/>
    <w:rsid w:val="00F6499D"/>
    <w:rsid w:val="00F65C1D"/>
    <w:rsid w:val="00F66449"/>
    <w:rsid w:val="00F667BD"/>
    <w:rsid w:val="00F70A01"/>
    <w:rsid w:val="00F725B8"/>
    <w:rsid w:val="00F73202"/>
    <w:rsid w:val="00F73241"/>
    <w:rsid w:val="00F743C2"/>
    <w:rsid w:val="00F7457C"/>
    <w:rsid w:val="00F76833"/>
    <w:rsid w:val="00F76DEA"/>
    <w:rsid w:val="00F77120"/>
    <w:rsid w:val="00F77D78"/>
    <w:rsid w:val="00F821C4"/>
    <w:rsid w:val="00F846B0"/>
    <w:rsid w:val="00F84861"/>
    <w:rsid w:val="00F874C1"/>
    <w:rsid w:val="00F87C4F"/>
    <w:rsid w:val="00F87EDB"/>
    <w:rsid w:val="00F912C2"/>
    <w:rsid w:val="00F92161"/>
    <w:rsid w:val="00F92906"/>
    <w:rsid w:val="00F960F3"/>
    <w:rsid w:val="00F96292"/>
    <w:rsid w:val="00F963B4"/>
    <w:rsid w:val="00F970CC"/>
    <w:rsid w:val="00F9778C"/>
    <w:rsid w:val="00FA2DD5"/>
    <w:rsid w:val="00FA30B5"/>
    <w:rsid w:val="00FA421A"/>
    <w:rsid w:val="00FA675A"/>
    <w:rsid w:val="00FA69F7"/>
    <w:rsid w:val="00FA7151"/>
    <w:rsid w:val="00FB0B30"/>
    <w:rsid w:val="00FB13FD"/>
    <w:rsid w:val="00FB16A8"/>
    <w:rsid w:val="00FB244A"/>
    <w:rsid w:val="00FB292A"/>
    <w:rsid w:val="00FB2DBB"/>
    <w:rsid w:val="00FB5A68"/>
    <w:rsid w:val="00FB5AF7"/>
    <w:rsid w:val="00FC199F"/>
    <w:rsid w:val="00FC3A60"/>
    <w:rsid w:val="00FC3DDB"/>
    <w:rsid w:val="00FC466E"/>
    <w:rsid w:val="00FC4C49"/>
    <w:rsid w:val="00FC6434"/>
    <w:rsid w:val="00FC7A40"/>
    <w:rsid w:val="00FD027F"/>
    <w:rsid w:val="00FD0289"/>
    <w:rsid w:val="00FD036B"/>
    <w:rsid w:val="00FD20D9"/>
    <w:rsid w:val="00FD28C6"/>
    <w:rsid w:val="00FD2C7C"/>
    <w:rsid w:val="00FD61EF"/>
    <w:rsid w:val="00FE07F6"/>
    <w:rsid w:val="00FE0A8A"/>
    <w:rsid w:val="00FE0EA8"/>
    <w:rsid w:val="00FE1D18"/>
    <w:rsid w:val="00FE3E16"/>
    <w:rsid w:val="00FF0586"/>
    <w:rsid w:val="00FF3475"/>
    <w:rsid w:val="00FF4576"/>
    <w:rsid w:val="00FF5C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151F41"/>
  <w15:chartTrackingRefBased/>
  <w15:docId w15:val="{A80ACDA9-5015-45AF-9AA1-CC377F8F0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C0D06"/>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C9098D"/>
    <w:pPr>
      <w:keepNext/>
      <w:keepLines/>
      <w:spacing w:before="240" w:line="259" w:lineRule="auto"/>
      <w:outlineLvl w:val="0"/>
    </w:pPr>
    <w:rPr>
      <w:rFonts w:asciiTheme="majorHAnsi" w:eastAsiaTheme="majorEastAsia" w:hAnsiTheme="majorHAnsi" w:cstheme="majorBidi"/>
      <w:color w:val="2E74B5" w:themeColor="accent1" w:themeShade="BF"/>
      <w:sz w:val="32"/>
      <w:szCs w:val="32"/>
      <w:lang w:val="en-US" w:eastAsia="en-US"/>
    </w:rPr>
  </w:style>
  <w:style w:type="paragraph" w:styleId="Heading2">
    <w:name w:val="heading 2"/>
    <w:basedOn w:val="Normal"/>
    <w:next w:val="Normal"/>
    <w:link w:val="Heading2Char"/>
    <w:uiPriority w:val="9"/>
    <w:unhideWhenUsed/>
    <w:qFormat/>
    <w:rsid w:val="007B0087"/>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BF7C9A"/>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nhideWhenUsed/>
    <w:rsid w:val="009C0D06"/>
    <w:rPr>
      <w:color w:val="0563C1"/>
      <w:u w:val="single"/>
    </w:rPr>
  </w:style>
  <w:style w:type="paragraph" w:styleId="FootnoteText">
    <w:name w:val="footnote text"/>
    <w:basedOn w:val="Normal"/>
    <w:link w:val="FootnoteTextChar"/>
    <w:unhideWhenUsed/>
    <w:rsid w:val="009C0D06"/>
    <w:rPr>
      <w:sz w:val="20"/>
      <w:szCs w:val="20"/>
    </w:rPr>
  </w:style>
  <w:style w:type="character" w:customStyle="1" w:styleId="FootnoteTextChar">
    <w:name w:val="Footnote Text Char"/>
    <w:basedOn w:val="DefaultParagraphFont"/>
    <w:link w:val="FootnoteText"/>
    <w:rsid w:val="009C0D06"/>
    <w:rPr>
      <w:rFonts w:ascii="Times New Roman" w:eastAsia="Times New Roman" w:hAnsi="Times New Roman" w:cs="Times New Roman"/>
      <w:sz w:val="20"/>
      <w:szCs w:val="20"/>
      <w:lang w:eastAsia="en-GB"/>
    </w:rPr>
  </w:style>
  <w:style w:type="character" w:styleId="FootnoteReference">
    <w:name w:val="footnote reference"/>
    <w:semiHidden/>
    <w:unhideWhenUsed/>
    <w:rsid w:val="009C0D06"/>
    <w:rPr>
      <w:vertAlign w:val="superscript"/>
    </w:rPr>
  </w:style>
  <w:style w:type="character" w:customStyle="1" w:styleId="bodytitle1">
    <w:name w:val="body_title1"/>
    <w:rsid w:val="009C0D06"/>
    <w:rPr>
      <w:rFonts w:ascii="Verdana" w:hAnsi="Verdana" w:hint="default"/>
      <w:b/>
      <w:bCs/>
      <w:color w:val="000000"/>
      <w:sz w:val="22"/>
      <w:szCs w:val="22"/>
    </w:rPr>
  </w:style>
  <w:style w:type="paragraph" w:styleId="Header">
    <w:name w:val="header"/>
    <w:basedOn w:val="Normal"/>
    <w:link w:val="HeaderChar"/>
    <w:uiPriority w:val="99"/>
    <w:unhideWhenUsed/>
    <w:rsid w:val="009C0D06"/>
    <w:pPr>
      <w:tabs>
        <w:tab w:val="center" w:pos="4513"/>
        <w:tab w:val="right" w:pos="9026"/>
      </w:tabs>
    </w:pPr>
  </w:style>
  <w:style w:type="character" w:customStyle="1" w:styleId="HeaderChar">
    <w:name w:val="Header Char"/>
    <w:basedOn w:val="DefaultParagraphFont"/>
    <w:link w:val="Header"/>
    <w:uiPriority w:val="99"/>
    <w:rsid w:val="009C0D06"/>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9C0D06"/>
    <w:pPr>
      <w:tabs>
        <w:tab w:val="center" w:pos="4513"/>
        <w:tab w:val="right" w:pos="9026"/>
      </w:tabs>
    </w:pPr>
  </w:style>
  <w:style w:type="character" w:customStyle="1" w:styleId="FooterChar">
    <w:name w:val="Footer Char"/>
    <w:basedOn w:val="DefaultParagraphFont"/>
    <w:link w:val="Footer"/>
    <w:uiPriority w:val="99"/>
    <w:rsid w:val="009C0D06"/>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8D46C0"/>
    <w:pPr>
      <w:ind w:left="720"/>
      <w:contextualSpacing/>
    </w:pPr>
  </w:style>
  <w:style w:type="character" w:customStyle="1" w:styleId="Heading1Char">
    <w:name w:val="Heading 1 Char"/>
    <w:basedOn w:val="DefaultParagraphFont"/>
    <w:link w:val="Heading1"/>
    <w:uiPriority w:val="9"/>
    <w:rsid w:val="00C9098D"/>
    <w:rPr>
      <w:rFonts w:asciiTheme="majorHAnsi" w:eastAsiaTheme="majorEastAsia" w:hAnsiTheme="majorHAnsi" w:cstheme="majorBidi"/>
      <w:color w:val="2E74B5" w:themeColor="accent1" w:themeShade="BF"/>
      <w:sz w:val="32"/>
      <w:szCs w:val="32"/>
      <w:lang w:val="en-US"/>
    </w:rPr>
  </w:style>
  <w:style w:type="character" w:styleId="UnresolvedMention">
    <w:name w:val="Unresolved Mention"/>
    <w:basedOn w:val="DefaultParagraphFont"/>
    <w:uiPriority w:val="99"/>
    <w:semiHidden/>
    <w:unhideWhenUsed/>
    <w:rsid w:val="007C6360"/>
    <w:rPr>
      <w:color w:val="808080"/>
      <w:shd w:val="clear" w:color="auto" w:fill="E6E6E6"/>
    </w:rPr>
  </w:style>
  <w:style w:type="character" w:styleId="FollowedHyperlink">
    <w:name w:val="FollowedHyperlink"/>
    <w:basedOn w:val="DefaultParagraphFont"/>
    <w:uiPriority w:val="99"/>
    <w:semiHidden/>
    <w:unhideWhenUsed/>
    <w:rsid w:val="0096309F"/>
    <w:rPr>
      <w:color w:val="954F72" w:themeColor="followedHyperlink"/>
      <w:u w:val="single"/>
    </w:rPr>
  </w:style>
  <w:style w:type="character" w:customStyle="1" w:styleId="citationitalic2">
    <w:name w:val="citationitalic2"/>
    <w:basedOn w:val="DefaultParagraphFont"/>
    <w:rsid w:val="001A106E"/>
    <w:rPr>
      <w:i/>
      <w:iCs/>
    </w:rPr>
  </w:style>
  <w:style w:type="character" w:customStyle="1" w:styleId="Heading2Char">
    <w:name w:val="Heading 2 Char"/>
    <w:basedOn w:val="DefaultParagraphFont"/>
    <w:link w:val="Heading2"/>
    <w:uiPriority w:val="9"/>
    <w:rsid w:val="007B0087"/>
    <w:rPr>
      <w:rFonts w:asciiTheme="majorHAnsi" w:eastAsiaTheme="majorEastAsia" w:hAnsiTheme="majorHAnsi" w:cstheme="majorBidi"/>
      <w:color w:val="2E74B5" w:themeColor="accent1" w:themeShade="BF"/>
      <w:sz w:val="26"/>
      <w:szCs w:val="26"/>
      <w:lang w:eastAsia="en-GB"/>
    </w:rPr>
  </w:style>
  <w:style w:type="character" w:styleId="Emphasis">
    <w:name w:val="Emphasis"/>
    <w:basedOn w:val="DefaultParagraphFont"/>
    <w:uiPriority w:val="20"/>
    <w:qFormat/>
    <w:rsid w:val="007B0087"/>
    <w:rPr>
      <w:i/>
      <w:iCs/>
    </w:rPr>
  </w:style>
  <w:style w:type="paragraph" w:styleId="EndnoteText">
    <w:name w:val="endnote text"/>
    <w:basedOn w:val="Normal"/>
    <w:link w:val="EndnoteTextChar"/>
    <w:uiPriority w:val="99"/>
    <w:semiHidden/>
    <w:unhideWhenUsed/>
    <w:rsid w:val="00A30313"/>
    <w:rPr>
      <w:sz w:val="20"/>
      <w:szCs w:val="20"/>
    </w:rPr>
  </w:style>
  <w:style w:type="character" w:customStyle="1" w:styleId="EndnoteTextChar">
    <w:name w:val="Endnote Text Char"/>
    <w:basedOn w:val="DefaultParagraphFont"/>
    <w:link w:val="EndnoteText"/>
    <w:uiPriority w:val="99"/>
    <w:semiHidden/>
    <w:rsid w:val="00A30313"/>
    <w:rPr>
      <w:rFonts w:ascii="Times New Roman" w:eastAsia="Times New Roman" w:hAnsi="Times New Roman" w:cs="Times New Roman"/>
      <w:sz w:val="20"/>
      <w:szCs w:val="20"/>
      <w:lang w:eastAsia="en-GB"/>
    </w:rPr>
  </w:style>
  <w:style w:type="character" w:styleId="EndnoteReference">
    <w:name w:val="endnote reference"/>
    <w:basedOn w:val="DefaultParagraphFont"/>
    <w:uiPriority w:val="99"/>
    <w:semiHidden/>
    <w:unhideWhenUsed/>
    <w:rsid w:val="00A30313"/>
    <w:rPr>
      <w:vertAlign w:val="superscript"/>
    </w:rPr>
  </w:style>
  <w:style w:type="character" w:customStyle="1" w:styleId="Heading3Char">
    <w:name w:val="Heading 3 Char"/>
    <w:basedOn w:val="DefaultParagraphFont"/>
    <w:link w:val="Heading3"/>
    <w:uiPriority w:val="9"/>
    <w:semiHidden/>
    <w:rsid w:val="00BF7C9A"/>
    <w:rPr>
      <w:rFonts w:asciiTheme="majorHAnsi" w:eastAsiaTheme="majorEastAsia" w:hAnsiTheme="majorHAnsi" w:cstheme="majorBidi"/>
      <w:color w:val="1F4D78" w:themeColor="accent1" w:themeShade="7F"/>
      <w:sz w:val="24"/>
      <w:szCs w:val="24"/>
      <w:lang w:eastAsia="en-GB"/>
    </w:rPr>
  </w:style>
  <w:style w:type="paragraph" w:styleId="NormalWeb">
    <w:name w:val="Normal (Web)"/>
    <w:basedOn w:val="Normal"/>
    <w:rsid w:val="00BF7C9A"/>
    <w:pPr>
      <w:spacing w:before="100" w:beforeAutospacing="1" w:after="100" w:afterAutospacing="1"/>
    </w:pPr>
    <w:rPr>
      <w:rFonts w:ascii="Georgia" w:eastAsia="SimSun" w:hAnsi="Georgia"/>
      <w:color w:val="000000"/>
      <w:sz w:val="21"/>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257281">
      <w:bodyDiv w:val="1"/>
      <w:marLeft w:val="0"/>
      <w:marRight w:val="0"/>
      <w:marTop w:val="0"/>
      <w:marBottom w:val="0"/>
      <w:divBdr>
        <w:top w:val="none" w:sz="0" w:space="0" w:color="auto"/>
        <w:left w:val="none" w:sz="0" w:space="0" w:color="auto"/>
        <w:bottom w:val="none" w:sz="0" w:space="0" w:color="auto"/>
        <w:right w:val="none" w:sz="0" w:space="0" w:color="auto"/>
      </w:divBdr>
    </w:div>
    <w:div w:id="251596252">
      <w:bodyDiv w:val="1"/>
      <w:marLeft w:val="0"/>
      <w:marRight w:val="0"/>
      <w:marTop w:val="0"/>
      <w:marBottom w:val="0"/>
      <w:divBdr>
        <w:top w:val="none" w:sz="0" w:space="0" w:color="auto"/>
        <w:left w:val="none" w:sz="0" w:space="0" w:color="auto"/>
        <w:bottom w:val="none" w:sz="0" w:space="0" w:color="auto"/>
        <w:right w:val="none" w:sz="0" w:space="0" w:color="auto"/>
      </w:divBdr>
    </w:div>
    <w:div w:id="403528361">
      <w:bodyDiv w:val="1"/>
      <w:marLeft w:val="0"/>
      <w:marRight w:val="0"/>
      <w:marTop w:val="0"/>
      <w:marBottom w:val="0"/>
      <w:divBdr>
        <w:top w:val="none" w:sz="0" w:space="0" w:color="auto"/>
        <w:left w:val="none" w:sz="0" w:space="0" w:color="auto"/>
        <w:bottom w:val="none" w:sz="0" w:space="0" w:color="auto"/>
        <w:right w:val="none" w:sz="0" w:space="0" w:color="auto"/>
      </w:divBdr>
    </w:div>
    <w:div w:id="926422111">
      <w:bodyDiv w:val="1"/>
      <w:marLeft w:val="0"/>
      <w:marRight w:val="0"/>
      <w:marTop w:val="0"/>
      <w:marBottom w:val="0"/>
      <w:divBdr>
        <w:top w:val="none" w:sz="0" w:space="0" w:color="auto"/>
        <w:left w:val="none" w:sz="0" w:space="0" w:color="auto"/>
        <w:bottom w:val="none" w:sz="0" w:space="0" w:color="auto"/>
        <w:right w:val="none" w:sz="0" w:space="0" w:color="auto"/>
      </w:divBdr>
    </w:div>
    <w:div w:id="942300787">
      <w:bodyDiv w:val="1"/>
      <w:marLeft w:val="0"/>
      <w:marRight w:val="0"/>
      <w:marTop w:val="0"/>
      <w:marBottom w:val="0"/>
      <w:divBdr>
        <w:top w:val="none" w:sz="0" w:space="0" w:color="auto"/>
        <w:left w:val="none" w:sz="0" w:space="0" w:color="auto"/>
        <w:bottom w:val="none" w:sz="0" w:space="0" w:color="auto"/>
        <w:right w:val="none" w:sz="0" w:space="0" w:color="auto"/>
      </w:divBdr>
    </w:div>
    <w:div w:id="947350098">
      <w:bodyDiv w:val="1"/>
      <w:marLeft w:val="0"/>
      <w:marRight w:val="0"/>
      <w:marTop w:val="0"/>
      <w:marBottom w:val="0"/>
      <w:divBdr>
        <w:top w:val="none" w:sz="0" w:space="0" w:color="auto"/>
        <w:left w:val="none" w:sz="0" w:space="0" w:color="auto"/>
        <w:bottom w:val="none" w:sz="0" w:space="0" w:color="auto"/>
        <w:right w:val="none" w:sz="0" w:space="0" w:color="auto"/>
      </w:divBdr>
      <w:divsChild>
        <w:div w:id="468743334">
          <w:marLeft w:val="0"/>
          <w:marRight w:val="0"/>
          <w:marTop w:val="0"/>
          <w:marBottom w:val="0"/>
          <w:divBdr>
            <w:top w:val="none" w:sz="0" w:space="0" w:color="auto"/>
            <w:left w:val="none" w:sz="0" w:space="0" w:color="auto"/>
            <w:bottom w:val="none" w:sz="0" w:space="0" w:color="auto"/>
            <w:right w:val="none" w:sz="0" w:space="0" w:color="auto"/>
          </w:divBdr>
          <w:divsChild>
            <w:div w:id="1577280633">
              <w:marLeft w:val="0"/>
              <w:marRight w:val="0"/>
              <w:marTop w:val="0"/>
              <w:marBottom w:val="0"/>
              <w:divBdr>
                <w:top w:val="none" w:sz="0" w:space="0" w:color="auto"/>
                <w:left w:val="none" w:sz="0" w:space="0" w:color="auto"/>
                <w:bottom w:val="none" w:sz="0" w:space="0" w:color="auto"/>
                <w:right w:val="none" w:sz="0" w:space="0" w:color="auto"/>
              </w:divBdr>
              <w:divsChild>
                <w:div w:id="933243819">
                  <w:marLeft w:val="0"/>
                  <w:marRight w:val="0"/>
                  <w:marTop w:val="0"/>
                  <w:marBottom w:val="3"/>
                  <w:divBdr>
                    <w:top w:val="none" w:sz="0" w:space="0" w:color="auto"/>
                    <w:left w:val="none" w:sz="0" w:space="0" w:color="auto"/>
                    <w:bottom w:val="none" w:sz="0" w:space="0" w:color="auto"/>
                    <w:right w:val="none" w:sz="0" w:space="0" w:color="auto"/>
                  </w:divBdr>
                  <w:divsChild>
                    <w:div w:id="204803441">
                      <w:marLeft w:val="0"/>
                      <w:marRight w:val="0"/>
                      <w:marTop w:val="0"/>
                      <w:marBottom w:val="300"/>
                      <w:divBdr>
                        <w:top w:val="none" w:sz="0" w:space="0" w:color="auto"/>
                        <w:left w:val="none" w:sz="0" w:space="0" w:color="auto"/>
                        <w:bottom w:val="none" w:sz="0" w:space="0" w:color="auto"/>
                        <w:right w:val="none" w:sz="0" w:space="0" w:color="auto"/>
                      </w:divBdr>
                      <w:divsChild>
                        <w:div w:id="1907102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82546492">
      <w:bodyDiv w:val="1"/>
      <w:marLeft w:val="0"/>
      <w:marRight w:val="0"/>
      <w:marTop w:val="0"/>
      <w:marBottom w:val="0"/>
      <w:divBdr>
        <w:top w:val="none" w:sz="0" w:space="0" w:color="auto"/>
        <w:left w:val="none" w:sz="0" w:space="0" w:color="auto"/>
        <w:bottom w:val="none" w:sz="0" w:space="0" w:color="auto"/>
        <w:right w:val="none" w:sz="0" w:space="0" w:color="auto"/>
      </w:divBdr>
      <w:divsChild>
        <w:div w:id="117994015">
          <w:marLeft w:val="0"/>
          <w:marRight w:val="0"/>
          <w:marTop w:val="0"/>
          <w:marBottom w:val="0"/>
          <w:divBdr>
            <w:top w:val="none" w:sz="0" w:space="0" w:color="auto"/>
            <w:left w:val="none" w:sz="0" w:space="0" w:color="auto"/>
            <w:bottom w:val="none" w:sz="0" w:space="0" w:color="auto"/>
            <w:right w:val="none" w:sz="0" w:space="0" w:color="auto"/>
          </w:divBdr>
          <w:divsChild>
            <w:div w:id="445857446">
              <w:marLeft w:val="0"/>
              <w:marRight w:val="0"/>
              <w:marTop w:val="0"/>
              <w:marBottom w:val="0"/>
              <w:divBdr>
                <w:top w:val="none" w:sz="0" w:space="0" w:color="auto"/>
                <w:left w:val="none" w:sz="0" w:space="0" w:color="auto"/>
                <w:bottom w:val="none" w:sz="0" w:space="0" w:color="auto"/>
                <w:right w:val="none" w:sz="0" w:space="0" w:color="auto"/>
              </w:divBdr>
              <w:divsChild>
                <w:div w:id="1185052821">
                  <w:marLeft w:val="0"/>
                  <w:marRight w:val="0"/>
                  <w:marTop w:val="0"/>
                  <w:marBottom w:val="0"/>
                  <w:divBdr>
                    <w:top w:val="none" w:sz="0" w:space="0" w:color="auto"/>
                    <w:left w:val="none" w:sz="0" w:space="0" w:color="auto"/>
                    <w:bottom w:val="none" w:sz="0" w:space="0" w:color="auto"/>
                    <w:right w:val="none" w:sz="0" w:space="0" w:color="auto"/>
                  </w:divBdr>
                  <w:divsChild>
                    <w:div w:id="1638218007">
                      <w:marLeft w:val="0"/>
                      <w:marRight w:val="0"/>
                      <w:marTop w:val="0"/>
                      <w:marBottom w:val="0"/>
                      <w:divBdr>
                        <w:top w:val="none" w:sz="0" w:space="0" w:color="auto"/>
                        <w:left w:val="none" w:sz="0" w:space="0" w:color="auto"/>
                        <w:bottom w:val="none" w:sz="0" w:space="0" w:color="auto"/>
                        <w:right w:val="none" w:sz="0" w:space="0" w:color="auto"/>
                      </w:divBdr>
                      <w:divsChild>
                        <w:div w:id="977152943">
                          <w:marLeft w:val="0"/>
                          <w:marRight w:val="0"/>
                          <w:marTop w:val="0"/>
                          <w:marBottom w:val="0"/>
                          <w:divBdr>
                            <w:top w:val="none" w:sz="0" w:space="0" w:color="auto"/>
                            <w:left w:val="none" w:sz="0" w:space="0" w:color="auto"/>
                            <w:bottom w:val="none" w:sz="0" w:space="0" w:color="auto"/>
                            <w:right w:val="none" w:sz="0" w:space="0" w:color="auto"/>
                          </w:divBdr>
                          <w:divsChild>
                            <w:div w:id="1401631259">
                              <w:marLeft w:val="0"/>
                              <w:marRight w:val="0"/>
                              <w:marTop w:val="0"/>
                              <w:marBottom w:val="0"/>
                              <w:divBdr>
                                <w:top w:val="none" w:sz="0" w:space="0" w:color="auto"/>
                                <w:left w:val="none" w:sz="0" w:space="0" w:color="auto"/>
                                <w:bottom w:val="none" w:sz="0" w:space="0" w:color="auto"/>
                                <w:right w:val="none" w:sz="0" w:space="0" w:color="auto"/>
                              </w:divBdr>
                              <w:divsChild>
                                <w:div w:id="1490753556">
                                  <w:marLeft w:val="0"/>
                                  <w:marRight w:val="0"/>
                                  <w:marTop w:val="0"/>
                                  <w:marBottom w:val="0"/>
                                  <w:divBdr>
                                    <w:top w:val="none" w:sz="0" w:space="0" w:color="auto"/>
                                    <w:left w:val="none" w:sz="0" w:space="0" w:color="auto"/>
                                    <w:bottom w:val="none" w:sz="0" w:space="0" w:color="auto"/>
                                    <w:right w:val="none" w:sz="0" w:space="0" w:color="auto"/>
                                  </w:divBdr>
                                  <w:divsChild>
                                    <w:div w:id="1964067968">
                                      <w:marLeft w:val="0"/>
                                      <w:marRight w:val="0"/>
                                      <w:marTop w:val="0"/>
                                      <w:marBottom w:val="0"/>
                                      <w:divBdr>
                                        <w:top w:val="none" w:sz="0" w:space="0" w:color="auto"/>
                                        <w:left w:val="none" w:sz="0" w:space="0" w:color="auto"/>
                                        <w:bottom w:val="none" w:sz="0" w:space="0" w:color="auto"/>
                                        <w:right w:val="none" w:sz="0" w:space="0" w:color="auto"/>
                                      </w:divBdr>
                                      <w:divsChild>
                                        <w:div w:id="416101509">
                                          <w:marLeft w:val="0"/>
                                          <w:marRight w:val="0"/>
                                          <w:marTop w:val="0"/>
                                          <w:marBottom w:val="0"/>
                                          <w:divBdr>
                                            <w:top w:val="none" w:sz="0" w:space="0" w:color="auto"/>
                                            <w:left w:val="none" w:sz="0" w:space="0" w:color="auto"/>
                                            <w:bottom w:val="none" w:sz="0" w:space="0" w:color="auto"/>
                                            <w:right w:val="none" w:sz="0" w:space="0" w:color="auto"/>
                                          </w:divBdr>
                                          <w:divsChild>
                                            <w:div w:id="1385836898">
                                              <w:marLeft w:val="0"/>
                                              <w:marRight w:val="0"/>
                                              <w:marTop w:val="0"/>
                                              <w:marBottom w:val="0"/>
                                              <w:divBdr>
                                                <w:top w:val="none" w:sz="0" w:space="0" w:color="auto"/>
                                                <w:left w:val="none" w:sz="0" w:space="0" w:color="auto"/>
                                                <w:bottom w:val="none" w:sz="0" w:space="0" w:color="auto"/>
                                                <w:right w:val="none" w:sz="0" w:space="0" w:color="auto"/>
                                              </w:divBdr>
                                              <w:divsChild>
                                                <w:div w:id="1617905431">
                                                  <w:marLeft w:val="0"/>
                                                  <w:marRight w:val="0"/>
                                                  <w:marTop w:val="0"/>
                                                  <w:marBottom w:val="0"/>
                                                  <w:divBdr>
                                                    <w:top w:val="none" w:sz="0" w:space="0" w:color="auto"/>
                                                    <w:left w:val="none" w:sz="0" w:space="0" w:color="auto"/>
                                                    <w:bottom w:val="none" w:sz="0" w:space="0" w:color="auto"/>
                                                    <w:right w:val="none" w:sz="0" w:space="0" w:color="auto"/>
                                                  </w:divBdr>
                                                  <w:divsChild>
                                                    <w:div w:id="798914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00233612">
      <w:bodyDiv w:val="1"/>
      <w:marLeft w:val="0"/>
      <w:marRight w:val="0"/>
      <w:marTop w:val="0"/>
      <w:marBottom w:val="0"/>
      <w:divBdr>
        <w:top w:val="none" w:sz="0" w:space="0" w:color="auto"/>
        <w:left w:val="none" w:sz="0" w:space="0" w:color="auto"/>
        <w:bottom w:val="none" w:sz="0" w:space="0" w:color="auto"/>
        <w:right w:val="none" w:sz="0" w:space="0" w:color="auto"/>
      </w:divBdr>
      <w:divsChild>
        <w:div w:id="64960586">
          <w:marLeft w:val="0"/>
          <w:marRight w:val="0"/>
          <w:marTop w:val="0"/>
          <w:marBottom w:val="0"/>
          <w:divBdr>
            <w:top w:val="none" w:sz="0" w:space="0" w:color="auto"/>
            <w:left w:val="none" w:sz="0" w:space="0" w:color="auto"/>
            <w:bottom w:val="none" w:sz="0" w:space="0" w:color="auto"/>
            <w:right w:val="none" w:sz="0" w:space="0" w:color="auto"/>
          </w:divBdr>
          <w:divsChild>
            <w:div w:id="430321073">
              <w:marLeft w:val="0"/>
              <w:marRight w:val="0"/>
              <w:marTop w:val="0"/>
              <w:marBottom w:val="0"/>
              <w:divBdr>
                <w:top w:val="none" w:sz="0" w:space="0" w:color="auto"/>
                <w:left w:val="none" w:sz="0" w:space="0" w:color="auto"/>
                <w:bottom w:val="none" w:sz="0" w:space="0" w:color="auto"/>
                <w:right w:val="none" w:sz="0" w:space="0" w:color="auto"/>
              </w:divBdr>
              <w:divsChild>
                <w:div w:id="1391462214">
                  <w:marLeft w:val="0"/>
                  <w:marRight w:val="0"/>
                  <w:marTop w:val="0"/>
                  <w:marBottom w:val="3"/>
                  <w:divBdr>
                    <w:top w:val="none" w:sz="0" w:space="0" w:color="auto"/>
                    <w:left w:val="none" w:sz="0" w:space="0" w:color="auto"/>
                    <w:bottom w:val="none" w:sz="0" w:space="0" w:color="auto"/>
                    <w:right w:val="none" w:sz="0" w:space="0" w:color="auto"/>
                  </w:divBdr>
                  <w:divsChild>
                    <w:div w:id="1527912922">
                      <w:marLeft w:val="0"/>
                      <w:marRight w:val="0"/>
                      <w:marTop w:val="0"/>
                      <w:marBottom w:val="300"/>
                      <w:divBdr>
                        <w:top w:val="none" w:sz="0" w:space="0" w:color="auto"/>
                        <w:left w:val="none" w:sz="0" w:space="0" w:color="auto"/>
                        <w:bottom w:val="none" w:sz="0" w:space="0" w:color="auto"/>
                        <w:right w:val="none" w:sz="0" w:space="0" w:color="auto"/>
                      </w:divBdr>
                      <w:divsChild>
                        <w:div w:id="2064056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books.google.co.uk/books?id=aLUGdr4-0j4C&amp;pg=PA39&amp;dq=chronique+des+ducs+de+normandie+medieval+chronicle&amp;hl=en&amp;sa=X&amp;ved=0ahUKEwjjwcTKioPdAhUJC8AKHSLIBUMQ6AEIJzAA"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books.google.co.uk/books?id=cmOp0A7acHoC&amp;pg=PA55&amp;dq=Brown+and+Herren+the+adelae+comitissae+of+baudri+of+bourgeuil+and+the+bayeux+tapestry&amp;hl=en&amp;sa=X&amp;ved=0ahUKEwjn89bJhpXdAhUOqaQKHb_bDl8Q6AEIKTAA"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ooks.google.co.uk/books?id=Thwv9WLq_50C&amp;printsec=frontcover&amp;dq=roman+de+rou+wace&amp;hl=en&amp;sa=X&amp;ved=0ahUKEwid54TOzqbcAhUGzaQKHZn-Cd4Q6AEIJzAA"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books.google.co.uk/books?id=c2gVDAAAQBAJ&amp;printsec=frontcover&amp;dq=geoffrey+gaimar+estoire+des+engleis&amp;hl=en&amp;sa=X&amp;ved=0ahUKEwi-veyxx6bcAhVKKlAKHWSECFQQ6AEIJzAA"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books.google.co.uk/books?id=N2kNAAAAIAAJ&amp;printsec=frontcover&amp;dq=chronicon+ex+chronicis&amp;hl=en&amp;sa=X&amp;ved=0ahUKEwjEh5un4N3cAhVBJ8AKHaNHCWsQ6AEIKjAA" TargetMode="External"/><Relationship Id="rId14" Type="http://schemas.openxmlformats.org/officeDocument/2006/relationships/hyperlink" Target="https://books.google.co.uk/books?id=oel1lQ_iJ48C&amp;pg=PA259&amp;dq=eadmer+historia+novorum+in+anglia&amp;hl=en&amp;sa=X&amp;ved=0ahUKEwjp0ZPWx67cAhWS16QKHV48Ajg/Q6AEIPTAE"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xmlns:b="http://schemas.openxmlformats.org/officeDocument/2006/bibliography" xmlns="http://schemas.openxmlformats.org/officeDocument/2006/bibliography">
    <b:Tag>1</b:Tag>
    <b:RefOrder>1</b:RefOrder>
  </b:Source>
</b:Sources>
</file>

<file path=customXml/itemProps1.xml><?xml version="1.0" encoding="utf-8"?>
<ds:datastoreItem xmlns:ds="http://schemas.openxmlformats.org/officeDocument/2006/customXml" ds:itemID="{0BFE276F-6888-4E33-B2FC-AF00CA0334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2088</Words>
  <Characters>11903</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Sandi Harriss</dc:creator>
  <cp:keywords/>
  <dc:description/>
  <cp:lastModifiedBy>Sandi Harriss</cp:lastModifiedBy>
  <cp:revision>2</cp:revision>
  <cp:lastPrinted>2018-08-21T12:01:00Z</cp:lastPrinted>
  <dcterms:created xsi:type="dcterms:W3CDTF">2018-08-31T10:33:00Z</dcterms:created>
  <dcterms:modified xsi:type="dcterms:W3CDTF">2018-08-31T10:33:00Z</dcterms:modified>
</cp:coreProperties>
</file>