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C96AB9" w14:textId="24B3B3BA" w:rsidR="00AC48C1" w:rsidRDefault="00984E84">
      <w:pPr>
        <w:rPr>
          <w:b/>
        </w:rPr>
      </w:pPr>
      <w:r>
        <w:rPr>
          <w:b/>
        </w:rPr>
        <w:t xml:space="preserve">                                                                                                                 </w:t>
      </w:r>
      <w:r w:rsidR="00AD2AD5">
        <w:rPr>
          <w:b/>
        </w:rPr>
        <w:t xml:space="preserve">Yemisi Adesuyan </w:t>
      </w:r>
      <w:r>
        <w:rPr>
          <w:b/>
        </w:rPr>
        <w:t>2104115</w:t>
      </w:r>
    </w:p>
    <w:p w14:paraId="240FEE3C" w14:textId="6D603014" w:rsidR="00AC48C1" w:rsidRPr="004E5D52" w:rsidRDefault="00AC48C1">
      <w:pPr>
        <w:rPr>
          <w:b/>
        </w:rPr>
      </w:pPr>
    </w:p>
    <w:p w14:paraId="12334206" w14:textId="77777777" w:rsidR="002240B1" w:rsidRPr="00671C38" w:rsidRDefault="00BA4D06" w:rsidP="00671C38">
      <w:pPr>
        <w:pStyle w:val="ListParagraph"/>
        <w:numPr>
          <w:ilvl w:val="0"/>
          <w:numId w:val="1"/>
        </w:numPr>
        <w:rPr>
          <w:b/>
        </w:rPr>
      </w:pPr>
      <w:r w:rsidRPr="00671C38">
        <w:rPr>
          <w:b/>
        </w:rPr>
        <w:t>Define public health and Public Health Wales’s role in health surveillance and protection</w:t>
      </w:r>
    </w:p>
    <w:p w14:paraId="5378ABEE" w14:textId="77777777" w:rsidR="00D044AB" w:rsidRPr="001B3F81" w:rsidRDefault="00D044AB" w:rsidP="001B3F81">
      <w:pPr>
        <w:ind w:left="284"/>
        <w:rPr>
          <w:b/>
          <w:i/>
        </w:rPr>
      </w:pPr>
      <w:r w:rsidRPr="001B3F81">
        <w:rPr>
          <w:b/>
          <w:i/>
        </w:rPr>
        <w:t xml:space="preserve">A). </w:t>
      </w:r>
      <w:r w:rsidR="002765CE" w:rsidRPr="001B3F81">
        <w:rPr>
          <w:b/>
          <w:i/>
        </w:rPr>
        <w:t>What is Public Health?</w:t>
      </w:r>
      <w:r w:rsidR="004E5D52" w:rsidRPr="001B3F81">
        <w:rPr>
          <w:b/>
          <w:i/>
        </w:rPr>
        <w:t xml:space="preserve"> </w:t>
      </w:r>
      <w:r w:rsidR="001B3F81" w:rsidRPr="001B3F81">
        <w:rPr>
          <w:b/>
          <w:i/>
        </w:rPr>
        <w:t xml:space="preserve"> </w:t>
      </w:r>
      <w:r w:rsidRPr="001B3F81">
        <w:rPr>
          <w:b/>
          <w:i/>
        </w:rPr>
        <w:t xml:space="preserve">B). </w:t>
      </w:r>
      <w:r w:rsidR="004E5D52" w:rsidRPr="001B3F81">
        <w:rPr>
          <w:b/>
          <w:i/>
        </w:rPr>
        <w:t xml:space="preserve">And what is the Public Health Wales’s role in health surveillance and protection? </w:t>
      </w:r>
    </w:p>
    <w:p w14:paraId="5768BBCD" w14:textId="77777777" w:rsidR="001B3F81" w:rsidRDefault="001B3F81"/>
    <w:p w14:paraId="67F9885A" w14:textId="5E41894C" w:rsidR="00AB1B65" w:rsidRDefault="004E5D52" w:rsidP="0086006C">
      <w:pPr>
        <w:spacing w:line="360" w:lineRule="auto"/>
        <w:ind w:firstLine="720"/>
        <w:jc w:val="both"/>
      </w:pPr>
      <w:r>
        <w:t xml:space="preserve">According to Acheson (1988) </w:t>
      </w:r>
      <w:r w:rsidR="002765CE">
        <w:t>public health</w:t>
      </w:r>
      <w:r>
        <w:t xml:space="preserve"> can be defined</w:t>
      </w:r>
      <w:r w:rsidR="002765CE">
        <w:t xml:space="preserve"> as ‘the art and science of preventing disease, prolonging life and promoting health </w:t>
      </w:r>
      <w:r w:rsidR="002765CE" w:rsidRPr="00F7642D">
        <w:rPr>
          <w:i/>
        </w:rPr>
        <w:t xml:space="preserve">through the organised efforts of </w:t>
      </w:r>
      <w:r w:rsidRPr="00F7642D">
        <w:rPr>
          <w:i/>
        </w:rPr>
        <w:t>society</w:t>
      </w:r>
      <w:r>
        <w:t>’ (</w:t>
      </w:r>
      <w:r w:rsidR="00AC48C1">
        <w:t>p.1</w:t>
      </w:r>
      <w:r>
        <w:t>)</w:t>
      </w:r>
      <w:r w:rsidR="00511108">
        <w:t>.</w:t>
      </w:r>
      <w:r w:rsidR="0086006C">
        <w:t xml:space="preserve"> </w:t>
      </w:r>
      <w:r>
        <w:t xml:space="preserve"> </w:t>
      </w:r>
      <w:r w:rsidR="00511108">
        <w:t>P</w:t>
      </w:r>
      <w:r>
        <w:t>ublic health</w:t>
      </w:r>
      <w:r w:rsidR="0086006C">
        <w:t xml:space="preserve"> is presented as</w:t>
      </w:r>
      <w:r>
        <w:t xml:space="preserve"> those activities designed to create the conditions under which people can be encouraged or assisted to be healthy, whilst strengthening the capacities of public health institutions and improving the health and wellbeing of the public through prevention of, and deterioration of the public health. </w:t>
      </w:r>
      <w:r w:rsidR="0086006C">
        <w:t xml:space="preserve"> (WHO, 2006)</w:t>
      </w:r>
      <w:r>
        <w:t>.</w:t>
      </w:r>
    </w:p>
    <w:p w14:paraId="27200592" w14:textId="18599AE7" w:rsidR="00D044AB" w:rsidRPr="00432AD5" w:rsidRDefault="004E5D52" w:rsidP="00432AD5">
      <w:pPr>
        <w:spacing w:line="360" w:lineRule="auto"/>
        <w:ind w:firstLine="720"/>
        <w:jc w:val="both"/>
      </w:pPr>
      <w:r>
        <w:t>Public Health Wales</w:t>
      </w:r>
      <w:r w:rsidR="000E197D">
        <w:t xml:space="preserve"> is the national public health agency responsible</w:t>
      </w:r>
      <w:r w:rsidR="003871DB">
        <w:t xml:space="preserve"> for</w:t>
      </w:r>
      <w:r w:rsidR="000E197D">
        <w:t xml:space="preserve"> protecting, </w:t>
      </w:r>
      <w:r w:rsidR="00350D73">
        <w:t xml:space="preserve">and </w:t>
      </w:r>
      <w:proofErr w:type="gramStart"/>
      <w:r w:rsidR="00350D73">
        <w:t xml:space="preserve">improving </w:t>
      </w:r>
      <w:r w:rsidR="000E197D">
        <w:t xml:space="preserve"> the</w:t>
      </w:r>
      <w:proofErr w:type="gramEnd"/>
      <w:r w:rsidR="000E197D">
        <w:t xml:space="preserve"> health and wellbeing of the public. </w:t>
      </w:r>
      <w:r w:rsidR="00FC1C39">
        <w:t xml:space="preserve"> Through its </w:t>
      </w:r>
      <w:r w:rsidR="00FC1C39" w:rsidRPr="00FC1C39">
        <w:rPr>
          <w:i/>
        </w:rPr>
        <w:t xml:space="preserve">Public Health </w:t>
      </w:r>
      <w:r w:rsidR="006D1D18">
        <w:rPr>
          <w:i/>
        </w:rPr>
        <w:t xml:space="preserve">Wales Vaccine Preventable Disease </w:t>
      </w:r>
      <w:r w:rsidR="00FC1C39" w:rsidRPr="00FC1C39">
        <w:rPr>
          <w:i/>
        </w:rPr>
        <w:t>P</w:t>
      </w:r>
      <w:r w:rsidR="006D1D18">
        <w:rPr>
          <w:i/>
        </w:rPr>
        <w:t>rogramme (VPDP)</w:t>
      </w:r>
      <w:r w:rsidR="00FC1C39">
        <w:rPr>
          <w:i/>
        </w:rPr>
        <w:t xml:space="preserve">, </w:t>
      </w:r>
      <w:r w:rsidR="006D1D18">
        <w:t>established in 2005, the</w:t>
      </w:r>
      <w:r w:rsidR="00FC1C39">
        <w:t xml:space="preserve"> agency </w:t>
      </w:r>
      <w:r w:rsidR="006D1D18">
        <w:t>create</w:t>
      </w:r>
      <w:r w:rsidR="003871DB">
        <w:t>d</w:t>
      </w:r>
      <w:r w:rsidR="006D1D18">
        <w:t xml:space="preserve"> a model of collaborative and multi-agency working/partnership </w:t>
      </w:r>
      <w:r w:rsidR="003871DB">
        <w:t>to drive</w:t>
      </w:r>
      <w:r w:rsidR="006D1D18">
        <w:t xml:space="preserve"> the Welsh government’s assertive</w:t>
      </w:r>
      <w:r w:rsidR="000073AD">
        <w:t xml:space="preserve"> approach</w:t>
      </w:r>
      <w:r w:rsidR="006D1D18">
        <w:t xml:space="preserve"> of vaccination and immunisation of the public. The programme </w:t>
      </w:r>
      <w:r w:rsidR="00BA1B4C">
        <w:t>prov</w:t>
      </w:r>
      <w:r w:rsidR="00D044AB">
        <w:t>i</w:t>
      </w:r>
      <w:r w:rsidR="00BA1B4C">
        <w:t>de</w:t>
      </w:r>
      <w:r w:rsidR="006D1D18">
        <w:t>s</w:t>
      </w:r>
      <w:r w:rsidR="00BA1B4C">
        <w:t xml:space="preserve"> expert</w:t>
      </w:r>
      <w:r w:rsidR="00481220">
        <w:t xml:space="preserve"> advice to the Welsh Government</w:t>
      </w:r>
      <w:r w:rsidR="000073AD">
        <w:t xml:space="preserve"> and carry out specific actions to protect the public</w:t>
      </w:r>
      <w:r w:rsidR="00D044AB">
        <w:t xml:space="preserve"> (Public Health Wales, 2020)</w:t>
      </w:r>
      <w:r w:rsidR="00481220">
        <w:t xml:space="preserve">. </w:t>
      </w:r>
      <w:r w:rsidR="006D1D18">
        <w:t xml:space="preserve"> </w:t>
      </w:r>
      <w:r w:rsidR="00A81CFF">
        <w:t xml:space="preserve">Moreover, comprehensive information has been created for health professionals involved in the delivery of the immunisation programme in wales and the Public Health Wales Vaccine Preventable Disease Programme (VPDP) team reported </w:t>
      </w:r>
      <w:r w:rsidR="00AB1B65">
        <w:t xml:space="preserve">improvements in vaccination uptake especially by young children up to 5 years and amongst </w:t>
      </w:r>
      <w:proofErr w:type="gramStart"/>
      <w:r w:rsidR="00AB1B65">
        <w:t>15 to 16-year olds</w:t>
      </w:r>
      <w:proofErr w:type="gramEnd"/>
      <w:r w:rsidR="00AB1B65">
        <w:t xml:space="preserve">. (Public Health Wales, </w:t>
      </w:r>
      <w:r w:rsidR="007D44C5">
        <w:t>2020)</w:t>
      </w:r>
    </w:p>
    <w:p w14:paraId="0620DF64" w14:textId="77777777" w:rsidR="00252BE2" w:rsidRDefault="00252BE2" w:rsidP="007C6C39">
      <w:pPr>
        <w:spacing w:line="360" w:lineRule="auto"/>
        <w:jc w:val="both"/>
      </w:pPr>
    </w:p>
    <w:p w14:paraId="2FBC87C8" w14:textId="73F1B6A1" w:rsidR="00AB1B65" w:rsidRDefault="004C3A62" w:rsidP="007C6C39">
      <w:pPr>
        <w:spacing w:line="360" w:lineRule="auto"/>
        <w:jc w:val="both"/>
      </w:pPr>
      <w:r>
        <w:t>Measles is described by WHO (</w:t>
      </w:r>
      <w:r w:rsidR="003871DB">
        <w:t>2019</w:t>
      </w:r>
      <w:r>
        <w:t xml:space="preserve">) as a highly contagious, serious diseases caused by a virus. </w:t>
      </w:r>
      <w:r w:rsidR="003703FB">
        <w:t>Measles is caused by a virus in the paramyxovirus family and ca</w:t>
      </w:r>
      <w:r w:rsidR="00502572">
        <w:t>n be transmitted via direct contact with an infected person and also through the air</w:t>
      </w:r>
      <w:r w:rsidR="00290A39">
        <w:t xml:space="preserve"> (Public Health England, 2019)</w:t>
      </w:r>
      <w:r w:rsidR="00502572">
        <w:t xml:space="preserve">. </w:t>
      </w:r>
      <w:r w:rsidR="00D12B6C">
        <w:t xml:space="preserve">The mode of transmission is either through coughing or sneezing or through close contact with infected nasal or throat secretions. </w:t>
      </w:r>
      <w:r w:rsidR="00502572">
        <w:t>The virus infects the respiratory tract and then gradually spreads throughout the bod</w:t>
      </w:r>
      <w:r w:rsidR="001243C0">
        <w:t>y</w:t>
      </w:r>
      <w:r w:rsidR="00502572">
        <w:t>. If not quickly treated, it can lead to long-term conditions</w:t>
      </w:r>
      <w:r w:rsidR="001243C0">
        <w:t xml:space="preserve"> </w:t>
      </w:r>
      <w:r w:rsidR="00502572">
        <w:t>or</w:t>
      </w:r>
      <w:r w:rsidR="001243C0">
        <w:t xml:space="preserve"> cause </w:t>
      </w:r>
      <w:proofErr w:type="gramStart"/>
      <w:r w:rsidR="001243C0">
        <w:t xml:space="preserve">death </w:t>
      </w:r>
      <w:r w:rsidR="004923EE">
        <w:t>.</w:t>
      </w:r>
      <w:proofErr w:type="gramEnd"/>
      <w:r w:rsidR="001243C0">
        <w:t>(Ramsay, 2017)</w:t>
      </w:r>
      <w:r w:rsidR="00502572">
        <w:t>. Measles is largel</w:t>
      </w:r>
      <w:r w:rsidR="001A11D2">
        <w:t>y</w:t>
      </w:r>
      <w:r w:rsidR="009663A2">
        <w:t xml:space="preserve"> acc</w:t>
      </w:r>
      <w:r w:rsidR="00502572">
        <w:t>epted to be a human disease as it has not been known to occur in animals</w:t>
      </w:r>
      <w:r w:rsidR="003A5D47">
        <w:t xml:space="preserve"> (WHO, 2019)</w:t>
      </w:r>
      <w:r w:rsidR="00502572">
        <w:t xml:space="preserve">. </w:t>
      </w:r>
    </w:p>
    <w:p w14:paraId="6EB1CF1B" w14:textId="64A42862" w:rsidR="00AB1B65" w:rsidRDefault="0068484E" w:rsidP="003A5D47">
      <w:pPr>
        <w:spacing w:line="360" w:lineRule="auto"/>
        <w:ind w:firstLine="284"/>
        <w:jc w:val="both"/>
      </w:pPr>
      <w:r>
        <w:lastRenderedPageBreak/>
        <w:t>Although infection rates have significantly reduced since the introduction of the measles vaccine in 1963; yet widespread epidemics have occurred approximately every two to three years with measles resulting in the approximately 2.6 million deaths annually according to the World Health Organisation (WHO, 20</w:t>
      </w:r>
      <w:r w:rsidR="00D12B6C">
        <w:t>19</w:t>
      </w:r>
      <w:r>
        <w:t xml:space="preserve">). Unfortunately, most of the fatalities are mostly children under the age of 5 years who account for roughly about 150, 000 annually globally. </w:t>
      </w:r>
      <w:r w:rsidR="00D12B6C">
        <w:t xml:space="preserve"> Measles outbreaks have resulted in epidemics that has led to many deaths especially amongst the young, malnourished children. Unvaccinated young children are especially at the highest risk; other </w:t>
      </w:r>
      <w:r w:rsidR="006D1D18">
        <w:t>at-risk</w:t>
      </w:r>
      <w:r w:rsidR="00D12B6C">
        <w:t xml:space="preserve"> groups included pregnant women, non-immunised or unvaccinated individuals and poor people in the developing countries of Africa and Asia. </w:t>
      </w:r>
      <w:r w:rsidR="006D1D18">
        <w:t xml:space="preserve"> </w:t>
      </w:r>
    </w:p>
    <w:p w14:paraId="36633BA4" w14:textId="77777777" w:rsidR="00AB1B65" w:rsidRDefault="00DB6C22" w:rsidP="003A5D47">
      <w:pPr>
        <w:spacing w:line="360" w:lineRule="auto"/>
        <w:ind w:firstLine="284"/>
        <w:jc w:val="both"/>
      </w:pPr>
      <w:r>
        <w:t xml:space="preserve">Fortunately, because of advancements in medicines and science, coupled with accelerated immunization activities in many countries, including Wales, the number of casualties (deaths occurring from measles) have </w:t>
      </w:r>
      <w:r w:rsidR="00D12B6C">
        <w:t xml:space="preserve">reduced significantly. For instance, according to WHO, measles vaccination prevented roughly 23.2 million deaths global between the period of 2000 to 2018 (WHO, 2019). </w:t>
      </w:r>
      <w:r>
        <w:t xml:space="preserve"> </w:t>
      </w:r>
      <w:r w:rsidR="00D12B6C">
        <w:t xml:space="preserve">Data from WHO (2019) also showed that global measles death has decreased by 73% or reduced from an estimated 536, 000 deaths in 2000 to </w:t>
      </w:r>
      <w:r w:rsidR="006D1D18">
        <w:t>142,000 deaths in 2018.</w:t>
      </w:r>
      <w:r w:rsidR="006E2FC8">
        <w:t xml:space="preserve"> It is believed that the UK Vaccination programme has prevented 20 million cases and 4,500 deaths from measles, and 1,300 Congenital Rubella Syndrome births and 25,000 terminations (Public Health Wales, 2019).</w:t>
      </w:r>
      <w:r w:rsidR="006D1D18">
        <w:t xml:space="preserve"> </w:t>
      </w:r>
    </w:p>
    <w:p w14:paraId="1BB2C84B" w14:textId="6E5D945D" w:rsidR="00B936FD" w:rsidRPr="00242308" w:rsidRDefault="006E2FC8" w:rsidP="00242308">
      <w:pPr>
        <w:spacing w:line="360" w:lineRule="auto"/>
        <w:ind w:firstLine="284"/>
        <w:jc w:val="both"/>
      </w:pPr>
      <w:r>
        <w:t>England and</w:t>
      </w:r>
      <w:r w:rsidR="003A5D47">
        <w:t xml:space="preserve"> Wales</w:t>
      </w:r>
      <w:r w:rsidR="009B463C">
        <w:t>, the two indicators for measuring measles</w:t>
      </w:r>
      <w:r>
        <w:t xml:space="preserve"> (including rubella, and mumps)</w:t>
      </w:r>
      <w:r w:rsidR="009B463C">
        <w:t xml:space="preserve"> and surveillance systems are the rate of laboratory investigations and the annual discarded cases (Public Health England, 2021</w:t>
      </w:r>
      <w:r>
        <w:t>; Public Health Wales, 2019</w:t>
      </w:r>
      <w:r w:rsidR="009B463C">
        <w:t>).</w:t>
      </w:r>
      <w:r w:rsidR="00C649E2">
        <w:t xml:space="preserve"> There were 989 (2018) and 810 (2019) confirmed cases of measles in England and Wales (Public Health Wales, 2020</w:t>
      </w:r>
      <w:r w:rsidR="00382C95">
        <w:t>).</w:t>
      </w:r>
      <w:r w:rsidR="00C649E2">
        <w:t xml:space="preserve"> </w:t>
      </w:r>
      <w:r w:rsidR="00382C95">
        <w:t>See table</w:t>
      </w:r>
      <w:r w:rsidR="00625961">
        <w:t xml:space="preserve"> 1 in appendix.</w:t>
      </w:r>
    </w:p>
    <w:p w14:paraId="34BAB0A0" w14:textId="77777777" w:rsidR="000168FC" w:rsidRDefault="000168FC" w:rsidP="000168FC">
      <w:pPr>
        <w:rPr>
          <w:b/>
        </w:rPr>
      </w:pPr>
    </w:p>
    <w:p w14:paraId="7916B99F" w14:textId="77777777" w:rsidR="00E70F1A" w:rsidRDefault="001243C0" w:rsidP="00290A39">
      <w:pPr>
        <w:spacing w:line="360" w:lineRule="auto"/>
        <w:ind w:firstLine="284"/>
        <w:jc w:val="both"/>
      </w:pPr>
      <w:r>
        <w:t>In 2013, as a way of controlling measles outbreak (and future outbreaks) a national MMR catch-up campaign was conducted</w:t>
      </w:r>
      <w:r w:rsidR="00F34C17">
        <w:t xml:space="preserve">. Prior to the introduction of Measles vaccination in 1968, about 100 children a year in England and Wales died from the disease </w:t>
      </w:r>
      <w:r w:rsidR="00E70F1A">
        <w:t>(NHS Wales, 2021),</w:t>
      </w:r>
      <w:r w:rsidR="00F34C17">
        <w:t>).  With the introduction of the MMR vaccine in October 1988, coverages levels of 90% we</w:t>
      </w:r>
      <w:r w:rsidR="00E70F1A">
        <w:t xml:space="preserve">re attained which progressively reduced infection rates to the lowest levels since records began. Effectively, by the mid-1990s the spread of measles was halted (NHS/PHE Wales, 2021). However, a large outbreak occurred in Wales in 2012 and 2013; though the outbreak was centred around the Swansea area, yet it affected other areas in Mid and West Wales with 447 </w:t>
      </w:r>
      <w:r w:rsidR="00E70F1A">
        <w:lastRenderedPageBreak/>
        <w:t>confirmed cases reported out of which were 64 hospital admissions and one death (NHS/PHE Wales, 2021). The 2013 outbreak resulted in the ramping up of MMR vaccination with 77, 000 doses given which halted the outbreak as no further outbreak has been reported in Wales since.</w:t>
      </w:r>
    </w:p>
    <w:p w14:paraId="77DBFE3F" w14:textId="5D91F173" w:rsidR="00F602E9" w:rsidRDefault="001243C0" w:rsidP="00290A39">
      <w:pPr>
        <w:spacing w:line="360" w:lineRule="auto"/>
        <w:ind w:firstLine="284"/>
        <w:jc w:val="both"/>
      </w:pPr>
      <w:r>
        <w:t xml:space="preserve"> </w:t>
      </w:r>
      <w:r w:rsidR="003871DB">
        <w:t>The</w:t>
      </w:r>
      <w:r w:rsidR="002F4AB7" w:rsidRPr="002F4AB7">
        <w:t xml:space="preserve"> </w:t>
      </w:r>
      <w:r w:rsidR="00AB1B65">
        <w:t>VPDP programme</w:t>
      </w:r>
      <w:r w:rsidR="002F4AB7" w:rsidRPr="002F4AB7">
        <w:t xml:space="preserve"> </w:t>
      </w:r>
      <w:r w:rsidR="002F4AB7">
        <w:t xml:space="preserve">(Public Health Wales, 2020) outlined key strategies and policies to inform public action in response to </w:t>
      </w:r>
      <w:r w:rsidR="00125D74">
        <w:t>measles and other preventable diseases</w:t>
      </w:r>
      <w:r w:rsidR="002F4AB7">
        <w:t>.</w:t>
      </w:r>
      <w:r w:rsidR="00E70F1A">
        <w:t xml:space="preserve"> </w:t>
      </w:r>
      <w:r w:rsidR="00125D74">
        <w:t xml:space="preserve"> According to the 2019- 2022 Strategic Plan (Public Health Wales, 2020)</w:t>
      </w:r>
      <w:r w:rsidR="00E70F1A">
        <w:t>,</w:t>
      </w:r>
      <w:r w:rsidR="00125D74">
        <w:t xml:space="preserve"> the long-term </w:t>
      </w:r>
      <w:r w:rsidR="00E70F1A">
        <w:t>goal is</w:t>
      </w:r>
      <w:r w:rsidR="00125D74">
        <w:t xml:space="preserve"> delivering improved healthcare services</w:t>
      </w:r>
      <w:r w:rsidR="00E70F1A">
        <w:t xml:space="preserve"> through sustained </w:t>
      </w:r>
      <w:r w:rsidR="00125D74">
        <w:t>promoti</w:t>
      </w:r>
      <w:r w:rsidR="00E70F1A">
        <w:t>on of</w:t>
      </w:r>
      <w:r w:rsidR="00125D74">
        <w:t xml:space="preserve"> health behaviours and protecting the Public from infection and environmental threats to health (</w:t>
      </w:r>
      <w:r w:rsidR="003871DB">
        <w:t>NHS</w:t>
      </w:r>
      <w:r w:rsidR="00125D74">
        <w:t xml:space="preserve"> </w:t>
      </w:r>
      <w:r w:rsidR="00F602E9">
        <w:t>Wales,</w:t>
      </w:r>
      <w:r w:rsidR="00125D74">
        <w:t xml:space="preserve"> 2020). </w:t>
      </w:r>
    </w:p>
    <w:p w14:paraId="4BB49641" w14:textId="6D7DD87E" w:rsidR="004430E2" w:rsidRPr="00281DDC" w:rsidRDefault="005E0EAD" w:rsidP="00281DDC">
      <w:pPr>
        <w:spacing w:line="360" w:lineRule="auto"/>
        <w:ind w:firstLine="284"/>
        <w:jc w:val="both"/>
      </w:pPr>
      <w:r>
        <w:t>With regards to surveillance and public health protection, monitoring the effectiveness of control measures in real</w:t>
      </w:r>
      <w:r w:rsidR="00A17364">
        <w:t>-time and measur</w:t>
      </w:r>
      <w:r w:rsidR="00DA1595">
        <w:t>ing</w:t>
      </w:r>
      <w:r w:rsidR="00A17364">
        <w:t xml:space="preserve"> the burden of the disease in the general population</w:t>
      </w:r>
      <w:r w:rsidR="00DA1595">
        <w:t xml:space="preserve"> was critical</w:t>
      </w:r>
      <w:r w:rsidR="00A17364">
        <w:t>. B</w:t>
      </w:r>
      <w:r>
        <w:t>y</w:t>
      </w:r>
      <w:r w:rsidR="00A17364">
        <w:t xml:space="preserve"> identifying risk groups for diseases and severe outcomes, the policymakers </w:t>
      </w:r>
      <w:r w:rsidR="00DA1595">
        <w:t xml:space="preserve">are kept informed </w:t>
      </w:r>
      <w:r w:rsidR="00A17364">
        <w:t xml:space="preserve">on when to reduce the measures that will halt or curb transmission of the </w:t>
      </w:r>
      <w:r w:rsidR="00DA1595">
        <w:t>diseases;</w:t>
      </w:r>
      <w:r w:rsidR="00A17364">
        <w:t xml:space="preserve"> the plan was </w:t>
      </w:r>
      <w:r w:rsidR="00DA1595">
        <w:t xml:space="preserve">also </w:t>
      </w:r>
      <w:r w:rsidR="00A17364">
        <w:t xml:space="preserve">intended to document the impact of the </w:t>
      </w:r>
      <w:r w:rsidR="00DA1595">
        <w:t>measles and vaccination uptake</w:t>
      </w:r>
      <w:r w:rsidR="00A17364">
        <w:t xml:space="preserve"> on the population over time, and to understand its spread from places to place in Wales</w:t>
      </w:r>
      <w:r w:rsidR="00DA1595">
        <w:t xml:space="preserve"> (</w:t>
      </w:r>
      <w:r w:rsidR="003871DB">
        <w:t>NHS</w:t>
      </w:r>
      <w:r w:rsidR="00DA1595">
        <w:t xml:space="preserve"> Wales, 2021).</w:t>
      </w:r>
      <w:r w:rsidR="00A17364">
        <w:t xml:space="preserve"> Through this plan, the Welsh Government could understand the determinants (such as demographics, ethnicity and deprivation) of the virus. The plan also determine</w:t>
      </w:r>
      <w:r w:rsidR="00DA1595">
        <w:t>d</w:t>
      </w:r>
      <w:r w:rsidR="00A17364">
        <w:t xml:space="preserve"> the pattern of </w:t>
      </w:r>
      <w:r w:rsidR="00DA1595">
        <w:t xml:space="preserve">measles </w:t>
      </w:r>
      <w:r w:rsidR="00A17364">
        <w:t xml:space="preserve">through clusters, outbreaks, and local increases, by carrying out ongoing (surveillance) and assessment of the population in order to understand the immunity levels of the population. </w:t>
      </w:r>
      <w:r w:rsidR="00DA1595">
        <w:t xml:space="preserve"> (</w:t>
      </w:r>
      <w:r w:rsidR="003871DB">
        <w:t>NHS Wales</w:t>
      </w:r>
      <w:r w:rsidR="00DA1595">
        <w:t>, 2021)</w:t>
      </w:r>
      <w:r w:rsidR="004430E2">
        <w:t>.</w:t>
      </w:r>
    </w:p>
    <w:p w14:paraId="69F519A5" w14:textId="77777777" w:rsidR="00A17364" w:rsidRDefault="00A17364" w:rsidP="000168FC"/>
    <w:p w14:paraId="7AE5CD91" w14:textId="77777777" w:rsidR="00F602E9" w:rsidRDefault="006E70BC" w:rsidP="009D100B">
      <w:pPr>
        <w:spacing w:line="360" w:lineRule="auto"/>
        <w:jc w:val="both"/>
      </w:pPr>
      <w:r>
        <w:t xml:space="preserve">Health promotion strategies essentially serve a preventative purpose (Van den </w:t>
      </w:r>
      <w:proofErr w:type="spellStart"/>
      <w:r>
        <w:t>Broucke</w:t>
      </w:r>
      <w:proofErr w:type="spellEnd"/>
      <w:r>
        <w:t xml:space="preserve">, 2020), with their focus on the prevention of disease through behavioural changes in the public/population. The goal of </w:t>
      </w:r>
      <w:r w:rsidR="00A40A9D">
        <w:t xml:space="preserve">is to enable people to increase control over their health and its determinants, which constitute the core of health promotion. Health promotion </w:t>
      </w:r>
      <w:r w:rsidR="00FF2121">
        <w:t>has helped</w:t>
      </w:r>
      <w:r w:rsidR="00A40A9D">
        <w:t xml:space="preserve"> to </w:t>
      </w:r>
      <w:r w:rsidR="00FF2121">
        <w:t>control</w:t>
      </w:r>
      <w:r w:rsidR="00A40A9D">
        <w:t xml:space="preserve"> the spread of </w:t>
      </w:r>
      <w:r w:rsidR="00F602E9">
        <w:t>measles</w:t>
      </w:r>
      <w:r w:rsidR="00A40A9D">
        <w:t xml:space="preserve"> through the individual behavioural changes mandated by the Welsh Government combined with coordinated interventions, and policies affecting organisations and communities</w:t>
      </w:r>
      <w:r w:rsidR="00FB0FBC">
        <w:t xml:space="preserve"> (Brownson et al., 2010).</w:t>
      </w:r>
    </w:p>
    <w:p w14:paraId="5CD1752F" w14:textId="2B26B667" w:rsidR="000759CB" w:rsidRDefault="00CC190E" w:rsidP="00F927B0">
      <w:pPr>
        <w:spacing w:line="360" w:lineRule="auto"/>
        <w:jc w:val="both"/>
      </w:pPr>
      <w:r>
        <w:t>However, based on studies by Champion and Skinner (2008) and Prentice-Dunn and Rogers (1986</w:t>
      </w:r>
      <w:r w:rsidR="00FB0FBC">
        <w:t>)</w:t>
      </w:r>
      <w:r>
        <w:t xml:space="preserve"> people will only act on health warnings and may not take health promotion seriously if they do not consider themselves to be at risk</w:t>
      </w:r>
      <w:r w:rsidR="00FB0FBC">
        <w:t>, u</w:t>
      </w:r>
      <w:r>
        <w:t xml:space="preserve">nless they perceive the situation extremely severe, or that they are susceptible to develop the condition or that the preventive actions </w:t>
      </w:r>
      <w:r>
        <w:lastRenderedPageBreak/>
        <w:t>might not be effective or they are incapable of performing them</w:t>
      </w:r>
      <w:r w:rsidR="002240B1">
        <w:t xml:space="preserve"> (Van den </w:t>
      </w:r>
      <w:proofErr w:type="spellStart"/>
      <w:r w:rsidR="002240B1">
        <w:t>Broucke</w:t>
      </w:r>
      <w:proofErr w:type="spellEnd"/>
      <w:r w:rsidR="002240B1">
        <w:t>, 2020).</w:t>
      </w:r>
      <w:r w:rsidR="00A326A1">
        <w:t xml:space="preserve"> Also, MMR coverage is not equitable across the population of Wales suggesting measurable difference in uptake between socioeconomic groups (PHW, 2018), significant progress has been made to narrow the gap (PHW, 2021).</w:t>
      </w:r>
      <w:r w:rsidR="002240B1">
        <w:t xml:space="preserve"> </w:t>
      </w:r>
      <w:r w:rsidR="00C31943">
        <w:t>For instance, the equity gap between uptake in areas of high and low deprivation has increased for vaccines scheduled at older ages (See Table 2</w:t>
      </w:r>
      <w:r w:rsidR="00484B1E">
        <w:t xml:space="preserve"> in appendix.</w:t>
      </w:r>
    </w:p>
    <w:p w14:paraId="4F56C197" w14:textId="77777777" w:rsidR="006434CD" w:rsidRDefault="006434CD" w:rsidP="009818FA">
      <w:pPr>
        <w:spacing w:line="360" w:lineRule="auto"/>
        <w:jc w:val="both"/>
      </w:pPr>
    </w:p>
    <w:p w14:paraId="305C72DA" w14:textId="4B6DD37A" w:rsidR="00FF2121" w:rsidRPr="009818FA" w:rsidRDefault="000759CB" w:rsidP="009818FA">
      <w:pPr>
        <w:spacing w:line="360" w:lineRule="auto"/>
        <w:jc w:val="both"/>
      </w:pPr>
      <w:r>
        <w:t xml:space="preserve">It is proper to indicate that excessive </w:t>
      </w:r>
      <w:r w:rsidRPr="00FF2121">
        <w:t>information through the media and internet can create confusion</w:t>
      </w:r>
      <w:r>
        <w:t>;</w:t>
      </w:r>
      <w:r w:rsidRPr="00FF2121">
        <w:t xml:space="preserve"> lead to disinformation and misinformation</w:t>
      </w:r>
      <w:r>
        <w:t>;</w:t>
      </w:r>
      <w:r w:rsidRPr="00FF2121">
        <w:t xml:space="preserve"> conspiracy theories and half-truths</w:t>
      </w:r>
      <w:r>
        <w:t xml:space="preserve">, yet </w:t>
      </w:r>
      <w:r w:rsidRPr="00FF2121">
        <w:t xml:space="preserve">we have </w:t>
      </w:r>
      <w:r>
        <w:t xml:space="preserve">also </w:t>
      </w:r>
      <w:r w:rsidRPr="00FF2121">
        <w:t>seen a lot</w:t>
      </w:r>
      <w:r>
        <w:t xml:space="preserve"> of vaccinations</w:t>
      </w:r>
      <w:r w:rsidR="00B073AA">
        <w:t xml:space="preserve"> uptake</w:t>
      </w:r>
      <w:r w:rsidR="00D25921">
        <w:t xml:space="preserve"> </w:t>
      </w:r>
      <w:r w:rsidR="00B80E96">
        <w:t>the pandemic</w:t>
      </w:r>
      <w:r w:rsidR="00F571FA">
        <w:t>.</w:t>
      </w:r>
      <w:r w:rsidR="009818FA">
        <w:t xml:space="preserve"> </w:t>
      </w:r>
      <w:r w:rsidR="00F571FA">
        <w:t>However</w:t>
      </w:r>
      <w:r w:rsidR="006654BB">
        <w:t>,</w:t>
      </w:r>
      <w:r w:rsidR="002F7CC9">
        <w:t xml:space="preserve"> </w:t>
      </w:r>
      <w:r w:rsidR="006654BB">
        <w:t>where</w:t>
      </w:r>
      <w:r w:rsidR="00335FB2">
        <w:t xml:space="preserve"> the public</w:t>
      </w:r>
      <w:r w:rsidR="00130335">
        <w:t xml:space="preserve"> has little trust in their</w:t>
      </w:r>
      <w:r w:rsidR="00B073AA">
        <w:t xml:space="preserve"> </w:t>
      </w:r>
      <w:r>
        <w:t xml:space="preserve">government or institutions, health promotions </w:t>
      </w:r>
      <w:r w:rsidR="00B30CE8">
        <w:t>might not be effective (Marais et al., 2015).</w:t>
      </w:r>
    </w:p>
    <w:p w14:paraId="65AEE6F1" w14:textId="77777777" w:rsidR="000053E3" w:rsidRDefault="000053E3" w:rsidP="000168FC">
      <w:pPr>
        <w:rPr>
          <w:b/>
        </w:rPr>
      </w:pPr>
    </w:p>
    <w:p w14:paraId="01DE8BEA" w14:textId="77777777" w:rsidR="000053E3" w:rsidRDefault="000053E3" w:rsidP="000168FC">
      <w:pPr>
        <w:rPr>
          <w:b/>
        </w:rPr>
      </w:pPr>
    </w:p>
    <w:p w14:paraId="51AA33BF" w14:textId="77777777" w:rsidR="000053E3" w:rsidRDefault="000053E3" w:rsidP="000168FC">
      <w:pPr>
        <w:rPr>
          <w:b/>
        </w:rPr>
      </w:pPr>
    </w:p>
    <w:p w14:paraId="099018E2" w14:textId="77777777" w:rsidR="000053E3" w:rsidRDefault="000053E3" w:rsidP="000168FC">
      <w:pPr>
        <w:rPr>
          <w:b/>
        </w:rPr>
      </w:pPr>
    </w:p>
    <w:p w14:paraId="78174F32" w14:textId="77777777" w:rsidR="000053E3" w:rsidRDefault="000053E3" w:rsidP="000168FC">
      <w:pPr>
        <w:rPr>
          <w:b/>
        </w:rPr>
      </w:pPr>
    </w:p>
    <w:p w14:paraId="08199DE3" w14:textId="77777777" w:rsidR="00F041AB" w:rsidRDefault="00F041AB" w:rsidP="000168FC">
      <w:pPr>
        <w:rPr>
          <w:b/>
        </w:rPr>
      </w:pPr>
    </w:p>
    <w:p w14:paraId="52A92B9A" w14:textId="77777777" w:rsidR="00F041AB" w:rsidRDefault="00F041AB" w:rsidP="000168FC">
      <w:pPr>
        <w:rPr>
          <w:b/>
        </w:rPr>
      </w:pPr>
    </w:p>
    <w:p w14:paraId="17CCC489" w14:textId="77777777" w:rsidR="003549E8" w:rsidRDefault="003549E8" w:rsidP="000168FC">
      <w:pPr>
        <w:rPr>
          <w:b/>
        </w:rPr>
      </w:pPr>
    </w:p>
    <w:p w14:paraId="0A874436" w14:textId="77777777" w:rsidR="003549E8" w:rsidRDefault="003549E8" w:rsidP="000168FC">
      <w:pPr>
        <w:rPr>
          <w:b/>
        </w:rPr>
      </w:pPr>
    </w:p>
    <w:p w14:paraId="655698FA" w14:textId="77777777" w:rsidR="003549E8" w:rsidRDefault="003549E8" w:rsidP="000168FC">
      <w:pPr>
        <w:rPr>
          <w:b/>
        </w:rPr>
      </w:pPr>
    </w:p>
    <w:p w14:paraId="5C3873DF" w14:textId="77777777" w:rsidR="003549E8" w:rsidRDefault="003549E8" w:rsidP="000168FC">
      <w:pPr>
        <w:rPr>
          <w:b/>
        </w:rPr>
      </w:pPr>
    </w:p>
    <w:p w14:paraId="3ACC21B0" w14:textId="77777777" w:rsidR="003549E8" w:rsidRDefault="003549E8" w:rsidP="000168FC">
      <w:pPr>
        <w:rPr>
          <w:b/>
        </w:rPr>
      </w:pPr>
    </w:p>
    <w:p w14:paraId="47808D9B" w14:textId="77777777" w:rsidR="003549E8" w:rsidRDefault="003549E8" w:rsidP="000168FC">
      <w:pPr>
        <w:rPr>
          <w:b/>
        </w:rPr>
      </w:pPr>
    </w:p>
    <w:p w14:paraId="0F33933E" w14:textId="77777777" w:rsidR="003549E8" w:rsidRDefault="003549E8" w:rsidP="000168FC">
      <w:pPr>
        <w:rPr>
          <w:b/>
        </w:rPr>
      </w:pPr>
    </w:p>
    <w:p w14:paraId="652849A7" w14:textId="77777777" w:rsidR="003549E8" w:rsidRDefault="003549E8" w:rsidP="000168FC">
      <w:pPr>
        <w:rPr>
          <w:b/>
        </w:rPr>
      </w:pPr>
    </w:p>
    <w:p w14:paraId="3D3249A7" w14:textId="77777777" w:rsidR="003549E8" w:rsidRDefault="003549E8" w:rsidP="000168FC">
      <w:pPr>
        <w:rPr>
          <w:b/>
        </w:rPr>
      </w:pPr>
    </w:p>
    <w:p w14:paraId="3827590F" w14:textId="77777777" w:rsidR="003549E8" w:rsidRDefault="003549E8" w:rsidP="000168FC">
      <w:pPr>
        <w:rPr>
          <w:b/>
        </w:rPr>
      </w:pPr>
    </w:p>
    <w:p w14:paraId="3548FC8F" w14:textId="77777777" w:rsidR="003549E8" w:rsidRDefault="003549E8" w:rsidP="000168FC">
      <w:pPr>
        <w:rPr>
          <w:b/>
        </w:rPr>
      </w:pPr>
    </w:p>
    <w:p w14:paraId="144AFC1C" w14:textId="77777777" w:rsidR="006434CD" w:rsidRDefault="006434CD" w:rsidP="000168FC">
      <w:pPr>
        <w:rPr>
          <w:b/>
        </w:rPr>
      </w:pPr>
    </w:p>
    <w:p w14:paraId="45490FE7" w14:textId="77777777" w:rsidR="006434CD" w:rsidRDefault="006434CD" w:rsidP="000168FC">
      <w:pPr>
        <w:rPr>
          <w:b/>
        </w:rPr>
      </w:pPr>
    </w:p>
    <w:p w14:paraId="0DDB2DA7" w14:textId="77777777" w:rsidR="006434CD" w:rsidRDefault="006434CD" w:rsidP="000168FC">
      <w:pPr>
        <w:rPr>
          <w:b/>
        </w:rPr>
      </w:pPr>
    </w:p>
    <w:p w14:paraId="56F435A1" w14:textId="77777777" w:rsidR="006434CD" w:rsidRDefault="006434CD" w:rsidP="000168FC">
      <w:pPr>
        <w:rPr>
          <w:b/>
        </w:rPr>
      </w:pPr>
    </w:p>
    <w:p w14:paraId="27A943EA" w14:textId="77777777" w:rsidR="00D22176" w:rsidRDefault="00D22176" w:rsidP="000168FC">
      <w:pPr>
        <w:rPr>
          <w:b/>
        </w:rPr>
      </w:pPr>
    </w:p>
    <w:p w14:paraId="2B5E252B" w14:textId="77777777" w:rsidR="00D22176" w:rsidRDefault="00D22176" w:rsidP="000168FC">
      <w:pPr>
        <w:rPr>
          <w:b/>
        </w:rPr>
      </w:pPr>
    </w:p>
    <w:p w14:paraId="731DBEF9" w14:textId="77777777" w:rsidR="00D22176" w:rsidRDefault="00D22176" w:rsidP="000168FC">
      <w:pPr>
        <w:rPr>
          <w:b/>
        </w:rPr>
      </w:pPr>
    </w:p>
    <w:p w14:paraId="0D40EAE7" w14:textId="77777777" w:rsidR="00D22176" w:rsidRDefault="00D22176" w:rsidP="000168FC">
      <w:pPr>
        <w:rPr>
          <w:b/>
        </w:rPr>
      </w:pPr>
    </w:p>
    <w:p w14:paraId="6F95929F" w14:textId="77777777" w:rsidR="00D22176" w:rsidRDefault="00D22176" w:rsidP="000168FC">
      <w:pPr>
        <w:rPr>
          <w:b/>
        </w:rPr>
      </w:pPr>
    </w:p>
    <w:p w14:paraId="66FB7471" w14:textId="77777777" w:rsidR="00D22176" w:rsidRDefault="00D22176" w:rsidP="000168FC">
      <w:pPr>
        <w:rPr>
          <w:b/>
        </w:rPr>
      </w:pPr>
    </w:p>
    <w:p w14:paraId="70E1A909" w14:textId="77777777" w:rsidR="00D22176" w:rsidRDefault="00D22176" w:rsidP="000168FC">
      <w:pPr>
        <w:rPr>
          <w:b/>
        </w:rPr>
      </w:pPr>
    </w:p>
    <w:p w14:paraId="697C9BF3" w14:textId="57AF0863" w:rsidR="00A17364" w:rsidRDefault="00A17364" w:rsidP="000168FC">
      <w:pPr>
        <w:rPr>
          <w:b/>
        </w:rPr>
      </w:pPr>
      <w:r w:rsidRPr="00A17364">
        <w:rPr>
          <w:b/>
        </w:rPr>
        <w:lastRenderedPageBreak/>
        <w:t>References</w:t>
      </w:r>
    </w:p>
    <w:p w14:paraId="6C77AA91" w14:textId="77777777" w:rsidR="00FF2121" w:rsidRDefault="00FF2121" w:rsidP="000168FC">
      <w:pPr>
        <w:rPr>
          <w:b/>
        </w:rPr>
      </w:pPr>
    </w:p>
    <w:p w14:paraId="45D76F17" w14:textId="77777777" w:rsidR="00F7642D" w:rsidRDefault="00F7642D" w:rsidP="000168FC">
      <w:r>
        <w:t xml:space="preserve">Acheson, D. (1988). </w:t>
      </w:r>
      <w:r w:rsidR="00AC48C1" w:rsidRPr="00AC48C1">
        <w:rPr>
          <w:i/>
        </w:rPr>
        <w:t>Public Health in England: Report of the Committee of Inquiry into the future development of the public health function</w:t>
      </w:r>
      <w:r w:rsidR="00AC48C1">
        <w:t>. London: HMSO.</w:t>
      </w:r>
    </w:p>
    <w:p w14:paraId="74CDAD47" w14:textId="77777777" w:rsidR="00F7642D" w:rsidRDefault="00F7642D" w:rsidP="000168FC"/>
    <w:p w14:paraId="117D7A87" w14:textId="77777777" w:rsidR="000C5F64" w:rsidRDefault="000C5F64" w:rsidP="000168FC">
      <w:r>
        <w:t xml:space="preserve">Brownson, R.C., Seiler, R., and </w:t>
      </w:r>
      <w:proofErr w:type="spellStart"/>
      <w:r>
        <w:t>Eyler</w:t>
      </w:r>
      <w:proofErr w:type="spellEnd"/>
      <w:r>
        <w:t xml:space="preserve">. A.A. (2010). Measuring the impact of public health policies. </w:t>
      </w:r>
      <w:r w:rsidRPr="000C5F64">
        <w:rPr>
          <w:i/>
        </w:rPr>
        <w:t>Preventing Chronic Disease</w:t>
      </w:r>
      <w:r>
        <w:t>, 7, 1 -7</w:t>
      </w:r>
    </w:p>
    <w:p w14:paraId="15D238BB" w14:textId="77777777" w:rsidR="000C5F64" w:rsidRDefault="000C5F64" w:rsidP="000168FC"/>
    <w:p w14:paraId="3CD70D70" w14:textId="77777777" w:rsidR="000C5F64" w:rsidRDefault="000C5F64" w:rsidP="000168FC">
      <w:r>
        <w:t xml:space="preserve">Champion, V.L. and </w:t>
      </w:r>
      <w:proofErr w:type="spellStart"/>
      <w:r>
        <w:t>Skinnner</w:t>
      </w:r>
      <w:proofErr w:type="spellEnd"/>
      <w:r>
        <w:t xml:space="preserve">, C.S. (2008). The health belief model. In: Glanz, K., Rimer, B.K. and Viswanath, K (eds), </w:t>
      </w:r>
      <w:r w:rsidRPr="000C5F64">
        <w:rPr>
          <w:i/>
        </w:rPr>
        <w:t>Health Behaviour and Health Education: Theory, Research, and Practice</w:t>
      </w:r>
      <w:r>
        <w:t xml:space="preserve">. Jossey-Bass, San </w:t>
      </w:r>
      <w:proofErr w:type="spellStart"/>
      <w:r>
        <w:t>Franscisco</w:t>
      </w:r>
      <w:proofErr w:type="spellEnd"/>
      <w:r>
        <w:t>, CA, pp. 45 – 65.</w:t>
      </w:r>
    </w:p>
    <w:p w14:paraId="212B61AC" w14:textId="77777777" w:rsidR="000C5F64" w:rsidRDefault="000C5F64" w:rsidP="000168FC"/>
    <w:p w14:paraId="184ED11D" w14:textId="77777777" w:rsidR="000C5F64" w:rsidRDefault="000C5F64" w:rsidP="000168FC">
      <w:proofErr w:type="spellStart"/>
      <w:r>
        <w:t>Croyle</w:t>
      </w:r>
      <w:proofErr w:type="spellEnd"/>
      <w:r>
        <w:t xml:space="preserve">, R.T., Sun, Y.C., and Hart, M. (2013). Processing risk factor information: defensive biases in health-related judgements and memory. In: Petrie, K.J. &amp; Weinman, J.A. (eds). </w:t>
      </w:r>
      <w:r w:rsidRPr="000C5F64">
        <w:rPr>
          <w:i/>
        </w:rPr>
        <w:t>Perceptions of Health and Illness</w:t>
      </w:r>
      <w:r>
        <w:t>. Psychology Press: New York, pp. 283 - 306</w:t>
      </w:r>
    </w:p>
    <w:p w14:paraId="22B8FFE8" w14:textId="77777777" w:rsidR="000C5F64" w:rsidRDefault="000C5F64" w:rsidP="000168FC"/>
    <w:p w14:paraId="2E3E2DDD" w14:textId="77777777" w:rsidR="000053E3" w:rsidRPr="00FF2121" w:rsidRDefault="000053E3" w:rsidP="000053E3">
      <w:proofErr w:type="spellStart"/>
      <w:r>
        <w:t>Eggertson</w:t>
      </w:r>
      <w:proofErr w:type="spellEnd"/>
      <w:r>
        <w:t xml:space="preserve">, L. (2010). Lancet retracts 12-year old article linking autism to MMR vaccines. </w:t>
      </w:r>
      <w:r w:rsidRPr="000053E3">
        <w:rPr>
          <w:i/>
        </w:rPr>
        <w:t>Canadian Medical Association Journal</w:t>
      </w:r>
      <w:r>
        <w:t xml:space="preserve">, 182 (4), 199-200. March 9, 2010. </w:t>
      </w:r>
    </w:p>
    <w:p w14:paraId="2272552C" w14:textId="77777777" w:rsidR="000053E3" w:rsidRDefault="000053E3" w:rsidP="000168FC"/>
    <w:p w14:paraId="173A4351" w14:textId="77777777" w:rsidR="00FF2121" w:rsidRDefault="00FF2121" w:rsidP="000168FC">
      <w:r>
        <w:t xml:space="preserve">Marias, F., </w:t>
      </w:r>
      <w:proofErr w:type="spellStart"/>
      <w:r>
        <w:t>Minkler</w:t>
      </w:r>
      <w:proofErr w:type="spellEnd"/>
      <w:r>
        <w:t xml:space="preserve">, M., Gibson, N., </w:t>
      </w:r>
      <w:proofErr w:type="spellStart"/>
      <w:r>
        <w:t>Mwau</w:t>
      </w:r>
      <w:proofErr w:type="spellEnd"/>
      <w:r>
        <w:t xml:space="preserve">, B., </w:t>
      </w:r>
      <w:proofErr w:type="spellStart"/>
      <w:r>
        <w:t>Mehtar</w:t>
      </w:r>
      <w:proofErr w:type="spellEnd"/>
      <w:r>
        <w:t xml:space="preserve">. S., </w:t>
      </w:r>
      <w:proofErr w:type="spellStart"/>
      <w:r>
        <w:t>Ogunsola</w:t>
      </w:r>
      <w:proofErr w:type="spellEnd"/>
      <w:r>
        <w:t xml:space="preserve">, F., et al (2015). A community-engaged infection prevention and control approach to Ebola. </w:t>
      </w:r>
      <w:r w:rsidRPr="00FF2121">
        <w:rPr>
          <w:i/>
        </w:rPr>
        <w:t>Health Promotion International,</w:t>
      </w:r>
      <w:r>
        <w:t xml:space="preserve"> 31, 440-449.</w:t>
      </w:r>
    </w:p>
    <w:p w14:paraId="31353519" w14:textId="77777777" w:rsidR="00FF2121" w:rsidRDefault="00FF2121" w:rsidP="000168FC"/>
    <w:p w14:paraId="6142BC2C" w14:textId="65CB6478" w:rsidR="003871DB" w:rsidRPr="00F602E9" w:rsidRDefault="003871DB" w:rsidP="003871DB"/>
    <w:p w14:paraId="5839D7BF" w14:textId="77777777" w:rsidR="003871DB" w:rsidRDefault="003871DB" w:rsidP="003871DB"/>
    <w:p w14:paraId="3E16AC94" w14:textId="77777777" w:rsidR="000C5F64" w:rsidRDefault="000C5F64" w:rsidP="000168FC">
      <w:r>
        <w:t xml:space="preserve">Prentice-Dunn, S. and Rogers, R. W. (1986). Protection motivation theory and preventive health: </w:t>
      </w:r>
      <w:r w:rsidR="00970F5A">
        <w:t xml:space="preserve">beyond the health belief model. </w:t>
      </w:r>
      <w:r w:rsidR="00970F5A" w:rsidRPr="00970F5A">
        <w:rPr>
          <w:i/>
        </w:rPr>
        <w:t>Health Education Research</w:t>
      </w:r>
      <w:r w:rsidR="00970F5A">
        <w:t>, 1. 153 – 161.</w:t>
      </w:r>
    </w:p>
    <w:p w14:paraId="06E77CB7" w14:textId="77777777" w:rsidR="000C5F64" w:rsidRDefault="000C5F64" w:rsidP="000168FC"/>
    <w:p w14:paraId="79A82EE0" w14:textId="77777777" w:rsidR="009B463C" w:rsidRDefault="009B463C" w:rsidP="000168FC">
      <w:r>
        <w:t xml:space="preserve">Public Health England (2021). </w:t>
      </w:r>
      <w:r w:rsidRPr="009B463C">
        <w:rPr>
          <w:i/>
        </w:rPr>
        <w:t>Laboratory confirmed cases of measles, rubella and mumps, England: January to March 2021</w:t>
      </w:r>
      <w:r>
        <w:t>. Health Protection Report, Volume 15, Number 8. 2 June, 2021. London: PHE</w:t>
      </w:r>
    </w:p>
    <w:p w14:paraId="441B42A2" w14:textId="77777777" w:rsidR="009B463C" w:rsidRDefault="009B463C" w:rsidP="000168FC"/>
    <w:p w14:paraId="64D8130C" w14:textId="77777777" w:rsidR="00290A39" w:rsidRDefault="00290A39" w:rsidP="000168FC">
      <w:r>
        <w:t xml:space="preserve">Public Health England (2019). </w:t>
      </w:r>
      <w:r w:rsidRPr="00290A39">
        <w:rPr>
          <w:i/>
        </w:rPr>
        <w:t>UK Measles and Rubella Elimination Strategy 2019</w:t>
      </w:r>
      <w:r>
        <w:t>. London: PHE.</w:t>
      </w:r>
    </w:p>
    <w:p w14:paraId="505F972A" w14:textId="77777777" w:rsidR="00290A39" w:rsidRDefault="00290A39" w:rsidP="000168FC"/>
    <w:p w14:paraId="7E36FDFF" w14:textId="77777777" w:rsidR="006E2FC8" w:rsidRDefault="006E2FC8" w:rsidP="000168FC">
      <w:r>
        <w:t xml:space="preserve">Public Health Wales (2019). </w:t>
      </w:r>
      <w:r w:rsidRPr="006E2FC8">
        <w:rPr>
          <w:i/>
        </w:rPr>
        <w:t>Wales Measles and Rubella Elimination Task Group: Action Plan 2019 – 2021</w:t>
      </w:r>
      <w:r>
        <w:t xml:space="preserve">. Cardiff: NHS Wales/Public Health Wales. </w:t>
      </w:r>
    </w:p>
    <w:p w14:paraId="1EBB1461" w14:textId="77777777" w:rsidR="006E2FC8" w:rsidRDefault="006E2FC8" w:rsidP="000168FC"/>
    <w:p w14:paraId="0A0980B8" w14:textId="77777777" w:rsidR="00F7642D" w:rsidRDefault="00F7642D" w:rsidP="000168FC">
      <w:r>
        <w:t xml:space="preserve">Public Health Wales (2020). </w:t>
      </w:r>
      <w:r w:rsidRPr="00F7642D">
        <w:rPr>
          <w:i/>
        </w:rPr>
        <w:t>Public Health Protection Response Plan</w:t>
      </w:r>
      <w:r>
        <w:t>. Cardiff: Public Health Wales.</w:t>
      </w:r>
    </w:p>
    <w:p w14:paraId="299BBE27" w14:textId="77777777" w:rsidR="00F7642D" w:rsidRDefault="00F7642D" w:rsidP="000168FC"/>
    <w:p w14:paraId="56DAB78E" w14:textId="77777777" w:rsidR="00F602E9" w:rsidRDefault="00F602E9" w:rsidP="000168FC">
      <w:r>
        <w:t xml:space="preserve">Public Health Wales (2020). </w:t>
      </w:r>
      <w:r w:rsidR="003871DB" w:rsidRPr="003871DB">
        <w:rPr>
          <w:i/>
        </w:rPr>
        <w:t>Our Strategic Plan 2019 -2022</w:t>
      </w:r>
      <w:r w:rsidR="003871DB">
        <w:t xml:space="preserve">. Cardiff: NHS Wales/Public Health Wales; </w:t>
      </w:r>
    </w:p>
    <w:p w14:paraId="1FC0B72D" w14:textId="77777777" w:rsidR="00F602E9" w:rsidRDefault="00F602E9" w:rsidP="000168FC"/>
    <w:p w14:paraId="12684A1F" w14:textId="374C14A9" w:rsidR="000C5F64" w:rsidRDefault="001243C0" w:rsidP="000168FC">
      <w:r>
        <w:t xml:space="preserve">Ramsay, M. [Ed.] (2017). </w:t>
      </w:r>
      <w:r w:rsidRPr="001243C0">
        <w:rPr>
          <w:i/>
        </w:rPr>
        <w:t>Immunisation against infectious disease</w:t>
      </w:r>
      <w:r>
        <w:t>. London: Public Health England.</w:t>
      </w:r>
    </w:p>
    <w:p w14:paraId="45F0356B" w14:textId="77777777" w:rsidR="00F7642D" w:rsidRDefault="00F7642D" w:rsidP="000168FC"/>
    <w:p w14:paraId="2B3E1F84" w14:textId="77777777" w:rsidR="003A5D47" w:rsidRDefault="003A5D47" w:rsidP="000168FC">
      <w:proofErr w:type="spellStart"/>
      <w:r>
        <w:lastRenderedPageBreak/>
        <w:t>Teutsch</w:t>
      </w:r>
      <w:proofErr w:type="spellEnd"/>
      <w:r>
        <w:t xml:space="preserve">, S.M., &amp; Churchill, R.E. [Eds]. (2000). </w:t>
      </w:r>
      <w:r w:rsidRPr="003A5D47">
        <w:rPr>
          <w:i/>
        </w:rPr>
        <w:t xml:space="preserve">Principles and practice of public </w:t>
      </w:r>
      <w:proofErr w:type="spellStart"/>
      <w:r w:rsidRPr="003A5D47">
        <w:rPr>
          <w:i/>
        </w:rPr>
        <w:t>heath</w:t>
      </w:r>
      <w:proofErr w:type="spellEnd"/>
      <w:r w:rsidRPr="003A5D47">
        <w:rPr>
          <w:i/>
        </w:rPr>
        <w:t xml:space="preserve"> surveillance</w:t>
      </w:r>
      <w:r>
        <w:t>. Oxford University Press: USA.</w:t>
      </w:r>
    </w:p>
    <w:p w14:paraId="094BD609" w14:textId="77777777" w:rsidR="003A5D47" w:rsidRDefault="003A5D47" w:rsidP="000168FC"/>
    <w:p w14:paraId="3D5ECAE5" w14:textId="3C21D453" w:rsidR="00F7642D" w:rsidRDefault="00F7642D" w:rsidP="000168FC">
      <w:proofErr w:type="spellStart"/>
      <w:r>
        <w:t>Tulenko</w:t>
      </w:r>
      <w:proofErr w:type="spellEnd"/>
      <w:r>
        <w:t xml:space="preserve">, K., &amp; Vervoort, D. (2020). Cracks in the System:  </w:t>
      </w:r>
      <w:r w:rsidRPr="00F7642D">
        <w:rPr>
          <w:i/>
        </w:rPr>
        <w:t>The American Review of Public Administration</w:t>
      </w:r>
      <w:r>
        <w:t>, 50 (6-7), 455 – 466.</w:t>
      </w:r>
    </w:p>
    <w:p w14:paraId="789A92CC" w14:textId="77777777" w:rsidR="000C5F64" w:rsidRDefault="000C5F64" w:rsidP="000168FC"/>
    <w:p w14:paraId="5CFE939E" w14:textId="6969B5A1" w:rsidR="00FF2121" w:rsidRDefault="00FF2121" w:rsidP="000168FC">
      <w:r>
        <w:t xml:space="preserve">Van den </w:t>
      </w:r>
      <w:proofErr w:type="spellStart"/>
      <w:r>
        <w:t>Broucke</w:t>
      </w:r>
      <w:proofErr w:type="spellEnd"/>
      <w:r>
        <w:t>, S. (2020).</w:t>
      </w:r>
    </w:p>
    <w:p w14:paraId="2D7209D0" w14:textId="77777777" w:rsidR="0086006C" w:rsidRDefault="0086006C" w:rsidP="000168FC"/>
    <w:p w14:paraId="0AEF3C3E" w14:textId="77777777" w:rsidR="000053E3" w:rsidRDefault="000053E3" w:rsidP="000168FC">
      <w:r>
        <w:t xml:space="preserve">Wakefield, A.J., Murch, M.B., Anthony, M.B., Linnell, J., Casson, D.M., Malik, M., et al., (1998) [Retracted]. Ileal-lymphoid-nodular hyperplasia, non-specific colitis, and pervasive developmental disorder in children. </w:t>
      </w:r>
      <w:r w:rsidRPr="000053E3">
        <w:rPr>
          <w:i/>
        </w:rPr>
        <w:t>The Lancet</w:t>
      </w:r>
      <w:r>
        <w:t>, Vol. 351, Issue 9103, pp.637 – 641.</w:t>
      </w:r>
    </w:p>
    <w:p w14:paraId="16E6DB89" w14:textId="77777777" w:rsidR="000053E3" w:rsidRDefault="000053E3" w:rsidP="000168FC"/>
    <w:p w14:paraId="3180D569" w14:textId="77777777" w:rsidR="0086006C" w:rsidRDefault="0086006C" w:rsidP="000168FC">
      <w:r>
        <w:t xml:space="preserve">World Health Organisation (2006). </w:t>
      </w:r>
      <w:r w:rsidRPr="0086006C">
        <w:rPr>
          <w:i/>
        </w:rPr>
        <w:t>Public Health: Innovation and Intellectual Property Rights</w:t>
      </w:r>
      <w:r>
        <w:t xml:space="preserve"> (Report of the Commission on Intellectual Property Rights, Innovation and Public Health, April, 2006). Geneva: WHO. </w:t>
      </w:r>
    </w:p>
    <w:p w14:paraId="3687F14A" w14:textId="5DB261DC" w:rsidR="003871DB" w:rsidRDefault="003871DB" w:rsidP="000168FC">
      <w:r>
        <w:br/>
        <w:t xml:space="preserve">World Health Organisation (2019). </w:t>
      </w:r>
      <w:r w:rsidRPr="000053E3">
        <w:rPr>
          <w:i/>
        </w:rPr>
        <w:t>Measles</w:t>
      </w:r>
      <w:r w:rsidR="000053E3">
        <w:rPr>
          <w:i/>
        </w:rPr>
        <w:t>:</w:t>
      </w:r>
      <w:r w:rsidRPr="000053E3">
        <w:rPr>
          <w:i/>
        </w:rPr>
        <w:t xml:space="preserve"> Key Facts</w:t>
      </w:r>
      <w:r>
        <w:t>.</w:t>
      </w:r>
      <w:r w:rsidR="000053E3">
        <w:t xml:space="preserve"> Online Resource</w:t>
      </w:r>
    </w:p>
    <w:p w14:paraId="1F612A43" w14:textId="4FBAD7D3" w:rsidR="0076174D" w:rsidRDefault="0076174D" w:rsidP="000168FC"/>
    <w:p w14:paraId="4DF69151" w14:textId="0731BE33" w:rsidR="0076174D" w:rsidRDefault="0076174D" w:rsidP="000168FC"/>
    <w:p w14:paraId="1A5A61FA" w14:textId="186D772F" w:rsidR="0076174D" w:rsidRDefault="0076174D" w:rsidP="000168FC"/>
    <w:p w14:paraId="3A8204DD" w14:textId="2901745E" w:rsidR="0076174D" w:rsidRDefault="0076174D" w:rsidP="000168FC"/>
    <w:p w14:paraId="37DA0B12" w14:textId="42E791F9" w:rsidR="0076174D" w:rsidRDefault="0076174D" w:rsidP="000168FC"/>
    <w:p w14:paraId="48D7CE87" w14:textId="1A1AFF6A" w:rsidR="0076174D" w:rsidRDefault="0076174D" w:rsidP="000168FC"/>
    <w:p w14:paraId="18C54E57" w14:textId="645B285C" w:rsidR="0076174D" w:rsidRDefault="0076174D" w:rsidP="000168FC"/>
    <w:p w14:paraId="18283993" w14:textId="5A35824F" w:rsidR="0076174D" w:rsidRDefault="0076174D" w:rsidP="000168FC"/>
    <w:p w14:paraId="51D4FC98" w14:textId="72EB42A2" w:rsidR="0076174D" w:rsidRDefault="0076174D" w:rsidP="000168FC"/>
    <w:p w14:paraId="466844E0" w14:textId="29272150" w:rsidR="0076174D" w:rsidRDefault="0076174D" w:rsidP="000168FC"/>
    <w:p w14:paraId="5D35CF08" w14:textId="74543EFE" w:rsidR="0076174D" w:rsidRDefault="0076174D" w:rsidP="000168FC"/>
    <w:p w14:paraId="5F01955A" w14:textId="5ACB79EE" w:rsidR="0076174D" w:rsidRDefault="0076174D" w:rsidP="000168FC"/>
    <w:p w14:paraId="3C7F22E8" w14:textId="77777777" w:rsidR="00D50640" w:rsidRDefault="00D50640" w:rsidP="000168FC"/>
    <w:p w14:paraId="44172D74" w14:textId="77777777" w:rsidR="00D50640" w:rsidRDefault="00D50640" w:rsidP="000168FC"/>
    <w:p w14:paraId="19551C19" w14:textId="77777777" w:rsidR="00D50640" w:rsidRDefault="00D50640" w:rsidP="000168FC"/>
    <w:p w14:paraId="7EFF6030" w14:textId="77777777" w:rsidR="00D50640" w:rsidRDefault="00D50640" w:rsidP="000168FC"/>
    <w:p w14:paraId="4E2134FC" w14:textId="77777777" w:rsidR="00D50640" w:rsidRDefault="00D50640" w:rsidP="000168FC"/>
    <w:p w14:paraId="2706275B" w14:textId="77777777" w:rsidR="00D50640" w:rsidRDefault="00D50640" w:rsidP="000168FC"/>
    <w:p w14:paraId="25806626" w14:textId="77777777" w:rsidR="00D50640" w:rsidRDefault="00D50640" w:rsidP="000168FC"/>
    <w:p w14:paraId="057D44D4" w14:textId="77777777" w:rsidR="00D50640" w:rsidRDefault="00D50640" w:rsidP="000168FC"/>
    <w:p w14:paraId="1B076B0D" w14:textId="77777777" w:rsidR="00D50640" w:rsidRDefault="00D50640" w:rsidP="000168FC"/>
    <w:p w14:paraId="25CB30F5" w14:textId="77777777" w:rsidR="00D50640" w:rsidRDefault="00D50640" w:rsidP="000168FC"/>
    <w:p w14:paraId="53B89079" w14:textId="77777777" w:rsidR="00D50640" w:rsidRDefault="00D50640" w:rsidP="000168FC"/>
    <w:p w14:paraId="7C01AD20" w14:textId="77777777" w:rsidR="00D50640" w:rsidRDefault="00D50640" w:rsidP="000168FC"/>
    <w:p w14:paraId="67906F5E" w14:textId="77777777" w:rsidR="002E32E3" w:rsidRDefault="002E32E3" w:rsidP="000168FC"/>
    <w:p w14:paraId="3C10F90F" w14:textId="77777777" w:rsidR="002E32E3" w:rsidRDefault="002E32E3" w:rsidP="000168FC"/>
    <w:p w14:paraId="23CED170" w14:textId="77777777" w:rsidR="002E32E3" w:rsidRDefault="002E32E3" w:rsidP="000168FC"/>
    <w:p w14:paraId="15BD1572" w14:textId="77777777" w:rsidR="002E32E3" w:rsidRDefault="002E32E3" w:rsidP="000168FC"/>
    <w:p w14:paraId="35DADF2C" w14:textId="77777777" w:rsidR="002E32E3" w:rsidRDefault="002E32E3" w:rsidP="000168FC"/>
    <w:p w14:paraId="14CF10B5" w14:textId="77777777" w:rsidR="002E32E3" w:rsidRDefault="002E32E3" w:rsidP="000168FC"/>
    <w:p w14:paraId="6C6897EA" w14:textId="28B076EC" w:rsidR="0076174D" w:rsidRDefault="0076174D" w:rsidP="000168FC">
      <w:r>
        <w:lastRenderedPageBreak/>
        <w:t>Appendix</w:t>
      </w:r>
    </w:p>
    <w:p w14:paraId="1E52BF99" w14:textId="678D2121" w:rsidR="0076174D" w:rsidRDefault="0076174D" w:rsidP="000168FC"/>
    <w:p w14:paraId="5881953C" w14:textId="4D56BA55" w:rsidR="00882963" w:rsidRPr="00882963" w:rsidRDefault="00882963" w:rsidP="00882963">
      <w:pPr>
        <w:rPr>
          <w:b/>
          <w:i/>
        </w:rPr>
      </w:pPr>
      <w:r>
        <w:t xml:space="preserve"> </w:t>
      </w:r>
      <w:r w:rsidRPr="00882963">
        <w:fldChar w:fldCharType="begin"/>
      </w:r>
      <w:r w:rsidRPr="00882963">
        <w:instrText xml:space="preserve"> INCLUDEPICTURE "cid:f_kvffedjr0" \* MERGEFORMATINET </w:instrText>
      </w:r>
      <w:r w:rsidRPr="00882963">
        <w:fldChar w:fldCharType="end"/>
      </w:r>
      <w:r w:rsidRPr="00882963">
        <w:rPr>
          <w:b/>
          <w:i/>
        </w:rPr>
        <w:t>Table 1: Infection Rates of Measles in Wales 1996-2020 (Source: Public Health England/Wales, 2021)</w:t>
      </w:r>
    </w:p>
    <w:p w14:paraId="2C3CD2F2" w14:textId="7E470093" w:rsidR="0076174D" w:rsidRDefault="0076174D" w:rsidP="000168FC"/>
    <w:p w14:paraId="2A26D59F" w14:textId="00C51F68" w:rsidR="0076174D" w:rsidRDefault="00882963" w:rsidP="000168FC">
      <w:r w:rsidRPr="00882963">
        <w:rPr>
          <w:noProof/>
        </w:rPr>
        <mc:AlternateContent>
          <mc:Choice Requires="wps">
            <w:drawing>
              <wp:inline distT="0" distB="0" distL="0" distR="0" wp14:anchorId="25527ED9" wp14:editId="68D908CC">
                <wp:extent cx="302260" cy="302260"/>
                <wp:effectExtent l="0" t="0" r="0" b="0"/>
                <wp:docPr id="2" name="Rectangle 2" descr="Measle cases in England and Wales, 2000 -2019.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3173F0" id="Rectangle 2" o:spid="_x0000_s1026" alt="Measle cases in England and Wales, 2000 -2019.png"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" filled="f" stroked="f">
                <o:lock v:ext="edit" aspectratio="t"/>
                <w10:anchorlock/>
              </v:rect>
            </w:pict>
          </mc:Fallback>
        </mc:AlternateContent>
      </w:r>
    </w:p>
    <w:p w14:paraId="147922EF" w14:textId="38EAB5C1" w:rsidR="0076174D" w:rsidRDefault="0076174D" w:rsidP="000168FC">
      <w:r w:rsidRPr="008524FB">
        <w:rPr>
          <w:rFonts w:ascii="Times New Roman" w:eastAsia="Times New Roman" w:hAnsi="Times New Roman" w:cs="Times New Roman"/>
          <w:noProof/>
        </w:rPr>
        <w:drawing>
          <wp:inline distT="0" distB="0" distL="0" distR="0" wp14:anchorId="60E51E04" wp14:editId="50BD667B">
            <wp:extent cx="3964305" cy="2304000"/>
            <wp:effectExtent l="114300" t="101600" r="112395" b="134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BEBA8EAE-BF5A-486C-A8C5-ECC9F3942E4B}">
                          <a14:imgProps xmlns:a14="http://schemas.microsoft.com/office/drawing/2010/main">
                            <a14:imgLayer r:embed="rId9">
                              <a14:imgEffect>
                                <a14:artisticPhotocopy/>
                              </a14:imgEffect>
                            </a14:imgLayer>
                          </a14:imgProps>
                        </a:ext>
                        <a:ext uri="{28A0092B-C50C-407E-A947-70E740481C1C}">
                          <a14:useLocalDpi xmlns:a14="http://schemas.microsoft.com/office/drawing/2010/main"/>
                        </a:ext>
                      </a:extLst>
                    </a:blip>
                    <a:srcRect t="-1585"/>
                    <a:stretch/>
                  </pic:blipFill>
                  <pic:spPr bwMode="auto">
                    <a:xfrm>
                      <a:off x="0" y="0"/>
                      <a:ext cx="3967701" cy="230597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F4B72E0" w14:textId="58683102" w:rsidR="0076174D" w:rsidRDefault="0076174D" w:rsidP="000168FC"/>
    <w:p w14:paraId="302D09F8" w14:textId="4AE44CAE" w:rsidR="0076174D" w:rsidRDefault="0076174D" w:rsidP="000168FC"/>
    <w:p w14:paraId="4FA4CF93" w14:textId="77777777" w:rsidR="00283730" w:rsidRDefault="00283730" w:rsidP="00D242B2"/>
    <w:p w14:paraId="48929504" w14:textId="77777777" w:rsidR="00283730" w:rsidRDefault="00283730" w:rsidP="00D242B2"/>
    <w:p w14:paraId="4DC5ABA1" w14:textId="77777777" w:rsidR="00283730" w:rsidRDefault="00283730" w:rsidP="00D242B2"/>
    <w:p w14:paraId="64DEC853" w14:textId="3A6B9F29" w:rsidR="00D242B2" w:rsidRPr="00D242B2" w:rsidRDefault="00D242B2" w:rsidP="00D242B2">
      <w:pPr>
        <w:rPr>
          <w:b/>
          <w:i/>
        </w:rPr>
      </w:pPr>
      <w:r w:rsidRPr="00D242B2">
        <w:rPr>
          <w:b/>
          <w:i/>
        </w:rPr>
        <w:t>Table 2: Uptake MMR Vaccinations of children (up to 5yrs old) in Wales showing increase (95%+)</w:t>
      </w:r>
    </w:p>
    <w:p w14:paraId="335E8408" w14:textId="51B806BF" w:rsidR="0076174D" w:rsidRDefault="0076174D" w:rsidP="000168FC"/>
    <w:p w14:paraId="3B9EEF5F" w14:textId="5B51F0C4" w:rsidR="00D242B2" w:rsidRDefault="00D242B2" w:rsidP="000168FC"/>
    <w:p w14:paraId="718E8690" w14:textId="7B8A50B4" w:rsidR="00D242B2" w:rsidRDefault="00D242B2" w:rsidP="000168FC">
      <w:r w:rsidRPr="00A326BC">
        <w:rPr>
          <w:noProof/>
        </w:rPr>
        <w:drawing>
          <wp:inline distT="0" distB="0" distL="0" distR="0" wp14:anchorId="0446F537" wp14:editId="313A0125">
            <wp:extent cx="4220119" cy="2631440"/>
            <wp:effectExtent l="63500" t="63500" r="123825" b="1244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61180" cy="26570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6F742D" w14:textId="12C88CC3" w:rsidR="0076174D" w:rsidRDefault="0076174D" w:rsidP="000168FC"/>
    <w:p w14:paraId="32CCC0F9" w14:textId="77777777" w:rsidR="0076174D" w:rsidRDefault="0076174D" w:rsidP="000168FC"/>
    <w:p w14:paraId="18407D0D" w14:textId="77777777" w:rsidR="003871DB" w:rsidRDefault="003871DB" w:rsidP="000168FC"/>
    <w:sectPr w:rsidR="003871DB" w:rsidSect="00B558D6">
      <w:footerReference w:type="even" r:id="rId11"/>
      <w:footerReference w:type="default" r:id="rId12"/>
      <w:pgSz w:w="11906" w:h="16838"/>
      <w:pgMar w:top="1412"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AAD9FC" w14:textId="77777777" w:rsidR="009462F8" w:rsidRDefault="009462F8" w:rsidP="00290A39">
      <w:r>
        <w:separator/>
      </w:r>
    </w:p>
  </w:endnote>
  <w:endnote w:type="continuationSeparator" w:id="0">
    <w:p w14:paraId="2A2716B3" w14:textId="77777777" w:rsidR="009462F8" w:rsidRDefault="009462F8" w:rsidP="00290A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20840374"/>
      <w:docPartObj>
        <w:docPartGallery w:val="Page Numbers (Bottom of Page)"/>
        <w:docPartUnique/>
      </w:docPartObj>
    </w:sdtPr>
    <w:sdtEndPr>
      <w:rPr>
        <w:rStyle w:val="PageNumber"/>
      </w:rPr>
    </w:sdtEndPr>
    <w:sdtContent>
      <w:p w14:paraId="56820BF9" w14:textId="77777777" w:rsidR="00290A39" w:rsidRDefault="00290A39" w:rsidP="007B30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124638" w14:textId="77777777" w:rsidR="00290A39" w:rsidRDefault="00290A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25744617"/>
      <w:docPartObj>
        <w:docPartGallery w:val="Page Numbers (Bottom of Page)"/>
        <w:docPartUnique/>
      </w:docPartObj>
    </w:sdtPr>
    <w:sdtEndPr>
      <w:rPr>
        <w:rStyle w:val="PageNumber"/>
      </w:rPr>
    </w:sdtEndPr>
    <w:sdtContent>
      <w:p w14:paraId="6473BF57" w14:textId="77777777" w:rsidR="00290A39" w:rsidRDefault="00290A39" w:rsidP="007B30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780585A" w14:textId="77777777" w:rsidR="00290A39" w:rsidRDefault="00290A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4CFF22" w14:textId="77777777" w:rsidR="009462F8" w:rsidRDefault="009462F8" w:rsidP="00290A39">
      <w:r>
        <w:separator/>
      </w:r>
    </w:p>
  </w:footnote>
  <w:footnote w:type="continuationSeparator" w:id="0">
    <w:p w14:paraId="1CD5D431" w14:textId="77777777" w:rsidR="009462F8" w:rsidRDefault="009462F8" w:rsidP="00290A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B17B1A"/>
    <w:multiLevelType w:val="hybridMultilevel"/>
    <w:tmpl w:val="341C7A2A"/>
    <w:lvl w:ilvl="0" w:tplc="1A78CB56">
      <w:start w:val="3"/>
      <w:numFmt w:val="decimal"/>
      <w:lvlText w:val="%1"/>
      <w:lvlJc w:val="left"/>
      <w:pPr>
        <w:ind w:left="720" w:hanging="360"/>
      </w:pPr>
      <w:rPr>
        <w:rFonts w:ascii="Times New Roman" w:eastAsia="Times New Roman" w:hAnsi="Times New Roman" w:cs="Times New Roman"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B6444F"/>
    <w:multiLevelType w:val="hybridMultilevel"/>
    <w:tmpl w:val="935E02CC"/>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981F39"/>
    <w:multiLevelType w:val="hybridMultilevel"/>
    <w:tmpl w:val="760888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100CB8"/>
    <w:multiLevelType w:val="hybridMultilevel"/>
    <w:tmpl w:val="E0F6E7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3420DF0"/>
    <w:multiLevelType w:val="hybridMultilevel"/>
    <w:tmpl w:val="90B6273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D06"/>
    <w:rsid w:val="000053E3"/>
    <w:rsid w:val="000056BC"/>
    <w:rsid w:val="000073AD"/>
    <w:rsid w:val="000168FC"/>
    <w:rsid w:val="000267A7"/>
    <w:rsid w:val="00032D76"/>
    <w:rsid w:val="00075477"/>
    <w:rsid w:val="000759CB"/>
    <w:rsid w:val="00082537"/>
    <w:rsid w:val="00087F63"/>
    <w:rsid w:val="0009410C"/>
    <w:rsid w:val="000A3985"/>
    <w:rsid w:val="000B01F8"/>
    <w:rsid w:val="000B4A01"/>
    <w:rsid w:val="000B72D9"/>
    <w:rsid w:val="000C0D4B"/>
    <w:rsid w:val="000C5F64"/>
    <w:rsid w:val="000D1ED7"/>
    <w:rsid w:val="000D4864"/>
    <w:rsid w:val="000E197D"/>
    <w:rsid w:val="000F30E3"/>
    <w:rsid w:val="0011128F"/>
    <w:rsid w:val="00114E23"/>
    <w:rsid w:val="00116585"/>
    <w:rsid w:val="001243C0"/>
    <w:rsid w:val="00125D74"/>
    <w:rsid w:val="00130335"/>
    <w:rsid w:val="00133E0B"/>
    <w:rsid w:val="00144A5E"/>
    <w:rsid w:val="001534B8"/>
    <w:rsid w:val="00157E50"/>
    <w:rsid w:val="00174992"/>
    <w:rsid w:val="00190D9D"/>
    <w:rsid w:val="001932D0"/>
    <w:rsid w:val="001A11D2"/>
    <w:rsid w:val="001A1220"/>
    <w:rsid w:val="001B3F81"/>
    <w:rsid w:val="001C00CB"/>
    <w:rsid w:val="001C20EE"/>
    <w:rsid w:val="00211F61"/>
    <w:rsid w:val="00214C40"/>
    <w:rsid w:val="0022046E"/>
    <w:rsid w:val="002240B1"/>
    <w:rsid w:val="00241363"/>
    <w:rsid w:val="00242308"/>
    <w:rsid w:val="00252BE2"/>
    <w:rsid w:val="00255ACE"/>
    <w:rsid w:val="00267C75"/>
    <w:rsid w:val="002765CE"/>
    <w:rsid w:val="00281DDC"/>
    <w:rsid w:val="00283730"/>
    <w:rsid w:val="002868A6"/>
    <w:rsid w:val="0028797C"/>
    <w:rsid w:val="00290A39"/>
    <w:rsid w:val="002B463E"/>
    <w:rsid w:val="002C1400"/>
    <w:rsid w:val="002E32E3"/>
    <w:rsid w:val="002F2F34"/>
    <w:rsid w:val="002F4AB7"/>
    <w:rsid w:val="002F7CC9"/>
    <w:rsid w:val="003133FF"/>
    <w:rsid w:val="0031512D"/>
    <w:rsid w:val="00335FB2"/>
    <w:rsid w:val="00344C6D"/>
    <w:rsid w:val="00345177"/>
    <w:rsid w:val="00350D73"/>
    <w:rsid w:val="003549E8"/>
    <w:rsid w:val="00363D7B"/>
    <w:rsid w:val="00367714"/>
    <w:rsid w:val="003703FB"/>
    <w:rsid w:val="003727DE"/>
    <w:rsid w:val="00373F2C"/>
    <w:rsid w:val="00377A01"/>
    <w:rsid w:val="00382C95"/>
    <w:rsid w:val="003871DB"/>
    <w:rsid w:val="00392BAF"/>
    <w:rsid w:val="00395FCC"/>
    <w:rsid w:val="003A023F"/>
    <w:rsid w:val="003A5D47"/>
    <w:rsid w:val="003A7652"/>
    <w:rsid w:val="003E326A"/>
    <w:rsid w:val="003F3655"/>
    <w:rsid w:val="00431060"/>
    <w:rsid w:val="00432AD5"/>
    <w:rsid w:val="00432DAD"/>
    <w:rsid w:val="00436745"/>
    <w:rsid w:val="004430E2"/>
    <w:rsid w:val="0044539C"/>
    <w:rsid w:val="00467A98"/>
    <w:rsid w:val="004743C2"/>
    <w:rsid w:val="00481220"/>
    <w:rsid w:val="00484B1E"/>
    <w:rsid w:val="0049228F"/>
    <w:rsid w:val="004923EE"/>
    <w:rsid w:val="00494CC5"/>
    <w:rsid w:val="0049624C"/>
    <w:rsid w:val="004B0414"/>
    <w:rsid w:val="004C3A62"/>
    <w:rsid w:val="004C6275"/>
    <w:rsid w:val="004D07B1"/>
    <w:rsid w:val="004E3D13"/>
    <w:rsid w:val="004E5D52"/>
    <w:rsid w:val="004F1023"/>
    <w:rsid w:val="00502572"/>
    <w:rsid w:val="0050724B"/>
    <w:rsid w:val="00511108"/>
    <w:rsid w:val="00525CA7"/>
    <w:rsid w:val="00526BB5"/>
    <w:rsid w:val="005663A4"/>
    <w:rsid w:val="005939DC"/>
    <w:rsid w:val="005976EC"/>
    <w:rsid w:val="005A1343"/>
    <w:rsid w:val="005A6BC3"/>
    <w:rsid w:val="005C15A7"/>
    <w:rsid w:val="005C5789"/>
    <w:rsid w:val="005E0EAD"/>
    <w:rsid w:val="005F03FE"/>
    <w:rsid w:val="005F49A1"/>
    <w:rsid w:val="00600EBE"/>
    <w:rsid w:val="00625961"/>
    <w:rsid w:val="00632257"/>
    <w:rsid w:val="00640130"/>
    <w:rsid w:val="006434CD"/>
    <w:rsid w:val="00651C8D"/>
    <w:rsid w:val="006544E4"/>
    <w:rsid w:val="0065501F"/>
    <w:rsid w:val="0065561F"/>
    <w:rsid w:val="00660AB2"/>
    <w:rsid w:val="006654BB"/>
    <w:rsid w:val="00671C38"/>
    <w:rsid w:val="0068484E"/>
    <w:rsid w:val="00690699"/>
    <w:rsid w:val="006B34DA"/>
    <w:rsid w:val="006B50FF"/>
    <w:rsid w:val="006D1D18"/>
    <w:rsid w:val="006E091C"/>
    <w:rsid w:val="006E2FC8"/>
    <w:rsid w:val="006E70BC"/>
    <w:rsid w:val="006F7DF6"/>
    <w:rsid w:val="00701DCF"/>
    <w:rsid w:val="00702B3E"/>
    <w:rsid w:val="0070790B"/>
    <w:rsid w:val="00707A38"/>
    <w:rsid w:val="00713AA1"/>
    <w:rsid w:val="00727C92"/>
    <w:rsid w:val="00734F89"/>
    <w:rsid w:val="0076174D"/>
    <w:rsid w:val="0078197C"/>
    <w:rsid w:val="00781B88"/>
    <w:rsid w:val="007A3F4B"/>
    <w:rsid w:val="007C3E23"/>
    <w:rsid w:val="007C6C39"/>
    <w:rsid w:val="007D44C5"/>
    <w:rsid w:val="007E358E"/>
    <w:rsid w:val="007F1536"/>
    <w:rsid w:val="008029EB"/>
    <w:rsid w:val="00826CEE"/>
    <w:rsid w:val="00844F62"/>
    <w:rsid w:val="008524FB"/>
    <w:rsid w:val="0085271E"/>
    <w:rsid w:val="0086006C"/>
    <w:rsid w:val="00865842"/>
    <w:rsid w:val="008700EE"/>
    <w:rsid w:val="00872C77"/>
    <w:rsid w:val="00882963"/>
    <w:rsid w:val="00887EE8"/>
    <w:rsid w:val="008A63C1"/>
    <w:rsid w:val="008B512E"/>
    <w:rsid w:val="008D6BF6"/>
    <w:rsid w:val="008E0DC4"/>
    <w:rsid w:val="008E436B"/>
    <w:rsid w:val="008E4648"/>
    <w:rsid w:val="008E5E1F"/>
    <w:rsid w:val="008F75F7"/>
    <w:rsid w:val="009006CE"/>
    <w:rsid w:val="0091399E"/>
    <w:rsid w:val="009409AF"/>
    <w:rsid w:val="009462F8"/>
    <w:rsid w:val="009663A2"/>
    <w:rsid w:val="00970F5A"/>
    <w:rsid w:val="00975ED0"/>
    <w:rsid w:val="009818FA"/>
    <w:rsid w:val="00984AB4"/>
    <w:rsid w:val="00984E84"/>
    <w:rsid w:val="00992E2C"/>
    <w:rsid w:val="009960B5"/>
    <w:rsid w:val="009B463C"/>
    <w:rsid w:val="009C041D"/>
    <w:rsid w:val="009C41A3"/>
    <w:rsid w:val="009C5812"/>
    <w:rsid w:val="009D100B"/>
    <w:rsid w:val="009E636D"/>
    <w:rsid w:val="009E75BF"/>
    <w:rsid w:val="009E763F"/>
    <w:rsid w:val="00A14673"/>
    <w:rsid w:val="00A17364"/>
    <w:rsid w:val="00A225A1"/>
    <w:rsid w:val="00A238EB"/>
    <w:rsid w:val="00A3238D"/>
    <w:rsid w:val="00A326A1"/>
    <w:rsid w:val="00A326BC"/>
    <w:rsid w:val="00A40A9D"/>
    <w:rsid w:val="00A71CE6"/>
    <w:rsid w:val="00A81CFF"/>
    <w:rsid w:val="00A83BDB"/>
    <w:rsid w:val="00A904C0"/>
    <w:rsid w:val="00A9466C"/>
    <w:rsid w:val="00AB1B65"/>
    <w:rsid w:val="00AB1F82"/>
    <w:rsid w:val="00AB6F15"/>
    <w:rsid w:val="00AC3895"/>
    <w:rsid w:val="00AC48C1"/>
    <w:rsid w:val="00AD2AD5"/>
    <w:rsid w:val="00AF37C7"/>
    <w:rsid w:val="00B073AA"/>
    <w:rsid w:val="00B20474"/>
    <w:rsid w:val="00B24007"/>
    <w:rsid w:val="00B30CE8"/>
    <w:rsid w:val="00B32872"/>
    <w:rsid w:val="00B449AF"/>
    <w:rsid w:val="00B50172"/>
    <w:rsid w:val="00B558D6"/>
    <w:rsid w:val="00B80E96"/>
    <w:rsid w:val="00B9066F"/>
    <w:rsid w:val="00B936FD"/>
    <w:rsid w:val="00B971BD"/>
    <w:rsid w:val="00BA1B4C"/>
    <w:rsid w:val="00BA4D06"/>
    <w:rsid w:val="00BC1FFB"/>
    <w:rsid w:val="00BC7CC6"/>
    <w:rsid w:val="00BD01A1"/>
    <w:rsid w:val="00BE4671"/>
    <w:rsid w:val="00C13909"/>
    <w:rsid w:val="00C14A3E"/>
    <w:rsid w:val="00C17405"/>
    <w:rsid w:val="00C17DE3"/>
    <w:rsid w:val="00C31943"/>
    <w:rsid w:val="00C35998"/>
    <w:rsid w:val="00C42E3D"/>
    <w:rsid w:val="00C5387B"/>
    <w:rsid w:val="00C649E2"/>
    <w:rsid w:val="00C73027"/>
    <w:rsid w:val="00C74D02"/>
    <w:rsid w:val="00CB617E"/>
    <w:rsid w:val="00CC190E"/>
    <w:rsid w:val="00CD6F5F"/>
    <w:rsid w:val="00CE5BB0"/>
    <w:rsid w:val="00CF1BF7"/>
    <w:rsid w:val="00D044AB"/>
    <w:rsid w:val="00D12B6C"/>
    <w:rsid w:val="00D12BB3"/>
    <w:rsid w:val="00D20F3F"/>
    <w:rsid w:val="00D213FC"/>
    <w:rsid w:val="00D22176"/>
    <w:rsid w:val="00D242B2"/>
    <w:rsid w:val="00D25921"/>
    <w:rsid w:val="00D35FFC"/>
    <w:rsid w:val="00D44DDD"/>
    <w:rsid w:val="00D50640"/>
    <w:rsid w:val="00D50C77"/>
    <w:rsid w:val="00D83597"/>
    <w:rsid w:val="00D94B99"/>
    <w:rsid w:val="00DA11D3"/>
    <w:rsid w:val="00DA1595"/>
    <w:rsid w:val="00DB0A8B"/>
    <w:rsid w:val="00DB6C22"/>
    <w:rsid w:val="00DE3F09"/>
    <w:rsid w:val="00DF1177"/>
    <w:rsid w:val="00E03321"/>
    <w:rsid w:val="00E10B0C"/>
    <w:rsid w:val="00E209F1"/>
    <w:rsid w:val="00E211CA"/>
    <w:rsid w:val="00E40F74"/>
    <w:rsid w:val="00E46452"/>
    <w:rsid w:val="00E65F7A"/>
    <w:rsid w:val="00E706A4"/>
    <w:rsid w:val="00E70F1A"/>
    <w:rsid w:val="00E94D7A"/>
    <w:rsid w:val="00EB3AF5"/>
    <w:rsid w:val="00EC49AE"/>
    <w:rsid w:val="00EC5878"/>
    <w:rsid w:val="00EC5B90"/>
    <w:rsid w:val="00EE4B65"/>
    <w:rsid w:val="00EF2A52"/>
    <w:rsid w:val="00F041AB"/>
    <w:rsid w:val="00F157DC"/>
    <w:rsid w:val="00F34C17"/>
    <w:rsid w:val="00F51265"/>
    <w:rsid w:val="00F51334"/>
    <w:rsid w:val="00F571FA"/>
    <w:rsid w:val="00F602E9"/>
    <w:rsid w:val="00F71881"/>
    <w:rsid w:val="00F7642D"/>
    <w:rsid w:val="00F927B0"/>
    <w:rsid w:val="00FA0CF2"/>
    <w:rsid w:val="00FB0EB4"/>
    <w:rsid w:val="00FB0FBC"/>
    <w:rsid w:val="00FC1C39"/>
    <w:rsid w:val="00FC3F2B"/>
    <w:rsid w:val="00FC435D"/>
    <w:rsid w:val="00FD1152"/>
    <w:rsid w:val="00FD32BD"/>
    <w:rsid w:val="00FD7D3A"/>
    <w:rsid w:val="00FE1176"/>
    <w:rsid w:val="00FE5614"/>
    <w:rsid w:val="00FF2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EC0F6"/>
  <w14:defaultImageDpi w14:val="32767"/>
  <w15:chartTrackingRefBased/>
  <w15:docId w15:val="{7ED14040-98E7-3F48-93A2-3D7B9D549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5A1"/>
    <w:pPr>
      <w:keepNext/>
      <w:keepLines/>
      <w:spacing w:before="240"/>
      <w:jc w:val="center"/>
      <w:outlineLvl w:val="0"/>
    </w:pPr>
    <w:rPr>
      <w:rFonts w:ascii="Times New Roman" w:eastAsiaTheme="majorEastAsia" w:hAnsi="Times New Roman" w:cstheme="majorBidi"/>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ewStyle">
    <w:name w:val="New Style"/>
    <w:next w:val="Normal"/>
    <w:autoRedefine/>
    <w:qFormat/>
    <w:rsid w:val="009E75BF"/>
    <w:pPr>
      <w:spacing w:after="200"/>
    </w:pPr>
    <w:rPr>
      <w:rFonts w:ascii="Garamond" w:eastAsiaTheme="majorEastAsia" w:hAnsi="Garamond" w:cstheme="majorBidi"/>
      <w:szCs w:val="22"/>
    </w:rPr>
  </w:style>
  <w:style w:type="paragraph" w:customStyle="1" w:styleId="APAStyle">
    <w:name w:val="APA Style"/>
    <w:autoRedefine/>
    <w:qFormat/>
    <w:rsid w:val="00A225A1"/>
    <w:pPr>
      <w:spacing w:after="200" w:line="360" w:lineRule="auto"/>
    </w:pPr>
    <w:rPr>
      <w:rFonts w:ascii="Times New Roman" w:eastAsiaTheme="majorEastAsia" w:hAnsi="Times New Roman" w:cstheme="majorBidi"/>
      <w:szCs w:val="22"/>
    </w:rPr>
  </w:style>
  <w:style w:type="character" w:customStyle="1" w:styleId="Heading1Char">
    <w:name w:val="Heading 1 Char"/>
    <w:basedOn w:val="DefaultParagraphFont"/>
    <w:link w:val="Heading1"/>
    <w:uiPriority w:val="9"/>
    <w:rsid w:val="00A225A1"/>
    <w:rPr>
      <w:rFonts w:ascii="Times New Roman" w:eastAsiaTheme="majorEastAsia" w:hAnsi="Times New Roman" w:cstheme="majorBidi"/>
      <w:color w:val="000000" w:themeColor="text1"/>
      <w:szCs w:val="32"/>
    </w:rPr>
  </w:style>
  <w:style w:type="paragraph" w:styleId="NormalWeb">
    <w:name w:val="Normal (Web)"/>
    <w:basedOn w:val="Normal"/>
    <w:uiPriority w:val="99"/>
    <w:semiHidden/>
    <w:unhideWhenUsed/>
    <w:rsid w:val="00EF2A52"/>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671C38"/>
    <w:pPr>
      <w:ind w:left="720"/>
      <w:contextualSpacing/>
    </w:pPr>
  </w:style>
  <w:style w:type="character" w:styleId="Hyperlink">
    <w:name w:val="Hyperlink"/>
    <w:basedOn w:val="DefaultParagraphFont"/>
    <w:uiPriority w:val="99"/>
    <w:unhideWhenUsed/>
    <w:rsid w:val="003871DB"/>
    <w:rPr>
      <w:color w:val="0563C1" w:themeColor="hyperlink"/>
      <w:u w:val="single"/>
    </w:rPr>
  </w:style>
  <w:style w:type="character" w:styleId="UnresolvedMention">
    <w:name w:val="Unresolved Mention"/>
    <w:basedOn w:val="DefaultParagraphFont"/>
    <w:uiPriority w:val="99"/>
    <w:rsid w:val="003871DB"/>
    <w:rPr>
      <w:color w:val="605E5C"/>
      <w:shd w:val="clear" w:color="auto" w:fill="E1DFDD"/>
    </w:rPr>
  </w:style>
  <w:style w:type="paragraph" w:styleId="Footer">
    <w:name w:val="footer"/>
    <w:basedOn w:val="Normal"/>
    <w:link w:val="FooterChar"/>
    <w:uiPriority w:val="99"/>
    <w:unhideWhenUsed/>
    <w:rsid w:val="00290A39"/>
    <w:pPr>
      <w:tabs>
        <w:tab w:val="center" w:pos="4680"/>
        <w:tab w:val="right" w:pos="9360"/>
      </w:tabs>
    </w:pPr>
  </w:style>
  <w:style w:type="character" w:customStyle="1" w:styleId="FooterChar">
    <w:name w:val="Footer Char"/>
    <w:basedOn w:val="DefaultParagraphFont"/>
    <w:link w:val="Footer"/>
    <w:uiPriority w:val="99"/>
    <w:rsid w:val="00290A39"/>
  </w:style>
  <w:style w:type="character" w:styleId="PageNumber">
    <w:name w:val="page number"/>
    <w:basedOn w:val="DefaultParagraphFont"/>
    <w:uiPriority w:val="99"/>
    <w:semiHidden/>
    <w:unhideWhenUsed/>
    <w:rsid w:val="00290A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100485">
      <w:bodyDiv w:val="1"/>
      <w:marLeft w:val="0"/>
      <w:marRight w:val="0"/>
      <w:marTop w:val="0"/>
      <w:marBottom w:val="0"/>
      <w:divBdr>
        <w:top w:val="none" w:sz="0" w:space="0" w:color="auto"/>
        <w:left w:val="none" w:sz="0" w:space="0" w:color="auto"/>
        <w:bottom w:val="none" w:sz="0" w:space="0" w:color="auto"/>
        <w:right w:val="none" w:sz="0" w:space="0" w:color="auto"/>
      </w:divBdr>
      <w:divsChild>
        <w:div w:id="660237977">
          <w:marLeft w:val="0"/>
          <w:marRight w:val="0"/>
          <w:marTop w:val="0"/>
          <w:marBottom w:val="0"/>
          <w:divBdr>
            <w:top w:val="none" w:sz="0" w:space="0" w:color="auto"/>
            <w:left w:val="none" w:sz="0" w:space="0" w:color="auto"/>
            <w:bottom w:val="none" w:sz="0" w:space="0" w:color="auto"/>
            <w:right w:val="none" w:sz="0" w:space="0" w:color="auto"/>
          </w:divBdr>
          <w:divsChild>
            <w:div w:id="81100099">
              <w:marLeft w:val="0"/>
              <w:marRight w:val="0"/>
              <w:marTop w:val="0"/>
              <w:marBottom w:val="0"/>
              <w:divBdr>
                <w:top w:val="none" w:sz="0" w:space="0" w:color="auto"/>
                <w:left w:val="none" w:sz="0" w:space="0" w:color="auto"/>
                <w:bottom w:val="none" w:sz="0" w:space="0" w:color="auto"/>
                <w:right w:val="none" w:sz="0" w:space="0" w:color="auto"/>
              </w:divBdr>
              <w:divsChild>
                <w:div w:id="475076156">
                  <w:marLeft w:val="0"/>
                  <w:marRight w:val="0"/>
                  <w:marTop w:val="0"/>
                  <w:marBottom w:val="0"/>
                  <w:divBdr>
                    <w:top w:val="none" w:sz="0" w:space="0" w:color="auto"/>
                    <w:left w:val="none" w:sz="0" w:space="0" w:color="auto"/>
                    <w:bottom w:val="none" w:sz="0" w:space="0" w:color="auto"/>
                    <w:right w:val="none" w:sz="0" w:space="0" w:color="auto"/>
                  </w:divBdr>
                  <w:divsChild>
                    <w:div w:id="141855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082560">
      <w:bodyDiv w:val="1"/>
      <w:marLeft w:val="0"/>
      <w:marRight w:val="0"/>
      <w:marTop w:val="0"/>
      <w:marBottom w:val="0"/>
      <w:divBdr>
        <w:top w:val="none" w:sz="0" w:space="0" w:color="auto"/>
        <w:left w:val="none" w:sz="0" w:space="0" w:color="auto"/>
        <w:bottom w:val="none" w:sz="0" w:space="0" w:color="auto"/>
        <w:right w:val="none" w:sz="0" w:space="0" w:color="auto"/>
      </w:divBdr>
    </w:div>
    <w:div w:id="1566258867">
      <w:bodyDiv w:val="1"/>
      <w:marLeft w:val="0"/>
      <w:marRight w:val="0"/>
      <w:marTop w:val="0"/>
      <w:marBottom w:val="0"/>
      <w:divBdr>
        <w:top w:val="none" w:sz="0" w:space="0" w:color="auto"/>
        <w:left w:val="none" w:sz="0" w:space="0" w:color="auto"/>
        <w:bottom w:val="none" w:sz="0" w:space="0" w:color="auto"/>
        <w:right w:val="none" w:sz="0" w:space="0" w:color="auto"/>
      </w:divBdr>
    </w:div>
    <w:div w:id="2138796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A5A3C-6065-5F45-B628-4342EC29B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1775</Words>
  <Characters>10121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Pastor Gbenga Shadare</dc:creator>
  <cp:keywords/>
  <dc:description/>
  <cp:lastModifiedBy>Yemisi Adesuyan</cp:lastModifiedBy>
  <cp:revision>2</cp:revision>
  <dcterms:created xsi:type="dcterms:W3CDTF">2021-11-26T17:14:00Z</dcterms:created>
  <dcterms:modified xsi:type="dcterms:W3CDTF">2021-11-26T17:14:00Z</dcterms:modified>
</cp:coreProperties>
</file>