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29B3F3C3"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bookmarkStart w:id="0" w:name="_GoBack"/>
            <w:r w:rsidR="0019640D" w:rsidRPr="0019640D">
              <w:rPr>
                <w:b/>
                <w:color w:val="auto"/>
                <w:sz w:val="32"/>
                <w:u w:val="single"/>
              </w:rPr>
              <w:t>David GRIFFITHS</w:t>
            </w:r>
            <w:bookmarkEnd w:id="0"/>
          </w:p>
          <w:p w14:paraId="779B400D" w14:textId="77777777" w:rsidR="0019640D" w:rsidRDefault="0019640D"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D6355EB" w:rsidR="005A1BA3" w:rsidRPr="0019640D" w:rsidRDefault="0019640D" w:rsidP="00340E9A">
            <w:pPr>
              <w:overflowPunct/>
              <w:autoSpaceDE/>
              <w:autoSpaceDN/>
              <w:adjustRightInd/>
              <w:ind w:right="237"/>
              <w:textAlignment w:val="auto"/>
              <w:rPr>
                <w:b/>
                <w:color w:val="auto"/>
                <w:sz w:val="32"/>
                <w:u w:val="single"/>
              </w:rPr>
            </w:pPr>
            <w:r w:rsidRPr="0019640D">
              <w:rPr>
                <w:b/>
                <w:color w:val="auto"/>
                <w:sz w:val="32"/>
                <w:u w:val="single"/>
              </w:rPr>
              <w:t>1815837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3C623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19640D"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31856DE5">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1856DE5">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31856DE5">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7432EB90" w:rsidR="00446F80" w:rsidRPr="001E7592" w:rsidRDefault="31856DE5" w:rsidP="31856DE5">
            <w:pPr>
              <w:ind w:right="237"/>
              <w:jc w:val="both"/>
              <w:rPr>
                <w:rFonts w:eastAsia="Arial"/>
                <w:b/>
                <w:bCs/>
                <w:color w:val="auto"/>
                <w:sz w:val="24"/>
                <w:szCs w:val="24"/>
              </w:rPr>
            </w:pPr>
            <w:r w:rsidRPr="31856DE5">
              <w:rPr>
                <w:rFonts w:eastAsia="Arial"/>
                <w:b/>
                <w:bCs/>
                <w:color w:val="auto"/>
                <w:sz w:val="24"/>
                <w:szCs w:val="24"/>
              </w:rPr>
              <w:t>1200</w:t>
            </w:r>
          </w:p>
        </w:tc>
      </w:tr>
      <w:tr w:rsidR="00446F80" w:rsidRPr="00270EEB" w14:paraId="6953A260" w14:textId="25AAFF4B" w:rsidTr="31856DE5">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1DED8B75" w:rsidR="00446F80" w:rsidRPr="001E7592" w:rsidRDefault="31856DE5" w:rsidP="31856DE5">
            <w:pPr>
              <w:ind w:right="237"/>
              <w:jc w:val="both"/>
              <w:rPr>
                <w:rFonts w:eastAsia="Arial"/>
                <w:b/>
                <w:bCs/>
                <w:sz w:val="24"/>
                <w:szCs w:val="24"/>
              </w:rPr>
            </w:pPr>
            <w:r w:rsidRPr="31856DE5">
              <w:rPr>
                <w:rFonts w:eastAsia="Arial"/>
                <w:b/>
                <w:bCs/>
                <w:sz w:val="24"/>
                <w:szCs w:val="24"/>
              </w:rPr>
              <w:t>1400</w:t>
            </w:r>
          </w:p>
        </w:tc>
      </w:tr>
      <w:tr w:rsidR="00446F80" w:rsidRPr="00270EEB" w14:paraId="0E09B7AB" w14:textId="15055A9A" w:rsidTr="31856DE5">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4C93C9B9" w:rsidR="00446F80" w:rsidRPr="001E7592" w:rsidRDefault="31856DE5" w:rsidP="31856DE5">
            <w:pPr>
              <w:ind w:right="237"/>
              <w:jc w:val="both"/>
              <w:rPr>
                <w:rFonts w:eastAsia="Arial"/>
                <w:b/>
                <w:bCs/>
                <w:sz w:val="24"/>
                <w:szCs w:val="24"/>
              </w:rPr>
            </w:pPr>
            <w:r w:rsidRPr="31856DE5">
              <w:rPr>
                <w:rFonts w:eastAsia="Arial"/>
                <w:b/>
                <w:bCs/>
                <w:sz w:val="24"/>
                <w:szCs w:val="24"/>
              </w:rPr>
              <w:t>1250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31856DE5">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402A7CE8" w:rsidR="00446F80" w:rsidRPr="00F40CB5" w:rsidRDefault="31856DE5" w:rsidP="31856DE5">
            <w:pPr>
              <w:spacing w:line="360" w:lineRule="auto"/>
              <w:ind w:right="237"/>
              <w:jc w:val="both"/>
              <w:rPr>
                <w:rFonts w:eastAsia="Arial"/>
                <w:b/>
                <w:bCs/>
                <w:sz w:val="24"/>
                <w:szCs w:val="24"/>
              </w:rPr>
            </w:pPr>
            <w:r w:rsidRPr="31856DE5">
              <w:rPr>
                <w:rFonts w:eastAsia="Arial"/>
                <w:b/>
                <w:bCs/>
                <w:sz w:val="24"/>
                <w:szCs w:val="24"/>
              </w:rPr>
              <w:t>1250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31856DE5">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05B87BB3" w14:textId="77777777" w:rsidR="00BE0025" w:rsidRDefault="00BE0025" w:rsidP="00BE0025">
      <w:pPr>
        <w:spacing w:line="480" w:lineRule="auto"/>
        <w:rPr>
          <w:rFonts w:cstheme="minorHAnsi"/>
          <w:color w:val="282828"/>
        </w:rPr>
      </w:pPr>
      <w:r>
        <w:t xml:space="preserve">Her Majesty’s Inspectorate of Constabularies and Fire and Rescue Services (HMICFRS) defines organisational justice as a </w:t>
      </w:r>
      <w:r w:rsidRPr="00BB08BB">
        <w:rPr>
          <w:rFonts w:cstheme="minorHAnsi"/>
        </w:rPr>
        <w:t>‘</w:t>
      </w:r>
      <w:r>
        <w:rPr>
          <w:rFonts w:cstheme="minorHAnsi"/>
        </w:rPr>
        <w:t>d</w:t>
      </w:r>
      <w:r w:rsidRPr="00BB08BB">
        <w:rPr>
          <w:rFonts w:cstheme="minorHAnsi"/>
          <w:color w:val="282828"/>
        </w:rPr>
        <w:t>egree to which police officers and staff perceive the decisions that affect them as fair. Officers and staff are more likely to treat the public fairly and respectfully if they feel that they are being treated this way’</w:t>
      </w:r>
      <w:r>
        <w:rPr>
          <w:rFonts w:cstheme="minorHAnsi"/>
          <w:color w:val="282828"/>
        </w:rPr>
        <w:t xml:space="preserve"> (HMICFRS, 2019). This can be taken to mean that should decisions be made that negatively affect the way an officer works, or has an negative impact on that officer’s wellbeing then officers are less likely to give a service a that is impartial, fair or respectful. These decisions that affect officers can be made at chief officer level, or national government level. </w:t>
      </w:r>
    </w:p>
    <w:p w14:paraId="116E38E1" w14:textId="77777777" w:rsidR="00BE0025" w:rsidRDefault="00BE0025" w:rsidP="00BE0025">
      <w:pPr>
        <w:spacing w:line="480" w:lineRule="auto"/>
        <w:rPr>
          <w:rFonts w:cstheme="minorHAnsi"/>
          <w:color w:val="282828"/>
        </w:rPr>
      </w:pPr>
      <w:r>
        <w:rPr>
          <w:rFonts w:cstheme="minorHAnsi"/>
          <w:color w:val="282828"/>
        </w:rPr>
        <w:t xml:space="preserve"> Although when decisions are made which officers think are unfair, it is important to remember that officers should still provide a service to the public that is in line with the code of ethics set out by the College of Policing (College of Policing, 2014). The code of ethics are a set of standards which officers are expected to adhere to, and work by, ensuring that officers remain fair, honest and accountable amongst others. Regardless of how unfair officers perceive decisions made by others are to them the code of ethics and standards of behaviour should still be abided by. </w:t>
      </w:r>
    </w:p>
    <w:p w14:paraId="4C88C1B7" w14:textId="77777777" w:rsidR="00BE0025" w:rsidRDefault="00BE0025" w:rsidP="00BE0025">
      <w:pPr>
        <w:spacing w:line="480" w:lineRule="auto"/>
        <w:rPr>
          <w:rFonts w:cstheme="minorHAnsi"/>
          <w:color w:val="282828"/>
        </w:rPr>
      </w:pPr>
      <w:r>
        <w:rPr>
          <w:rFonts w:cstheme="minorHAnsi"/>
          <w:color w:val="282828"/>
        </w:rPr>
        <w:t xml:space="preserve">Research conducted in 2014 at Durham Constabulary (Bradford et al, 2014) has raised a number of important points in regards to organisational justice, the police and links to the code of ethics. The points raised allow officers to feel involved in the decision making process, allow for decisions made to be explained to officers in regards to how they were reached and expected impacts, also tells decision makers that by having clear goals and values consistent with the code of ethics underlines the necessity for fairness and respect. This research is important and it gives officers an opportunity to be part of the process, not only that, but it gives decision makers the chance to explain their </w:t>
      </w:r>
      <w:r>
        <w:rPr>
          <w:rFonts w:cstheme="minorHAnsi"/>
          <w:color w:val="282828"/>
        </w:rPr>
        <w:lastRenderedPageBreak/>
        <w:t xml:space="preserve">thought process when making decisions, although the decisions may have a negative impact on officers, they may be more understanding if it is explained to them how those decisions were made. Locally within South Wales Police, when Chief Constable Jukes was appointed to the Chief Constable role eh launched a ‘100 things in 100 days’ initiative. Part of this initiative saw a project take place that enabled officers to better understand organisational culture within </w:t>
      </w:r>
      <w:r w:rsidRPr="009D1994">
        <w:rPr>
          <w:rFonts w:cstheme="minorHAnsi"/>
          <w:color w:val="282828"/>
        </w:rPr>
        <w:t>South Wales Police</w:t>
      </w:r>
      <w:r>
        <w:rPr>
          <w:rFonts w:cstheme="minorHAnsi"/>
          <w:color w:val="282828"/>
        </w:rPr>
        <w:t xml:space="preserve">, allowing officers and staff an opportunity to ask questions of Chief Officers and get a reply, not only that it allows for feedback to be given to Chief Officers on the reply they have given. As per the 2014 Durham research, this forum in South Wales allows Chief Officers to explain decisions but also allows for officers and staff to feel part of the decision making process and voice concerns or seek clarification.  </w:t>
      </w:r>
    </w:p>
    <w:p w14:paraId="357C693D" w14:textId="77777777" w:rsidR="00BE0025" w:rsidRDefault="00BE0025" w:rsidP="00BE0025">
      <w:pPr>
        <w:spacing w:line="480" w:lineRule="auto"/>
        <w:rPr>
          <w:rFonts w:cstheme="minorHAnsi"/>
          <w:color w:val="282828"/>
        </w:rPr>
      </w:pPr>
      <w:r>
        <w:rPr>
          <w:rFonts w:cstheme="minorHAnsi"/>
          <w:color w:val="282828"/>
        </w:rPr>
        <w:t xml:space="preserve">Ethical standards within the police are important now more than ever. With the development of technology and social media officers are exposed on a larger scale. Members of the public are able to video record officers at scene and this can be uploaded to social media in a matter of minutes. On occasions these videos are altered in order to make officer’s actions appear unethical. South Wales Police has taken steps to not only raise ethical standards but also increase public awareness around cases where officers have acted unethically and have been dealt with appropriately by the service. Although matters of misconduct are dealt with by Professional Standards, South Wales Police also utilise a Joint Ethics Committee. The purpose of the ethics committee is to ‘provide advice, support, and assistance regarding </w:t>
      </w:r>
      <w:r w:rsidRPr="002C7989">
        <w:rPr>
          <w:rFonts w:cstheme="minorHAnsi"/>
          <w:color w:val="1F2025"/>
          <w:shd w:val="clear" w:color="auto" w:fill="FFFFFF"/>
        </w:rPr>
        <w:t>ethical challenges arising from operational, administrative or organisational matters facing South Wales Police</w:t>
      </w:r>
      <w:r>
        <w:rPr>
          <w:rFonts w:cstheme="minorHAnsi"/>
          <w:color w:val="282828"/>
        </w:rPr>
        <w:t>’ (</w:t>
      </w:r>
      <w:r w:rsidRPr="002C7989">
        <w:rPr>
          <w:rFonts w:cstheme="minorHAnsi"/>
          <w:color w:val="282828"/>
        </w:rPr>
        <w:t>South Wales Police</w:t>
      </w:r>
      <w:r>
        <w:rPr>
          <w:rFonts w:cstheme="minorHAnsi"/>
          <w:color w:val="282828"/>
        </w:rPr>
        <w:t xml:space="preserve">, 2020). </w:t>
      </w:r>
    </w:p>
    <w:p w14:paraId="00DE2840" w14:textId="77777777" w:rsidR="00BE0025" w:rsidRDefault="00BE0025" w:rsidP="00BE0025">
      <w:pPr>
        <w:spacing w:line="480" w:lineRule="auto"/>
        <w:rPr>
          <w:rFonts w:cstheme="minorHAnsi"/>
          <w:color w:val="282828"/>
        </w:rPr>
      </w:pPr>
      <w:r>
        <w:rPr>
          <w:rFonts w:cstheme="minorHAnsi"/>
          <w:color w:val="282828"/>
        </w:rPr>
        <w:t xml:space="preserve">South Wales Police was subject to an HMICFRS inspection for the period 2018/2019. The results of the inspection found that South Wales Police had a ‘clear process for promoting ethical decisions making including a variety of training courses’ the inspection also noted that ‘the workforce had a good understanding of ethics and gained its knowledge from a range of internal sources including the intranet’ (HMICFRS, 2019). The results of this inspection suggest that South Wales Police has taken steps to ensure that officers and staff were aware of the code of ethics in the decision making process, and also made sure that there is easily accessible material to support ethical decisions making, and enhance officer’s knowledge of ethics and the role it plays in modern policing.     </w:t>
      </w:r>
    </w:p>
    <w:p w14:paraId="65BABF9E" w14:textId="77777777" w:rsidR="00BE0025" w:rsidRDefault="00BE0025" w:rsidP="00BE0025">
      <w:pPr>
        <w:spacing w:line="480" w:lineRule="auto"/>
        <w:rPr>
          <w:rFonts w:cstheme="minorHAnsi"/>
          <w:color w:val="282828"/>
        </w:rPr>
      </w:pPr>
      <w:r>
        <w:rPr>
          <w:rFonts w:cstheme="minorHAnsi"/>
          <w:color w:val="282828"/>
        </w:rPr>
        <w:t xml:space="preserve">In conclusion, organisation justice plays an important part in policing. Officers are more likely to give a professional service if they feel they are valued by their employers. If decisions are continually made </w:t>
      </w:r>
      <w:r>
        <w:rPr>
          <w:rFonts w:cstheme="minorHAnsi"/>
          <w:color w:val="282828"/>
        </w:rPr>
        <w:lastRenderedPageBreak/>
        <w:t xml:space="preserve">where officers feel neglected or that the decisions made are unfair to them this will be reflected in their work. Having the support of the force when it is needed will also help officers feel valued and respected which can only be a benefit the work they do. Supervisors, such as sergeants, have an important role to play in organisational justice, ensuring that work loads are fairly allocated, praise and discipline is given and given fairly and officers are following instructions and policies. By lacking in organisational justice the risk is that officers will disengage from the service, such as calling in sick or just providing a poor service in general and potentially provide a service that is unethical and potentially corrupt. </w:t>
      </w:r>
    </w:p>
    <w:p w14:paraId="25B9E442" w14:textId="2EFE0F85" w:rsidR="00BE0025" w:rsidRDefault="00BE0025" w:rsidP="00BE0025">
      <w:pPr>
        <w:spacing w:line="480" w:lineRule="auto"/>
        <w:rPr>
          <w:rFonts w:cstheme="minorHAnsi"/>
          <w:color w:val="282828"/>
        </w:rPr>
      </w:pPr>
      <w:r>
        <w:rPr>
          <w:rFonts w:cstheme="minorHAnsi"/>
          <w:color w:val="282828"/>
        </w:rPr>
        <w:t>912</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BE0025">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FD84E4E">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38DFB01F" w:rsidR="008171E4" w:rsidRPr="00270EEB" w:rsidRDefault="31856DE5" w:rsidP="31856DE5">
            <w:pPr>
              <w:ind w:right="237"/>
              <w:jc w:val="both"/>
              <w:rPr>
                <w:sz w:val="24"/>
                <w:szCs w:val="24"/>
              </w:rPr>
            </w:pPr>
            <w:r w:rsidRPr="31856DE5">
              <w:rPr>
                <w:sz w:val="24"/>
                <w:szCs w:val="24"/>
              </w:rPr>
              <w:t xml:space="preserve">1200 words </w:t>
            </w:r>
            <w:r w:rsidRPr="31856DE5">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718A9279" w14:textId="77777777" w:rsidR="00BE0025" w:rsidRPr="003251D8" w:rsidRDefault="00BE0025" w:rsidP="00BE0025">
      <w:pPr>
        <w:spacing w:line="480" w:lineRule="auto"/>
        <w:rPr>
          <w:rFonts w:cstheme="minorHAnsi"/>
        </w:rPr>
      </w:pPr>
      <w:r w:rsidRPr="003251D8">
        <w:rPr>
          <w:rFonts w:cstheme="minorHAnsi"/>
        </w:rPr>
        <w:t>I will use Driscoll’s (2007) adaptation of Borton’s (1970) reflective model to reflect on</w:t>
      </w:r>
      <w:r w:rsidRPr="005061FC">
        <w:rPr>
          <w:rFonts w:cstheme="minorHAnsi"/>
        </w:rPr>
        <w:t xml:space="preserve"> an incident where I instigated a multi-agency approach as a means of dealing with the incident</w:t>
      </w:r>
      <w:r w:rsidRPr="003251D8">
        <w:rPr>
          <w:rFonts w:cstheme="minorHAnsi"/>
        </w:rPr>
        <w:t xml:space="preserve">. I have chosen this reflective model because Driscoll’s adaptation asks trigger questions which allow the user to delve deeper into the experience, enhancing learning and development opportunities. </w:t>
      </w:r>
    </w:p>
    <w:p w14:paraId="6C221DEC" w14:textId="77777777" w:rsidR="00BE0025" w:rsidRDefault="00BE0025" w:rsidP="00BE0025">
      <w:pPr>
        <w:spacing w:line="480" w:lineRule="auto"/>
        <w:rPr>
          <w:rFonts w:cstheme="minorHAnsi"/>
        </w:rPr>
      </w:pPr>
      <w:r w:rsidRPr="005061FC">
        <w:rPr>
          <w:rFonts w:cstheme="minorHAnsi"/>
        </w:rPr>
        <w:t xml:space="preserve">The first stage of the reflective model is ‘What?’ A report had been received from a female who was living in supported living for young parents. She was reporting that a male resident had been making inappropriate sexualised comments towards her and this was causing her to fear for the safety of her and her child. </w:t>
      </w:r>
      <w:r>
        <w:rPr>
          <w:rFonts w:cstheme="minorHAnsi"/>
        </w:rPr>
        <w:t xml:space="preserve">On arrival, with my colleague, I spoke with the female to gather a better understanding of what had happened including dates, times and speech and actions the male had used towards her. Knowing that this was a supported living project that was staffed on a 24/7 basis I asked the female if it was ok for me to speak to staff regarding the allegation to which she agreed. Upon speaking to staff they informed me that the female suffered from a form of post-partum psychosis and was not taking the medication that had been prescribed to her to control this, and this was one of the reasons that she was staying on the project. Post-partum psychosis is defined by the National Health Service </w:t>
      </w:r>
      <w:r>
        <w:rPr>
          <w:rFonts w:cstheme="minorHAnsi"/>
        </w:rPr>
        <w:lastRenderedPageBreak/>
        <w:t xml:space="preserve">(NHS) as ‘a </w:t>
      </w:r>
      <w:r w:rsidRPr="00733D03">
        <w:rPr>
          <w:rFonts w:cstheme="minorHAnsi"/>
        </w:rPr>
        <w:t>serious mental health illness that can affect someone soon after having a baby</w:t>
      </w:r>
      <w:r>
        <w:rPr>
          <w:rFonts w:cstheme="minorHAnsi"/>
        </w:rPr>
        <w:t xml:space="preserve">’ (NHS, 2020). Symptoms of the illness include delusions and feelings of suspicion and fear. Staff at the project informed me that they had never seen the male and female alone together, the site is monitored by CCTV that records sounds as well as video and this had been trawled as soon as staff became aware and could not find any occasion where the male had interacted with the female. Staff also made me aware that the female was not taking her medication for psychosis and had made very similar allegations regarding male members of staff at the project and other projects where she has lived. In regards to the male the staff informed me that he was devoted to his wife and children and it did not seem to them that he would make these comments, not only this but the male was an asylum seeker and spoke very little English with staff telling me it was unlikely he would say what the female was alleging he had been saying. I made the decision to speak to the male to form my own assessment as to whether he could communicate in the way that the female had told me. Upon speaking to him it was clear that he had a very limited English vocabulary and when I repeated the allegation to him, it was apparent he did not understand the words I had used. </w:t>
      </w:r>
    </w:p>
    <w:p w14:paraId="73E2CB36" w14:textId="77777777" w:rsidR="00BE0025" w:rsidRDefault="00BE0025" w:rsidP="00BE0025">
      <w:pPr>
        <w:spacing w:line="480" w:lineRule="auto"/>
        <w:rPr>
          <w:rFonts w:cstheme="minorHAnsi"/>
        </w:rPr>
      </w:pPr>
      <w:r>
        <w:rPr>
          <w:rFonts w:cstheme="minorHAnsi"/>
        </w:rPr>
        <w:t xml:space="preserve">Having discussed the event with my colleague I believed it best to submit a public protection notice (PPN) for the female and her child. There were a number of other options I could have considered, I could have left the female in the care of staff at the project, for them to manage her needs, and however this could have been detrimental not only to the female but also her child. Although I had no immediate safeguarding concerns for her child, the child still needs an element of protection and safeguarding. I could have considered a police power under Section 46 Children’s Act (1989), this act allows for a constable to remove a child, to a place of safety, who he believes may be at risk of suffering significant harm. As I did not believe the child was at risk of serious harm this power was not an option.  The PPN was deemed the most appropriate course of action as it instigates a multi-agency approach to support the female in the management of her mental health and support her in the upbringing of her child. It makes agencies such as health professionals, social services and education aware of incidents and ensures that the appropriate agency is put in place to manage the subject’s needs. There are many benefits to a multi-agency approach when dealing with matters such as these. These benefits include a more accurate assessment of risk and a better understanding between professionals. </w:t>
      </w:r>
    </w:p>
    <w:p w14:paraId="5E9AC6C9" w14:textId="77777777" w:rsidR="00BE0025" w:rsidRDefault="00BE0025" w:rsidP="00BE0025">
      <w:pPr>
        <w:spacing w:line="480" w:lineRule="auto"/>
        <w:rPr>
          <w:rFonts w:cstheme="minorHAnsi"/>
        </w:rPr>
      </w:pPr>
      <w:r>
        <w:rPr>
          <w:rFonts w:cstheme="minorHAnsi"/>
        </w:rPr>
        <w:lastRenderedPageBreak/>
        <w:t xml:space="preserve">As a result of the submission of my PPN a multi-agency safeguarding conference was held in regard to the child, during which I was called upon to provide my observations. During this conference it was decided that proceedings would take place in order to remove the child from the care of the female and place her in local authority care.  This decision was reached as a result of the multi-discussion involving social services, health visitors and police. Information and evidence was gathered which suggested that the child would be exposed to harm if it remained under the care of the female, for example the local authority was able to provide evidence that other children had been removed from the care of the female due to her mental ill health and the Police were able to share that the mother has had contact with the Police previously, making a number of allegations regarding males, similar to the allegation she made on this occasion. </w:t>
      </w:r>
    </w:p>
    <w:p w14:paraId="72C8E3B5" w14:textId="77777777" w:rsidR="00BE0025" w:rsidRDefault="00BE0025" w:rsidP="00BE0025">
      <w:pPr>
        <w:spacing w:line="480" w:lineRule="auto"/>
        <w:rPr>
          <w:rFonts w:cstheme="minorHAnsi"/>
        </w:rPr>
      </w:pPr>
      <w:r>
        <w:rPr>
          <w:rFonts w:cstheme="minorHAnsi"/>
        </w:rPr>
        <w:t xml:space="preserve">Using the now what prompt of reflective model I can reflect on my decision to submit a PPN and also on the subsequent multi agency working. As previously mentioned the submission of a PPN was the most appropriate course of action. Staff at the project had highlighted a potential safeguarding issue, not just for the child but also for the female. Although the purpose of the PPN was not to have the child removed from the mothers care, the submission has allowed a joint approach between all relevant agencies to get the female the help and support she needs. On top of this it has allowed the child to be safeguarded whilst the mother receives the help to get her psychosis to a manageable state. The risks of not submitting a PPN far outweighed that of not submitting one. With what the staff had disclosed regarding the female not managing her psychosis with the medication I could not guarantee that staff would be able to safeguard the female and her child, nor could I be certain that other agencies were aware of the problem. Under the Children Act (1989) the Police have a duty to work with other agencies to safeguard children. By submitting the PPN and taking part in the safeguard conference and subsequent proceedings the partnership approach to dealing with the female has ensured that all parties are safeguarded as well as receiving support and treatment. </w:t>
      </w:r>
    </w:p>
    <w:p w14:paraId="3A98DC33" w14:textId="4BF0D748" w:rsidR="00BE0025" w:rsidRPr="005061FC" w:rsidRDefault="00BE0025" w:rsidP="00BE0025">
      <w:pPr>
        <w:spacing w:line="480" w:lineRule="auto"/>
        <w:rPr>
          <w:rFonts w:cstheme="minorHAnsi"/>
        </w:rPr>
      </w:pPr>
      <w:r>
        <w:rPr>
          <w:rFonts w:cstheme="minorHAnsi"/>
        </w:rPr>
        <w:t xml:space="preserve">1130 </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00820B00">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CF79D55" w:rsidR="00820B00" w:rsidRDefault="00820B00" w:rsidP="00820B00">
            <w:pPr>
              <w:ind w:right="237"/>
              <w:jc w:val="both"/>
              <w:rPr>
                <w:rFonts w:eastAsia="Arial"/>
                <w:b/>
                <w:bCs/>
                <w:color w:val="000000" w:themeColor="text1"/>
                <w:sz w:val="24"/>
                <w:szCs w:val="24"/>
              </w:rPr>
            </w:pPr>
            <w:r w:rsidRPr="31856DE5">
              <w:rPr>
                <w:sz w:val="24"/>
                <w:szCs w:val="24"/>
              </w:rPr>
              <w:t xml:space="preserve">1400 words </w:t>
            </w:r>
            <w:r w:rsidRPr="31856DE5">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02A26C6A" w14:textId="77777777" w:rsidR="00BE0025" w:rsidRDefault="00BE0025" w:rsidP="00BE0025">
      <w:pPr>
        <w:spacing w:line="480" w:lineRule="auto"/>
      </w:pPr>
      <w:r>
        <w:t xml:space="preserve">I will use Borton’s (1970) what, so what, now what theory to reflect on my actions involving a victim of malicious communications towards a female from her ex-husband. The female had already been victim of an assault and sexual assault from her ex-husband. I have chosen Borton’s theory as it is the simplest reflective model and asks the user questions in order to prompt reflection. </w:t>
      </w:r>
    </w:p>
    <w:p w14:paraId="2C25D5A8" w14:textId="77777777" w:rsidR="00BE0025" w:rsidRDefault="00BE0025" w:rsidP="00BE0025">
      <w:pPr>
        <w:spacing w:line="480" w:lineRule="auto"/>
      </w:pPr>
      <w:r>
        <w:t xml:space="preserve"> Starting the reflection with ‘what’, the female had been receiving messages from an unknown social media account, contrary to Section 1 Malicious Communications Act (1988). The female was increasingly alarmed at the content of the messages as they revealed personal and historical facts regarding the previous assault and sexual assault allegations she had made about her ex-husband. Although she had suspicions that it was her ex-husband that was behind the unknown account there was no evidence of this when she came to the police with the allegation. </w:t>
      </w:r>
    </w:p>
    <w:p w14:paraId="42825BE2" w14:textId="77777777" w:rsidR="00BE0025" w:rsidRDefault="00BE0025" w:rsidP="00BE0025">
      <w:pPr>
        <w:spacing w:line="480" w:lineRule="auto"/>
      </w:pPr>
      <w:r>
        <w:t xml:space="preserve"> I conducted an investigation into the social media account submitting a communications data application in order to track an IP address of the user, this in turn would reveal the bill payer of that internet provider or an associated phone number to the Facebook account. The phone number linked to the account was that of the ex-husbands. On each occasion of being a victim of crime the female has withdrawn her statement, on this occasion the female did not wish to make any formal complaint and would not support prosecution, she only wanted the matter logged that her ex-husband had been sending her malicious messages.  </w:t>
      </w:r>
    </w:p>
    <w:p w14:paraId="1E0BD362" w14:textId="77777777" w:rsidR="00BE0025" w:rsidRDefault="00BE0025" w:rsidP="00BE0025">
      <w:pPr>
        <w:spacing w:line="480" w:lineRule="auto"/>
      </w:pPr>
      <w:r>
        <w:lastRenderedPageBreak/>
        <w:t xml:space="preserve"> As mentioned the female had already been a victim of crime from her ex-husband in the form of an assault and sexual assault and was now the victim of malicious communications from him. The definition of a repeat victim is ‘a person who, within twelve months, becomes the victim of personal ASB, personal crime and/or personal non-crime on more than one occasion’ (Dorset Police, 2003). Although the female doesn’t fit the definition of a repeat victim due to the fact that the 3 offences did not take place within 12 months, there could be an argument that she is a repeat victim in her own right. The ex-husband has caused the female to be a victim of personal crime on 3 occasions, the fact they were not over a 12 month period does not make it any less impacting on the victim that she felt the ex-husband was repeatedly targeting her and victimising her. </w:t>
      </w:r>
    </w:p>
    <w:p w14:paraId="46B907C1" w14:textId="77777777" w:rsidR="00BE0025" w:rsidRDefault="00BE0025" w:rsidP="00BE0025">
      <w:pPr>
        <w:spacing w:line="480" w:lineRule="auto"/>
      </w:pPr>
      <w:r>
        <w:t xml:space="preserve"> Although the victim refused to support prosecution on the basis that she did not want to cause hardship for her children, South Wales Police still had a duty to safeguard the victim from further crimes and also to tackle the repeat victimisation of the victim. Preventing repeat victimisation protects the most vulnerable (Australian Govt., 2003). Being a victim of domestic violence makes you vulnerable by virtue of the situation in which the victim finds themselves. The College of Policing (2020) defines a vulnerable person as ‘if, as a result of their situation or circumstances, they are unable to take care of or protect themselves or others from harm or exploitation’. In this situation the female was continuing to be a victim of crime from her ex-husband and as such she was unable to protect herself from harm. </w:t>
      </w:r>
    </w:p>
    <w:p w14:paraId="436B56F2" w14:textId="77777777" w:rsidR="00BE0025" w:rsidRDefault="00BE0025" w:rsidP="00BE0025">
      <w:pPr>
        <w:spacing w:line="480" w:lineRule="auto"/>
      </w:pPr>
      <w:r>
        <w:t xml:space="preserve"> It’s important to ask why repeat victimisation occurs. Pease (1998) theorises that repeat victimisation occurs in a domestic setting as the victim see’s the crime a ‘lesser of 2 evils’ the victim escaping from the relationship also has an effect on children for example, not seeing a parent or as in this case the victim not willing to support prosecution due to not wanting to cause distress for her children seeing their father go through the criminal justice system. </w:t>
      </w:r>
    </w:p>
    <w:p w14:paraId="07F367F8" w14:textId="77777777" w:rsidR="00BE0025" w:rsidRDefault="00BE0025" w:rsidP="00BE0025">
      <w:pPr>
        <w:spacing w:line="480" w:lineRule="auto"/>
      </w:pPr>
      <w:r>
        <w:t xml:space="preserve"> A way of preventing the repeat victimisation of domestic violence victims was the introduction of Independent Domestic Violence Advisors (IDVA). The national definition of IDVA work is to address and secure the safety of victims and their children (Safelives, 2014).  Lloyd et al. (1994) conducted research in Merseyside that found that the use of an IDVA allowed victims to access advice and support in the community. The advisor offered advice in terms of reporting incidents to the police to ensure that incidents of domestic violence remained unhidden, they also offered support during </w:t>
      </w:r>
      <w:r>
        <w:lastRenderedPageBreak/>
        <w:t xml:space="preserve">prosecution to ensure that complaints weren’t withdrawn. The research found that another benefit of the IDVA was the improvement of communication between all agencies involved in the process. Case studies from the research showed that use of an IDVA worked in reducing the amount of repeat victimisation in domestic violence settings. </w:t>
      </w:r>
    </w:p>
    <w:p w14:paraId="1FE857B5" w14:textId="77777777" w:rsidR="00BE0025" w:rsidRDefault="00BE0025" w:rsidP="00BE0025">
      <w:pPr>
        <w:spacing w:line="480" w:lineRule="auto"/>
      </w:pPr>
      <w:r>
        <w:t xml:space="preserve"> It is worth considering that it is not just the victims that are repeated in crime, some offenders are also repeat offenders. A repeat offender is defined in the dictionary as ‘someone who commits the same sort of crime more than once’ unlike with victims there does not appear to be any set time frame as to which the offender reoffends. Research has been conducted to establish what works to reduce reoffending in the domestic violence setting. The University of Cambridge found in 2017 that 35% fewer men reoffended following a mandated 2 day course. This reduced further harm to the victims by over 25%. It is worth noting that the participants of this study were first time offenders who were not deemed high risk and the level of violence used was deemed low. Research conducted by Hester and Westmarland (2006) found that exactly 50% of offenders in North East England reoffended in a domestic setting in the three year period after being initially convicted of domestic violence, however they were subsequently involved in fewer incidents but more likely to be convicted again. The research found that the most common sentence handed to perpetrators was a monetary fine. Although the data does not attribute the reoffending to what could be deemed as an easy sentence, some perpetrators said that no further action being taken against them made them feel the police were not taking their violent behaviour seriously, and re-enforced the perpetrators minimisation of the incidents. </w:t>
      </w:r>
    </w:p>
    <w:p w14:paraId="2F798097" w14:textId="77777777" w:rsidR="00BE0025" w:rsidRDefault="00BE0025" w:rsidP="00BE0025">
      <w:pPr>
        <w:spacing w:line="480" w:lineRule="auto"/>
      </w:pPr>
      <w:r>
        <w:t xml:space="preserve"> All professional agencies have a role to play in safeguarding the most vulnerable members of society. Multi agency approach is key to the early and effective identification of risk (gov.uk, 2014). Approaches used such as multi agency safeguarding hubs (MASH) offer a single point of contact to the vulnerable person. Although this is a single point of contact, within the MASH are agents from the health sector, social sector, and police. Processes such as child protection conferences and multi-agency risk assessment conferences (MARAC) are able to take place in a timely manner facilitating early intervention. Multi-agency approaches allow for the correct professionals to take ownership and responsibility for areas in which they have primacy, for example education and social services take the lead with children and police and probation with offenders. The effectiveness of a multi-agency approach is further supported in ‘Safeguarding Adults – A National Framework of Standards’ </w:t>
      </w:r>
      <w:r>
        <w:lastRenderedPageBreak/>
        <w:t xml:space="preserve">(Association of Directors of Social Services, 2005). The document states ‘the multi-agency approach is to enable people who are at risk to access safety’. A multi-agency approach appears to be the most appropriate approach to supporting and managing vulnerable people. It allows immediate information sharing between professionals, and allows for safeguarding measures to be put in place and support to come directly from the professionals that have most experience in that field. IT allows for conferences to take place at the earliest opportunity and professional risk assessments ensuring that the vulnerable person is safeguarded and managed appropriately and supported throughout, whether that be supported socially, or supported through the criminal justice process. </w:t>
      </w:r>
    </w:p>
    <w:p w14:paraId="30F5FF69" w14:textId="3AAA20DE" w:rsidR="00BE0025" w:rsidRDefault="00BE0025" w:rsidP="00BE0025">
      <w:pPr>
        <w:spacing w:line="480" w:lineRule="auto"/>
      </w:pPr>
      <w:r>
        <w:t>1276</w:t>
      </w:r>
    </w:p>
    <w:p w14:paraId="7617AE02" w14:textId="77777777" w:rsidR="5B63D80E" w:rsidRDefault="5B63D80E" w:rsidP="5B63D80E">
      <w:pPr>
        <w:ind w:right="237"/>
        <w:jc w:val="both"/>
        <w:rPr>
          <w:sz w:val="24"/>
          <w:szCs w:val="24"/>
        </w:rPr>
      </w:pPr>
    </w:p>
    <w:p w14:paraId="3BBDE61A" w14:textId="7AC57B55" w:rsidR="5B63D80E" w:rsidRDefault="5B63D80E" w:rsidP="5B63D80E">
      <w:pPr>
        <w:ind w:right="237"/>
      </w:pPr>
    </w:p>
    <w:p w14:paraId="6A8AA445" w14:textId="44312121"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FD84E4E">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512F05BD"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1250 words </w:t>
            </w:r>
            <w:r w:rsidRPr="7FD84E4E">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7CC6B992" w14:textId="77777777" w:rsidR="00BE0025" w:rsidRPr="00BE0025" w:rsidRDefault="00BE0025" w:rsidP="00BE0025">
      <w:pPr>
        <w:overflowPunct/>
        <w:autoSpaceDE/>
        <w:autoSpaceDN/>
        <w:adjustRightInd/>
        <w:spacing w:after="160" w:line="480" w:lineRule="auto"/>
        <w:textAlignment w:val="auto"/>
        <w:rPr>
          <w:rFonts w:asciiTheme="minorHAnsi" w:hAnsiTheme="minorHAnsi" w:cs="Times New Roman"/>
          <w:color w:val="auto"/>
          <w:sz w:val="22"/>
          <w:szCs w:val="22"/>
          <w:lang w:eastAsia="en-US"/>
        </w:rPr>
      </w:pPr>
      <w:r w:rsidRPr="00BE0025">
        <w:rPr>
          <w:rFonts w:asciiTheme="minorHAnsi" w:hAnsiTheme="minorHAnsi" w:cs="Times New Roman"/>
          <w:color w:val="auto"/>
          <w:sz w:val="22"/>
          <w:szCs w:val="22"/>
          <w:lang w:eastAsia="en-US"/>
        </w:rPr>
        <w:t xml:space="preserve">I have chosen Borton’s (1970) reflective tool to reflect on a knife point that I attended whilst on an attachment with the Serious Investigations Team (SIT). I have chosen Borton’s tool as it is a simple 3 question reflective cycle, yet asks prompt questions to delve deeper into the incident and reflect upon the incident as a whole. </w:t>
      </w:r>
    </w:p>
    <w:p w14:paraId="6ECA0FB8" w14:textId="77777777" w:rsidR="00BE0025" w:rsidRPr="00BE0025" w:rsidRDefault="00BE0025" w:rsidP="00BE0025">
      <w:pPr>
        <w:overflowPunct/>
        <w:autoSpaceDE/>
        <w:autoSpaceDN/>
        <w:adjustRightInd/>
        <w:spacing w:after="160" w:line="480" w:lineRule="auto"/>
        <w:textAlignment w:val="auto"/>
        <w:rPr>
          <w:rFonts w:asciiTheme="minorHAnsi" w:hAnsiTheme="minorHAnsi" w:cs="Times New Roman"/>
          <w:color w:val="auto"/>
          <w:sz w:val="22"/>
          <w:szCs w:val="22"/>
          <w:lang w:eastAsia="en-US"/>
        </w:rPr>
      </w:pPr>
      <w:r w:rsidRPr="00BE0025">
        <w:rPr>
          <w:rFonts w:asciiTheme="minorHAnsi" w:hAnsiTheme="minorHAnsi" w:cs="Times New Roman"/>
          <w:color w:val="auto"/>
          <w:sz w:val="22"/>
          <w:szCs w:val="22"/>
          <w:lang w:eastAsia="en-US"/>
        </w:rPr>
        <w:t>I have chosen this particular incident as it would be classed as a serious and complex crime. Section 2 The Serious Crime Act (2007) states that a serious crime is a crime which is specified in part 1 of schedule 1 of the act. This schedule states a serious crime has taken place if an offence has occurred under section 8 of the theft Act (1968) where an offensive weapon has been used (Serious Crime Act 2007 Part 1 Schedule 1).</w:t>
      </w:r>
    </w:p>
    <w:p w14:paraId="58CA0572" w14:textId="77777777" w:rsidR="00BE0025" w:rsidRPr="00BE0025" w:rsidRDefault="00BE0025" w:rsidP="00BE0025">
      <w:pPr>
        <w:overflowPunct/>
        <w:autoSpaceDE/>
        <w:autoSpaceDN/>
        <w:adjustRightInd/>
        <w:spacing w:after="160" w:line="480" w:lineRule="auto"/>
        <w:textAlignment w:val="auto"/>
        <w:rPr>
          <w:rFonts w:asciiTheme="minorHAnsi" w:hAnsiTheme="minorHAnsi" w:cs="Times New Roman"/>
          <w:color w:val="auto"/>
          <w:sz w:val="22"/>
          <w:szCs w:val="22"/>
          <w:lang w:eastAsia="en-US"/>
        </w:rPr>
      </w:pPr>
      <w:r w:rsidRPr="00BE0025">
        <w:rPr>
          <w:rFonts w:asciiTheme="minorHAnsi" w:hAnsiTheme="minorHAnsi" w:cs="Times New Roman"/>
          <w:color w:val="auto"/>
          <w:sz w:val="22"/>
          <w:szCs w:val="22"/>
          <w:lang w:eastAsia="en-US"/>
        </w:rPr>
        <w:lastRenderedPageBreak/>
        <w:t xml:space="preserve">A call was received to a college where one of the students was reporting that he had been the victim of a knife point robbery, whilst waiting for a bus home. The suspects were two males, one of which was known to the victim as he was in the same college class as the victim. The males were suspected of robbery under section 8 Theft Act (1968). </w:t>
      </w:r>
    </w:p>
    <w:p w14:paraId="593FCD24" w14:textId="77777777" w:rsidR="00BE0025" w:rsidRPr="00BE0025" w:rsidRDefault="00BE0025" w:rsidP="00BE0025">
      <w:pPr>
        <w:overflowPunct/>
        <w:autoSpaceDE/>
        <w:autoSpaceDN/>
        <w:adjustRightInd/>
        <w:spacing w:after="160" w:line="480" w:lineRule="auto"/>
        <w:textAlignment w:val="auto"/>
        <w:rPr>
          <w:rFonts w:asciiTheme="minorHAnsi" w:hAnsiTheme="minorHAnsi" w:cs="Times New Roman"/>
          <w:color w:val="auto"/>
          <w:sz w:val="22"/>
          <w:szCs w:val="22"/>
          <w:lang w:eastAsia="en-US"/>
        </w:rPr>
      </w:pPr>
      <w:r w:rsidRPr="00BE0025">
        <w:rPr>
          <w:rFonts w:asciiTheme="minorHAnsi" w:hAnsiTheme="minorHAnsi" w:cs="Times New Roman"/>
          <w:color w:val="auto"/>
          <w:sz w:val="22"/>
          <w:szCs w:val="22"/>
          <w:lang w:eastAsia="en-US"/>
        </w:rPr>
        <w:t xml:space="preserve">The victim called police as soon as the suspects made off from the scene and provided a full description of clothing. The suspects were located nearby and one suspect was in possession of the items that they had stolen from the victim. As part of the SIT I was involved in the evidence gathering for the incident and the interview process for 1 of the suspects.  </w:t>
      </w:r>
    </w:p>
    <w:p w14:paraId="7FADB90A" w14:textId="77777777" w:rsidR="00BE0025" w:rsidRPr="00BE0025" w:rsidRDefault="00BE0025" w:rsidP="00BE0025">
      <w:pPr>
        <w:overflowPunct/>
        <w:autoSpaceDE/>
        <w:autoSpaceDN/>
        <w:adjustRightInd/>
        <w:spacing w:after="160" w:line="480" w:lineRule="auto"/>
        <w:textAlignment w:val="auto"/>
        <w:rPr>
          <w:rFonts w:asciiTheme="minorHAnsi" w:hAnsiTheme="minorHAnsi" w:cs="Times New Roman"/>
          <w:color w:val="auto"/>
          <w:sz w:val="22"/>
          <w:szCs w:val="22"/>
          <w:lang w:eastAsia="en-US"/>
        </w:rPr>
      </w:pPr>
      <w:r w:rsidRPr="00BE0025">
        <w:rPr>
          <w:rFonts w:asciiTheme="minorHAnsi" w:hAnsiTheme="minorHAnsi" w:cs="Times New Roman"/>
          <w:color w:val="auto"/>
          <w:sz w:val="22"/>
          <w:szCs w:val="22"/>
          <w:lang w:eastAsia="en-US"/>
        </w:rPr>
        <w:t xml:space="preserve">Part of the evidence gathering process involved trawling CCTV and linking the movements and any interactions between the two suspects. That trawl revealed that prior to the two suspects committing the robbery they met with an unknown third male who it appeared provided them with the knife that they used to carry out the robbery. </w:t>
      </w:r>
    </w:p>
    <w:p w14:paraId="46A0A21A" w14:textId="77777777" w:rsidR="00BE0025" w:rsidRPr="00BE0025" w:rsidRDefault="00BE0025" w:rsidP="00BE0025">
      <w:pPr>
        <w:overflowPunct/>
        <w:autoSpaceDE/>
        <w:autoSpaceDN/>
        <w:adjustRightInd/>
        <w:spacing w:after="160" w:line="480" w:lineRule="auto"/>
        <w:textAlignment w:val="auto"/>
        <w:rPr>
          <w:rFonts w:asciiTheme="minorHAnsi" w:hAnsiTheme="minorHAnsi" w:cs="Times New Roman"/>
          <w:color w:val="auto"/>
          <w:sz w:val="22"/>
          <w:szCs w:val="22"/>
          <w:lang w:eastAsia="en-US"/>
        </w:rPr>
      </w:pPr>
      <w:r w:rsidRPr="00BE0025">
        <w:rPr>
          <w:rFonts w:asciiTheme="minorHAnsi" w:hAnsiTheme="minorHAnsi" w:cs="Times New Roman"/>
          <w:color w:val="auto"/>
          <w:sz w:val="22"/>
          <w:szCs w:val="22"/>
          <w:lang w:eastAsia="en-US"/>
        </w:rPr>
        <w:t xml:space="preserve">In order to try and trace the male who has provided the knife to the suspects prior to the robbery information has been gathered about the male suspects who were in custody, for example both males phones were examined by digital media investigators, this gave us access to the suspects social media platforms and messaging platforms. Utilising mobile phone examinations in previous investigations has   From this, as an investigation team we were able to gather information though messages which revealed that the victim was targeted due to their belief the watch and jewellery he was wearing was valuable and that the male suspect known to the victim had arranged with to meet with another male in order to collect the knife they were going to use.  From the information collected through this line of enquiry it was established that the male was purchasing a knives through an online store and importing the weapons from Asia. An intelligence report was submitted to make officers and partner agencies, such as customs and border force, aware that weapons were being purchased on this online store and being imported to the local area. Innes and Sheptycki </w:t>
      </w:r>
      <w:r w:rsidRPr="00BE0025">
        <w:rPr>
          <w:rFonts w:asciiTheme="minorHAnsi" w:hAnsiTheme="minorHAnsi" w:cs="Times New Roman"/>
          <w:color w:val="auto"/>
          <w:sz w:val="22"/>
          <w:szCs w:val="22"/>
          <w:lang w:eastAsia="en-US"/>
        </w:rPr>
        <w:lastRenderedPageBreak/>
        <w:t>(2004) describe information in relation to intelligence as ‘</w:t>
      </w:r>
      <w:r w:rsidRPr="00BE0025">
        <w:rPr>
          <w:rFonts w:asciiTheme="minorHAnsi" w:hAnsiTheme="minorHAnsi" w:cs="Times New Roman"/>
          <w:i/>
          <w:color w:val="auto"/>
          <w:sz w:val="22"/>
          <w:szCs w:val="22"/>
          <w:lang w:eastAsia="en-US"/>
        </w:rPr>
        <w:t xml:space="preserve">bits of data that, when combined and viewed together with relevant background knowledge, may be used to produce intelligence’. </w:t>
      </w:r>
      <w:r w:rsidRPr="00BE0025">
        <w:rPr>
          <w:rFonts w:asciiTheme="minorHAnsi" w:hAnsiTheme="minorHAnsi" w:cs="Times New Roman"/>
          <w:color w:val="auto"/>
          <w:sz w:val="22"/>
          <w:szCs w:val="22"/>
          <w:lang w:eastAsia="en-US"/>
        </w:rPr>
        <w:t xml:space="preserve">The information provided is then assessed and evaluated to assess its worth before being sanitised, it is at this point that the information becomes intelligence. Once an intelligence report was submitted this was disseminated to local policing teams where the male providing the knife lived, increasing their awareness for officer safety and for intelligence development as to whether the male was supplying the knives to anybody else or keeping them for his own use. </w:t>
      </w:r>
    </w:p>
    <w:p w14:paraId="1B77A7D3" w14:textId="77777777" w:rsidR="00BE0025" w:rsidRPr="00BE0025" w:rsidRDefault="00BE0025" w:rsidP="00BE0025">
      <w:pPr>
        <w:overflowPunct/>
        <w:autoSpaceDE/>
        <w:autoSpaceDN/>
        <w:adjustRightInd/>
        <w:spacing w:after="160" w:line="480" w:lineRule="auto"/>
        <w:textAlignment w:val="auto"/>
        <w:rPr>
          <w:rFonts w:asciiTheme="minorHAnsi" w:hAnsiTheme="minorHAnsi" w:cs="Times New Roman"/>
          <w:color w:val="auto"/>
          <w:sz w:val="22"/>
          <w:szCs w:val="22"/>
          <w:lang w:eastAsia="en-US"/>
        </w:rPr>
      </w:pPr>
      <w:r w:rsidRPr="00BE0025">
        <w:rPr>
          <w:rFonts w:asciiTheme="minorHAnsi" w:hAnsiTheme="minorHAnsi" w:cs="Times New Roman"/>
          <w:color w:val="auto"/>
          <w:sz w:val="22"/>
          <w:szCs w:val="22"/>
          <w:lang w:eastAsia="en-US"/>
        </w:rPr>
        <w:t xml:space="preserve">Information can be collected in one of 3 ways, routine collection, tasked information or volunteered information (College of Policing, 2015). Routine collection of information comes from general patrol duties, answering calls and general observations. Volunteered information generally comes from members of the public who may mention something to an officer in passing. Tasked information can come from sources that have been asked to gather information, such as covert human intelligence sources (CHIS) or, through communications data requests. </w:t>
      </w:r>
    </w:p>
    <w:p w14:paraId="586DFE1A" w14:textId="77777777" w:rsidR="00BE0025" w:rsidRPr="00BE0025" w:rsidRDefault="00BE0025" w:rsidP="00BE0025">
      <w:pPr>
        <w:overflowPunct/>
        <w:autoSpaceDE/>
        <w:autoSpaceDN/>
        <w:adjustRightInd/>
        <w:spacing w:after="160" w:line="480" w:lineRule="auto"/>
        <w:textAlignment w:val="auto"/>
        <w:rPr>
          <w:rFonts w:asciiTheme="minorHAnsi" w:hAnsiTheme="minorHAnsi" w:cs="Times New Roman"/>
          <w:color w:val="auto"/>
          <w:sz w:val="22"/>
          <w:szCs w:val="22"/>
          <w:lang w:eastAsia="en-US"/>
        </w:rPr>
      </w:pPr>
      <w:r w:rsidRPr="00BE0025">
        <w:rPr>
          <w:rFonts w:asciiTheme="minorHAnsi" w:hAnsiTheme="minorHAnsi" w:cs="Times New Roman"/>
          <w:color w:val="auto"/>
          <w:sz w:val="22"/>
          <w:szCs w:val="22"/>
          <w:lang w:eastAsia="en-US"/>
        </w:rPr>
        <w:t>Once all information and evidence had been collected, and the three males detained in custody it was then decided that they would be interviewed. As all males were under 18 they would need an appropriate adult (AA) to sit with them throughout the interview process. Code C of the Police and Criminal Evidence Act (1984) states ‘</w:t>
      </w:r>
      <w:r w:rsidRPr="00BE0025">
        <w:rPr>
          <w:rFonts w:asciiTheme="minorHAnsi" w:hAnsiTheme="minorHAnsi" w:cs="Times New Roman"/>
          <w:i/>
          <w:color w:val="auto"/>
          <w:sz w:val="22"/>
          <w:szCs w:val="22"/>
          <w:lang w:eastAsia="en-US"/>
        </w:rPr>
        <w:t xml:space="preserve">a juvenile must not be interviewed regarding their involvement or suspected involvement in a criminal offence in the absence of an appropriate adult’. </w:t>
      </w:r>
      <w:r w:rsidRPr="00BE0025">
        <w:rPr>
          <w:rFonts w:asciiTheme="minorHAnsi" w:hAnsiTheme="minorHAnsi" w:cs="Times New Roman"/>
          <w:color w:val="auto"/>
          <w:sz w:val="22"/>
          <w:szCs w:val="22"/>
          <w:lang w:eastAsia="en-US"/>
        </w:rPr>
        <w:t xml:space="preserve">To act as an AA, the adult must not be linked to the offence in any way, in this case it was decided that the males father would act as an AA. Had the male been interviewed in the absence of an AA there is a potential that the males account would not have been able to have been used in Court which potentially could have had an impact on the entire investigation. Interviewing the suspect without correct procedures in place be seen as a breach of the policing principles and standards of professional behaviour which in turn breaches the code of ethics. The policing principles (College of Policing, 2014) state that we must treat people fairly and the standards of professional behaviour </w:t>
      </w:r>
      <w:r w:rsidRPr="00BE0025">
        <w:rPr>
          <w:rFonts w:asciiTheme="minorHAnsi" w:hAnsiTheme="minorHAnsi" w:cs="Times New Roman"/>
          <w:color w:val="auto"/>
          <w:sz w:val="22"/>
          <w:szCs w:val="22"/>
          <w:lang w:eastAsia="en-US"/>
        </w:rPr>
        <w:lastRenderedPageBreak/>
        <w:t xml:space="preserve">(College of Policing, 2014) state that we will be diligent in the exercise of our duties and responsibilities. As investigators and police officers we have a duty to conduct investigations fairly and in line with the PACE codes of practice. This also includes giving detainees the right to interpreters should they require one and also being aware of cultural practices and where possible making arrangements for these practices to be observed whilst in police custody, for example allowing members of the Islam faith to pray at the relevant times and scheduling interviews around these prayer times. </w:t>
      </w:r>
    </w:p>
    <w:p w14:paraId="0EBA0AFB" w14:textId="77777777" w:rsidR="00BE0025" w:rsidRPr="00BE0025" w:rsidRDefault="00BE0025" w:rsidP="00BE0025">
      <w:pPr>
        <w:overflowPunct/>
        <w:autoSpaceDE/>
        <w:autoSpaceDN/>
        <w:adjustRightInd/>
        <w:spacing w:after="160" w:line="480" w:lineRule="auto"/>
        <w:textAlignment w:val="auto"/>
        <w:rPr>
          <w:rFonts w:asciiTheme="minorHAnsi" w:hAnsiTheme="minorHAnsi" w:cs="Times New Roman"/>
          <w:color w:val="auto"/>
          <w:sz w:val="22"/>
          <w:szCs w:val="22"/>
          <w:lang w:eastAsia="en-US"/>
        </w:rPr>
      </w:pPr>
      <w:r w:rsidRPr="00BE0025">
        <w:rPr>
          <w:rFonts w:asciiTheme="minorHAnsi" w:hAnsiTheme="minorHAnsi" w:cs="Times New Roman"/>
          <w:color w:val="auto"/>
          <w:sz w:val="22"/>
          <w:szCs w:val="22"/>
          <w:lang w:eastAsia="en-US"/>
        </w:rPr>
        <w:t xml:space="preserve">Reflecting on the incident and addressing Borton’s now what question I can see how much work around information and intelligence goes into the evidence gathering process. The information we recover as investigators does not necessarily have to be used as evidence in our investigation but can be submitted into intelligence and developed to establish a pattern or link to other crimes. Not only is information and intelligence important in investigative work, but it is important in policing in general. Intelligence can allow officers to proactively plan protracted investigations in order to maximise the potential evidence, for example in cases of drug supply.  </w:t>
      </w:r>
    </w:p>
    <w:p w14:paraId="1244095E" w14:textId="77777777" w:rsidR="00BE0025" w:rsidRPr="00BE0025" w:rsidRDefault="00BE0025" w:rsidP="00BE0025">
      <w:pPr>
        <w:overflowPunct/>
        <w:autoSpaceDE/>
        <w:autoSpaceDN/>
        <w:adjustRightInd/>
        <w:spacing w:after="160" w:line="480" w:lineRule="auto"/>
        <w:textAlignment w:val="auto"/>
        <w:rPr>
          <w:rFonts w:asciiTheme="minorHAnsi" w:hAnsiTheme="minorHAnsi" w:cs="Times New Roman"/>
          <w:color w:val="auto"/>
          <w:sz w:val="22"/>
          <w:szCs w:val="22"/>
          <w:lang w:eastAsia="en-US"/>
        </w:rPr>
      </w:pPr>
      <w:r w:rsidRPr="00BE0025">
        <w:rPr>
          <w:rFonts w:asciiTheme="minorHAnsi" w:hAnsiTheme="minorHAnsi" w:cs="Times New Roman"/>
          <w:color w:val="auto"/>
          <w:sz w:val="22"/>
          <w:szCs w:val="22"/>
          <w:lang w:eastAsia="en-US"/>
        </w:rPr>
        <w:t xml:space="preserve"> What has also been important in this reflection, is how important it is to maintain the rights and welfare of detainees whilst the investigation takes place, not only to preserve and maintain the integrity of evidence but also to maintain detainees civil and human rights. Considering these rights and cultural practices should be included in the planning phase of the interview, allowing interviewing officers to plan their interview timings around these practices. </w:t>
      </w:r>
    </w:p>
    <w:p w14:paraId="35C32D70" w14:textId="58138B81" w:rsidR="00BE0025" w:rsidRPr="00BE0025" w:rsidRDefault="00BE0025" w:rsidP="00BE0025">
      <w:pPr>
        <w:overflowPunct/>
        <w:autoSpaceDE/>
        <w:autoSpaceDN/>
        <w:adjustRightInd/>
        <w:spacing w:after="160" w:line="480" w:lineRule="auto"/>
        <w:textAlignment w:val="auto"/>
        <w:rPr>
          <w:rFonts w:asciiTheme="minorHAnsi" w:hAnsiTheme="minorHAnsi" w:cs="Times New Roman"/>
          <w:color w:val="auto"/>
          <w:sz w:val="22"/>
          <w:szCs w:val="22"/>
          <w:lang w:eastAsia="en-US"/>
        </w:rPr>
      </w:pPr>
      <w:r w:rsidRPr="00BE0025">
        <w:rPr>
          <w:rFonts w:asciiTheme="minorHAnsi" w:hAnsiTheme="minorHAnsi" w:cs="Times New Roman"/>
          <w:color w:val="auto"/>
          <w:sz w:val="22"/>
          <w:szCs w:val="22"/>
          <w:lang w:eastAsia="en-US"/>
        </w:rPr>
        <w:t>1169</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B63D80E">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882F5C5" w:rsidR="003C458C" w:rsidRPr="00C34A61" w:rsidRDefault="5B63D80E" w:rsidP="5B63D80E">
            <w:pPr>
              <w:ind w:right="237"/>
              <w:jc w:val="both"/>
              <w:rPr>
                <w:sz w:val="24"/>
                <w:szCs w:val="24"/>
              </w:rPr>
            </w:pPr>
            <w:r w:rsidRPr="00C34A61">
              <w:rPr>
                <w:rFonts w:eastAsia="Arial"/>
                <w:color w:val="000000" w:themeColor="text1"/>
                <w:sz w:val="24"/>
                <w:szCs w:val="24"/>
              </w:rPr>
              <w:t xml:space="preserve">1250 </w:t>
            </w:r>
            <w:r w:rsidRPr="00C34A61">
              <w:rPr>
                <w:sz w:val="24"/>
                <w:szCs w:val="24"/>
              </w:rPr>
              <w:t xml:space="preserve">words </w:t>
            </w:r>
            <w:r w:rsidRPr="00C34A61">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1BFA5289" w14:textId="77777777" w:rsidR="00BE0025" w:rsidRDefault="00BE0025" w:rsidP="00BE0025">
      <w:pPr>
        <w:spacing w:line="480" w:lineRule="auto"/>
      </w:pPr>
      <w:r>
        <w:t xml:space="preserve">I will use Borton’s (1970) reflective model to reflect on an incident involving an elderly who was the victim of a fraud involving a male who emailed her asking for an unpaid VAT bill. The male then attended the females address and stole approximately £200from the female. I have chosen Borton’s tool as it asks three questions, what, so what, and now what. </w:t>
      </w:r>
    </w:p>
    <w:p w14:paraId="6D3D0588" w14:textId="77777777" w:rsidR="00BE0025" w:rsidRDefault="00BE0025" w:rsidP="00BE0025">
      <w:pPr>
        <w:spacing w:line="480" w:lineRule="auto"/>
      </w:pPr>
      <w:r>
        <w:t xml:space="preserve"> Starting with the ‘what’ phase of the model, the female had received an email from what appeared to be HM Revenue and Customs (HMRC). The e-mail claimed the female owed them approximately £200 in unpaid VAT bills. Due to the genuine appearance of the email, the female attended the bank and withdrew £200, she then arranged for the sender to attend her home address to collect the money by clicking on the link within the email and filling out her personal details. The male then attended and took the money from the female. The report was made by the female’s neighbour who had attended the house earlier in the day and noticed the large amount money and was concerned, unfortunately by the time the female had reported her suspicions the male has already attended and left with the money. Action Fraud (2020) defines this type of crime as a government agency scam, where fraudsters impersonate agencies, such as the HMRC, in order to con victims out of money. </w:t>
      </w:r>
    </w:p>
    <w:p w14:paraId="590A1490" w14:textId="77777777" w:rsidR="00BE0025" w:rsidRDefault="00BE0025" w:rsidP="00BE0025">
      <w:pPr>
        <w:spacing w:line="480" w:lineRule="auto"/>
      </w:pPr>
      <w:r>
        <w:t xml:space="preserve">As part of the investigation I completed a communications data application under Section 61 of Investigatory Powers Act (2016). This power gives me the opportunity to obtain the details of the user of the email address where the email was sent from, or the IP address to trace an internet service provider and the bill payer for that specific location. Unfortunately as with most of these types of fraud it was not possible to trace a suspect via these means. In order to further enhance investigative opportunities I also reported the matter to Action Fraud who work in line with the National Fraud </w:t>
      </w:r>
      <w:r>
        <w:lastRenderedPageBreak/>
        <w:t xml:space="preserve">Intelligence Bureau. The 2 services work together to build up intelligence regarding fraud (Action Fraud, 2020). </w:t>
      </w:r>
    </w:p>
    <w:p w14:paraId="72C3B05A" w14:textId="77777777" w:rsidR="00BE0025" w:rsidRDefault="00BE0025" w:rsidP="00BE0025">
      <w:pPr>
        <w:spacing w:line="480" w:lineRule="auto"/>
      </w:pPr>
      <w:r>
        <w:t xml:space="preserve">As well as reporting to action fraud and conducting enquiries to trace the sender of the fraudulent email I also made referrals to safeguard the female. The submission of a public protection notice (PPN) ensured that partner agencies such as the health board and social services were aware of the female’s vulnerabilities. As well as a PPN I also submitted an Operation Signature referral. </w:t>
      </w:r>
    </w:p>
    <w:p w14:paraId="585156F1" w14:textId="77777777" w:rsidR="00BE0025" w:rsidRDefault="00BE0025" w:rsidP="00BE0025">
      <w:pPr>
        <w:spacing w:line="480" w:lineRule="auto"/>
      </w:pPr>
      <w:r>
        <w:t xml:space="preserve"> Operation Signature ‘is a national initiative aimed at reducing fraud within our communities. It seeks to identify and provide support to the most vulnerable people’ (Dyfed Powys Police and Crime Commissioner, 2019). The support that Operation Signature can offer is different to what a PPN can offer as it is scored using the victims age. They can offer advice in regards to call blocking services, phishing scams and fraud in general. </w:t>
      </w:r>
    </w:p>
    <w:p w14:paraId="43814B45" w14:textId="77777777" w:rsidR="00BE0025" w:rsidRDefault="00BE0025" w:rsidP="00BE0025">
      <w:pPr>
        <w:spacing w:line="480" w:lineRule="auto"/>
      </w:pPr>
      <w:r>
        <w:t xml:space="preserve">Moving on to the ‘so what’ phase of the model it can be asked why was it important to reflect upon this incident. As mentioned, unfortunately it was not possible to recover the victim’s money, which is disappointing in itself, however what was good to see was the amount of support available to stop a crime like this happening again, although it would appear the support appears to be more reactive rather than proactive. All reasonable lines of enquiry were pursued however criminals are becoming more adept at using the internet to facilitate their crime. BBC News (2020) reported that ‘investment scams alone had quadrupled since the start of the coronavirus lockdown. With fraudsters using more sophisticated techniques’, however it is not clear if these statistics are replicated in regards to phishing scams and government impersonation scams. </w:t>
      </w:r>
    </w:p>
    <w:p w14:paraId="5231693C" w14:textId="77777777" w:rsidR="00BE0025" w:rsidRDefault="00BE0025" w:rsidP="00BE0025">
      <w:pPr>
        <w:spacing w:line="480" w:lineRule="auto"/>
      </w:pPr>
      <w:r>
        <w:t xml:space="preserve"> What is clear is that cybercrime and cyber enabled fraud is on the rise. Between the period of April 2018 and March 2019 South Wales Police received 414 reported cybercrimes with a total financial loss to the victims accumulating to the sum of £166,000. 3 out of 10 victims reported that they were negatively impacted by the incidents (Action Fraud, 2019). During the same period South Wales Police received 4,364 reported frauds with total victim loses equating £5.4 million. 4 out of 20 victims identified themselves as vulnerable and 11% of the fraud was enabled by emails (Action Fraud 2019). </w:t>
      </w:r>
    </w:p>
    <w:p w14:paraId="4C9F1476" w14:textId="77777777" w:rsidR="00BE0025" w:rsidRDefault="00BE0025" w:rsidP="00BE0025">
      <w:pPr>
        <w:spacing w:line="480" w:lineRule="auto"/>
      </w:pPr>
      <w:r>
        <w:t xml:space="preserve">Looking at who is more likely to be vulnerable to these types of incidents the answer is everybody. As mentioned, fraudsters are becoming more sophisticated in their use of technology to facilitate their crimes. The emails they are sending are appearing genuine and can easily be misleading. In this case it is an elderly female that has fallen victim to the scam. 47% of adults aged 75 and over were internet </w:t>
      </w:r>
      <w:r>
        <w:lastRenderedPageBreak/>
        <w:t xml:space="preserve">users in 2019 (Office of National Statistics, 2019). Age UK (2016) reports that the average age of mail scams is 74 years old. There are many reasons for this however some reasons may be that older people are seen as more vulnerable. Age UK put some of these reason down to older people being ‘isolated or lonely, suffering with dementia or on a cognitive decline’. It is noted that Elderly people tend to be more trusting and believing that the people that are on the end of emails and phone calls are who they say they are. They don’t tend to believe that people are trying to take advantage of them. </w:t>
      </w:r>
    </w:p>
    <w:p w14:paraId="0DE0E1C4" w14:textId="77777777" w:rsidR="00BE0025" w:rsidRDefault="00BE0025" w:rsidP="00BE0025">
      <w:pPr>
        <w:spacing w:line="480" w:lineRule="auto"/>
      </w:pPr>
      <w:r>
        <w:t xml:space="preserve">Interestingly, a 2017 report commissioned by Natwest bank shows that younger people are the targets of online fraud, where-as over 75s are least likely to be victims of online fraud (RBS, 2017). The research shows he reason for this is that younger people tend to be less cautious online. 80% of young internet users are willing to share their email address online and 29% share their mother’s maiden name, which is a commonly used security question. In contrast to this 60% of over 55s will share their email address and 12% will share their mother’s maiden name. What this research also shows is that although the younger generation are less cautious than the older generation, there are still large numbers of people that are susceptible to online fraud and scams, regardless of age, or technological awareness. An article published in The Express (2020) quoted Action Fraud protection officer Max Bruce as saying ‘there is no specific group that are more susceptible’, Bruce goes on to say that it appears there’s an equal spread in the number of reports per age group. </w:t>
      </w:r>
    </w:p>
    <w:p w14:paraId="0741C917" w14:textId="77777777" w:rsidR="00BE0025" w:rsidRDefault="00BE0025" w:rsidP="00BE0025">
      <w:pPr>
        <w:spacing w:line="480" w:lineRule="auto"/>
      </w:pPr>
      <w:r>
        <w:t xml:space="preserve">In conclusion, although in this case there the victim was an elderly female, what is clear from the statistics is that anybody is vulnerable to falling for fraudulent crimes that utilise technology whether it’s from lack of cautiousness, believing the sender to be genuine, or being over trusting of persons utilising emails, the lengths that these criminals will go to in order to commit crime is evolving and to a certain extent succeeding. </w:t>
      </w:r>
    </w:p>
    <w:p w14:paraId="01CC2344" w14:textId="77777777" w:rsidR="00BE0025" w:rsidRDefault="00BE0025" w:rsidP="00BE0025">
      <w:pPr>
        <w:spacing w:line="480" w:lineRule="auto"/>
      </w:pPr>
      <w:r>
        <w:t xml:space="preserve">1158 </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592CAEBA" w14:textId="307D3281" w:rsidR="000F7ECD" w:rsidRPr="00270EEB" w:rsidRDefault="000F7ECD" w:rsidP="5B63D80E">
      <w:pPr>
        <w:ind w:right="237"/>
        <w:jc w:val="both"/>
        <w:rPr>
          <w:sz w:val="24"/>
          <w:szCs w:val="24"/>
        </w:rPr>
        <w:sectPr w:rsidR="000F7ECD" w:rsidRPr="00270EEB" w:rsidSect="00BE0025">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DCE835E" w14:textId="77777777" w:rsidR="00BE0025" w:rsidRDefault="00BE0025" w:rsidP="00BE0025">
      <w:pPr>
        <w:spacing w:before="100" w:after="100"/>
        <w:rPr>
          <w:rFonts w:cstheme="minorHAnsi"/>
        </w:rPr>
      </w:pPr>
      <w:r w:rsidRPr="00E6264F">
        <w:rPr>
          <w:rFonts w:cstheme="minorHAnsi"/>
        </w:rPr>
        <w:t xml:space="preserve">Action Fraud. 2020. Government Agency Scam. [ONLINE] Available at: </w:t>
      </w:r>
      <w:hyperlink r:id="rId26" w:history="1">
        <w:r w:rsidRPr="00E6264F">
          <w:rPr>
            <w:rFonts w:cstheme="minorHAnsi"/>
            <w:color w:val="0000FF"/>
            <w:u w:val="single"/>
          </w:rPr>
          <w:t>https://www.actionfraud.police.uk/a-z-of-fraud/government-agency-scams</w:t>
        </w:r>
      </w:hyperlink>
      <w:r w:rsidRPr="00E6264F">
        <w:rPr>
          <w:rFonts w:cstheme="minorHAnsi"/>
        </w:rPr>
        <w:t>. [Accessed 29 November 2020</w:t>
      </w:r>
      <w:r>
        <w:rPr>
          <w:rFonts w:cstheme="minorHAnsi"/>
        </w:rPr>
        <w:t>]</w:t>
      </w:r>
    </w:p>
    <w:p w14:paraId="2692AD6D" w14:textId="77777777" w:rsidR="00BE0025" w:rsidRDefault="00BE0025" w:rsidP="00BE0025">
      <w:pPr>
        <w:spacing w:before="100" w:after="100"/>
        <w:rPr>
          <w:rFonts w:cstheme="minorHAnsi"/>
        </w:rPr>
      </w:pPr>
    </w:p>
    <w:p w14:paraId="6414073C" w14:textId="77777777" w:rsidR="00BE0025" w:rsidRDefault="00BE0025" w:rsidP="00BE0025">
      <w:pPr>
        <w:spacing w:before="100" w:after="100"/>
        <w:rPr>
          <w:rFonts w:cstheme="minorHAnsi"/>
        </w:rPr>
      </w:pPr>
      <w:r w:rsidRPr="000E454B">
        <w:rPr>
          <w:rFonts w:cstheme="minorHAnsi"/>
        </w:rPr>
        <w:t xml:space="preserve">Action Fraud. 2020. What We Do With Your Information. [ONLINE] Available at: </w:t>
      </w:r>
      <w:hyperlink r:id="rId27" w:history="1">
        <w:r w:rsidRPr="000E454B">
          <w:rPr>
            <w:rFonts w:cstheme="minorHAnsi"/>
            <w:color w:val="0000FF"/>
            <w:u w:val="single"/>
          </w:rPr>
          <w:t>https://www.actionfraud.police.uk/what-we-do-with-your-information</w:t>
        </w:r>
      </w:hyperlink>
      <w:r w:rsidRPr="000E454B">
        <w:rPr>
          <w:rFonts w:cstheme="minorHAnsi"/>
        </w:rPr>
        <w:t xml:space="preserve">. [Accessed 1 December 2020]. </w:t>
      </w:r>
    </w:p>
    <w:p w14:paraId="6F66846D" w14:textId="77777777" w:rsidR="00BE0025" w:rsidRDefault="00BE0025" w:rsidP="00BE0025">
      <w:pPr>
        <w:spacing w:before="100" w:after="100"/>
        <w:rPr>
          <w:rFonts w:cstheme="minorHAnsi"/>
        </w:rPr>
      </w:pPr>
    </w:p>
    <w:p w14:paraId="4AF33E8F" w14:textId="77777777" w:rsidR="00BE0025" w:rsidRDefault="00BE0025" w:rsidP="00BE0025">
      <w:pPr>
        <w:spacing w:before="100" w:after="100"/>
        <w:rPr>
          <w:rFonts w:cstheme="minorHAnsi"/>
        </w:rPr>
      </w:pPr>
      <w:r w:rsidRPr="00827971">
        <w:rPr>
          <w:rFonts w:cstheme="minorHAnsi"/>
        </w:rPr>
        <w:t xml:space="preserve">Action Fraud. 2019. South Wales Police Cyber Profile. [ONLINE] Available at: </w:t>
      </w:r>
      <w:hyperlink r:id="rId28" w:history="1">
        <w:r w:rsidRPr="00827971">
          <w:rPr>
            <w:rFonts w:cstheme="minorHAnsi"/>
            <w:color w:val="0000FF"/>
            <w:u w:val="single"/>
          </w:rPr>
          <w:t>https://data.actionfraud.police.uk/cms/wp-content/uploads/2019/06/South-Wales-Cyber-2019.pdf</w:t>
        </w:r>
      </w:hyperlink>
      <w:r w:rsidRPr="00827971">
        <w:rPr>
          <w:rFonts w:cstheme="minorHAnsi"/>
        </w:rPr>
        <w:t xml:space="preserve">. [Accessed 1 December 2020]. </w:t>
      </w:r>
    </w:p>
    <w:p w14:paraId="70B3E29E" w14:textId="77777777" w:rsidR="00BE0025" w:rsidRDefault="00BE0025" w:rsidP="00BE0025">
      <w:pPr>
        <w:spacing w:before="100" w:after="100"/>
        <w:rPr>
          <w:rFonts w:cstheme="minorHAnsi"/>
        </w:rPr>
      </w:pPr>
    </w:p>
    <w:p w14:paraId="4009AC1A" w14:textId="77777777" w:rsidR="00BE0025" w:rsidRDefault="00BE0025" w:rsidP="00BE0025">
      <w:pPr>
        <w:spacing w:before="100" w:after="100"/>
        <w:rPr>
          <w:rFonts w:cstheme="minorHAnsi"/>
        </w:rPr>
      </w:pPr>
      <w:r w:rsidRPr="00827971">
        <w:rPr>
          <w:rFonts w:cstheme="minorHAnsi"/>
        </w:rPr>
        <w:t xml:space="preserve">Action Fraud. 2019. South Wales Police Fraud Profile. [ONLINE] Available at: </w:t>
      </w:r>
      <w:hyperlink r:id="rId29" w:history="1">
        <w:r w:rsidRPr="00827971">
          <w:rPr>
            <w:rFonts w:cstheme="minorHAnsi"/>
            <w:color w:val="0000FF"/>
            <w:u w:val="single"/>
          </w:rPr>
          <w:t>https://data.actionfraud.police.uk/cms/wp-content/uploads/2019/01/South-Wales_Fraud.pdf</w:t>
        </w:r>
      </w:hyperlink>
      <w:r w:rsidRPr="00827971">
        <w:rPr>
          <w:rFonts w:cstheme="minorHAnsi"/>
        </w:rPr>
        <w:t xml:space="preserve">. [Accessed 1 December 2020]. </w:t>
      </w:r>
    </w:p>
    <w:p w14:paraId="4E1C4014" w14:textId="77777777" w:rsidR="00BE0025" w:rsidRPr="00827971" w:rsidRDefault="00BE0025" w:rsidP="00BE0025">
      <w:pPr>
        <w:spacing w:before="100" w:after="100"/>
        <w:rPr>
          <w:rFonts w:cstheme="minorHAnsi"/>
        </w:rPr>
      </w:pPr>
    </w:p>
    <w:p w14:paraId="2CD328EA" w14:textId="77777777" w:rsidR="00BE0025" w:rsidRDefault="00BE0025" w:rsidP="00BE0025">
      <w:pPr>
        <w:spacing w:before="100" w:after="100"/>
        <w:rPr>
          <w:rFonts w:cstheme="minorHAnsi"/>
        </w:rPr>
      </w:pPr>
      <w:r w:rsidRPr="000A49E8">
        <w:rPr>
          <w:rFonts w:cstheme="minorHAnsi"/>
        </w:rPr>
        <w:t xml:space="preserve">adass.org. 2005. Safeguarding Adult - National Framework of Standards. [ONLINE] Available at: </w:t>
      </w:r>
      <w:hyperlink r:id="rId30" w:history="1">
        <w:r w:rsidRPr="000A49E8">
          <w:rPr>
            <w:rFonts w:cstheme="minorHAnsi"/>
            <w:color w:val="0000FF"/>
            <w:u w:val="single"/>
          </w:rPr>
          <w:t>https://www.adass.org.uk/AdassMedia/stories/Publications/Guidance/safeguarding.pdf</w:t>
        </w:r>
      </w:hyperlink>
      <w:r w:rsidRPr="000A49E8">
        <w:rPr>
          <w:rFonts w:cstheme="minorHAnsi"/>
        </w:rPr>
        <w:t>. [Accessed 28 October 2020].</w:t>
      </w:r>
    </w:p>
    <w:p w14:paraId="3BD57731" w14:textId="77777777" w:rsidR="00BE0025" w:rsidRDefault="00BE0025" w:rsidP="00BE0025">
      <w:pPr>
        <w:spacing w:before="100" w:after="100"/>
        <w:rPr>
          <w:rFonts w:cstheme="minorHAnsi"/>
        </w:rPr>
      </w:pPr>
    </w:p>
    <w:p w14:paraId="074A7902" w14:textId="77777777" w:rsidR="00BE0025" w:rsidRDefault="00BE0025" w:rsidP="00BE0025">
      <w:pPr>
        <w:spacing w:before="100" w:after="100"/>
        <w:rPr>
          <w:rFonts w:cstheme="minorHAnsi"/>
        </w:rPr>
      </w:pPr>
      <w:r w:rsidRPr="006C2B06">
        <w:rPr>
          <w:rFonts w:cstheme="minorHAnsi"/>
        </w:rPr>
        <w:t xml:space="preserve">Adedokun, N., 2020. Scam warning: Fraud expert reveals groups most at risk of being more susceptible victims. </w:t>
      </w:r>
      <w:r w:rsidRPr="006C2B06">
        <w:rPr>
          <w:rFonts w:cstheme="minorHAnsi"/>
          <w:i/>
          <w:iCs/>
        </w:rPr>
        <w:t>The Express</w:t>
      </w:r>
      <w:r w:rsidRPr="006C2B06">
        <w:rPr>
          <w:rFonts w:cstheme="minorHAnsi"/>
        </w:rPr>
        <w:t xml:space="preserve">, 10 March 2020. </w:t>
      </w:r>
    </w:p>
    <w:p w14:paraId="4F10EBE9" w14:textId="77777777" w:rsidR="00BE0025" w:rsidRDefault="00BE0025" w:rsidP="00BE0025">
      <w:pPr>
        <w:spacing w:before="100" w:after="100"/>
        <w:rPr>
          <w:rFonts w:cstheme="minorHAnsi"/>
        </w:rPr>
      </w:pPr>
    </w:p>
    <w:p w14:paraId="57372D99" w14:textId="77777777" w:rsidR="00BE0025" w:rsidRDefault="00BE0025" w:rsidP="00BE0025">
      <w:pPr>
        <w:spacing w:before="100" w:after="100"/>
        <w:rPr>
          <w:rFonts w:cstheme="minorHAnsi"/>
        </w:rPr>
      </w:pPr>
      <w:r w:rsidRPr="009C08B3">
        <w:rPr>
          <w:rFonts w:cstheme="minorHAnsi"/>
        </w:rPr>
        <w:t xml:space="preserve">Age UK. 2016. Scamming and it's effects on vulnerbale individuals. [ONLINE] Available at: </w:t>
      </w:r>
      <w:hyperlink r:id="rId31" w:history="1">
        <w:r w:rsidRPr="009C08B3">
          <w:rPr>
            <w:rFonts w:cstheme="minorHAnsi"/>
            <w:color w:val="0000FF"/>
            <w:u w:val="single"/>
          </w:rPr>
          <w:t>https://www.ageuk.org.uk/globalassets/age-uk/documents/reports-and-publications/reports-and-briefings/safe-at-home/age_uk_briefing_fraud_and_scams_sept_2016.pdf</w:t>
        </w:r>
      </w:hyperlink>
      <w:r w:rsidRPr="009C08B3">
        <w:rPr>
          <w:rFonts w:cstheme="minorHAnsi"/>
        </w:rPr>
        <w:t xml:space="preserve">. [Accessed 1 December 2020]. </w:t>
      </w:r>
    </w:p>
    <w:p w14:paraId="7ADD2C42" w14:textId="77777777" w:rsidR="00BE0025" w:rsidRPr="000A49E8" w:rsidRDefault="00BE0025" w:rsidP="00BE0025">
      <w:pPr>
        <w:spacing w:before="100" w:after="100"/>
        <w:rPr>
          <w:rFonts w:cstheme="minorHAnsi"/>
        </w:rPr>
      </w:pPr>
    </w:p>
    <w:p w14:paraId="11F7CC7A" w14:textId="77777777" w:rsidR="00BE0025" w:rsidRDefault="00BE0025" w:rsidP="00BE0025">
      <w:r>
        <w:t>Australian Government. 2003. Preventing Repeat Victimisation. AICrime reduction matters no 12. Canberra: Australian Institute of Criminology.</w:t>
      </w:r>
    </w:p>
    <w:p w14:paraId="6A6C1865" w14:textId="77777777" w:rsidR="00BE0025" w:rsidRDefault="00BE0025" w:rsidP="00BE0025"/>
    <w:p w14:paraId="4FF0BDBF" w14:textId="77777777" w:rsidR="00BE0025" w:rsidRDefault="00BE0025" w:rsidP="00BE0025">
      <w:pPr>
        <w:spacing w:before="100" w:after="100"/>
        <w:rPr>
          <w:rFonts w:cstheme="minorHAnsi"/>
        </w:rPr>
      </w:pPr>
      <w:r w:rsidRPr="00827971">
        <w:rPr>
          <w:rFonts w:cstheme="minorHAnsi"/>
        </w:rPr>
        <w:t xml:space="preserve">BBC News. 2020. Coronavirus: Investment scams quadruple since virus lockdown. [ONLINE] Available at: </w:t>
      </w:r>
      <w:hyperlink r:id="rId32" w:history="1">
        <w:r w:rsidRPr="00827971">
          <w:rPr>
            <w:rFonts w:cstheme="minorHAnsi"/>
            <w:color w:val="0000FF"/>
            <w:u w:val="single"/>
          </w:rPr>
          <w:t>https://www.bbc.co.uk/news/business-55126228</w:t>
        </w:r>
      </w:hyperlink>
      <w:r w:rsidRPr="00827971">
        <w:rPr>
          <w:rFonts w:cstheme="minorHAnsi"/>
        </w:rPr>
        <w:t xml:space="preserve">. [Accessed 1 December 2020]. </w:t>
      </w:r>
    </w:p>
    <w:p w14:paraId="61AC272B" w14:textId="77777777" w:rsidR="00BE0025" w:rsidRDefault="00BE0025" w:rsidP="00BE0025">
      <w:pPr>
        <w:spacing w:before="100" w:after="100"/>
      </w:pPr>
    </w:p>
    <w:p w14:paraId="24679435" w14:textId="77777777" w:rsidR="00BE0025" w:rsidRDefault="00BE0025" w:rsidP="00BE0025">
      <w:r>
        <w:lastRenderedPageBreak/>
        <w:t>Bradford, B and Quinton, P. (2014) Self-legitimacy, police culture and support for democratic policing in an English constabulary. British Journal of Criminology, 54 (6): 1,023-1,046.</w:t>
      </w:r>
    </w:p>
    <w:p w14:paraId="34AD8B33" w14:textId="77777777" w:rsidR="00BE0025" w:rsidRDefault="00BE0025" w:rsidP="00BE0025"/>
    <w:p w14:paraId="00C1E41F" w14:textId="77777777" w:rsidR="00BE0025" w:rsidRDefault="00BE0025" w:rsidP="00BE0025">
      <w:r>
        <w:t xml:space="preserve">College of Policing. 2014. Code of Ethics. [ONLINE] Available at: </w:t>
      </w:r>
      <w:hyperlink r:id="rId33" w:history="1">
        <w:r w:rsidRPr="00A85881">
          <w:rPr>
            <w:rStyle w:val="Hyperlink"/>
          </w:rPr>
          <w:t>https://www.college.police.uk/What-we-do/Ethics/Ethics-home/Documents/Code_of_Ethics.pdf</w:t>
        </w:r>
      </w:hyperlink>
      <w:r>
        <w:t xml:space="preserve"> . [Accessed 11 October 2020].</w:t>
      </w:r>
    </w:p>
    <w:p w14:paraId="29591C68" w14:textId="77777777" w:rsidR="00BE0025" w:rsidRDefault="00BE0025" w:rsidP="00BE0025"/>
    <w:p w14:paraId="5AA37C86" w14:textId="77777777" w:rsidR="00BE0025" w:rsidRDefault="00BE0025" w:rsidP="00BE0025">
      <w:pPr>
        <w:spacing w:before="100" w:after="100"/>
        <w:rPr>
          <w:rFonts w:cstheme="minorHAnsi"/>
        </w:rPr>
      </w:pPr>
      <w:r w:rsidRPr="00034503">
        <w:rPr>
          <w:rFonts w:cstheme="minorHAnsi"/>
        </w:rPr>
        <w:t xml:space="preserve">College of Policing. 2015. Intelligence Management. [ONLINE] Available at: </w:t>
      </w:r>
      <w:hyperlink r:id="rId34" w:history="1">
        <w:r w:rsidRPr="00034503">
          <w:rPr>
            <w:rFonts w:cstheme="minorHAnsi"/>
            <w:color w:val="0000FF"/>
            <w:u w:val="single"/>
          </w:rPr>
          <w:t>https://www.app.college.police.uk/app-content/intelligence-management/intelligence-cycle/</w:t>
        </w:r>
      </w:hyperlink>
      <w:r w:rsidRPr="00034503">
        <w:rPr>
          <w:rFonts w:cstheme="minorHAnsi"/>
        </w:rPr>
        <w:t>. [Accessed 9 December 2020].</w:t>
      </w:r>
    </w:p>
    <w:p w14:paraId="4CED159B" w14:textId="77777777" w:rsidR="00BE0025" w:rsidRDefault="00BE0025" w:rsidP="00BE0025">
      <w:pPr>
        <w:spacing w:before="100" w:after="100"/>
      </w:pPr>
    </w:p>
    <w:p w14:paraId="3E62B346" w14:textId="77777777" w:rsidR="00BE0025" w:rsidRDefault="00BE0025" w:rsidP="00BE0025">
      <w:pPr>
        <w:spacing w:before="100" w:after="100"/>
        <w:rPr>
          <w:rFonts w:cstheme="minorHAnsi"/>
        </w:rPr>
      </w:pPr>
      <w:r w:rsidRPr="0055321A">
        <w:rPr>
          <w:rFonts w:cstheme="minorHAnsi"/>
        </w:rPr>
        <w:t xml:space="preserve">College of Policing. 2020. Vulnerability. [ONLINE] Available at: </w:t>
      </w:r>
      <w:hyperlink r:id="rId35" w:history="1">
        <w:r w:rsidRPr="0055321A">
          <w:rPr>
            <w:rFonts w:cstheme="minorHAnsi"/>
            <w:color w:val="0000FF"/>
            <w:u w:val="single"/>
          </w:rPr>
          <w:t>https://www.college.police.uk/What-we-do/Development/Vulnerability/Pages/Vulnerability.aspx</w:t>
        </w:r>
      </w:hyperlink>
      <w:r w:rsidRPr="0055321A">
        <w:rPr>
          <w:rFonts w:cstheme="minorHAnsi"/>
        </w:rPr>
        <w:t xml:space="preserve">. [Accessed 22 October 2020]. </w:t>
      </w:r>
    </w:p>
    <w:p w14:paraId="6B8467B5" w14:textId="77777777" w:rsidR="00BE0025" w:rsidRDefault="00BE0025" w:rsidP="00BE0025">
      <w:pPr>
        <w:spacing w:before="100" w:after="100"/>
        <w:rPr>
          <w:rFonts w:cstheme="minorHAnsi"/>
        </w:rPr>
      </w:pPr>
    </w:p>
    <w:p w14:paraId="518B7E71" w14:textId="77777777" w:rsidR="00BE0025" w:rsidRDefault="00BE0025" w:rsidP="00BE0025">
      <w:pPr>
        <w:spacing w:before="100" w:after="100"/>
        <w:rPr>
          <w:rFonts w:cstheme="minorHAnsi"/>
        </w:rPr>
      </w:pPr>
      <w:r w:rsidRPr="00FA6EAA">
        <w:rPr>
          <w:rFonts w:cstheme="minorHAnsi"/>
        </w:rPr>
        <w:t xml:space="preserve">Crimeandjustice.org. 2006. Domestic violence perpetrators. [ONLINE] Available at: </w:t>
      </w:r>
      <w:hyperlink r:id="rId36" w:history="1">
        <w:r w:rsidRPr="00FA6EAA">
          <w:rPr>
            <w:rFonts w:cstheme="minorHAnsi"/>
            <w:color w:val="0000FF"/>
            <w:u w:val="single"/>
          </w:rPr>
          <w:t>https://www.crimeandjustice.org.uk/sites/crimeandjustice.org.uk/files/09627250608553400.pdf</w:t>
        </w:r>
      </w:hyperlink>
      <w:r w:rsidRPr="00FA6EAA">
        <w:rPr>
          <w:rFonts w:cstheme="minorHAnsi"/>
        </w:rPr>
        <w:t>. [Accessed 23 October 2020].</w:t>
      </w:r>
    </w:p>
    <w:p w14:paraId="6F7EA045" w14:textId="77777777" w:rsidR="00BE0025" w:rsidRPr="00FA6EAA" w:rsidRDefault="00BE0025" w:rsidP="00BE0025">
      <w:pPr>
        <w:spacing w:before="100" w:after="100"/>
        <w:rPr>
          <w:rFonts w:cstheme="minorHAnsi"/>
        </w:rPr>
      </w:pPr>
    </w:p>
    <w:p w14:paraId="67D7747F" w14:textId="77777777" w:rsidR="00BE0025" w:rsidRDefault="00BE0025" w:rsidP="00BE0025">
      <w:pPr>
        <w:spacing w:before="100" w:after="100"/>
        <w:rPr>
          <w:rFonts w:cstheme="minorHAnsi"/>
        </w:rPr>
      </w:pPr>
      <w:r w:rsidRPr="00850541">
        <w:rPr>
          <w:rFonts w:cstheme="minorHAnsi"/>
        </w:rPr>
        <w:t xml:space="preserve">Dorset Police. 2003. Repeat Victimisation Policy and Procedure. [ONLINE] Available at: </w:t>
      </w:r>
      <w:hyperlink r:id="rId37" w:anchor=":~:text=Definition%20for%20recording%20and%20police%20response%20purposes%20A,and%2For%20personal%20non-crime%20on%20more%20than%20one%20occasion." w:history="1">
        <w:r w:rsidRPr="00850541">
          <w:rPr>
            <w:rFonts w:cstheme="minorHAnsi"/>
            <w:color w:val="0000FF"/>
            <w:u w:val="single"/>
          </w:rPr>
          <w:t>https://www.dorset.police.uk/media/54580/repeat-victimisation-p19-2003-v110-external.pdf#:~:text=Definition%20for%20recording%20and%20police%20response%20purposes%20A,and%2For%20personal%20non-crime%20on%20more%20than%20one%20occasion.</w:t>
        </w:r>
      </w:hyperlink>
      <w:r w:rsidRPr="00850541">
        <w:rPr>
          <w:rFonts w:cstheme="minorHAnsi"/>
        </w:rPr>
        <w:t xml:space="preserve">. [Accessed 22 October 2020]. </w:t>
      </w:r>
    </w:p>
    <w:p w14:paraId="4F9D08AC" w14:textId="77777777" w:rsidR="00BE0025" w:rsidRPr="00850541" w:rsidRDefault="00BE0025" w:rsidP="00BE0025">
      <w:pPr>
        <w:spacing w:before="100" w:after="100"/>
        <w:rPr>
          <w:rFonts w:cstheme="minorHAnsi"/>
        </w:rPr>
      </w:pPr>
    </w:p>
    <w:p w14:paraId="566294D6" w14:textId="77777777" w:rsidR="00BE0025" w:rsidRDefault="00BE0025" w:rsidP="00BE0025">
      <w:pPr>
        <w:rPr>
          <w:rFonts w:cstheme="minorHAnsi"/>
          <w:shd w:val="clear" w:color="auto" w:fill="FFFFFF"/>
        </w:rPr>
      </w:pPr>
      <w:r w:rsidRPr="00B02FD8">
        <w:rPr>
          <w:rFonts w:cstheme="minorHAnsi"/>
          <w:shd w:val="clear" w:color="auto" w:fill="FFFFFF"/>
        </w:rPr>
        <w:t>Driscoll, J. (2007) Practising Clinical Supervision: A Reflective Approach, London, Bailliere Tindall.</w:t>
      </w:r>
    </w:p>
    <w:p w14:paraId="1EF4B43B" w14:textId="77777777" w:rsidR="00BE0025" w:rsidRDefault="00BE0025" w:rsidP="00BE0025">
      <w:pPr>
        <w:rPr>
          <w:rFonts w:cstheme="minorHAnsi"/>
          <w:shd w:val="clear" w:color="auto" w:fill="FFFFFF"/>
        </w:rPr>
      </w:pPr>
    </w:p>
    <w:p w14:paraId="2CB2F0C9" w14:textId="77777777" w:rsidR="00BE0025" w:rsidRDefault="00BE0025" w:rsidP="00BE0025">
      <w:pPr>
        <w:spacing w:before="100" w:after="100"/>
        <w:rPr>
          <w:rFonts w:cstheme="minorHAnsi"/>
        </w:rPr>
      </w:pPr>
      <w:r w:rsidRPr="009B1E15">
        <w:rPr>
          <w:rFonts w:cstheme="minorHAnsi"/>
        </w:rPr>
        <w:t xml:space="preserve">Dyfed Powys Police and Crime Commissioner. 2019. Dyfed-Powys Police leads the way in supporting vulnerable victims of fraud. [ONLINE] Available at: </w:t>
      </w:r>
      <w:hyperlink r:id="rId38" w:history="1">
        <w:r w:rsidRPr="009B1E15">
          <w:rPr>
            <w:rFonts w:cstheme="minorHAnsi"/>
            <w:color w:val="0000FF"/>
            <w:u w:val="single"/>
          </w:rPr>
          <w:t>http://www.dyfedpowys-pcc.org.uk/en/news/press-releases/dyfed-powys-police-leads-the-way-in-supporting-vulnerable-victims-of-fraud/</w:t>
        </w:r>
      </w:hyperlink>
      <w:r w:rsidRPr="009B1E15">
        <w:rPr>
          <w:rFonts w:cstheme="minorHAnsi"/>
        </w:rPr>
        <w:t xml:space="preserve">. [Accessed 1 December 2020]. </w:t>
      </w:r>
    </w:p>
    <w:p w14:paraId="67CC0F15" w14:textId="77777777" w:rsidR="00BE0025" w:rsidRDefault="00BE0025" w:rsidP="00BE0025">
      <w:pPr>
        <w:spacing w:before="100" w:after="100"/>
        <w:rPr>
          <w:rFonts w:cstheme="minorHAnsi"/>
        </w:rPr>
      </w:pPr>
    </w:p>
    <w:p w14:paraId="1A6B7E16" w14:textId="77777777" w:rsidR="00BE0025" w:rsidRDefault="00BE0025" w:rsidP="00BE0025">
      <w:pPr>
        <w:spacing w:before="100" w:after="100"/>
        <w:rPr>
          <w:rFonts w:cstheme="minorHAnsi"/>
        </w:rPr>
      </w:pPr>
      <w:r w:rsidRPr="00034503">
        <w:rPr>
          <w:rFonts w:cstheme="minorHAnsi"/>
        </w:rPr>
        <w:t xml:space="preserve">gov.uk. 1984. Code C Police and Criminal Evidence Act 1984. [ONLINE] Available at: </w:t>
      </w:r>
      <w:hyperlink r:id="rId39" w:history="1">
        <w:r w:rsidRPr="00034503">
          <w:rPr>
            <w:rFonts w:cstheme="minorHAnsi"/>
            <w:color w:val="0000FF"/>
            <w:u w:val="single"/>
          </w:rPr>
          <w:t>https://assets.publishing.service.gov.uk/government/uploads/system/uploads/attachment_data/file/903473/pace-code-c-2019.pdf</w:t>
        </w:r>
      </w:hyperlink>
      <w:r w:rsidRPr="00034503">
        <w:rPr>
          <w:rFonts w:cstheme="minorHAnsi"/>
        </w:rPr>
        <w:t xml:space="preserve">. [Accessed 9 December 2020]. </w:t>
      </w:r>
    </w:p>
    <w:p w14:paraId="28D0C339" w14:textId="77777777" w:rsidR="00BE0025" w:rsidRDefault="00BE0025" w:rsidP="00BE0025">
      <w:pPr>
        <w:spacing w:before="100" w:after="100"/>
        <w:rPr>
          <w:rFonts w:cstheme="minorHAnsi"/>
          <w:shd w:val="clear" w:color="auto" w:fill="FFFFFF"/>
        </w:rPr>
      </w:pPr>
    </w:p>
    <w:p w14:paraId="6BDE2225" w14:textId="77777777" w:rsidR="00BE0025" w:rsidRDefault="00BE0025" w:rsidP="00BE0025">
      <w:pPr>
        <w:spacing w:before="100" w:after="100"/>
        <w:rPr>
          <w:rFonts w:cstheme="minorHAnsi"/>
        </w:rPr>
      </w:pPr>
      <w:r w:rsidRPr="00FA6EAA">
        <w:rPr>
          <w:rFonts w:cstheme="minorHAnsi"/>
        </w:rPr>
        <w:t xml:space="preserve">gov.uk. 2014. Multi Agency Working and Information Sharing Project. [ONLINE] Available at: </w:t>
      </w:r>
      <w:hyperlink r:id="rId40" w:anchor=":~:text=Multi-agency%20approaches%20Multi-agency%20working%20is%20key%20to%20the,information%20sharing%2C%20joint%20decision%20making%20and%20coordinated%20action." w:history="1">
        <w:r w:rsidRPr="00FA6EAA">
          <w:rPr>
            <w:rFonts w:cstheme="minorHAnsi"/>
            <w:color w:val="0000FF"/>
            <w:u w:val="single"/>
          </w:rPr>
          <w:t>https://assets.publishing.service.gov.uk/government/uploads/system/uploads/attachment_data/file/405397/6.379_Supporting_guidance_web_doc_v3.pdf#:~:text=Multi-agency%20approaches%20Multi-agency%20working%20is%20key%20to%20the,information%20sharing%2C%20joint%20decision%20making%20and%20coordinated%20action.</w:t>
        </w:r>
      </w:hyperlink>
      <w:r w:rsidRPr="00FA6EAA">
        <w:rPr>
          <w:rFonts w:cstheme="minorHAnsi"/>
        </w:rPr>
        <w:t>. [Accessed 23 October 2020].</w:t>
      </w:r>
    </w:p>
    <w:p w14:paraId="43D0C75F" w14:textId="77777777" w:rsidR="00BE0025" w:rsidRPr="00FA6EAA" w:rsidRDefault="00BE0025" w:rsidP="00BE0025">
      <w:pPr>
        <w:spacing w:before="100" w:after="100"/>
        <w:rPr>
          <w:rFonts w:cstheme="minorHAnsi"/>
        </w:rPr>
      </w:pPr>
      <w:r w:rsidRPr="00FA6EAA">
        <w:rPr>
          <w:rFonts w:cstheme="minorHAnsi"/>
        </w:rPr>
        <w:t xml:space="preserve"> </w:t>
      </w:r>
    </w:p>
    <w:p w14:paraId="3B7D70F0" w14:textId="77777777" w:rsidR="00BE0025" w:rsidRDefault="00BE0025" w:rsidP="00BE0025">
      <w:r>
        <w:t xml:space="preserve">HMICFRS. 2019. Organisational Justice. [ONLINE] Available at: </w:t>
      </w:r>
      <w:hyperlink r:id="rId41" w:history="1">
        <w:r w:rsidRPr="005D52BA">
          <w:rPr>
            <w:rStyle w:val="Hyperlink"/>
          </w:rPr>
          <w:t>https://www.justiceinspectorates.gov.uk/hmicfrs/glossary/organisational-justice/</w:t>
        </w:r>
      </w:hyperlink>
      <w:r>
        <w:t xml:space="preserve"> . [Accessed 11 October 2020]</w:t>
      </w:r>
    </w:p>
    <w:p w14:paraId="56627077" w14:textId="77777777" w:rsidR="00BE0025" w:rsidRDefault="00BE0025" w:rsidP="00BE0025"/>
    <w:p w14:paraId="198177CC" w14:textId="77777777" w:rsidR="00BE0025" w:rsidRDefault="00BE0025" w:rsidP="00BE0025">
      <w:r>
        <w:t xml:space="preserve">HMICFRS. 2019. South Wales PEEL 2018. [ONLINE] Available at: </w:t>
      </w:r>
      <w:hyperlink r:id="rId42" w:history="1">
        <w:r>
          <w:rPr>
            <w:rStyle w:val="Hyperlink"/>
          </w:rPr>
          <w:t>Legitimacy - South Wales - PEEL Assessment 2018/19 - HMICFRS (justiceinspectorates.gov.uk)</w:t>
        </w:r>
      </w:hyperlink>
      <w:r>
        <w:t>. [Accessed 11 October 2019]</w:t>
      </w:r>
    </w:p>
    <w:p w14:paraId="16DD9C89" w14:textId="77777777" w:rsidR="00BE0025" w:rsidRDefault="00BE0025" w:rsidP="00BE0025"/>
    <w:p w14:paraId="4ECAFBED" w14:textId="77777777" w:rsidR="00BE0025" w:rsidRDefault="00BE0025" w:rsidP="00BE0025">
      <w:pPr>
        <w:rPr>
          <w:rFonts w:cstheme="minorHAnsi"/>
          <w:color w:val="333333"/>
          <w:shd w:val="clear" w:color="auto" w:fill="FFFFFF"/>
        </w:rPr>
      </w:pPr>
      <w:r w:rsidRPr="00160A53">
        <w:rPr>
          <w:rFonts w:cstheme="minorHAnsi"/>
          <w:color w:val="333333"/>
          <w:shd w:val="clear" w:color="auto" w:fill="FFFFFF"/>
        </w:rPr>
        <w:t>Innes, M. and Sheptycki, J. W. E. (2004) ‘From Detection to Disruption’, </w:t>
      </w:r>
      <w:r w:rsidRPr="00160A53">
        <w:rPr>
          <w:rFonts w:cstheme="minorHAnsi"/>
          <w:i/>
          <w:iCs/>
          <w:color w:val="333333"/>
          <w:shd w:val="clear" w:color="auto" w:fill="FFFFFF"/>
        </w:rPr>
        <w:t>International Criminal Justice Review</w:t>
      </w:r>
      <w:r w:rsidRPr="00160A53">
        <w:rPr>
          <w:rFonts w:cstheme="minorHAnsi"/>
          <w:color w:val="333333"/>
          <w:shd w:val="clear" w:color="auto" w:fill="FFFFFF"/>
        </w:rPr>
        <w:t>, 14(1), pp. 6</w:t>
      </w:r>
    </w:p>
    <w:p w14:paraId="5C2F89DD" w14:textId="77777777" w:rsidR="00BE0025" w:rsidRPr="00160A53" w:rsidRDefault="00BE0025" w:rsidP="00BE0025">
      <w:pPr>
        <w:rPr>
          <w:rFonts w:cstheme="minorHAnsi"/>
        </w:rPr>
      </w:pPr>
    </w:p>
    <w:p w14:paraId="26C8CA2A" w14:textId="77777777" w:rsidR="00BE0025" w:rsidRDefault="00BE0025" w:rsidP="00BE0025">
      <w:pPr>
        <w:spacing w:before="100" w:after="100"/>
        <w:rPr>
          <w:rFonts w:cstheme="minorHAnsi"/>
        </w:rPr>
      </w:pPr>
      <w:r w:rsidRPr="00ED562C">
        <w:rPr>
          <w:rFonts w:cstheme="minorHAnsi"/>
        </w:rPr>
        <w:t xml:space="preserve">legislation.gov. 1991. Section 8 Theft Act 1968. [ONLINE] Available at: </w:t>
      </w:r>
      <w:hyperlink r:id="rId43" w:history="1">
        <w:r w:rsidRPr="00ED562C">
          <w:rPr>
            <w:rFonts w:cstheme="minorHAnsi"/>
            <w:color w:val="0000FF"/>
            <w:u w:val="single"/>
          </w:rPr>
          <w:t>https://www.legislation.gov.uk/ukpga/1968/60/section/8</w:t>
        </w:r>
      </w:hyperlink>
      <w:r w:rsidRPr="00ED562C">
        <w:rPr>
          <w:rFonts w:cstheme="minorHAnsi"/>
        </w:rPr>
        <w:t xml:space="preserve">. [Accessed 8 December 2020]. </w:t>
      </w:r>
    </w:p>
    <w:p w14:paraId="00006FCC" w14:textId="77777777" w:rsidR="00BE0025" w:rsidRDefault="00BE0025" w:rsidP="00BE0025">
      <w:pPr>
        <w:spacing w:before="100" w:after="100"/>
        <w:rPr>
          <w:rFonts w:cstheme="minorHAnsi"/>
        </w:rPr>
      </w:pPr>
    </w:p>
    <w:p w14:paraId="2BCDA3FA" w14:textId="77777777" w:rsidR="00BE0025" w:rsidRDefault="00BE0025" w:rsidP="00BE0025">
      <w:r>
        <w:t xml:space="preserve">legislation.gov. 2014. Children Act 1989. [ONLINE] Available at: </w:t>
      </w:r>
      <w:hyperlink r:id="rId44" w:history="1">
        <w:r>
          <w:rPr>
            <w:rStyle w:val="Hyperlink"/>
          </w:rPr>
          <w:t>Children Act 1989 (legislation.gov.uk)</w:t>
        </w:r>
      </w:hyperlink>
      <w:r>
        <w:t>. [Accessed 20 October 2020]</w:t>
      </w:r>
    </w:p>
    <w:p w14:paraId="0B187083" w14:textId="77777777" w:rsidR="00BE0025" w:rsidRDefault="00BE0025" w:rsidP="00BE0025"/>
    <w:p w14:paraId="43A105D1" w14:textId="77777777" w:rsidR="00BE0025" w:rsidRDefault="00BE0025" w:rsidP="00BE0025">
      <w:pPr>
        <w:spacing w:before="100" w:after="100"/>
        <w:rPr>
          <w:rFonts w:cstheme="minorHAnsi"/>
        </w:rPr>
      </w:pPr>
      <w:r w:rsidRPr="00850541">
        <w:rPr>
          <w:rFonts w:cstheme="minorHAnsi"/>
        </w:rPr>
        <w:t xml:space="preserve">legislation.gov. 2015. Section 1 Malicious Communications Act 1988. [ONLINE] Available at: </w:t>
      </w:r>
      <w:hyperlink r:id="rId45" w:history="1">
        <w:r w:rsidRPr="00850541">
          <w:rPr>
            <w:rFonts w:cstheme="minorHAnsi"/>
            <w:color w:val="0000FF"/>
            <w:u w:val="single"/>
          </w:rPr>
          <w:t>https://www.legislation.gov.uk/ukpga/1988/27/section/1</w:t>
        </w:r>
      </w:hyperlink>
      <w:r w:rsidRPr="00850541">
        <w:rPr>
          <w:rFonts w:cstheme="minorHAnsi"/>
        </w:rPr>
        <w:t xml:space="preserve">. [Accessed 22 October 2020]. </w:t>
      </w:r>
    </w:p>
    <w:p w14:paraId="1368ED8F" w14:textId="77777777" w:rsidR="00BE0025" w:rsidRDefault="00BE0025" w:rsidP="00BE0025">
      <w:pPr>
        <w:spacing w:before="100" w:after="100"/>
        <w:rPr>
          <w:rFonts w:cstheme="minorHAnsi"/>
        </w:rPr>
      </w:pPr>
    </w:p>
    <w:p w14:paraId="3B6E3721" w14:textId="77777777" w:rsidR="00BE0025" w:rsidRDefault="00BE0025" w:rsidP="00BE0025">
      <w:pPr>
        <w:spacing w:before="100" w:after="100"/>
        <w:rPr>
          <w:rFonts w:cstheme="minorHAnsi"/>
        </w:rPr>
      </w:pPr>
      <w:r w:rsidRPr="00C22621">
        <w:rPr>
          <w:rFonts w:cstheme="minorHAnsi"/>
        </w:rPr>
        <w:t xml:space="preserve">legilsation.gov. 2016. Section 2 Serious Crime Act 2007. [ONLINE] Available at: </w:t>
      </w:r>
      <w:hyperlink r:id="rId46" w:history="1">
        <w:r w:rsidRPr="00C22621">
          <w:rPr>
            <w:rFonts w:cstheme="minorHAnsi"/>
            <w:color w:val="0000FF"/>
            <w:u w:val="single"/>
          </w:rPr>
          <w:t>https://www.legislation.gov.uk/ukpga/2007/27/section/2</w:t>
        </w:r>
      </w:hyperlink>
      <w:r w:rsidRPr="00C22621">
        <w:rPr>
          <w:rFonts w:cstheme="minorHAnsi"/>
        </w:rPr>
        <w:t xml:space="preserve">. [Accessed 8 December 2020]. </w:t>
      </w:r>
    </w:p>
    <w:p w14:paraId="0E45BEF7" w14:textId="77777777" w:rsidR="00BE0025" w:rsidRPr="00C22621" w:rsidRDefault="00BE0025" w:rsidP="00BE0025">
      <w:pPr>
        <w:spacing w:before="100" w:after="100"/>
        <w:rPr>
          <w:rFonts w:cstheme="minorHAnsi"/>
        </w:rPr>
      </w:pPr>
    </w:p>
    <w:p w14:paraId="24BBB245" w14:textId="77777777" w:rsidR="00BE0025" w:rsidRDefault="00BE0025" w:rsidP="00BE0025">
      <w:pPr>
        <w:spacing w:before="100" w:after="100"/>
        <w:rPr>
          <w:rFonts w:cstheme="minorHAnsi"/>
        </w:rPr>
      </w:pPr>
      <w:r w:rsidRPr="000E454B">
        <w:rPr>
          <w:rFonts w:cstheme="minorHAnsi"/>
        </w:rPr>
        <w:t xml:space="preserve">legislation.gov. 2019. Section 61 Investigatory Powers Act 2016. [ONLINE] Available at: </w:t>
      </w:r>
      <w:hyperlink r:id="rId47" w:history="1">
        <w:r w:rsidRPr="000E454B">
          <w:rPr>
            <w:rFonts w:cstheme="minorHAnsi"/>
            <w:color w:val="0000FF"/>
            <w:u w:val="single"/>
          </w:rPr>
          <w:t>https://www.legislation.gov.uk/ukpga/2016/25/section/61</w:t>
        </w:r>
      </w:hyperlink>
      <w:r w:rsidRPr="000E454B">
        <w:rPr>
          <w:rFonts w:cstheme="minorHAnsi"/>
        </w:rPr>
        <w:t>. [Accessed 29 November 2020].</w:t>
      </w:r>
    </w:p>
    <w:p w14:paraId="4FB2BECF" w14:textId="77777777" w:rsidR="00BE0025" w:rsidRDefault="00BE0025" w:rsidP="00BE0025">
      <w:pPr>
        <w:spacing w:before="100" w:after="100"/>
        <w:rPr>
          <w:rFonts w:cstheme="minorHAnsi"/>
        </w:rPr>
      </w:pPr>
    </w:p>
    <w:p w14:paraId="174ED874" w14:textId="77777777" w:rsidR="00BE0025" w:rsidRDefault="00BE0025" w:rsidP="00BE0025">
      <w:pPr>
        <w:spacing w:before="100" w:after="100"/>
        <w:rPr>
          <w:rFonts w:cstheme="minorHAnsi"/>
        </w:rPr>
      </w:pPr>
      <w:r w:rsidRPr="00C22621">
        <w:rPr>
          <w:rFonts w:cstheme="minorHAnsi"/>
        </w:rPr>
        <w:t xml:space="preserve">legilsation.gov. 2019. Serious Crime Act 2007 Part 1 Schedule 1. [ONLINE] Available at: </w:t>
      </w:r>
      <w:hyperlink r:id="rId48" w:history="1">
        <w:r w:rsidRPr="00C22621">
          <w:rPr>
            <w:rFonts w:cstheme="minorHAnsi"/>
            <w:color w:val="0000FF"/>
            <w:u w:val="single"/>
          </w:rPr>
          <w:t>https://www.legislation.gov.uk/ukpga/2007/27/schedule/1</w:t>
        </w:r>
      </w:hyperlink>
      <w:r w:rsidRPr="00C22621">
        <w:rPr>
          <w:rFonts w:cstheme="minorHAnsi"/>
        </w:rPr>
        <w:t>. [Accessed 8 December 2020].</w:t>
      </w:r>
    </w:p>
    <w:p w14:paraId="46D29808" w14:textId="77777777" w:rsidR="00BE0025" w:rsidRDefault="00BE0025" w:rsidP="00BE0025">
      <w:pPr>
        <w:spacing w:before="100" w:after="100"/>
        <w:rPr>
          <w:rFonts w:cstheme="minorHAnsi"/>
        </w:rPr>
      </w:pPr>
    </w:p>
    <w:p w14:paraId="181F4619" w14:textId="77777777" w:rsidR="00BE0025" w:rsidRDefault="00BE0025" w:rsidP="00BE0025">
      <w:pPr>
        <w:spacing w:before="100" w:after="100"/>
      </w:pPr>
      <w:r>
        <w:t>Lloyd, S., Farrell, G. and Pease, K. (1994) Preventing Repeated Domestic Violence: A Demonstration Project on Merseyside. Crime Prevention Unit Paper 49. London: Home Office</w:t>
      </w:r>
    </w:p>
    <w:p w14:paraId="02D0E2BC" w14:textId="77777777" w:rsidR="00BE0025" w:rsidRPr="00850541" w:rsidRDefault="00BE0025" w:rsidP="00BE0025">
      <w:pPr>
        <w:spacing w:before="100" w:after="100"/>
        <w:rPr>
          <w:rFonts w:cstheme="minorHAnsi"/>
        </w:rPr>
      </w:pPr>
    </w:p>
    <w:p w14:paraId="2296FBDF" w14:textId="77777777" w:rsidR="00BE0025" w:rsidRDefault="00BE0025" w:rsidP="00BE0025">
      <w:r>
        <w:t xml:space="preserve">NHS. 2020. Postpartum Psychosis. [ONLINE] Available at: </w:t>
      </w:r>
      <w:hyperlink r:id="rId49" w:history="1">
        <w:r>
          <w:rPr>
            <w:rStyle w:val="Hyperlink"/>
          </w:rPr>
          <w:t>Postpartum psychosis - NHS (www.nhs.uk)</w:t>
        </w:r>
      </w:hyperlink>
      <w:r>
        <w:t>. [Accessed 18 October 2020]</w:t>
      </w:r>
    </w:p>
    <w:p w14:paraId="15496EFC" w14:textId="77777777" w:rsidR="00BE0025" w:rsidRDefault="00BE0025" w:rsidP="00BE0025"/>
    <w:p w14:paraId="3D338347" w14:textId="77777777" w:rsidR="00BE0025" w:rsidRDefault="00BE0025" w:rsidP="00BE0025">
      <w:pPr>
        <w:spacing w:before="100" w:after="100"/>
        <w:rPr>
          <w:rFonts w:cstheme="minorHAnsi"/>
        </w:rPr>
      </w:pPr>
      <w:r w:rsidRPr="009C08B3">
        <w:rPr>
          <w:rFonts w:cstheme="minorHAnsi"/>
        </w:rPr>
        <w:t xml:space="preserve">Office of National Statistics. 2019. Internet Users, UK 2019. [ONLINE] Available at: </w:t>
      </w:r>
      <w:hyperlink r:id="rId50" w:history="1">
        <w:r w:rsidRPr="009C08B3">
          <w:rPr>
            <w:rFonts w:cstheme="minorHAnsi"/>
            <w:color w:val="0000FF"/>
            <w:u w:val="single"/>
          </w:rPr>
          <w:t>https://www.ons.gov.uk/businessindustryandtrade/itandinternetindustry/bulletins/internetusers/2019</w:t>
        </w:r>
      </w:hyperlink>
      <w:r w:rsidRPr="009C08B3">
        <w:rPr>
          <w:rFonts w:cstheme="minorHAnsi"/>
        </w:rPr>
        <w:t xml:space="preserve">. [Accessed 1 December 2020]. </w:t>
      </w:r>
    </w:p>
    <w:p w14:paraId="7C400A70" w14:textId="77777777" w:rsidR="00BE0025" w:rsidRDefault="00BE0025" w:rsidP="00BE0025">
      <w:pPr>
        <w:spacing w:before="100" w:after="100"/>
        <w:rPr>
          <w:rFonts w:cstheme="minorHAnsi"/>
        </w:rPr>
      </w:pPr>
    </w:p>
    <w:p w14:paraId="3FDD6E1D" w14:textId="77777777" w:rsidR="00BE0025" w:rsidRDefault="00BE0025" w:rsidP="00BE0025">
      <w:pPr>
        <w:spacing w:before="100" w:after="100"/>
        <w:rPr>
          <w:rFonts w:cstheme="minorHAnsi"/>
        </w:rPr>
      </w:pPr>
      <w:r w:rsidRPr="0055321A">
        <w:rPr>
          <w:rFonts w:cstheme="minorHAnsi"/>
        </w:rPr>
        <w:t xml:space="preserve">Pease, K., 1998. </w:t>
      </w:r>
      <w:r w:rsidRPr="0055321A">
        <w:rPr>
          <w:rFonts w:cstheme="minorHAnsi"/>
          <w:i/>
          <w:iCs/>
        </w:rPr>
        <w:t>Repeat Victimisation: Taking Stock</w:t>
      </w:r>
      <w:r>
        <w:rPr>
          <w:rFonts w:cstheme="minorHAnsi"/>
        </w:rPr>
        <w:t>.</w:t>
      </w:r>
      <w:r w:rsidRPr="0055321A">
        <w:rPr>
          <w:rFonts w:cstheme="minorHAnsi"/>
        </w:rPr>
        <w:t xml:space="preserve"> London: Police Research Group</w:t>
      </w:r>
    </w:p>
    <w:p w14:paraId="2CD61917" w14:textId="77777777" w:rsidR="00BE0025" w:rsidRDefault="00BE0025" w:rsidP="00BE0025">
      <w:pPr>
        <w:spacing w:before="100" w:after="100"/>
        <w:rPr>
          <w:rFonts w:cstheme="minorHAnsi"/>
        </w:rPr>
      </w:pPr>
    </w:p>
    <w:p w14:paraId="2C8D56EE" w14:textId="77777777" w:rsidR="00BE0025" w:rsidRDefault="00BE0025" w:rsidP="00BE0025">
      <w:pPr>
        <w:spacing w:before="100" w:after="100"/>
        <w:rPr>
          <w:rFonts w:cstheme="minorHAnsi"/>
        </w:rPr>
      </w:pPr>
      <w:r w:rsidRPr="006C2B06">
        <w:rPr>
          <w:rFonts w:cstheme="minorHAnsi"/>
        </w:rPr>
        <w:t xml:space="preserve">rbs.com. 2017. Young people more likely to become victims of online fraud. [ONLINE] Available at: </w:t>
      </w:r>
      <w:hyperlink r:id="rId51" w:anchor=":~:text=Young%20people%20more%20likely%20to%20become%20victims%20of,least%20likely%20to%20be%20victims%20of%20these%20offences." w:history="1">
        <w:r w:rsidRPr="006C2B06">
          <w:rPr>
            <w:rFonts w:cstheme="minorHAnsi"/>
            <w:color w:val="0000FF"/>
            <w:u w:val="single"/>
          </w:rPr>
          <w:t>https://www.rbs.com/rbs/news/2017/11/young-people-more-likely-to-become-victims-of-online-fraud.html#:~:text=Young%20people%20more%20likely%20to%20become%20victims%20of,least%20likely%20to%20be%20victims%20of%20these%20offences.</w:t>
        </w:r>
      </w:hyperlink>
      <w:r w:rsidRPr="006C2B06">
        <w:rPr>
          <w:rFonts w:cstheme="minorHAnsi"/>
        </w:rPr>
        <w:t>. [Accessed 1 December 2020].</w:t>
      </w:r>
    </w:p>
    <w:p w14:paraId="454CBE8E" w14:textId="77777777" w:rsidR="00BE0025" w:rsidRPr="006C2B06" w:rsidRDefault="00BE0025" w:rsidP="00BE0025">
      <w:pPr>
        <w:spacing w:before="100" w:after="100"/>
        <w:rPr>
          <w:rFonts w:cstheme="minorHAnsi"/>
        </w:rPr>
      </w:pPr>
    </w:p>
    <w:p w14:paraId="2C371C1D" w14:textId="77777777" w:rsidR="00BE0025" w:rsidRDefault="00BE0025" w:rsidP="00BE0025">
      <w:pPr>
        <w:spacing w:before="100" w:after="100"/>
        <w:rPr>
          <w:rFonts w:cstheme="minorHAnsi"/>
        </w:rPr>
      </w:pPr>
      <w:r w:rsidRPr="000A26A2">
        <w:rPr>
          <w:rFonts w:cstheme="minorHAnsi"/>
        </w:rPr>
        <w:t xml:space="preserve">Safelives. 2014. National Definition of IDVA Work. [ONLINE] Available at: </w:t>
      </w:r>
      <w:hyperlink r:id="rId52" w:history="1">
        <w:r w:rsidRPr="000A26A2">
          <w:rPr>
            <w:rFonts w:cstheme="minorHAnsi"/>
            <w:color w:val="0000FF"/>
            <w:u w:val="single"/>
          </w:rPr>
          <w:t>https://safelives.org.uk/sites/default/files/resources/National%20definition%20of%20IDVA%20work%20FINAL.pdf</w:t>
        </w:r>
      </w:hyperlink>
      <w:r w:rsidRPr="000A26A2">
        <w:rPr>
          <w:rFonts w:cstheme="minorHAnsi"/>
        </w:rPr>
        <w:t xml:space="preserve">. [Accessed 22 October 2020]. </w:t>
      </w:r>
    </w:p>
    <w:p w14:paraId="593E45CC" w14:textId="77777777" w:rsidR="00BE0025" w:rsidRDefault="00BE0025" w:rsidP="00BE0025">
      <w:pPr>
        <w:spacing w:before="100" w:after="100"/>
        <w:rPr>
          <w:rFonts w:cstheme="minorHAnsi"/>
        </w:rPr>
      </w:pPr>
    </w:p>
    <w:p w14:paraId="450884F7" w14:textId="77777777" w:rsidR="00BE0025" w:rsidRDefault="00BE0025" w:rsidP="00BE0025">
      <w:r>
        <w:lastRenderedPageBreak/>
        <w:t xml:space="preserve">South Wales Police. 2020. Our vision, values and ethics. [ONLINE] Available at: </w:t>
      </w:r>
      <w:hyperlink r:id="rId53" w:history="1">
        <w:r>
          <w:rPr>
            <w:rStyle w:val="Hyperlink"/>
          </w:rPr>
          <w:t>Our vision, values and ethics | South Wales Police (south-wales.police.uk)</w:t>
        </w:r>
      </w:hyperlink>
      <w:r>
        <w:t>. [Accessed 11 October 2020]</w:t>
      </w:r>
    </w:p>
    <w:p w14:paraId="72E1DA1C" w14:textId="77777777" w:rsidR="00BE0025" w:rsidRDefault="00BE0025" w:rsidP="00BE0025"/>
    <w:p w14:paraId="5D7950F7" w14:textId="77777777" w:rsidR="00BE0025" w:rsidRPr="002A1D75" w:rsidRDefault="00BE0025" w:rsidP="00BE0025">
      <w:pPr>
        <w:spacing w:before="100" w:after="100"/>
        <w:rPr>
          <w:rFonts w:cstheme="minorHAnsi"/>
        </w:rPr>
      </w:pPr>
      <w:r w:rsidRPr="002A1D75">
        <w:rPr>
          <w:rFonts w:cstheme="minorHAnsi"/>
        </w:rPr>
        <w:t xml:space="preserve">University of Cambridge. 2017. Domestic abuse ‘workshops’ reduce repeat offending and harm to public – study. [ONLINE] Available at: </w:t>
      </w:r>
      <w:hyperlink r:id="rId54" w:history="1">
        <w:r w:rsidRPr="002A1D75">
          <w:rPr>
            <w:rFonts w:cstheme="minorHAnsi"/>
            <w:color w:val="0000FF"/>
            <w:u w:val="single"/>
          </w:rPr>
          <w:t>https://www.cam.ac.uk/research/news/domestic-abuse-workshops-reduce-repeat-offending-and-harm-to-public-study</w:t>
        </w:r>
      </w:hyperlink>
      <w:r w:rsidRPr="002A1D75">
        <w:rPr>
          <w:rFonts w:cstheme="minorHAnsi"/>
        </w:rPr>
        <w:t>. [Accessed 25 October 2020].</w:t>
      </w:r>
    </w:p>
    <w:p w14:paraId="62165D1A" w14:textId="07CFF7FC" w:rsidR="6E85A413" w:rsidRPr="00DD7FFD" w:rsidRDefault="6E85A413" w:rsidP="00DD7FFD">
      <w:pPr>
        <w:keepNext/>
        <w:ind w:right="237"/>
        <w:rPr>
          <w:b/>
          <w:sz w:val="24"/>
          <w:szCs w:val="24"/>
          <w:highlight w:val="yellow"/>
        </w:rPr>
      </w:pPr>
    </w:p>
    <w:sectPr w:rsidR="6E85A413" w:rsidRPr="00DD7FFD" w:rsidSect="00BE0025">
      <w:headerReference w:type="even" r:id="rId55"/>
      <w:headerReference w:type="default" r:id="rId56"/>
      <w:footerReference w:type="even" r:id="rId57"/>
      <w:footerReference w:type="default" r:id="rId58"/>
      <w:headerReference w:type="first" r:id="rId59"/>
      <w:footerReference w:type="first" r:id="rId60"/>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AC4121D" w14:textId="77777777" w:rsidR="00D10419" w:rsidRDefault="00D10419">
      <w:r>
        <w:separator/>
      </w:r>
    </w:p>
  </w:endnote>
  <w:endnote w:type="continuationSeparator" w:id="0">
    <w:p w14:paraId="3C56B659" w14:textId="77777777" w:rsidR="00D10419" w:rsidRDefault="00D104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D4B6E0" w14:textId="1604C0EA" w:rsidR="00BE0025" w:rsidRDefault="0019640D" w:rsidP="0019640D">
    <w:pPr>
      <w:pStyle w:val="Footer"/>
      <w:rPr>
        <w:sz w:val="17"/>
      </w:rPr>
    </w:pPr>
    <w:bookmarkStart w:id="3" w:name="TITUS1FooterEvenPages"/>
    <w:r>
      <w:rPr>
        <w:sz w:val="17"/>
      </w:rPr>
      <w:t> </w:t>
    </w:r>
  </w:p>
  <w:bookmarkEnd w:id="3"/>
  <w:p w14:paraId="6FCBB373" w14:textId="37E8483D" w:rsidR="00BE0025" w:rsidRDefault="00BE0025" w:rsidP="00BE0025">
    <w:pPr>
      <w:pStyle w:val="Footer"/>
      <w:jc w:val="right"/>
    </w:pPr>
    <w:r>
      <w:fldChar w:fldCharType="begin"/>
    </w:r>
    <w:r>
      <w:instrText xml:space="preserve"> PAGE   \* MERGEFORMAT </w:instrText>
    </w:r>
    <w:r>
      <w:fldChar w:fldCharType="separate"/>
    </w:r>
    <w:r w:rsidR="0019640D">
      <w:rPr>
        <w:noProof/>
      </w:rPr>
      <w:t>2</w:t>
    </w:r>
    <w:r>
      <w:rPr>
        <w:noProof/>
      </w:rPr>
      <w:fldChar w:fldCharType="end"/>
    </w:r>
  </w:p>
  <w:p w14:paraId="74B0381D" w14:textId="77777777" w:rsidR="00BE0025" w:rsidRPr="00BB5EAA" w:rsidRDefault="00BE0025" w:rsidP="00BE0025">
    <w:pPr>
      <w:pStyle w:val="Footer"/>
      <w:ind w:right="360"/>
      <w:jc w:val="center"/>
    </w:pPr>
  </w:p>
  <w:p w14:paraId="091A5A95" w14:textId="77777777" w:rsidR="00BE0025" w:rsidRDefault="00BE002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A19096" w14:textId="1C699A8E" w:rsidR="00BE0025" w:rsidRDefault="0019640D" w:rsidP="0019640D">
    <w:pPr>
      <w:pStyle w:val="Footer"/>
      <w:rPr>
        <w:sz w:val="17"/>
      </w:rPr>
    </w:pPr>
    <w:bookmarkStart w:id="4" w:name="TITUS1FooterPrimary"/>
    <w:r>
      <w:rPr>
        <w:sz w:val="17"/>
      </w:rPr>
      <w:t> </w:t>
    </w:r>
  </w:p>
  <w:bookmarkEnd w:id="4"/>
  <w:p w14:paraId="50521BFA" w14:textId="7FF2AB3F" w:rsidR="00F6513F" w:rsidRDefault="00F6513F">
    <w:pPr>
      <w:pStyle w:val="Footer"/>
      <w:jc w:val="right"/>
    </w:pPr>
    <w:r>
      <w:fldChar w:fldCharType="begin"/>
    </w:r>
    <w:r>
      <w:instrText xml:space="preserve"> PAGE   \* MERGEFORMAT </w:instrText>
    </w:r>
    <w:r>
      <w:fldChar w:fldCharType="separate"/>
    </w:r>
    <w:r w:rsidR="0019640D">
      <w:rPr>
        <w:noProof/>
      </w:rPr>
      <w:t>3</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986CC4" w14:textId="13A62F14" w:rsidR="00BE0025" w:rsidRDefault="0019640D" w:rsidP="0019640D">
    <w:pPr>
      <w:pStyle w:val="Footer"/>
      <w:rPr>
        <w:sz w:val="17"/>
      </w:rPr>
    </w:pPr>
    <w:bookmarkStart w:id="6" w:name="TITUS1FooterFirstPage"/>
    <w:r>
      <w:rPr>
        <w:sz w:val="17"/>
      </w:rPr>
      <w:t> </w:t>
    </w:r>
  </w:p>
  <w:bookmarkEnd w:id="6"/>
  <w:p w14:paraId="64293799" w14:textId="3E2AA428" w:rsidR="00BE0025" w:rsidRDefault="00BE0025" w:rsidP="00BE0025">
    <w:pPr>
      <w:pStyle w:val="Footer"/>
      <w:jc w:val="right"/>
    </w:pPr>
    <w:r>
      <w:fldChar w:fldCharType="begin"/>
    </w:r>
    <w:r>
      <w:instrText xml:space="preserve"> PAGE   \* MERGEFORMAT </w:instrText>
    </w:r>
    <w:r>
      <w:fldChar w:fldCharType="separate"/>
    </w:r>
    <w:r w:rsidR="0019640D">
      <w:rPr>
        <w:noProof/>
      </w:rPr>
      <w:t>1</w:t>
    </w:r>
    <w:r>
      <w:rPr>
        <w:noProof/>
      </w:rPr>
      <w:fldChar w:fldCharType="end"/>
    </w:r>
  </w:p>
  <w:p w14:paraId="1C46CA97" w14:textId="77777777" w:rsidR="00BE0025" w:rsidRPr="00BB5EAA" w:rsidRDefault="00BE0025" w:rsidP="00BE0025">
    <w:pPr>
      <w:pStyle w:val="Footer"/>
      <w:ind w:right="360"/>
      <w:jc w:val="center"/>
    </w:pPr>
  </w:p>
  <w:p w14:paraId="3E956E28" w14:textId="77777777" w:rsidR="00BE0025" w:rsidRDefault="00BE002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C804B7" w14:textId="552667E2" w:rsidR="00BE0025" w:rsidRDefault="0019640D" w:rsidP="0019640D">
    <w:pPr>
      <w:pStyle w:val="Footer"/>
      <w:rPr>
        <w:sz w:val="17"/>
      </w:rPr>
    </w:pPr>
    <w:bookmarkStart w:id="9" w:name="TITUS2FooterEvenPages"/>
    <w:r>
      <w:rPr>
        <w:sz w:val="17"/>
      </w:rPr>
      <w:t> </w:t>
    </w:r>
  </w:p>
  <w:bookmarkEnd w:id="9"/>
  <w:p w14:paraId="15B697A5" w14:textId="77777777" w:rsidR="00BE0025" w:rsidRDefault="00BE0025" w:rsidP="00BE0025">
    <w:pPr>
      <w:pStyle w:val="Footer"/>
      <w:jc w:val="right"/>
    </w:pPr>
  </w:p>
  <w:p w14:paraId="7F69D331" w14:textId="1372C84E" w:rsidR="00BE0025" w:rsidRDefault="00BE0025" w:rsidP="00BE0025">
    <w:pPr>
      <w:pStyle w:val="Footer"/>
      <w:jc w:val="right"/>
    </w:pPr>
    <w:r>
      <w:fldChar w:fldCharType="begin"/>
    </w:r>
    <w:r>
      <w:instrText xml:space="preserve"> PAGE   \* MERGEFORMAT </w:instrText>
    </w:r>
    <w:r>
      <w:fldChar w:fldCharType="separate"/>
    </w:r>
    <w:r w:rsidR="0019640D">
      <w:rPr>
        <w:noProof/>
      </w:rPr>
      <w:t>20</w:t>
    </w:r>
    <w:r>
      <w:rPr>
        <w:noProof/>
      </w:rPr>
      <w:fldChar w:fldCharType="end"/>
    </w:r>
  </w:p>
  <w:p w14:paraId="19D80287" w14:textId="77777777" w:rsidR="00BE0025" w:rsidRPr="00BB5EAA" w:rsidRDefault="00BE0025" w:rsidP="00BE0025">
    <w:pPr>
      <w:pStyle w:val="Footer"/>
      <w:ind w:right="360"/>
      <w:jc w:val="center"/>
    </w:pPr>
  </w:p>
  <w:p w14:paraId="0EE5B51C" w14:textId="77777777" w:rsidR="00BE0025" w:rsidRDefault="00BE0025">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2F5AD6" w14:textId="044B710D" w:rsidR="00BE0025" w:rsidRDefault="0019640D" w:rsidP="0019640D">
    <w:pPr>
      <w:pStyle w:val="Footer"/>
      <w:rPr>
        <w:sz w:val="17"/>
      </w:rPr>
    </w:pPr>
    <w:bookmarkStart w:id="10" w:name="TITUS2FooterPrimary"/>
    <w:r>
      <w:rPr>
        <w:sz w:val="17"/>
      </w:rPr>
      <w:t> </w:t>
    </w:r>
  </w:p>
  <w:bookmarkEnd w:id="10"/>
  <w:p w14:paraId="40F07C16" w14:textId="77777777" w:rsidR="00BE0025" w:rsidRDefault="00BE0025">
    <w:pPr>
      <w:pStyle w:val="Footer"/>
      <w:jc w:val="right"/>
    </w:pPr>
  </w:p>
  <w:p w14:paraId="51BC8DC5" w14:textId="12E138ED" w:rsidR="00BE0025" w:rsidRDefault="00BE0025">
    <w:pPr>
      <w:pStyle w:val="Footer"/>
      <w:jc w:val="right"/>
    </w:pPr>
    <w:r>
      <w:fldChar w:fldCharType="begin"/>
    </w:r>
    <w:r>
      <w:instrText xml:space="preserve"> PAGE   \* MERGEFORMAT </w:instrText>
    </w:r>
    <w:r>
      <w:fldChar w:fldCharType="separate"/>
    </w:r>
    <w:r w:rsidR="0019640D">
      <w:rPr>
        <w:noProof/>
      </w:rPr>
      <w:t>21</w:t>
    </w:r>
    <w:r>
      <w:rPr>
        <w:noProof/>
      </w:rPr>
      <w:fldChar w:fldCharType="end"/>
    </w:r>
  </w:p>
  <w:p w14:paraId="4997AA17" w14:textId="77777777" w:rsidR="00BE0025" w:rsidRPr="00BB5EAA" w:rsidRDefault="00BE0025"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F747C7" w14:textId="2702B511" w:rsidR="00BE0025" w:rsidRDefault="0019640D" w:rsidP="0019640D">
    <w:pPr>
      <w:pStyle w:val="Footer"/>
      <w:rPr>
        <w:sz w:val="17"/>
      </w:rPr>
    </w:pPr>
    <w:bookmarkStart w:id="12" w:name="TITUS2FooterFirstPage"/>
    <w:r>
      <w:rPr>
        <w:sz w:val="17"/>
      </w:rPr>
      <w:t> </w:t>
    </w:r>
  </w:p>
  <w:bookmarkEnd w:id="12"/>
  <w:p w14:paraId="510AAC55" w14:textId="77777777" w:rsidR="00BE0025" w:rsidRDefault="00BE0025" w:rsidP="00BE0025">
    <w:pPr>
      <w:pStyle w:val="Footer"/>
      <w:jc w:val="right"/>
    </w:pPr>
  </w:p>
  <w:p w14:paraId="0C896F31" w14:textId="10560A3A" w:rsidR="00BE0025" w:rsidRDefault="00BE0025" w:rsidP="00BE0025">
    <w:pPr>
      <w:pStyle w:val="Footer"/>
      <w:jc w:val="right"/>
    </w:pPr>
    <w:r>
      <w:fldChar w:fldCharType="begin"/>
    </w:r>
    <w:r>
      <w:instrText xml:space="preserve"> PAGE   \* MERGEFORMAT </w:instrText>
    </w:r>
    <w:r>
      <w:fldChar w:fldCharType="separate"/>
    </w:r>
    <w:r w:rsidR="0019640D">
      <w:rPr>
        <w:noProof/>
      </w:rPr>
      <w:t>9</w:t>
    </w:r>
    <w:r>
      <w:rPr>
        <w:noProof/>
      </w:rPr>
      <w:fldChar w:fldCharType="end"/>
    </w:r>
  </w:p>
  <w:p w14:paraId="0F7B72BC" w14:textId="77777777" w:rsidR="00BE0025" w:rsidRPr="00BB5EAA" w:rsidRDefault="00BE0025" w:rsidP="00BE0025">
    <w:pPr>
      <w:pStyle w:val="Footer"/>
      <w:ind w:right="360"/>
      <w:jc w:val="center"/>
    </w:pPr>
  </w:p>
  <w:p w14:paraId="2DFC0A31" w14:textId="77777777" w:rsidR="00BE0025" w:rsidRDefault="00BE0025">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4BF0EA" w14:textId="46FD84AF" w:rsidR="00BE0025" w:rsidRDefault="0019640D" w:rsidP="0019640D">
    <w:pPr>
      <w:pStyle w:val="Footer"/>
      <w:rPr>
        <w:sz w:val="17"/>
      </w:rPr>
    </w:pPr>
    <w:bookmarkStart w:id="15" w:name="TITUS3FooterEvenPages"/>
    <w:r>
      <w:rPr>
        <w:sz w:val="17"/>
      </w:rPr>
      <w:t> </w:t>
    </w:r>
  </w:p>
  <w:bookmarkEnd w:id="15"/>
  <w:p w14:paraId="0668BA52" w14:textId="77777777" w:rsidR="00BE0025" w:rsidRDefault="00BE0025" w:rsidP="00BE0025">
    <w:pPr>
      <w:pStyle w:val="Footer"/>
      <w:jc w:val="right"/>
    </w:pPr>
  </w:p>
  <w:p w14:paraId="1E660605" w14:textId="3A020A6D" w:rsidR="00BE0025" w:rsidRDefault="00BE0025" w:rsidP="00BE0025">
    <w:pPr>
      <w:pStyle w:val="Footer"/>
      <w:jc w:val="right"/>
    </w:pPr>
    <w:r>
      <w:fldChar w:fldCharType="begin"/>
    </w:r>
    <w:r>
      <w:instrText xml:space="preserve"> PAGE   \* MERGEFORMAT </w:instrText>
    </w:r>
    <w:r>
      <w:fldChar w:fldCharType="separate"/>
    </w:r>
    <w:r w:rsidR="0019640D">
      <w:rPr>
        <w:noProof/>
      </w:rPr>
      <w:t>28</w:t>
    </w:r>
    <w:r>
      <w:rPr>
        <w:noProof/>
      </w:rPr>
      <w:fldChar w:fldCharType="end"/>
    </w:r>
  </w:p>
  <w:p w14:paraId="4B01AC75" w14:textId="77777777" w:rsidR="00BE0025" w:rsidRPr="00BB5EAA" w:rsidRDefault="00BE0025" w:rsidP="00BE0025">
    <w:pPr>
      <w:pStyle w:val="Footer"/>
      <w:ind w:right="360"/>
      <w:jc w:val="center"/>
    </w:pPr>
  </w:p>
  <w:p w14:paraId="1A41D8A7" w14:textId="77777777" w:rsidR="00BE0025" w:rsidRDefault="00BE0025">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BC9107" w14:textId="22839C80" w:rsidR="00BE0025" w:rsidRDefault="0019640D" w:rsidP="0019640D">
    <w:pPr>
      <w:pStyle w:val="Footer"/>
      <w:rPr>
        <w:sz w:val="17"/>
      </w:rPr>
    </w:pPr>
    <w:bookmarkStart w:id="16" w:name="TITUS3FooterPrimary"/>
    <w:r>
      <w:rPr>
        <w:sz w:val="17"/>
      </w:rPr>
      <w:t> </w:t>
    </w:r>
  </w:p>
  <w:bookmarkEnd w:id="16"/>
  <w:p w14:paraId="27D0EF35" w14:textId="77777777" w:rsidR="00BE0025" w:rsidRDefault="00BE0025">
    <w:pPr>
      <w:pStyle w:val="Footer"/>
      <w:jc w:val="right"/>
    </w:pPr>
  </w:p>
  <w:p w14:paraId="19149BA0" w14:textId="70E1A585" w:rsidR="00BE0025" w:rsidRDefault="00BE0025">
    <w:pPr>
      <w:pStyle w:val="Footer"/>
      <w:jc w:val="right"/>
    </w:pPr>
    <w:r>
      <w:fldChar w:fldCharType="begin"/>
    </w:r>
    <w:r>
      <w:instrText xml:space="preserve"> PAGE   \* MERGEFORMAT </w:instrText>
    </w:r>
    <w:r>
      <w:fldChar w:fldCharType="separate"/>
    </w:r>
    <w:r w:rsidR="0019640D">
      <w:rPr>
        <w:noProof/>
      </w:rPr>
      <w:t>27</w:t>
    </w:r>
    <w:r>
      <w:rPr>
        <w:noProof/>
      </w:rPr>
      <w:fldChar w:fldCharType="end"/>
    </w:r>
  </w:p>
  <w:p w14:paraId="46A31A1F" w14:textId="77777777" w:rsidR="00BE0025" w:rsidRPr="00BB5EAA" w:rsidRDefault="00BE0025"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D19B01" w14:textId="3DF7D50B" w:rsidR="00BE0025" w:rsidRDefault="0019640D" w:rsidP="0019640D">
    <w:pPr>
      <w:pStyle w:val="Footer"/>
      <w:rPr>
        <w:sz w:val="17"/>
      </w:rPr>
    </w:pPr>
    <w:bookmarkStart w:id="18" w:name="TITUS3FooterFirstPage"/>
    <w:r>
      <w:rPr>
        <w:sz w:val="17"/>
      </w:rPr>
      <w:t> </w:t>
    </w:r>
  </w:p>
  <w:bookmarkEnd w:id="18"/>
  <w:p w14:paraId="2EBE60E5" w14:textId="77777777" w:rsidR="00BE0025" w:rsidRDefault="00BE0025" w:rsidP="00BE0025">
    <w:pPr>
      <w:pStyle w:val="Footer"/>
      <w:jc w:val="right"/>
    </w:pPr>
  </w:p>
  <w:p w14:paraId="6134259E" w14:textId="2DEAD66A" w:rsidR="00BE0025" w:rsidRDefault="00BE0025" w:rsidP="00BE0025">
    <w:pPr>
      <w:pStyle w:val="Footer"/>
      <w:jc w:val="right"/>
    </w:pPr>
    <w:r>
      <w:fldChar w:fldCharType="begin"/>
    </w:r>
    <w:r>
      <w:instrText xml:space="preserve"> PAGE   \* MERGEFORMAT </w:instrText>
    </w:r>
    <w:r>
      <w:fldChar w:fldCharType="separate"/>
    </w:r>
    <w:r w:rsidR="0019640D">
      <w:rPr>
        <w:noProof/>
      </w:rPr>
      <w:t>25</w:t>
    </w:r>
    <w:r>
      <w:rPr>
        <w:noProof/>
      </w:rPr>
      <w:fldChar w:fldCharType="end"/>
    </w:r>
  </w:p>
  <w:p w14:paraId="2893F758" w14:textId="77777777" w:rsidR="00BE0025" w:rsidRPr="00BB5EAA" w:rsidRDefault="00BE0025" w:rsidP="00BE0025">
    <w:pPr>
      <w:pStyle w:val="Footer"/>
      <w:ind w:right="360"/>
      <w:jc w:val="center"/>
    </w:pPr>
  </w:p>
  <w:p w14:paraId="17F083AC" w14:textId="77777777" w:rsidR="00BE0025" w:rsidRDefault="00BE00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80EED7" w14:textId="77777777" w:rsidR="00D10419" w:rsidRDefault="00D10419">
      <w:r>
        <w:separator/>
      </w:r>
    </w:p>
  </w:footnote>
  <w:footnote w:type="continuationSeparator" w:id="0">
    <w:p w14:paraId="58F5E15C" w14:textId="77777777" w:rsidR="00D10419" w:rsidRDefault="00D1041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3D6B40" w14:textId="6FF70878" w:rsidR="0019640D" w:rsidRDefault="0019640D" w:rsidP="0019640D">
    <w:pPr>
      <w:pStyle w:val="Header"/>
      <w:rPr>
        <w:sz w:val="17"/>
      </w:rPr>
    </w:pPr>
    <w:bookmarkStart w:id="1" w:name="TITUS1HeaderEvenPages"/>
    <w:r w:rsidRPr="0019640D">
      <w:rPr>
        <w:sz w:val="17"/>
      </w:rPr>
      <w:t> </w:t>
    </w:r>
  </w:p>
  <w:bookmarkEnd w:id="1"/>
  <w:p w14:paraId="4750B17E" w14:textId="77777777" w:rsidR="0019640D" w:rsidRDefault="0019640D" w:rsidP="0019640D">
    <w:pPr>
      <w:pStyle w:val="Header"/>
    </w:pPr>
  </w:p>
  <w:p w14:paraId="153D9B9A" w14:textId="77777777" w:rsidR="00BE0025" w:rsidRDefault="00BE002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754E33" w14:textId="74E5858D" w:rsidR="00BE0025" w:rsidRDefault="0019640D" w:rsidP="0019640D">
    <w:pPr>
      <w:pStyle w:val="Header"/>
      <w:rPr>
        <w:sz w:val="17"/>
      </w:rPr>
    </w:pPr>
    <w:bookmarkStart w:id="2" w:name="TITUS1HeaderPrimary"/>
    <w:r>
      <w:rPr>
        <w:sz w:val="17"/>
      </w:rPr>
      <w:t> </w:t>
    </w:r>
  </w:p>
  <w:bookmarkEnd w:id="2"/>
  <w:p w14:paraId="5525478F" w14:textId="77777777" w:rsidR="00BE0025" w:rsidRDefault="00BE002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6305F3" w14:textId="445ADEAA" w:rsidR="00BE0025" w:rsidRDefault="0019640D" w:rsidP="0019640D">
    <w:pPr>
      <w:pStyle w:val="Header"/>
      <w:rPr>
        <w:sz w:val="17"/>
      </w:rPr>
    </w:pPr>
    <w:bookmarkStart w:id="5" w:name="TITUS1HeaderFirstPage"/>
    <w:r>
      <w:rPr>
        <w:sz w:val="17"/>
      </w:rPr>
      <w:t> </w:t>
    </w:r>
  </w:p>
  <w:bookmarkEnd w:id="5"/>
  <w:p w14:paraId="6073C388" w14:textId="77777777" w:rsidR="00BE0025" w:rsidRDefault="00BE002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55634F" w14:textId="255C62E6" w:rsidR="00BE0025" w:rsidRDefault="0019640D" w:rsidP="0019640D">
    <w:pPr>
      <w:pStyle w:val="Header"/>
      <w:rPr>
        <w:sz w:val="17"/>
      </w:rPr>
    </w:pPr>
    <w:bookmarkStart w:id="7" w:name="TITUS2HeaderEvenPages"/>
    <w:r>
      <w:rPr>
        <w:sz w:val="17"/>
      </w:rPr>
      <w:t> </w:t>
    </w:r>
  </w:p>
  <w:bookmarkEnd w:id="7"/>
  <w:p w14:paraId="02DCDE25" w14:textId="77777777" w:rsidR="00BE0025" w:rsidRDefault="00BE0025" w:rsidP="00BE0025">
    <w:pPr>
      <w:pStyle w:val="Header"/>
    </w:pPr>
  </w:p>
  <w:p w14:paraId="222D66C8" w14:textId="77777777" w:rsidR="00BE0025" w:rsidRDefault="00BE0025">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2D82D2" w14:textId="7161E8B7" w:rsidR="00BE0025" w:rsidRDefault="0019640D" w:rsidP="0019640D">
    <w:pPr>
      <w:pStyle w:val="Header"/>
      <w:rPr>
        <w:sz w:val="17"/>
      </w:rPr>
    </w:pPr>
    <w:bookmarkStart w:id="8" w:name="TITUS2HeaderPrimary"/>
    <w:r>
      <w:rPr>
        <w:sz w:val="17"/>
      </w:rPr>
      <w:t> </w:t>
    </w:r>
  </w:p>
  <w:bookmarkEnd w:id="8"/>
  <w:p w14:paraId="73BC1ECC" w14:textId="77777777" w:rsidR="00BE0025" w:rsidRDefault="00BE0025">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648233" w14:textId="3BEED5E0" w:rsidR="00BE0025" w:rsidRDefault="0019640D" w:rsidP="0019640D">
    <w:pPr>
      <w:pStyle w:val="Header"/>
      <w:rPr>
        <w:sz w:val="17"/>
      </w:rPr>
    </w:pPr>
    <w:bookmarkStart w:id="11" w:name="TITUS2HeaderFirstPage"/>
    <w:r>
      <w:rPr>
        <w:sz w:val="17"/>
      </w:rPr>
      <w:t> </w:t>
    </w:r>
  </w:p>
  <w:bookmarkEnd w:id="11"/>
  <w:p w14:paraId="244516FD" w14:textId="77777777" w:rsidR="00BE0025" w:rsidRDefault="00BE0025" w:rsidP="00BE0025">
    <w:pPr>
      <w:pStyle w:val="Header"/>
    </w:pPr>
  </w:p>
  <w:p w14:paraId="69C47ABF" w14:textId="77777777" w:rsidR="00BE0025" w:rsidRDefault="00BE0025">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65DE38" w14:textId="00A200EC" w:rsidR="00BE0025" w:rsidRDefault="0019640D" w:rsidP="0019640D">
    <w:pPr>
      <w:pStyle w:val="Header"/>
      <w:rPr>
        <w:sz w:val="17"/>
      </w:rPr>
    </w:pPr>
    <w:bookmarkStart w:id="13" w:name="TITUS3HeaderEvenPages"/>
    <w:r>
      <w:rPr>
        <w:sz w:val="17"/>
      </w:rPr>
      <w:t> </w:t>
    </w:r>
  </w:p>
  <w:bookmarkEnd w:id="13"/>
  <w:p w14:paraId="3F921979" w14:textId="77777777" w:rsidR="00BE0025" w:rsidRDefault="00BE0025" w:rsidP="00BE0025">
    <w:pPr>
      <w:pStyle w:val="Header"/>
    </w:pPr>
  </w:p>
  <w:p w14:paraId="790AE59B" w14:textId="77777777" w:rsidR="00BE0025" w:rsidRDefault="00BE0025">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FD632C" w14:textId="3A43E108" w:rsidR="00BE0025" w:rsidRDefault="0019640D" w:rsidP="0019640D">
    <w:pPr>
      <w:pStyle w:val="Header"/>
      <w:rPr>
        <w:sz w:val="17"/>
      </w:rPr>
    </w:pPr>
    <w:bookmarkStart w:id="14" w:name="TITUS3HeaderPrimary"/>
    <w:r>
      <w:rPr>
        <w:sz w:val="17"/>
      </w:rPr>
      <w:t> </w:t>
    </w:r>
  </w:p>
  <w:bookmarkEnd w:id="14"/>
  <w:p w14:paraId="7C01A6F6" w14:textId="77777777" w:rsidR="00BE0025" w:rsidRDefault="00BE0025">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60F2BE" w14:textId="05CC295E" w:rsidR="00BE0025" w:rsidRDefault="0019640D" w:rsidP="0019640D">
    <w:pPr>
      <w:pStyle w:val="Header"/>
      <w:rPr>
        <w:sz w:val="17"/>
      </w:rPr>
    </w:pPr>
    <w:bookmarkStart w:id="17" w:name="TITUS3HeaderFirstPage"/>
    <w:r>
      <w:rPr>
        <w:sz w:val="17"/>
      </w:rPr>
      <w:t> </w:t>
    </w:r>
  </w:p>
  <w:bookmarkEnd w:id="17"/>
  <w:p w14:paraId="7B5F1B60" w14:textId="77777777" w:rsidR="00BE0025" w:rsidRDefault="00BE0025" w:rsidP="00BE0025">
    <w:pPr>
      <w:pStyle w:val="Header"/>
    </w:pPr>
  </w:p>
  <w:p w14:paraId="16808305" w14:textId="77777777" w:rsidR="00BE0025" w:rsidRDefault="00BE002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2"/>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1DE4"/>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9640D"/>
    <w:rsid w:val="001A59BB"/>
    <w:rsid w:val="001A6A51"/>
    <w:rsid w:val="001A79C4"/>
    <w:rsid w:val="001B331A"/>
    <w:rsid w:val="001C0E74"/>
    <w:rsid w:val="001C321F"/>
    <w:rsid w:val="001C6CEC"/>
    <w:rsid w:val="001D229F"/>
    <w:rsid w:val="001D6162"/>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3F6C"/>
    <w:rsid w:val="002E7017"/>
    <w:rsid w:val="002F4F6E"/>
    <w:rsid w:val="003015C3"/>
    <w:rsid w:val="0030698D"/>
    <w:rsid w:val="0031350A"/>
    <w:rsid w:val="0031569E"/>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34AC"/>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C1567"/>
    <w:rsid w:val="005C6CE5"/>
    <w:rsid w:val="005D1743"/>
    <w:rsid w:val="005D2A9A"/>
    <w:rsid w:val="005D3F07"/>
    <w:rsid w:val="005D583E"/>
    <w:rsid w:val="005E13EA"/>
    <w:rsid w:val="005E53BD"/>
    <w:rsid w:val="00606E27"/>
    <w:rsid w:val="006108C9"/>
    <w:rsid w:val="00615C7E"/>
    <w:rsid w:val="0062158D"/>
    <w:rsid w:val="006218FE"/>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106E"/>
    <w:rsid w:val="00964CC6"/>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D30B1"/>
    <w:rsid w:val="00BE0025"/>
    <w:rsid w:val="00BE0F7B"/>
    <w:rsid w:val="00BE10C2"/>
    <w:rsid w:val="00BE4E31"/>
    <w:rsid w:val="00C01D14"/>
    <w:rsid w:val="00C025B4"/>
    <w:rsid w:val="00C11F61"/>
    <w:rsid w:val="00C161FD"/>
    <w:rsid w:val="00C23F17"/>
    <w:rsid w:val="00C26D0D"/>
    <w:rsid w:val="00C27C95"/>
    <w:rsid w:val="00C300D2"/>
    <w:rsid w:val="00C30CE3"/>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0419"/>
    <w:rsid w:val="00D11C62"/>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7FFD"/>
    <w:rsid w:val="00DE556F"/>
    <w:rsid w:val="00DF4CF5"/>
    <w:rsid w:val="00E03B6D"/>
    <w:rsid w:val="00E17160"/>
    <w:rsid w:val="00E27E98"/>
    <w:rsid w:val="00E34061"/>
    <w:rsid w:val="00E35BEC"/>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2E24"/>
    <w:rsid w:val="00FA3764"/>
    <w:rsid w:val="00FA56ED"/>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31EC"/>
    <w:rsid w:val="00FF5F6A"/>
    <w:rsid w:val="00FF6BE0"/>
    <w:rsid w:val="00FF7784"/>
    <w:rsid w:val="00FF7EBB"/>
    <w:rsid w:val="1DD1DFEA"/>
    <w:rsid w:val="31856DE5"/>
    <w:rsid w:val="5A1BC7B5"/>
    <w:rsid w:val="5B63D80E"/>
    <w:rsid w:val="6E85A413"/>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actionfraud.police.uk/a-z-of-fraud/government-agency-scams" TargetMode="External"/><Relationship Id="rId39" Type="http://schemas.openxmlformats.org/officeDocument/2006/relationships/hyperlink" Target="https://assets.publishing.service.gov.uk/government/uploads/system/uploads/attachment_data/file/903473/pace-code-c-2019.pdf" TargetMode="External"/><Relationship Id="rId21" Type="http://schemas.openxmlformats.org/officeDocument/2006/relationships/header" Target="header5.xml"/><Relationship Id="rId34" Type="http://schemas.openxmlformats.org/officeDocument/2006/relationships/hyperlink" Target="https://www.app.college.police.uk/app-content/intelligence-management/intelligence-cycle/" TargetMode="External"/><Relationship Id="rId42" Type="http://schemas.openxmlformats.org/officeDocument/2006/relationships/hyperlink" Target="https://www.justiceinspectorates.gov.uk/hmicfrs/peel-assessments/peel-2018/south-wales/legitimacy/" TargetMode="External"/><Relationship Id="rId47" Type="http://schemas.openxmlformats.org/officeDocument/2006/relationships/hyperlink" Target="https://www.legislation.gov.uk/ukpga/2016/25/section/61" TargetMode="External"/><Relationship Id="rId50" Type="http://schemas.openxmlformats.org/officeDocument/2006/relationships/hyperlink" Target="https://www.ons.gov.uk/businessindustryandtrade/itandinternetindustry/bulletins/internetusers/2019" TargetMode="External"/><Relationship Id="rId55" Type="http://schemas.openxmlformats.org/officeDocument/2006/relationships/header" Target="header7.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yperlink" Target="https://data.actionfraud.police.uk/cms/wp-content/uploads/2019/01/South-Wales_Fraud.pdf" TargetMode="External"/><Relationship Id="rId41" Type="http://schemas.openxmlformats.org/officeDocument/2006/relationships/hyperlink" Target="https://www.justiceinspectorates.gov.uk/hmicfrs/glossary/organisational-justice/" TargetMode="External"/><Relationship Id="rId54" Type="http://schemas.openxmlformats.org/officeDocument/2006/relationships/hyperlink" Target="https://www.cam.ac.uk/research/news/domestic-abuse-workshops-reduce-repeat-offending-and-harm-to-public-study"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ww.bbc.co.uk/news/business-55126228" TargetMode="External"/><Relationship Id="rId37" Type="http://schemas.openxmlformats.org/officeDocument/2006/relationships/hyperlink" Target="https://www.dorset.police.uk/media/54580/repeat-victimisation-p19-2003-v110-external.pdf" TargetMode="External"/><Relationship Id="rId40" Type="http://schemas.openxmlformats.org/officeDocument/2006/relationships/hyperlink" Target="https://assets.publishing.service.gov.uk/government/uploads/system/uploads/attachment_data/file/405397/6.379_Supporting_guidance_web_doc_v3.pdf" TargetMode="External"/><Relationship Id="rId45" Type="http://schemas.openxmlformats.org/officeDocument/2006/relationships/hyperlink" Target="https://www.legislation.gov.uk/ukpga/1988/27/section/1" TargetMode="External"/><Relationship Id="rId53" Type="http://schemas.openxmlformats.org/officeDocument/2006/relationships/hyperlink" Target="https://www.south-wales.police.uk/police-forces/south-wales-police/areas/about-us/about-us/our-vision-values-and-ethics/" TargetMode="External"/><Relationship Id="rId58" Type="http://schemas.openxmlformats.org/officeDocument/2006/relationships/footer" Target="footer8.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data.actionfraud.police.uk/cms/wp-content/uploads/2019/06/South-Wales-Cyber-2019.pdf" TargetMode="External"/><Relationship Id="rId36" Type="http://schemas.openxmlformats.org/officeDocument/2006/relationships/hyperlink" Target="https://www.crimeandjustice.org.uk/sites/crimeandjustice.org.uk/files/09627250608553400.pdf" TargetMode="External"/><Relationship Id="rId49" Type="http://schemas.openxmlformats.org/officeDocument/2006/relationships/hyperlink" Target="https://www.nhs.uk/conditions/post-partum-psychosis/" TargetMode="External"/><Relationship Id="rId57" Type="http://schemas.openxmlformats.org/officeDocument/2006/relationships/footer" Target="footer7.xml"/><Relationship Id="rId61"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ageuk.org.uk/globalassets/age-uk/documents/reports-and-publications/reports-and-briefings/safe-at-home/age_uk_briefing_fraud_and_scams_sept_2016.pdf" TargetMode="External"/><Relationship Id="rId44" Type="http://schemas.openxmlformats.org/officeDocument/2006/relationships/hyperlink" Target="https://www.legislation.gov.uk/ukpga/1989/41/section/46/2014-04-22" TargetMode="External"/><Relationship Id="rId52" Type="http://schemas.openxmlformats.org/officeDocument/2006/relationships/hyperlink" Target="https://safelives.org.uk/sites/default/files/resources/National%20definition%20of%20IDVA%20work%20FINAL.pdf" TargetMode="External"/><Relationship Id="rId60"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actionfraud.police.uk/what-we-do-with-your-information" TargetMode="External"/><Relationship Id="rId30" Type="http://schemas.openxmlformats.org/officeDocument/2006/relationships/hyperlink" Target="https://www.adass.org.uk/AdassMedia/stories/Publications/Guidance/safeguarding.pdf" TargetMode="External"/><Relationship Id="rId35" Type="http://schemas.openxmlformats.org/officeDocument/2006/relationships/hyperlink" Target="https://www.college.police.uk/What-we-do/Development/Vulnerability/Pages/Vulnerability.aspx" TargetMode="External"/><Relationship Id="rId43" Type="http://schemas.openxmlformats.org/officeDocument/2006/relationships/hyperlink" Target="https://www.legislation.gov.uk/ukpga/1968/60/section/8" TargetMode="External"/><Relationship Id="rId48" Type="http://schemas.openxmlformats.org/officeDocument/2006/relationships/hyperlink" Target="https://www.legislation.gov.uk/ukpga/2007/27/schedule/1" TargetMode="External"/><Relationship Id="rId56" Type="http://schemas.openxmlformats.org/officeDocument/2006/relationships/header" Target="header8.xml"/><Relationship Id="rId8" Type="http://schemas.openxmlformats.org/officeDocument/2006/relationships/webSettings" Target="webSettings.xml"/><Relationship Id="rId51" Type="http://schemas.openxmlformats.org/officeDocument/2006/relationships/hyperlink" Target="https://www.rbs.com/rbs/news/2017/11/young-people-more-likely-to-become-victims-of-online-fraud.html"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www.college.police.uk/What-we-do/Ethics/Ethics-home/Documents/Code_of_Ethics.pdf" TargetMode="External"/><Relationship Id="rId38" Type="http://schemas.openxmlformats.org/officeDocument/2006/relationships/hyperlink" Target="http://www.dyfedpowys-pcc.org.uk/en/news/press-releases/dyfed-powys-police-leads-the-way-in-supporting-vulnerable-victims-of-fraud/" TargetMode="External"/><Relationship Id="rId46" Type="http://schemas.openxmlformats.org/officeDocument/2006/relationships/hyperlink" Target="https://www.legislation.gov.uk/ukpga/2007/27/section/2" TargetMode="External"/><Relationship Id="rId59" Type="http://schemas.openxmlformats.org/officeDocument/2006/relationships/header" Target="header9.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2e89cfda-a374-4413-9f0d-8b601eddeb70"/>
    <ds:schemaRef ds:uri="http://purl.org/dc/terms/"/>
    <ds:schemaRef ds:uri="http://schemas.openxmlformats.org/package/2006/metadata/core-properties"/>
    <ds:schemaRef ds:uri="1ecf5648-3750-43f5-867d-bfaa16e6e17e"/>
    <ds:schemaRef ds:uri="http://www.w3.org/XML/1998/namespace"/>
  </ds:schemaRefs>
</ds:datastoreItem>
</file>

<file path=customXml/itemProps4.xml><?xml version="1.0" encoding="utf-8"?>
<ds:datastoreItem xmlns:ds="http://schemas.openxmlformats.org/officeDocument/2006/customXml" ds:itemID="{DD39E895-5EFE-41EF-BA09-3434A00285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490</TotalTime>
  <Pages>28</Pages>
  <Words>7617</Words>
  <Characters>46793</Characters>
  <Application>Microsoft Office Word</Application>
  <DocSecurity>0</DocSecurity>
  <Lines>389</Lines>
  <Paragraphs>108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Griffiths,David swp6465</cp:lastModifiedBy>
  <cp:revision>4</cp:revision>
  <cp:lastPrinted>2014-08-26T08:55:00Z</cp:lastPrinted>
  <dcterms:created xsi:type="dcterms:W3CDTF">2020-09-25T23:01:00Z</dcterms:created>
  <dcterms:modified xsi:type="dcterms:W3CDTF">2020-12-14T03:37:00Z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2140da8b-aca4-449f-823b-2ded9fbc1854</vt:lpwstr>
  </property>
  <property fmtid="{D5CDD505-2E9C-101B-9397-08002B2CF9AE}" pid="4" name="Classification">
    <vt:lpwstr>OFFICIAL</vt:lpwstr>
  </property>
  <property fmtid="{D5CDD505-2E9C-101B-9397-08002B2CF9AE}" pid="5" name="Visibility">
    <vt:lpwstr>NOT VISIBLE</vt:lpwstr>
  </property>
</Properties>
</file>