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988CD2" w14:textId="4D7079FC" w:rsidR="00630CEA" w:rsidRDefault="00630CEA">
      <w:r>
        <w:t xml:space="preserve">Assignment 2- Duress and undue influence </w:t>
      </w:r>
    </w:p>
    <w:p w14:paraId="2749B768" w14:textId="23E9A99E" w:rsidR="00092D87" w:rsidRDefault="00630CEA" w:rsidP="009640F9">
      <w:r>
        <w:t xml:space="preserve">When looking at the topic of duress it is important to establish that the doctrine of duress manifestants when the defendant or persons attempting to make the contract uses some form of coercion in order to get the other party to partake in the formation of a contract. One of the more popular ways in which a person does this economic duress. This is still a relevantly new concept however the UK courts recognise that an individual should receive some protection when put under duress from the offending party. There must however be a substantial amount of pressure put on the victim of duress which leaves them no legitimate choice other than to </w:t>
      </w:r>
      <w:r w:rsidR="00E40A8D">
        <w:t>enter</w:t>
      </w:r>
      <w:r>
        <w:t xml:space="preserve"> the contract. This however suggests that the victim must show some evidence of opposition to the terms set out to them by the offending party.</w:t>
      </w:r>
      <w:r w:rsidR="007920F3">
        <w:t xml:space="preserve"> The modern view on this concept comes from R v </w:t>
      </w:r>
      <w:proofErr w:type="spellStart"/>
      <w:r w:rsidR="007920F3">
        <w:t>Attourny</w:t>
      </w:r>
      <w:proofErr w:type="spellEnd"/>
      <w:r w:rsidR="007920F3">
        <w:t xml:space="preserve"> General for England and Wales [2003]. Lord Hoffman of the privy council referred back to the </w:t>
      </w:r>
      <w:r w:rsidR="008A5F50">
        <w:t xml:space="preserve">economic duress” case </w:t>
      </w:r>
      <w:bookmarkStart w:id="0" w:name="_Hlk70811469"/>
      <w:r w:rsidR="008A5F50">
        <w:t xml:space="preserve">of Universe Tankships Inc of Monrovia v International Transport Workers’ Federation, “The Universe </w:t>
      </w:r>
      <w:proofErr w:type="spellStart"/>
      <w:r w:rsidR="008A5F50">
        <w:t>Sentinal</w:t>
      </w:r>
      <w:proofErr w:type="spellEnd"/>
      <w:r w:rsidR="008A5F50">
        <w:t>” [1983]</w:t>
      </w:r>
      <w:bookmarkEnd w:id="0"/>
      <w:r w:rsidR="00FF5FEA">
        <w:t xml:space="preserve">. This case reiterates the individual under duress must express some </w:t>
      </w:r>
      <w:proofErr w:type="spellStart"/>
      <w:r w:rsidR="00FF5FEA">
        <w:t>from</w:t>
      </w:r>
      <w:proofErr w:type="spellEnd"/>
      <w:r w:rsidR="00FF5FEA">
        <w:t xml:space="preserve"> of vulnerability. Whether that be lack of a legitimate choice or a significant choice that induced the individual (Poole, 2014). </w:t>
      </w:r>
      <w:r w:rsidR="00250958">
        <w:t xml:space="preserve">Undue influence on the other hand can be projected in two ways the first of which is “actual undue influence” which is similar to the concept of duress. It </w:t>
      </w:r>
      <w:r w:rsidR="005D4C0F">
        <w:t>stems</w:t>
      </w:r>
      <w:r w:rsidR="00250958">
        <w:t xml:space="preserve"> from when one of the parties exerts </w:t>
      </w:r>
      <w:r w:rsidR="00D32401">
        <w:t xml:space="preserve">illegitimate pressure over the other. The second of which is when there is evidence that presumes that undue influence has been used in order to </w:t>
      </w:r>
      <w:r w:rsidR="007920F3">
        <w:t xml:space="preserve">sway the other </w:t>
      </w:r>
      <w:r w:rsidR="005D4C0F">
        <w:t>party’s</w:t>
      </w:r>
      <w:r w:rsidR="007920F3">
        <w:t xml:space="preserve"> position on the contract. A way in which this may occur is through the defending </w:t>
      </w:r>
      <w:r w:rsidR="005D4C0F">
        <w:t>party’s</w:t>
      </w:r>
      <w:r w:rsidR="007920F3">
        <w:t xml:space="preserve"> action they be classed as suspicious and require an explanation (Poole, 2014). </w:t>
      </w:r>
      <w:r>
        <w:t xml:space="preserve"> </w:t>
      </w:r>
    </w:p>
    <w:p w14:paraId="09D22759" w14:textId="27A5BF82" w:rsidR="00F83249" w:rsidRDefault="00092D87" w:rsidP="001B7474">
      <w:r>
        <w:t>C</w:t>
      </w:r>
      <w:r w:rsidR="006C6B2D">
        <w:t xml:space="preserve">ommon law as used in </w:t>
      </w:r>
      <w:proofErr w:type="spellStart"/>
      <w:r w:rsidR="006C6B2D">
        <w:t>Skeate</w:t>
      </w:r>
      <w:proofErr w:type="spellEnd"/>
      <w:r w:rsidR="006C6B2D">
        <w:t xml:space="preserve"> v Beal (1840) </w:t>
      </w:r>
      <w:r>
        <w:t xml:space="preserve">relates to a </w:t>
      </w:r>
      <w:r w:rsidR="006C6B2D">
        <w:t>physical threat</w:t>
      </w:r>
      <w:r>
        <w:t xml:space="preserve"> made</w:t>
      </w:r>
      <w:r w:rsidR="006C6B2D">
        <w:t xml:space="preserve"> to </w:t>
      </w:r>
      <w:r>
        <w:t>one’s</w:t>
      </w:r>
      <w:r w:rsidR="006C6B2D">
        <w:t xml:space="preserve"> property did not constitute to duress</w:t>
      </w:r>
      <w:r>
        <w:t xml:space="preserve"> (Winder, 1939)</w:t>
      </w:r>
      <w:r w:rsidR="006C6B2D">
        <w:t>.</w:t>
      </w:r>
      <w:r w:rsidR="00F736CF">
        <w:t xml:space="preserve"> </w:t>
      </w:r>
      <w:r w:rsidR="00F736CF" w:rsidRPr="00F736CF">
        <w:t xml:space="preserve">Occidental Worldwide Investment Corp v </w:t>
      </w:r>
      <w:proofErr w:type="spellStart"/>
      <w:r w:rsidR="00F736CF" w:rsidRPr="00F736CF">
        <w:t>Skibs</w:t>
      </w:r>
      <w:proofErr w:type="spellEnd"/>
      <w:r w:rsidR="00F736CF" w:rsidRPr="00F736CF">
        <w:t xml:space="preserve"> A/S Avanti (The </w:t>
      </w:r>
      <w:proofErr w:type="spellStart"/>
      <w:r w:rsidR="00F736CF" w:rsidRPr="00F736CF">
        <w:t>Sibeon</w:t>
      </w:r>
      <w:proofErr w:type="spellEnd"/>
      <w:r w:rsidR="00F736CF" w:rsidRPr="00F736CF">
        <w:t xml:space="preserve"> and The </w:t>
      </w:r>
      <w:proofErr w:type="spellStart"/>
      <w:r w:rsidR="00F736CF" w:rsidRPr="00F736CF">
        <w:t>Sibotre</w:t>
      </w:r>
      <w:proofErr w:type="spellEnd"/>
      <w:r w:rsidR="00F736CF" w:rsidRPr="00F736CF">
        <w:t>) [1976]</w:t>
      </w:r>
      <w:r w:rsidR="00F736CF">
        <w:t xml:space="preserve"> Lord Kerr confessed his opposition on the common law idea set out in </w:t>
      </w:r>
      <w:proofErr w:type="spellStart"/>
      <w:r w:rsidR="00F736CF">
        <w:t>Skeate</w:t>
      </w:r>
      <w:proofErr w:type="spellEnd"/>
      <w:r w:rsidR="00F736CF">
        <w:t xml:space="preserve"> v Beal (1840). Lord Kerr </w:t>
      </w:r>
      <w:r w:rsidR="00365AC9">
        <w:t>coined</w:t>
      </w:r>
      <w:r w:rsidR="00F736CF">
        <w:t xml:space="preserve"> a </w:t>
      </w:r>
      <w:r w:rsidR="002B5925">
        <w:t>two-step</w:t>
      </w:r>
      <w:r w:rsidR="00F736CF">
        <w:t xml:space="preserve"> test that suggested that physical duress could exist within commercial practise. </w:t>
      </w:r>
      <w:r w:rsidR="00FA2BD3">
        <w:t xml:space="preserve">The first of which is finding evidence that the victim protested at the time the terms were agreed upon. The second is </w:t>
      </w:r>
      <w:r>
        <w:t>whether</w:t>
      </w:r>
      <w:r w:rsidR="00FA2BD3">
        <w:t xml:space="preserve"> the victim considered the terms to be settled and if they had a chance to negotiate the terms set out for them</w:t>
      </w:r>
      <w:r w:rsidR="00AD7553">
        <w:t xml:space="preserve"> (O’Sullivan, 2012)</w:t>
      </w:r>
      <w:r w:rsidR="00FA2BD3">
        <w:t>.</w:t>
      </w:r>
      <w:r w:rsidR="00365AC9">
        <w:t xml:space="preserve"> The move away from </w:t>
      </w:r>
      <w:proofErr w:type="spellStart"/>
      <w:r w:rsidR="00365AC9">
        <w:t>Skeate</w:t>
      </w:r>
      <w:proofErr w:type="spellEnd"/>
      <w:r w:rsidR="00365AC9">
        <w:t xml:space="preserve"> v Beal (1840) comes as no surprise to academics as looking back in hindsight it incorporated economic and physical threats a</w:t>
      </w:r>
      <w:r w:rsidR="00C310A8">
        <w:t>s well as</w:t>
      </w:r>
      <w:r w:rsidR="00365AC9">
        <w:t xml:space="preserve"> </w:t>
      </w:r>
      <w:r w:rsidR="00C310A8">
        <w:t>illegitimate</w:t>
      </w:r>
      <w:r w:rsidR="00365AC9">
        <w:t xml:space="preserve"> </w:t>
      </w:r>
      <w:r w:rsidR="00C310A8">
        <w:t>pressure</w:t>
      </w:r>
      <w:r w:rsidR="00B92F25">
        <w:t xml:space="preserve"> (Poole, 2014)</w:t>
      </w:r>
      <w:r w:rsidR="00C310A8">
        <w:t xml:space="preserve">. This is an important case as it allowed the courts to change their direction to </w:t>
      </w:r>
      <w:r>
        <w:t>focus on</w:t>
      </w:r>
      <w:r w:rsidR="00C310A8">
        <w:t xml:space="preserve"> what can cause an individual to experience duress.</w:t>
      </w:r>
      <w:r w:rsidR="00FA2BD3">
        <w:t xml:space="preserve"> </w:t>
      </w:r>
      <w:r w:rsidR="002B5925">
        <w:t xml:space="preserve">The physical duress </w:t>
      </w:r>
      <w:r w:rsidR="00365AC9">
        <w:t>in a literal sense can be seen in</w:t>
      </w:r>
      <w:r w:rsidR="002B5925">
        <w:t xml:space="preserve"> the case of </w:t>
      </w:r>
      <w:r w:rsidR="002B5925" w:rsidRPr="002B5925">
        <w:t>Barton v Armstrong (1976)</w:t>
      </w:r>
      <w:r w:rsidR="002B5925">
        <w:t xml:space="preserve"> this case holds relevance because it shows that the courts are </w:t>
      </w:r>
      <w:r>
        <w:t>careful</w:t>
      </w:r>
      <w:r w:rsidR="002B5925">
        <w:t xml:space="preserve"> on their approach to duress when an act of aggression towards another individual coerces a party into a contract. Lord Cross </w:t>
      </w:r>
      <w:r w:rsidR="00F82160">
        <w:t>alluded</w:t>
      </w:r>
      <w:r w:rsidR="002B5925">
        <w:t xml:space="preserve"> to the facts of this case suggesting that the conduct of the defendant would have caused the duress of plaintiff. Furthermore, it cannot be understated that if the facts of the case </w:t>
      </w:r>
      <w:r w:rsidR="00042395">
        <w:t xml:space="preserve">were truthful </w:t>
      </w:r>
      <w:r w:rsidR="002B5925">
        <w:t>then the only option for the courts would be to make the contract void</w:t>
      </w:r>
      <w:r w:rsidR="00365AC9">
        <w:t xml:space="preserve"> (Stone, 2011)</w:t>
      </w:r>
      <w:r w:rsidR="002B5925">
        <w:t xml:space="preserve">. </w:t>
      </w:r>
      <w:r w:rsidR="0020527F">
        <w:t>Economic duress is summed up in the case of</w:t>
      </w:r>
      <w:r w:rsidR="0020527F" w:rsidRPr="0020527F">
        <w:t xml:space="preserve"> Pao On v Lau You Long (1980)</w:t>
      </w:r>
      <w:r w:rsidR="001B7474">
        <w:t xml:space="preserve"> and to a lesser extent North Ocean Shipping Co Ltd v Hyundai Construction Co Ltd (The Atlantic Baron) (1979</w:t>
      </w:r>
      <w:r w:rsidR="005D4C0F">
        <w:t>)</w:t>
      </w:r>
      <w:r w:rsidR="0020527F">
        <w:t>. Lord Scarman quotes that “there must be a coercion of will such that there was no true consent… it must show that the contract entered into was not a voluntary act”. This is of major importance as it shows that the defendant had no other alternative for the company.</w:t>
      </w:r>
      <w:r w:rsidR="00343CF4">
        <w:t xml:space="preserve"> Furthermore, Scarman points out that that the conduct taken by the wrongdoer must result in the plaintiff feeling as if they have no other option available to them (Finch, 2017).</w:t>
      </w:r>
      <w:r w:rsidR="0020527F">
        <w:t xml:space="preserve"> </w:t>
      </w:r>
      <w:r w:rsidR="00B2541B">
        <w:t xml:space="preserve">In all it is important to </w:t>
      </w:r>
      <w:r w:rsidR="00F82160">
        <w:t>realise</w:t>
      </w:r>
      <w:r w:rsidR="00B2541B">
        <w:t xml:space="preserve"> that the concept of duress does not </w:t>
      </w:r>
      <w:r w:rsidR="00343CF4">
        <w:t>link</w:t>
      </w:r>
      <w:r w:rsidR="00B2541B">
        <w:t xml:space="preserve"> to the idea of consent</w:t>
      </w:r>
      <w:r w:rsidR="00343CF4">
        <w:t xml:space="preserve"> the courts do not constitute legitimate business pressure as duress</w:t>
      </w:r>
      <w:r w:rsidR="00B2541B">
        <w:t xml:space="preserve">. This can be seen in both </w:t>
      </w:r>
      <w:proofErr w:type="spellStart"/>
      <w:r w:rsidR="00B2541B">
        <w:t>Dimskal</w:t>
      </w:r>
      <w:proofErr w:type="spellEnd"/>
      <w:r w:rsidR="00B2541B">
        <w:t xml:space="preserve"> Shipping Co. SA v international Transport Workers’ Federation, The Evia Luck [1991] and </w:t>
      </w:r>
      <w:r w:rsidR="00B2541B" w:rsidRPr="00B2541B">
        <w:t xml:space="preserve">of </w:t>
      </w:r>
      <w:bookmarkStart w:id="1" w:name="_Hlk71229201"/>
      <w:r w:rsidR="00B2541B" w:rsidRPr="00B2541B">
        <w:t xml:space="preserve">Universe Tankships Inc of Monrovia v International Transport Workers’ Federation, “The Universe </w:t>
      </w:r>
      <w:proofErr w:type="spellStart"/>
      <w:r w:rsidR="00B2541B" w:rsidRPr="00B2541B">
        <w:t>Sentinal</w:t>
      </w:r>
      <w:proofErr w:type="spellEnd"/>
      <w:r w:rsidR="00B2541B" w:rsidRPr="00B2541B">
        <w:t>” [1983]</w:t>
      </w:r>
      <w:bookmarkEnd w:id="1"/>
      <w:r w:rsidR="00343CF4">
        <w:t xml:space="preserve"> (Turner, 2014) </w:t>
      </w:r>
      <w:r w:rsidR="00343CF4">
        <w:lastRenderedPageBreak/>
        <w:t>(Peel,2014)</w:t>
      </w:r>
      <w:r w:rsidR="00B2541B">
        <w:t xml:space="preserve">. These two cases both the house of lords and Lords Diplock and Scarman agree that the plaintiffs are not unaware of the terms of which the contract consists. They are more likely to agree to these terms if they are left with “no reasonable choice” </w:t>
      </w:r>
      <w:r w:rsidR="00E561FB">
        <w:t>other than</w:t>
      </w:r>
      <w:r w:rsidR="00B2541B">
        <w:t xml:space="preserve"> to accept the terms.</w:t>
      </w:r>
      <w:r w:rsidR="00E561FB">
        <w:t xml:space="preserve"> Consideration is an important principle to focus on when focusing on duress. Atlas Express Ltd v </w:t>
      </w:r>
      <w:proofErr w:type="spellStart"/>
      <w:r w:rsidR="00E561FB">
        <w:t>Kafco</w:t>
      </w:r>
      <w:proofErr w:type="spellEnd"/>
      <w:r w:rsidR="00E561FB">
        <w:t xml:space="preserve"> (Importers and Distributors) Ltd</w:t>
      </w:r>
      <w:r w:rsidR="009A2CA8">
        <w:t xml:space="preserve"> (1989)</w:t>
      </w:r>
      <w:r w:rsidR="00E561FB">
        <w:t xml:space="preserve"> highlights the facts that consideration cannot be defined by the performance of an existing duty. This would be unjust as performing this duty provides no legal benefits or detriment. This case is considered by academics as being restrictive in its approach to consideration.</w:t>
      </w:r>
      <w:r w:rsidR="009B6387">
        <w:t xml:space="preserve"> Mo</w:t>
      </w:r>
      <w:r w:rsidR="00E40A8D">
        <w:t>r</w:t>
      </w:r>
      <w:r w:rsidR="009B6387">
        <w:t xml:space="preserve">eover, this case deals the facts that the scale of the operation is of utmost importance due </w:t>
      </w:r>
      <w:r w:rsidR="00E40A8D">
        <w:t>to</w:t>
      </w:r>
      <w:r w:rsidR="009B6387">
        <w:t xml:space="preserve"> Atlas being able to pay extra fees </w:t>
      </w:r>
      <w:r w:rsidR="009A2CA8">
        <w:t>to</w:t>
      </w:r>
      <w:r w:rsidR="009B6387">
        <w:t xml:space="preserve"> dock at that specific location. The case of Carillion Construction Ltd v Felix (UK) Ltd suggests that Carillion was required to pay Felix excess amounts for damages to ensure that they would not be liquidated.</w:t>
      </w:r>
      <w:r w:rsidR="009640F9" w:rsidRPr="009640F9">
        <w:t xml:space="preserve"> </w:t>
      </w:r>
      <w:r w:rsidR="009640F9">
        <w:t>Williams v Roffey Bros and Nicholls (Contractors) Ltd serves as a testament to how the courts continue this idea of consideration. This case illus</w:t>
      </w:r>
      <w:r w:rsidR="00AC70DD">
        <w:t xml:space="preserve">trates that consideration is important even when it is a possibility that duress has occurred. For example, both parties have benefited then no duress has </w:t>
      </w:r>
      <w:r w:rsidR="009B6387">
        <w:t>occurred,</w:t>
      </w:r>
      <w:r w:rsidR="00AC70DD">
        <w:t xml:space="preserve"> and the plaintiff has earned the outstanding amount based on the amount of work done. Furthermore, if the contract has been to the detriment of neither or both parties then </w:t>
      </w:r>
      <w:r w:rsidR="009B6387">
        <w:t>duress</w:t>
      </w:r>
      <w:r w:rsidR="00AC70DD">
        <w:t xml:space="preserve"> has not occurred. </w:t>
      </w:r>
      <w:bookmarkStart w:id="2" w:name="_Hlk70965581"/>
      <w:r w:rsidR="00097B0B" w:rsidRPr="00097B0B">
        <w:t xml:space="preserve">DSND Subsea Limited v Petroleum </w:t>
      </w:r>
      <w:proofErr w:type="spellStart"/>
      <w:r w:rsidR="00097B0B" w:rsidRPr="00097B0B">
        <w:t>Geo Services</w:t>
      </w:r>
      <w:proofErr w:type="spellEnd"/>
      <w:r w:rsidR="00097B0B" w:rsidRPr="00097B0B">
        <w:t xml:space="preserve"> ASA (2000)</w:t>
      </w:r>
      <w:r w:rsidR="00097B0B">
        <w:t xml:space="preserve"> </w:t>
      </w:r>
      <w:bookmarkEnd w:id="2"/>
      <w:r w:rsidR="00097B0B">
        <w:t xml:space="preserve">holds relevance in the sense of economic duress as it expands on the point of voluntary consent. This concept is explored by Justice Dyson who is adamant that there must be an element of pressure being put on the victim that compels them to enter into the agreement with the offending party such pressure must be </w:t>
      </w:r>
      <w:r w:rsidR="009B6387">
        <w:t>constituted</w:t>
      </w:r>
      <w:r w:rsidR="00097B0B">
        <w:t xml:space="preserve"> to illegitimacy</w:t>
      </w:r>
      <w:r w:rsidR="009B6387">
        <w:t xml:space="preserve"> (Poole, 2014)</w:t>
      </w:r>
      <w:r w:rsidR="00097B0B">
        <w:t>. Expanding on this principle is B and S Contracts</w:t>
      </w:r>
      <w:r w:rsidR="00A77563">
        <w:t xml:space="preserve"> </w:t>
      </w:r>
      <w:r w:rsidR="00097B0B">
        <w:t xml:space="preserve">and Design Ltd v Victor Green Publications. Lord Justice Kerr states that </w:t>
      </w:r>
      <w:r w:rsidR="009F1B80">
        <w:t xml:space="preserve">a threat to break the terms issued by the contract is not always considered to be Duress. It is paramount to look more closely at the facts to identify </w:t>
      </w:r>
      <w:r w:rsidR="009C3DB6">
        <w:t>whether</w:t>
      </w:r>
      <w:r w:rsidR="009F1B80">
        <w:t xml:space="preserve"> the refusal to carry out the work promised directly effects the </w:t>
      </w:r>
      <w:r w:rsidR="006278F0">
        <w:t>plaintiff’s</w:t>
      </w:r>
      <w:r w:rsidR="009F1B80">
        <w:t xml:space="preserve"> ability to find a more reasonable alternative. </w:t>
      </w:r>
    </w:p>
    <w:p w14:paraId="0B36188D" w14:textId="2A28E278" w:rsidR="00920CD8" w:rsidRDefault="00984E21" w:rsidP="009640F9">
      <w:r>
        <w:t xml:space="preserve">The traditional take on undue influence comes from Barclays Bank plc v O’Brian [1994] and </w:t>
      </w:r>
      <w:bookmarkStart w:id="3" w:name="_Hlk70987510"/>
      <w:r>
        <w:t>Bank of Credit and Commerce International SA v Aboody [1990]</w:t>
      </w:r>
      <w:bookmarkEnd w:id="3"/>
      <w:r>
        <w:t xml:space="preserve"> in which the court of justice identified the two classifications of undue influence</w:t>
      </w:r>
      <w:r w:rsidR="005B558B">
        <w:t xml:space="preserve"> (Hoffman, 1999)</w:t>
      </w:r>
      <w:r>
        <w:t xml:space="preserve">. Actual undue influence which deals with the issue of </w:t>
      </w:r>
      <w:r w:rsidR="006278F0">
        <w:t>one-party</w:t>
      </w:r>
      <w:r>
        <w:t xml:space="preserve"> exerting pressure on another party </w:t>
      </w:r>
      <w:r w:rsidR="009A2CA8">
        <w:t>to</w:t>
      </w:r>
      <w:r>
        <w:t xml:space="preserve"> convince them to enter into a contract</w:t>
      </w:r>
      <w:r w:rsidR="00C666C9">
        <w:t xml:space="preserve"> (Charman, 2007) (O’Sullivan, 2012)</w:t>
      </w:r>
      <w:r>
        <w:t xml:space="preserve">. </w:t>
      </w:r>
      <w:r w:rsidR="00D81A3A">
        <w:t>The second classification is that there must me a substantial amount of evidence to suggests that undue influence was present at the time of entering said contract.</w:t>
      </w:r>
      <w:r w:rsidR="00BA6D07">
        <w:t xml:space="preserve"> </w:t>
      </w:r>
      <w:r w:rsidR="00F8799B">
        <w:t xml:space="preserve">In terms of actual undue influence Lord Nicholls in </w:t>
      </w:r>
      <w:r w:rsidR="00F8799B" w:rsidRPr="00F8799B">
        <w:t xml:space="preserve">Royal Bank of Scotland plc v </w:t>
      </w:r>
      <w:proofErr w:type="spellStart"/>
      <w:r w:rsidR="00F8799B" w:rsidRPr="00F8799B">
        <w:t>Etridge</w:t>
      </w:r>
      <w:proofErr w:type="spellEnd"/>
      <w:r w:rsidR="00F8799B" w:rsidRPr="00F8799B">
        <w:t xml:space="preserve"> (No.2) [2001]</w:t>
      </w:r>
      <w:r w:rsidR="00F8799B">
        <w:t xml:space="preserve"> expresses how difficult it is </w:t>
      </w:r>
      <w:r w:rsidR="00086428">
        <w:t>t</w:t>
      </w:r>
      <w:r w:rsidR="00F8799B">
        <w:t>o define actual undue influence in the context of husband and wife</w:t>
      </w:r>
      <w:r w:rsidR="00086428">
        <w:t xml:space="preserve"> when attempting to apply the previous classifications</w:t>
      </w:r>
      <w:r w:rsidR="00F8799B">
        <w:t xml:space="preserve">. It cannot be denied that situations like this will occur as the result of an individual negatively influencing another. This is because influence between married couples generally </w:t>
      </w:r>
      <w:r w:rsidR="00010DC2">
        <w:t>is</w:t>
      </w:r>
      <w:r w:rsidR="00F8799B">
        <w:t xml:space="preserve"> unlikely to be passing any sort of boundary</w:t>
      </w:r>
      <w:r w:rsidR="00086428">
        <w:t xml:space="preserve"> that can be seen as malpractice by the courts</w:t>
      </w:r>
      <w:r w:rsidR="006278F0">
        <w:t xml:space="preserve"> (Poole,2014)</w:t>
      </w:r>
      <w:r w:rsidR="00F8799B">
        <w:t xml:space="preserve">. Despite this it is recognised that proposed transactions are treated differently. This exists when one individual within the couple who has unduly influenced the other </w:t>
      </w:r>
      <w:r w:rsidR="005B558B">
        <w:t>to</w:t>
      </w:r>
      <w:r w:rsidR="00F8799B">
        <w:t xml:space="preserve"> gain full financial control. This may occur forcibly or if the individual relies on the offender to make all financial decisions</w:t>
      </w:r>
      <w:r w:rsidR="00086428">
        <w:t>,</w:t>
      </w:r>
      <w:r w:rsidR="00F8799B">
        <w:t xml:space="preserve"> </w:t>
      </w:r>
      <w:r w:rsidR="009027C6">
        <w:t>especially</w:t>
      </w:r>
      <w:r w:rsidR="00F8799B">
        <w:t xml:space="preserve"> when the offender is expected to carry out their work with </w:t>
      </w:r>
      <w:r w:rsidR="009027C6">
        <w:t>candour and fairness</w:t>
      </w:r>
      <w:r w:rsidR="00F8799B">
        <w:t xml:space="preserve">. </w:t>
      </w:r>
      <w:r w:rsidR="009027C6">
        <w:t>An example of this being used is UCB Corporate Services Ltd v Williams</w:t>
      </w:r>
      <w:r w:rsidR="004009F9">
        <w:t xml:space="preserve"> [2002]</w:t>
      </w:r>
      <w:r w:rsidR="009027C6">
        <w:t>. The use of undue influence in cases such as this removes the victim party of all reasonable options. Regardless</w:t>
      </w:r>
      <w:r w:rsidR="003E6CD3">
        <w:t>,</w:t>
      </w:r>
      <w:r w:rsidR="009027C6">
        <w:t xml:space="preserve"> it cannot be understated the difficulty of deciphering the facts as whether the individual was aware of the decisions being made because they still decided to sign the contract which exercises their free will.</w:t>
      </w:r>
      <w:r w:rsidR="0058290A">
        <w:t xml:space="preserve"> This principle of actual undue influence is synonymous with fraudulent claims. </w:t>
      </w:r>
      <w:r w:rsidR="0058290A" w:rsidRPr="00BF396E">
        <w:t>CIBC Mortgages</w:t>
      </w:r>
      <w:r w:rsidR="003E6CD3" w:rsidRPr="00BF396E">
        <w:t xml:space="preserve"> plc</w:t>
      </w:r>
      <w:r w:rsidR="0058290A" w:rsidRPr="00BF396E">
        <w:t xml:space="preserve"> v Pitt [1993]</w:t>
      </w:r>
      <w:r w:rsidR="0058290A">
        <w:t xml:space="preserve"> acts as a guideline in figuring out how actual undue influence can occur within relationships. This is because the courts will always </w:t>
      </w:r>
      <w:r w:rsidR="0058290A">
        <w:lastRenderedPageBreak/>
        <w:t xml:space="preserve">look for evidence to suggest that the offending party has made a </w:t>
      </w:r>
      <w:r w:rsidR="003E6CD3">
        <w:t>misrepresented statement or acted independently which gives rise to the other party suffering loss of equity or free informed choice.</w:t>
      </w:r>
      <w:r w:rsidR="003E6CD3" w:rsidRPr="003E6CD3">
        <w:t xml:space="preserve"> CIBC Mortgages plc v Pitt [1993]</w:t>
      </w:r>
      <w:r w:rsidR="003E6CD3">
        <w:t xml:space="preserve"> also deals with the influence of a third party</w:t>
      </w:r>
      <w:r w:rsidR="00C666C9">
        <w:t xml:space="preserve"> (Stone, 2012)</w:t>
      </w:r>
      <w:r w:rsidR="008F04E6">
        <w:t xml:space="preserve"> (</w:t>
      </w:r>
      <w:proofErr w:type="spellStart"/>
      <w:r w:rsidR="008F04E6">
        <w:t>Felberg</w:t>
      </w:r>
      <w:proofErr w:type="spellEnd"/>
      <w:r w:rsidR="008F04E6">
        <w:t>, 1994)</w:t>
      </w:r>
      <w:r w:rsidR="003E6CD3">
        <w:t xml:space="preserve">. This poses the question of the impracticality that may come along with the husband and wife seeking two separate legal advises. If </w:t>
      </w:r>
      <w:r w:rsidR="00D03F9F">
        <w:t>this</w:t>
      </w:r>
      <w:r w:rsidR="003E6CD3">
        <w:t xml:space="preserve"> were the case then one party may </w:t>
      </w:r>
      <w:r w:rsidR="00D03F9F">
        <w:t>be able to avoid the liabilities that come along with entering into contracts such as mortgages.</w:t>
      </w:r>
      <w:r w:rsidR="00960C58">
        <w:t xml:space="preserve"> </w:t>
      </w:r>
    </w:p>
    <w:p w14:paraId="0CD03E4B" w14:textId="1C1C9C5F" w:rsidR="009E2FE1" w:rsidRDefault="00D81A3A" w:rsidP="009640F9">
      <w:r>
        <w:t xml:space="preserve">The problem surrounding </w:t>
      </w:r>
      <w:r w:rsidR="00960C58">
        <w:t>pre–Royal</w:t>
      </w:r>
      <w:r>
        <w:t xml:space="preserve"> Bank of Scotland plc v </w:t>
      </w:r>
      <w:proofErr w:type="spellStart"/>
      <w:r>
        <w:t>Etridge</w:t>
      </w:r>
      <w:proofErr w:type="spellEnd"/>
      <w:r>
        <w:t xml:space="preserve"> (No.2) [2001] is the lack of definition that is given to presumed influence. The only situations that are covered by the original definition only accounts for suspicious activities and large transactions of money.</w:t>
      </w:r>
      <w:r w:rsidR="001E772F">
        <w:t xml:space="preserve"> Lord Nicholls indicates that there must a substantial shift in the idea of Burden of proof that expresses whether the relationship between the two parties is one of trust</w:t>
      </w:r>
      <w:r w:rsidR="009E2FE1">
        <w:t xml:space="preserve"> and fairness</w:t>
      </w:r>
      <w:r w:rsidR="001E772F">
        <w:t xml:space="preserve">. </w:t>
      </w:r>
      <w:r w:rsidR="00920CD8">
        <w:t xml:space="preserve">Lord justice Lindley </w:t>
      </w:r>
      <w:r w:rsidR="005B558B">
        <w:t>on</w:t>
      </w:r>
      <w:r w:rsidR="00920CD8">
        <w:t xml:space="preserve"> </w:t>
      </w:r>
      <w:proofErr w:type="spellStart"/>
      <w:r w:rsidR="00920CD8">
        <w:t>Allcard</w:t>
      </w:r>
      <w:proofErr w:type="spellEnd"/>
      <w:r w:rsidR="00920CD8">
        <w:t xml:space="preserve"> v Skinner</w:t>
      </w:r>
      <w:r w:rsidR="005B558B">
        <w:t xml:space="preserve"> [1887]</w:t>
      </w:r>
      <w:r w:rsidR="00920CD8">
        <w:t xml:space="preserve"> underpins the relationship between the two parties alluding to the fact that just the existence of one party influencing the other is not enough</w:t>
      </w:r>
      <w:r w:rsidR="005B558B">
        <w:t xml:space="preserve"> (Sealy, 1975)</w:t>
      </w:r>
      <w:r w:rsidR="00920CD8">
        <w:t xml:space="preserve">. Lord Nicholls expands upon Lord Justice Lindley’s point by suggesting that it would be absurd to suggest that every gift give to a child by a </w:t>
      </w:r>
      <w:r w:rsidR="00DF2DC0">
        <w:t>parent,</w:t>
      </w:r>
      <w:r w:rsidR="00920CD8">
        <w:t xml:space="preserve"> or every transaction made between client and solicitor would constitute to undue influence</w:t>
      </w:r>
      <w:r w:rsidR="008F04E6">
        <w:t xml:space="preserve"> </w:t>
      </w:r>
      <w:r w:rsidR="008F04E6" w:rsidRPr="008F04E6">
        <w:t>(Poole, 2014</w:t>
      </w:r>
      <w:r w:rsidR="008F04E6">
        <w:t>)</w:t>
      </w:r>
      <w:r w:rsidR="00920CD8">
        <w:t>. The principle of evidence of presumed undue influence can also be seen in Dail</w:t>
      </w:r>
      <w:r w:rsidR="003B6860">
        <w:t>e</w:t>
      </w:r>
      <w:r w:rsidR="00920CD8">
        <w:t>y v Dail</w:t>
      </w:r>
      <w:r w:rsidR="003B6860">
        <w:t>e</w:t>
      </w:r>
      <w:r w:rsidR="00920CD8">
        <w:t>y [2003]</w:t>
      </w:r>
      <w:r w:rsidR="003B6860">
        <w:t xml:space="preserve"> Lord Hope suggests that it is unlikely that a transaction between husband and wife will have to be rebutted. However, caution must be taken as in most of these situations the burden is on the presumably </w:t>
      </w:r>
      <w:r w:rsidR="00451145">
        <w:t>influenced party</w:t>
      </w:r>
      <w:r w:rsidR="000B0A6B">
        <w:t xml:space="preserve"> (Poole, 2014)</w:t>
      </w:r>
      <w:r w:rsidR="00451145">
        <w:t xml:space="preserve">. </w:t>
      </w:r>
      <w:r w:rsidR="003F4DBF">
        <w:t>On the flip side of this argument is</w:t>
      </w:r>
      <w:r w:rsidR="004009F9">
        <w:t xml:space="preserve"> post </w:t>
      </w:r>
      <w:r w:rsidR="00AD7553">
        <w:t>Ethridge</w:t>
      </w:r>
      <w:r w:rsidR="004009F9">
        <w:t xml:space="preserve"> case of</w:t>
      </w:r>
      <w:r w:rsidR="003F4DBF">
        <w:t xml:space="preserve"> Lloyds Bank Lt</w:t>
      </w:r>
      <w:r w:rsidR="00223D86">
        <w:t xml:space="preserve">d v Bundy [1975] this case is synonymous with </w:t>
      </w:r>
      <w:r w:rsidR="00527066">
        <w:t xml:space="preserve">undue influence exerted by a party with a conflict of interest. Sir Eric Sachs suggests that the trouble with this case can be identified when you take the special relationship between the two parties. </w:t>
      </w:r>
      <w:r w:rsidR="004009F9">
        <w:t>I</w:t>
      </w:r>
      <w:r w:rsidR="00527066">
        <w:t xml:space="preserve">t is evident that the bank was attempting to provide the customer with </w:t>
      </w:r>
      <w:r w:rsidR="001E3E76">
        <w:t>aid. However, from the facts of the case the courts were adamant that the bank had crossed the line in terms of their relationship with the victims</w:t>
      </w:r>
      <w:r w:rsidR="000B0A6B">
        <w:t xml:space="preserve"> (Chen-Wishart, 2012)</w:t>
      </w:r>
      <w:r w:rsidR="001E3E76">
        <w:t xml:space="preserve">. </w:t>
      </w:r>
      <w:r w:rsidR="00991F6B">
        <w:t>Furthermore,</w:t>
      </w:r>
      <w:r w:rsidR="00F93F8E">
        <w:t xml:space="preserve"> National Westminster Bank plc v Morgan</w:t>
      </w:r>
      <w:r w:rsidR="000B0A6B">
        <w:t xml:space="preserve"> (1985)</w:t>
      </w:r>
      <w:r w:rsidR="00F93F8E">
        <w:t>. This case holds significance because it illustrates how the courts calculate if undue pressure has been applied in situations that presume a special relationship. Lord Scarman in this situation suggests that there is a tendency to confuse “confidence”, “confidentiality”, and “fiduciary duty” with the formation of a special relationship. This however</w:t>
      </w:r>
      <w:r w:rsidR="00086428">
        <w:t xml:space="preserve"> this</w:t>
      </w:r>
      <w:r w:rsidR="00F93F8E">
        <w:t xml:space="preserve"> is incorrect because it is important to understand that many confidential relationships do not</w:t>
      </w:r>
      <w:r w:rsidR="00086428">
        <w:t xml:space="preserve"> always</w:t>
      </w:r>
      <w:r w:rsidR="00F93F8E">
        <w:t xml:space="preserve"> give rise to a presumption of undue influence.</w:t>
      </w:r>
      <w:r w:rsidR="00991F6B">
        <w:t xml:space="preserve"> This is due to the conduct of the banker suggesting that both parties had equal amounts of bargaining power</w:t>
      </w:r>
      <w:r w:rsidR="00287ABF">
        <w:t xml:space="preserve"> (Bigwood, 2002)</w:t>
      </w:r>
      <w:r w:rsidR="00991F6B">
        <w:t>.</w:t>
      </w:r>
      <w:r w:rsidR="00F93F8E">
        <w:t xml:space="preserve"> </w:t>
      </w:r>
      <w:r w:rsidR="00295D63">
        <w:t xml:space="preserve">He then </w:t>
      </w:r>
      <w:r w:rsidR="00F82160">
        <w:t>brings</w:t>
      </w:r>
      <w:r w:rsidR="00295D63">
        <w:t xml:space="preserve"> attention to the Bank of Montreal v Stuart [1911] which suggests that there </w:t>
      </w:r>
      <w:r w:rsidR="00344179">
        <w:t>is</w:t>
      </w:r>
      <w:r w:rsidR="00295D63">
        <w:t xml:space="preserve"> an abundance of non</w:t>
      </w:r>
      <w:r w:rsidR="001F1E80">
        <w:t>-</w:t>
      </w:r>
      <w:r w:rsidR="00295D63">
        <w:t xml:space="preserve">confidential </w:t>
      </w:r>
      <w:r w:rsidR="005F6637">
        <w:t>relationships in which that rely on the advice of others. The idea of relationships between both parties is important because in recent years the courts seem to have adapted what constitutes a relationship</w:t>
      </w:r>
      <w:r w:rsidR="00991F6B">
        <w:t>. Moreover,</w:t>
      </w:r>
      <w:r w:rsidR="005F6637">
        <w:t xml:space="preserve"> the use of confidentiality needs proof of a relationship between both parties. </w:t>
      </w:r>
      <w:r w:rsidR="00F82160">
        <w:t>Instead,</w:t>
      </w:r>
      <w:r w:rsidR="00AD5F5D">
        <w:t xml:space="preserve"> the courts are determined to rely on the “meticulous examination” of the facts of a case to </w:t>
      </w:r>
      <w:r w:rsidR="00F82160">
        <w:t>pinpoint</w:t>
      </w:r>
      <w:r w:rsidR="00AD5F5D">
        <w:t xml:space="preserve"> if undue influence has taken place.</w:t>
      </w:r>
      <w:r w:rsidR="00166DC3">
        <w:t xml:space="preserve"> Therefore</w:t>
      </w:r>
      <w:r w:rsidR="00A52CA2">
        <w:t>,</w:t>
      </w:r>
      <w:r w:rsidR="00991F6B">
        <w:t xml:space="preserve"> </w:t>
      </w:r>
      <w:r w:rsidR="00166DC3">
        <w:t xml:space="preserve">Ethridge </w:t>
      </w:r>
      <w:r w:rsidR="00991F6B">
        <w:t>develops upon the previous classifications of what constitutes undue influence. It does this by laying out specific guidelines that apply to all parties involved in a transactional agreement</w:t>
      </w:r>
      <w:r w:rsidR="00166DC3">
        <w:t xml:space="preserve">. There is a guarantee that the courts will protect those who have been unduly influenced. However, it is a matter of whether the necessary evidence has been </w:t>
      </w:r>
      <w:r w:rsidR="00991F6B">
        <w:t>provided</w:t>
      </w:r>
      <w:r w:rsidR="00166DC3">
        <w:t xml:space="preserve"> to the courts </w:t>
      </w:r>
      <w:r w:rsidR="00991F6B">
        <w:t>which suggests that</w:t>
      </w:r>
      <w:r w:rsidR="00166DC3">
        <w:t xml:space="preserve"> legal action </w:t>
      </w:r>
      <w:r w:rsidR="00991F6B">
        <w:t>should</w:t>
      </w:r>
      <w:r w:rsidR="00166DC3">
        <w:t xml:space="preserve"> be taken. </w:t>
      </w:r>
      <w:r w:rsidR="00A52CA2">
        <w:t xml:space="preserve">This will occur if undue influence can be established through unusual transactions dependant on </w:t>
      </w:r>
      <w:r w:rsidR="00AD7553">
        <w:t>whether</w:t>
      </w:r>
      <w:r w:rsidR="00A52CA2">
        <w:t xml:space="preserve"> the partner is indirectly benefitting from the undertakings. The lender in this situation must </w:t>
      </w:r>
      <w:r w:rsidR="00AD7553">
        <w:t>consider</w:t>
      </w:r>
      <w:r w:rsidR="00A52CA2">
        <w:t xml:space="preserve"> the possibility that their influence may or may not cause a loss of security for the “husband and wife”.</w:t>
      </w:r>
      <w:r w:rsidR="00D56C02">
        <w:t xml:space="preserve"> </w:t>
      </w:r>
    </w:p>
    <w:p w14:paraId="35E6A4B9" w14:textId="6D08A5F2" w:rsidR="00DC4BF5" w:rsidRDefault="00F82160">
      <w:r>
        <w:t>The main difference between duress and undue influence can be seen in the way in which the courts handle each case. For example</w:t>
      </w:r>
      <w:r w:rsidR="00344179">
        <w:t>,</w:t>
      </w:r>
      <w:r>
        <w:t xml:space="preserve"> within</w:t>
      </w:r>
      <w:r w:rsidR="009E2FE1">
        <w:t xml:space="preserve"> </w:t>
      </w:r>
      <w:r w:rsidR="009E2FE1" w:rsidRPr="009E2FE1">
        <w:t xml:space="preserve">Williams v Bailey </w:t>
      </w:r>
      <w:r w:rsidR="009E2FE1">
        <w:t>[</w:t>
      </w:r>
      <w:r w:rsidR="009E2FE1" w:rsidRPr="009E2FE1">
        <w:t>1866</w:t>
      </w:r>
      <w:r w:rsidR="009E2FE1">
        <w:t>]</w:t>
      </w:r>
      <w:r w:rsidR="00344179">
        <w:t xml:space="preserve"> there is a genuine threat to the victim </w:t>
      </w:r>
      <w:r w:rsidR="00344179">
        <w:lastRenderedPageBreak/>
        <w:t xml:space="preserve">that was the main </w:t>
      </w:r>
      <w:r w:rsidR="006C7A51">
        <w:t xml:space="preserve">reason for the contract being accepted. Whereas within </w:t>
      </w:r>
      <w:r w:rsidR="00CA24FB" w:rsidRPr="00CA24FB">
        <w:t xml:space="preserve">RBS </w:t>
      </w:r>
      <w:proofErr w:type="spellStart"/>
      <w:r w:rsidR="00CA24FB" w:rsidRPr="00CA24FB">
        <w:t>Etridge</w:t>
      </w:r>
      <w:proofErr w:type="spellEnd"/>
      <w:r w:rsidR="00CA24FB" w:rsidRPr="00CA24FB">
        <w:t xml:space="preserve"> (no 2)(2001)</w:t>
      </w:r>
      <w:r w:rsidR="00CA24FB">
        <w:t xml:space="preserve"> the offending party was accused of deceiving the victim with no threats being made.</w:t>
      </w:r>
      <w:r w:rsidR="00003C4F">
        <w:t xml:space="preserve"> </w:t>
      </w:r>
      <w:r w:rsidR="00002FCE">
        <w:t>The most important difference between the two concept is that undue influence forces an individual to act in a manner in which they would not usually act. This would have to be due to the dominance that the offending party has put on them.</w:t>
      </w:r>
      <w:r w:rsidR="00960C58">
        <w:t xml:space="preserve"> It is clear from the facts that post</w:t>
      </w:r>
      <w:r w:rsidR="00960C58" w:rsidRPr="00960C58">
        <w:t xml:space="preserve"> Royal Bank of Scotland plc v </w:t>
      </w:r>
      <w:proofErr w:type="spellStart"/>
      <w:r w:rsidR="00960C58" w:rsidRPr="00960C58">
        <w:t>Etridge</w:t>
      </w:r>
      <w:proofErr w:type="spellEnd"/>
      <w:r w:rsidR="00960C58" w:rsidRPr="00960C58">
        <w:t xml:space="preserve"> (No.2) [2001]</w:t>
      </w:r>
      <w:r w:rsidR="00960C58">
        <w:t xml:space="preserve"> there has been a conscious attempt to establish principles that are applicable to surety transactions. This put the onus on lenders to ensure that they are not overstepping their boundaries in terms of the balance of interests. </w:t>
      </w:r>
      <w:r w:rsidR="00CA24FB">
        <w:t xml:space="preserve"> </w:t>
      </w:r>
    </w:p>
    <w:p w14:paraId="7FD3163E" w14:textId="600946ED" w:rsidR="00B92F25" w:rsidRDefault="00B92F25"/>
    <w:p w14:paraId="395BC741" w14:textId="77777777" w:rsidR="00977D78" w:rsidRDefault="00977D78"/>
    <w:p w14:paraId="0F168091" w14:textId="77777777" w:rsidR="00977D78" w:rsidRDefault="00977D78"/>
    <w:p w14:paraId="0B51DA78" w14:textId="77777777" w:rsidR="00977D78" w:rsidRDefault="00977D78"/>
    <w:p w14:paraId="7A14C4D4" w14:textId="77777777" w:rsidR="00977D78" w:rsidRDefault="00977D78"/>
    <w:p w14:paraId="0A92EB5A" w14:textId="77777777" w:rsidR="00977D78" w:rsidRDefault="00977D78"/>
    <w:p w14:paraId="72C6A32D" w14:textId="77777777" w:rsidR="00977D78" w:rsidRDefault="00977D78"/>
    <w:p w14:paraId="3FCF1F8E" w14:textId="77777777" w:rsidR="00977D78" w:rsidRDefault="00977D78"/>
    <w:p w14:paraId="2B6A2117" w14:textId="77777777" w:rsidR="00977D78" w:rsidRDefault="00977D78"/>
    <w:p w14:paraId="69F3409A" w14:textId="77777777" w:rsidR="00977D78" w:rsidRDefault="00977D78"/>
    <w:p w14:paraId="57073720" w14:textId="77777777" w:rsidR="00977D78" w:rsidRDefault="00977D78"/>
    <w:p w14:paraId="4036A7CF" w14:textId="77777777" w:rsidR="00977D78" w:rsidRDefault="00977D78"/>
    <w:p w14:paraId="58CE2481" w14:textId="77777777" w:rsidR="00977D78" w:rsidRDefault="00977D78"/>
    <w:p w14:paraId="04B012D5" w14:textId="77777777" w:rsidR="00977D78" w:rsidRDefault="00977D78"/>
    <w:p w14:paraId="32793594" w14:textId="77777777" w:rsidR="00977D78" w:rsidRDefault="00977D78"/>
    <w:p w14:paraId="4FD1CF66" w14:textId="77777777" w:rsidR="00977D78" w:rsidRDefault="00977D78"/>
    <w:p w14:paraId="22A91362" w14:textId="77777777" w:rsidR="00977D78" w:rsidRDefault="00977D78"/>
    <w:p w14:paraId="408938BE" w14:textId="77777777" w:rsidR="00977D78" w:rsidRDefault="00977D78"/>
    <w:p w14:paraId="5B6C493C" w14:textId="77777777" w:rsidR="00977D78" w:rsidRDefault="00977D78"/>
    <w:p w14:paraId="62CB9528" w14:textId="77777777" w:rsidR="00977D78" w:rsidRDefault="00977D78"/>
    <w:p w14:paraId="4C4604D9" w14:textId="77777777" w:rsidR="00977D78" w:rsidRDefault="00977D78"/>
    <w:p w14:paraId="47B95430" w14:textId="77777777" w:rsidR="00977D78" w:rsidRDefault="00977D78"/>
    <w:p w14:paraId="3CC18EDC" w14:textId="77777777" w:rsidR="00977D78" w:rsidRDefault="00977D78"/>
    <w:p w14:paraId="52058822" w14:textId="77777777" w:rsidR="00977D78" w:rsidRDefault="00977D78"/>
    <w:p w14:paraId="10E57D37" w14:textId="77777777" w:rsidR="00977D78" w:rsidRDefault="00977D78"/>
    <w:p w14:paraId="5EF2DC6B" w14:textId="39446BB9" w:rsidR="00B92F25" w:rsidRDefault="00B92F25">
      <w:r>
        <w:lastRenderedPageBreak/>
        <w:t xml:space="preserve">Bibliography </w:t>
      </w:r>
    </w:p>
    <w:p w14:paraId="397021A0" w14:textId="09339051" w:rsidR="000527F8" w:rsidRDefault="000527F8" w:rsidP="00B92F25">
      <w:r w:rsidRPr="000527F8">
        <w:t xml:space="preserve">Atlas Express Ltd v </w:t>
      </w:r>
      <w:proofErr w:type="spellStart"/>
      <w:r w:rsidRPr="000527F8">
        <w:t>Kafco</w:t>
      </w:r>
      <w:proofErr w:type="spellEnd"/>
      <w:r w:rsidRPr="000527F8">
        <w:t xml:space="preserve"> (Importers &amp; Distributors) Ltd [1989] 1 All ER 641</w:t>
      </w:r>
      <w:r>
        <w:t xml:space="preserve"> </w:t>
      </w:r>
    </w:p>
    <w:p w14:paraId="7C0EF898" w14:textId="5E2E834E" w:rsidR="00287ABF" w:rsidRDefault="00287ABF" w:rsidP="00B92F25">
      <w:r>
        <w:t xml:space="preserve">Bigwood, R. (2002). Undue Influence in the House of Lord: Principle and Proof. </w:t>
      </w:r>
      <w:r>
        <w:rPr>
          <w:i/>
          <w:iCs/>
        </w:rPr>
        <w:t xml:space="preserve">The Modern Law Review. </w:t>
      </w:r>
      <w:r>
        <w:t xml:space="preserve">Vol. 65. No. pp. 435-450 </w:t>
      </w:r>
    </w:p>
    <w:p w14:paraId="59A213C8" w14:textId="794D03A3" w:rsidR="00091248" w:rsidRDefault="00091248" w:rsidP="00B92F25">
      <w:r w:rsidRPr="00091248">
        <w:t>Charman, M. (2007). Contract Law. Willan Publishing. 4th edition. pp.149-162</w:t>
      </w:r>
      <w:r>
        <w:t xml:space="preserve"> </w:t>
      </w:r>
    </w:p>
    <w:p w14:paraId="22CB9C31" w14:textId="2CC9C912" w:rsidR="006D37A1" w:rsidRDefault="006D37A1" w:rsidP="00B92F25">
      <w:r w:rsidRPr="006D37A1">
        <w:t>Chen-Wishart, M. (2012) Contract Law. Oxford University Press. 4th Edition. Pp. 313-362</w:t>
      </w:r>
    </w:p>
    <w:p w14:paraId="13C72564" w14:textId="43E16613" w:rsidR="008F7324" w:rsidRPr="008F7324" w:rsidRDefault="008F7324" w:rsidP="00B92F25">
      <w:r>
        <w:t xml:space="preserve">Poole, J. (2014) Case Book on contract law. </w:t>
      </w:r>
      <w:r>
        <w:rPr>
          <w:i/>
          <w:iCs/>
        </w:rPr>
        <w:t xml:space="preserve">Oxford University Press. </w:t>
      </w:r>
      <w:r>
        <w:t>12</w:t>
      </w:r>
      <w:r w:rsidRPr="008F7324">
        <w:rPr>
          <w:vertAlign w:val="superscript"/>
        </w:rPr>
        <w:t>th</w:t>
      </w:r>
      <w:r>
        <w:t xml:space="preserve"> edition. Pp. 669-721</w:t>
      </w:r>
    </w:p>
    <w:p w14:paraId="130025A8" w14:textId="1D05FBEA" w:rsidR="008F7324" w:rsidRDefault="008F7324" w:rsidP="00B92F25">
      <w:r>
        <w:t xml:space="preserve">Poole, J. (2014) Textbook on Contract Law. </w:t>
      </w:r>
      <w:r w:rsidRPr="008F7324">
        <w:t>Oxford University Press. 12th edition. Pp.</w:t>
      </w:r>
      <w:r>
        <w:t xml:space="preserve"> 563-596</w:t>
      </w:r>
    </w:p>
    <w:p w14:paraId="61C5FEF2" w14:textId="3915C3AA" w:rsidR="008F04E6" w:rsidRDefault="008F04E6" w:rsidP="00B92F25">
      <w:r>
        <w:t>Fehlberg, B. (1994). The Husband, the Bank, the Wife and Her Significance. Vol, No.3, pp 467-475</w:t>
      </w:r>
    </w:p>
    <w:p w14:paraId="70FA44D7" w14:textId="0336A0DD" w:rsidR="005573A0" w:rsidRDefault="005573A0" w:rsidP="00B92F25">
      <w:r w:rsidRPr="005573A0">
        <w:t xml:space="preserve">Finch, E. (2017) Contract Law. Pearson. 5th edition. </w:t>
      </w:r>
      <w:r w:rsidR="0009601D">
        <w:t>p</w:t>
      </w:r>
      <w:r w:rsidRPr="005573A0">
        <w:t>p. 151-164</w:t>
      </w:r>
      <w:r>
        <w:t xml:space="preserve"> </w:t>
      </w:r>
    </w:p>
    <w:p w14:paraId="34859D94" w14:textId="23269E84" w:rsidR="005B558B" w:rsidRDefault="005B558B" w:rsidP="00B92F25">
      <w:r>
        <w:t>Hoffman</w:t>
      </w:r>
      <w:r w:rsidR="006278F0">
        <w:t xml:space="preserve">, L. (1999) </w:t>
      </w:r>
      <w:r w:rsidR="006278F0" w:rsidRPr="006278F0">
        <w:t>Judgments - Barclays Bank PLC. v. Boulter and Boulter</w:t>
      </w:r>
      <w:r w:rsidR="006278F0">
        <w:t>. House of Lords</w:t>
      </w:r>
    </w:p>
    <w:p w14:paraId="20A15C1C" w14:textId="0B401581" w:rsidR="00AD7553" w:rsidRPr="005D080B" w:rsidRDefault="00AD7553" w:rsidP="00B92F25">
      <w:r>
        <w:t xml:space="preserve">O’Sullivan, J. (2012). The Law of Contract. </w:t>
      </w:r>
      <w:r>
        <w:rPr>
          <w:i/>
          <w:iCs/>
        </w:rPr>
        <w:t>Oxford University Press.</w:t>
      </w:r>
      <w:r w:rsidR="005D080B">
        <w:rPr>
          <w:i/>
          <w:iCs/>
        </w:rPr>
        <w:t xml:space="preserve"> </w:t>
      </w:r>
      <w:r w:rsidR="005D080B">
        <w:t>5</w:t>
      </w:r>
      <w:r w:rsidR="005D080B" w:rsidRPr="005D080B">
        <w:rPr>
          <w:vertAlign w:val="superscript"/>
        </w:rPr>
        <w:t>th</w:t>
      </w:r>
      <w:r w:rsidR="005D080B">
        <w:t xml:space="preserve"> edition.</w:t>
      </w:r>
      <w:r w:rsidR="005D080B">
        <w:rPr>
          <w:i/>
          <w:iCs/>
        </w:rPr>
        <w:t xml:space="preserve"> </w:t>
      </w:r>
      <w:r w:rsidR="005D080B">
        <w:t>pp 254-289</w:t>
      </w:r>
    </w:p>
    <w:p w14:paraId="2422E902" w14:textId="105E7AE1" w:rsidR="0009601D" w:rsidRDefault="0009601D" w:rsidP="00B92F25">
      <w:r w:rsidRPr="0009601D">
        <w:t>Peel, E. (2015). The Law of Contract. Sweet and Maxwell. 14th Edition. Pp. 955-962</w:t>
      </w:r>
    </w:p>
    <w:p w14:paraId="77B645C6" w14:textId="45D80268" w:rsidR="005B558B" w:rsidRPr="005B558B" w:rsidRDefault="005B558B" w:rsidP="00B92F25">
      <w:r>
        <w:t xml:space="preserve">Sealy, L. (1975). Undue Influence and Inequality of Bargaining power. </w:t>
      </w:r>
      <w:r>
        <w:rPr>
          <w:i/>
          <w:iCs/>
        </w:rPr>
        <w:t xml:space="preserve">Cambridge University Press. </w:t>
      </w:r>
      <w:r>
        <w:t>Vol. 34, Pp 21-25</w:t>
      </w:r>
    </w:p>
    <w:p w14:paraId="416DE1D2" w14:textId="5DCF6082" w:rsidR="00B92F25" w:rsidRPr="00B92F25" w:rsidRDefault="00B92F25" w:rsidP="00B92F25">
      <w:r>
        <w:t>Stone,</w:t>
      </w:r>
      <w:r w:rsidR="00AD7553">
        <w:t xml:space="preserve"> </w:t>
      </w:r>
      <w:r>
        <w:t xml:space="preserve">R. (2011). The Modern Law of Contract. </w:t>
      </w:r>
      <w:r>
        <w:rPr>
          <w:i/>
          <w:iCs/>
        </w:rPr>
        <w:t xml:space="preserve">Routledge. </w:t>
      </w:r>
      <w:r>
        <w:t>9</w:t>
      </w:r>
      <w:r w:rsidRPr="00B92F25">
        <w:rPr>
          <w:vertAlign w:val="superscript"/>
        </w:rPr>
        <w:t>th</w:t>
      </w:r>
      <w:r>
        <w:t xml:space="preserve"> edition. Pp.</w:t>
      </w:r>
      <w:r w:rsidR="00AD7553">
        <w:t xml:space="preserve"> 323-336</w:t>
      </w:r>
    </w:p>
    <w:p w14:paraId="06626603" w14:textId="767CE600" w:rsidR="005573A0" w:rsidRDefault="005573A0">
      <w:r w:rsidRPr="005573A0">
        <w:t>Tu</w:t>
      </w:r>
      <w:r w:rsidR="0009601D">
        <w:t>r</w:t>
      </w:r>
      <w:r w:rsidRPr="005573A0">
        <w:t>ner, C. (2014) Unlocking Contract Law. Routledge. 4th edition.</w:t>
      </w:r>
      <w:r w:rsidR="0009601D">
        <w:t xml:space="preserve"> Pp.</w:t>
      </w:r>
      <w:r w:rsidRPr="005573A0">
        <w:t xml:space="preserve"> 228-254</w:t>
      </w:r>
    </w:p>
    <w:p w14:paraId="6A247BAE" w14:textId="0CA08D89" w:rsidR="00B92F25" w:rsidRDefault="00B92F25">
      <w:r>
        <w:t xml:space="preserve">Winder, W. (1939). Undue Influence and Coercion. </w:t>
      </w:r>
      <w:r>
        <w:rPr>
          <w:i/>
          <w:iCs/>
        </w:rPr>
        <w:t xml:space="preserve">The Modern Law Review. </w:t>
      </w:r>
      <w:r>
        <w:t>Vol. 3. No 2 pp. 97-120</w:t>
      </w:r>
      <w:r w:rsidR="005D080B">
        <w:t xml:space="preserve"> </w:t>
      </w:r>
    </w:p>
    <w:p w14:paraId="584F9D32" w14:textId="17CF0E76" w:rsidR="006D37A1" w:rsidRDefault="006D37A1"/>
    <w:p w14:paraId="7D6A8201" w14:textId="12530FDF" w:rsidR="005D4C0F" w:rsidRDefault="0061325C">
      <w:r>
        <w:t xml:space="preserve">Case </w:t>
      </w:r>
      <w:r w:rsidR="005D4C0F">
        <w:t xml:space="preserve">Reference </w:t>
      </w:r>
    </w:p>
    <w:p w14:paraId="7E682C5C" w14:textId="37ED63B1" w:rsidR="00BF396E" w:rsidRDefault="00BF396E">
      <w:proofErr w:type="spellStart"/>
      <w:r w:rsidRPr="00BF396E">
        <w:t>Allcard</w:t>
      </w:r>
      <w:proofErr w:type="spellEnd"/>
      <w:r w:rsidRPr="00BF396E">
        <w:t xml:space="preserve"> v Skinner</w:t>
      </w:r>
      <w:r>
        <w:t xml:space="preserve"> </w:t>
      </w:r>
      <w:r w:rsidRPr="00BF396E">
        <w:t>(1887) 36 Ch D 145.</w:t>
      </w:r>
      <w:r>
        <w:t xml:space="preserve"> </w:t>
      </w:r>
    </w:p>
    <w:p w14:paraId="49F30980" w14:textId="3ED14C48" w:rsidR="009C3DB6" w:rsidRDefault="009C3DB6">
      <w:r w:rsidRPr="009C3DB6">
        <w:t>B&amp;S Contracts and Design Ltd v. Victor Green Publications [1984] ICR 419</w:t>
      </w:r>
      <w:r>
        <w:t xml:space="preserve"> </w:t>
      </w:r>
    </w:p>
    <w:p w14:paraId="2B8DC089" w14:textId="43B7A7B8" w:rsidR="001704CF" w:rsidRDefault="001704CF">
      <w:r w:rsidRPr="001704CF">
        <w:t>Bank of Credit and Commerce International v Aboody [1990] 1 QB 923</w:t>
      </w:r>
      <w:r>
        <w:t xml:space="preserve"> </w:t>
      </w:r>
    </w:p>
    <w:p w14:paraId="0AD05E81" w14:textId="1A6B905B" w:rsidR="001704CF" w:rsidRDefault="001704CF">
      <w:r w:rsidRPr="001704CF">
        <w:t>Bank of Montreal v Stuart [1911] AC 120</w:t>
      </w:r>
      <w:r>
        <w:t xml:space="preserve"> </w:t>
      </w:r>
    </w:p>
    <w:p w14:paraId="3AA224A9" w14:textId="548C1889" w:rsidR="009C3DB6" w:rsidRDefault="009C3DB6">
      <w:r w:rsidRPr="009C3DB6">
        <w:t>Barclays Bank Plc v O’Brien [1994] 1 AC 180</w:t>
      </w:r>
      <w:r>
        <w:t xml:space="preserve"> </w:t>
      </w:r>
    </w:p>
    <w:p w14:paraId="3D7C5E1E" w14:textId="781AE3CD" w:rsidR="005D4C0F" w:rsidRDefault="005D4C0F">
      <w:r w:rsidRPr="005D4C0F">
        <w:t>Barton v Armstrong [1976] AC 104</w:t>
      </w:r>
      <w:r>
        <w:t xml:space="preserve"> </w:t>
      </w:r>
    </w:p>
    <w:p w14:paraId="17ADEA9B" w14:textId="15CA838B" w:rsidR="009A2CA8" w:rsidRDefault="009A2CA8">
      <w:r w:rsidRPr="009A2CA8">
        <w:t>Carillion Construction Ltd v Felix (UK) Ltd [2001] BLR 1</w:t>
      </w:r>
    </w:p>
    <w:p w14:paraId="0D4B368F" w14:textId="457F11E4" w:rsidR="00BF396E" w:rsidRDefault="00BF396E">
      <w:r w:rsidRPr="00BF396E">
        <w:t>CIBC Mortgages Plc v Pitt [1994] 1 AC 200</w:t>
      </w:r>
      <w:r>
        <w:t xml:space="preserve"> </w:t>
      </w:r>
    </w:p>
    <w:p w14:paraId="3C65C03A" w14:textId="5A4E6A27" w:rsidR="005D4C0F" w:rsidRDefault="005D4C0F">
      <w:r w:rsidRPr="005D4C0F">
        <w:t xml:space="preserve">Corporation v </w:t>
      </w:r>
      <w:proofErr w:type="spellStart"/>
      <w:r w:rsidRPr="005D4C0F">
        <w:t>Skibs</w:t>
      </w:r>
      <w:proofErr w:type="spellEnd"/>
      <w:r w:rsidRPr="005D4C0F">
        <w:t xml:space="preserve"> A/S Avanti, The </w:t>
      </w:r>
      <w:proofErr w:type="spellStart"/>
      <w:r w:rsidRPr="005D4C0F">
        <w:t>Siboen</w:t>
      </w:r>
      <w:proofErr w:type="spellEnd"/>
      <w:r w:rsidRPr="005D4C0F">
        <w:t xml:space="preserve"> and the </w:t>
      </w:r>
      <w:proofErr w:type="spellStart"/>
      <w:r w:rsidRPr="005D4C0F">
        <w:t>Sibotre</w:t>
      </w:r>
      <w:proofErr w:type="spellEnd"/>
      <w:r w:rsidRPr="005D4C0F">
        <w:t xml:space="preserve"> [1976] 1 Lloyd’s Rep 293</w:t>
      </w:r>
      <w:r>
        <w:t xml:space="preserve"> </w:t>
      </w:r>
    </w:p>
    <w:p w14:paraId="7F922F04" w14:textId="6B5F45AD" w:rsidR="00BF396E" w:rsidRDefault="00BF396E">
      <w:r w:rsidRPr="00BF396E">
        <w:t>Dailey v Dailey [2003]</w:t>
      </w:r>
      <w:r>
        <w:t xml:space="preserve"> UKPC 65</w:t>
      </w:r>
    </w:p>
    <w:p w14:paraId="46D35A50" w14:textId="5A72C23B" w:rsidR="000527F8" w:rsidRDefault="000527F8">
      <w:proofErr w:type="spellStart"/>
      <w:r w:rsidRPr="000527F8">
        <w:t>Dimskal</w:t>
      </w:r>
      <w:proofErr w:type="spellEnd"/>
      <w:r w:rsidRPr="000527F8">
        <w:t xml:space="preserve"> Shipping Co SA v International Transport Workers Federation The Evia Luck</w:t>
      </w:r>
      <w:r>
        <w:t xml:space="preserve"> </w:t>
      </w:r>
      <w:r w:rsidRPr="000527F8">
        <w:t>[1991] 3 WLR 875; [1992] 2 AC 152</w:t>
      </w:r>
    </w:p>
    <w:p w14:paraId="17098BD5" w14:textId="4D0612D5" w:rsidR="009A2CA8" w:rsidRDefault="009A2CA8">
      <w:r w:rsidRPr="009A2CA8">
        <w:lastRenderedPageBreak/>
        <w:t xml:space="preserve">DSND Subsea Ltd v Petroleum </w:t>
      </w:r>
      <w:proofErr w:type="spellStart"/>
      <w:r w:rsidRPr="009A2CA8">
        <w:t>Geo Services</w:t>
      </w:r>
      <w:proofErr w:type="spellEnd"/>
      <w:r w:rsidRPr="009A2CA8">
        <w:t xml:space="preserve"> ASA [2000] BLR 530</w:t>
      </w:r>
      <w:r>
        <w:t xml:space="preserve"> </w:t>
      </w:r>
    </w:p>
    <w:p w14:paraId="2BD6971A" w14:textId="5D33DE3B" w:rsidR="00BF396E" w:rsidRDefault="00BF396E">
      <w:r w:rsidRPr="00BF396E">
        <w:t>Lloyds Bank Ltd v Bundy [1975] QB 326</w:t>
      </w:r>
    </w:p>
    <w:p w14:paraId="030D72A0" w14:textId="116804FD" w:rsidR="001704CF" w:rsidRDefault="001704CF">
      <w:r w:rsidRPr="001704CF">
        <w:t>National Westminster Bank Plc v Morgan [1985] AC 686</w:t>
      </w:r>
      <w:r>
        <w:t xml:space="preserve"> </w:t>
      </w:r>
    </w:p>
    <w:p w14:paraId="40E23C90" w14:textId="1872B16D" w:rsidR="000527F8" w:rsidRDefault="000527F8">
      <w:r w:rsidRPr="000527F8">
        <w:t xml:space="preserve">Pao on v Lau </w:t>
      </w:r>
      <w:proofErr w:type="spellStart"/>
      <w:r w:rsidRPr="000527F8">
        <w:t>Yiu</w:t>
      </w:r>
      <w:proofErr w:type="spellEnd"/>
      <w:r w:rsidRPr="000527F8">
        <w:t xml:space="preserve"> Long [1979] 3 All ER 65</w:t>
      </w:r>
      <w:r>
        <w:t xml:space="preserve"> </w:t>
      </w:r>
    </w:p>
    <w:p w14:paraId="55665B80" w14:textId="1BAC6D1A" w:rsidR="005D4C0F" w:rsidRDefault="005D4C0F">
      <w:r w:rsidRPr="005D4C0F">
        <w:t>R" v Attorney General for England and Wales [2003] UKPC 22</w:t>
      </w:r>
      <w:r>
        <w:t xml:space="preserve"> </w:t>
      </w:r>
    </w:p>
    <w:p w14:paraId="692C5E8A" w14:textId="2CD919F2" w:rsidR="009C3DB6" w:rsidRDefault="009C3DB6">
      <w:r w:rsidRPr="009C3DB6">
        <w:t xml:space="preserve">Royal Bank of Scotland Plc v </w:t>
      </w:r>
      <w:proofErr w:type="spellStart"/>
      <w:r w:rsidRPr="009C3DB6">
        <w:t>Etridge</w:t>
      </w:r>
      <w:proofErr w:type="spellEnd"/>
      <w:r w:rsidRPr="009C3DB6">
        <w:t xml:space="preserve"> (No. 2) [2002] UKHL 44</w:t>
      </w:r>
      <w:r>
        <w:t xml:space="preserve"> </w:t>
      </w:r>
    </w:p>
    <w:p w14:paraId="123C204C" w14:textId="377A4817" w:rsidR="005D4C0F" w:rsidRDefault="005D4C0F">
      <w:proofErr w:type="spellStart"/>
      <w:r>
        <w:t>S</w:t>
      </w:r>
      <w:r w:rsidRPr="005D4C0F">
        <w:t>keate</w:t>
      </w:r>
      <w:proofErr w:type="spellEnd"/>
      <w:r w:rsidRPr="005D4C0F">
        <w:t xml:space="preserve"> v Beale (1840) 11 Ad &amp; E 983</w:t>
      </w:r>
      <w:r w:rsidR="000527F8">
        <w:t xml:space="preserve"> </w:t>
      </w:r>
    </w:p>
    <w:p w14:paraId="3B79B968" w14:textId="333EC222" w:rsidR="000527F8" w:rsidRDefault="000527F8">
      <w:r w:rsidRPr="000527F8">
        <w:t xml:space="preserve">Universe Tankships Inc of Monrovia v International Transport Workers’ Federation, “The Universe </w:t>
      </w:r>
      <w:proofErr w:type="spellStart"/>
      <w:r w:rsidRPr="000527F8">
        <w:t>Sentinal</w:t>
      </w:r>
      <w:proofErr w:type="spellEnd"/>
      <w:r w:rsidRPr="000527F8">
        <w:t>” [1983]</w:t>
      </w:r>
      <w:r>
        <w:t xml:space="preserve"> </w:t>
      </w:r>
      <w:r w:rsidRPr="000527F8">
        <w:t>1 AC 366</w:t>
      </w:r>
      <w:r w:rsidR="009A2CA8">
        <w:t xml:space="preserve"> </w:t>
      </w:r>
    </w:p>
    <w:p w14:paraId="55A18766" w14:textId="2D00AB63" w:rsidR="00D44219" w:rsidRDefault="00D44219">
      <w:r w:rsidRPr="00D44219">
        <w:t xml:space="preserve">UCB Corporate Services Ltd v Williams [2002] EWCA </w:t>
      </w:r>
      <w:proofErr w:type="spellStart"/>
      <w:r w:rsidRPr="00D44219">
        <w:t>Civ</w:t>
      </w:r>
      <w:proofErr w:type="spellEnd"/>
      <w:r w:rsidRPr="00D44219">
        <w:t xml:space="preserve"> 555</w:t>
      </w:r>
      <w:r>
        <w:t xml:space="preserve"> </w:t>
      </w:r>
    </w:p>
    <w:p w14:paraId="09AA61C7" w14:textId="35B23AAF" w:rsidR="009A2CA8" w:rsidRDefault="009A2CA8">
      <w:r w:rsidRPr="009A2CA8">
        <w:t>Williams v Roffey Bros &amp; Nicholls (Contractors) Ltd [1991] 1 QB 1</w:t>
      </w:r>
      <w:r>
        <w:t xml:space="preserve"> </w:t>
      </w:r>
    </w:p>
    <w:p w14:paraId="11821A1A" w14:textId="1F4CCD85" w:rsidR="001704CF" w:rsidRPr="00B92F25" w:rsidRDefault="001704CF">
      <w:r w:rsidRPr="001704CF">
        <w:t>Williams v Bayley [1866] LR 1 HL 200</w:t>
      </w:r>
      <w:r>
        <w:t xml:space="preserve"> </w:t>
      </w:r>
    </w:p>
    <w:sectPr w:rsidR="001704CF" w:rsidRPr="00B92F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0CEA"/>
    <w:rsid w:val="00002FCE"/>
    <w:rsid w:val="00003C4F"/>
    <w:rsid w:val="00010DC2"/>
    <w:rsid w:val="00042395"/>
    <w:rsid w:val="000527F8"/>
    <w:rsid w:val="00086428"/>
    <w:rsid w:val="00091248"/>
    <w:rsid w:val="00092D87"/>
    <w:rsid w:val="0009601D"/>
    <w:rsid w:val="00097B0B"/>
    <w:rsid w:val="000B0A6B"/>
    <w:rsid w:val="00166DC3"/>
    <w:rsid w:val="001704CF"/>
    <w:rsid w:val="001B7474"/>
    <w:rsid w:val="001E3E76"/>
    <w:rsid w:val="001E772F"/>
    <w:rsid w:val="001F1E80"/>
    <w:rsid w:val="0020527F"/>
    <w:rsid w:val="00223D86"/>
    <w:rsid w:val="00250958"/>
    <w:rsid w:val="00287ABF"/>
    <w:rsid w:val="00295D63"/>
    <w:rsid w:val="002B5925"/>
    <w:rsid w:val="00343CF4"/>
    <w:rsid w:val="00344179"/>
    <w:rsid w:val="00353D8C"/>
    <w:rsid w:val="00365AC9"/>
    <w:rsid w:val="003B6860"/>
    <w:rsid w:val="003E6CD3"/>
    <w:rsid w:val="003F4DBF"/>
    <w:rsid w:val="004009F9"/>
    <w:rsid w:val="00451145"/>
    <w:rsid w:val="00527066"/>
    <w:rsid w:val="005573A0"/>
    <w:rsid w:val="0058290A"/>
    <w:rsid w:val="005B558B"/>
    <w:rsid w:val="005D080B"/>
    <w:rsid w:val="005D4C0F"/>
    <w:rsid w:val="005F6637"/>
    <w:rsid w:val="0061325C"/>
    <w:rsid w:val="006278F0"/>
    <w:rsid w:val="00630CEA"/>
    <w:rsid w:val="006C6B2D"/>
    <w:rsid w:val="006C7A51"/>
    <w:rsid w:val="006D37A1"/>
    <w:rsid w:val="007920F3"/>
    <w:rsid w:val="008A5F50"/>
    <w:rsid w:val="008F04E6"/>
    <w:rsid w:val="008F7324"/>
    <w:rsid w:val="009027C6"/>
    <w:rsid w:val="00920CD8"/>
    <w:rsid w:val="00960C58"/>
    <w:rsid w:val="009640F9"/>
    <w:rsid w:val="00977D78"/>
    <w:rsid w:val="00984E21"/>
    <w:rsid w:val="00991F6B"/>
    <w:rsid w:val="009A2CA8"/>
    <w:rsid w:val="009B6387"/>
    <w:rsid w:val="009C3DB6"/>
    <w:rsid w:val="009E2FE1"/>
    <w:rsid w:val="009F1B80"/>
    <w:rsid w:val="00A52CA2"/>
    <w:rsid w:val="00A77563"/>
    <w:rsid w:val="00AC70DD"/>
    <w:rsid w:val="00AD439E"/>
    <w:rsid w:val="00AD5F5D"/>
    <w:rsid w:val="00AD7553"/>
    <w:rsid w:val="00B01DA0"/>
    <w:rsid w:val="00B2541B"/>
    <w:rsid w:val="00B718BD"/>
    <w:rsid w:val="00B92F25"/>
    <w:rsid w:val="00BA6D07"/>
    <w:rsid w:val="00BE7709"/>
    <w:rsid w:val="00BF396E"/>
    <w:rsid w:val="00C310A8"/>
    <w:rsid w:val="00C666C9"/>
    <w:rsid w:val="00C9643B"/>
    <w:rsid w:val="00CA24FB"/>
    <w:rsid w:val="00D03F9F"/>
    <w:rsid w:val="00D32401"/>
    <w:rsid w:val="00D41907"/>
    <w:rsid w:val="00D44219"/>
    <w:rsid w:val="00D56C02"/>
    <w:rsid w:val="00D81A3A"/>
    <w:rsid w:val="00DC4BF5"/>
    <w:rsid w:val="00DF2DC0"/>
    <w:rsid w:val="00E40A8D"/>
    <w:rsid w:val="00E561FB"/>
    <w:rsid w:val="00F736CF"/>
    <w:rsid w:val="00F82160"/>
    <w:rsid w:val="00F83249"/>
    <w:rsid w:val="00F8799B"/>
    <w:rsid w:val="00F93F8E"/>
    <w:rsid w:val="00FA2BD3"/>
    <w:rsid w:val="00FF5F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A69E0B"/>
  <w15:chartTrackingRefBased/>
  <w15:docId w15:val="{6A8B7274-287C-4A06-BDA0-EE86C7B452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2556</Words>
  <Characters>14573</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Hopson</dc:creator>
  <cp:keywords/>
  <dc:description/>
  <cp:lastModifiedBy>Sam Hopson</cp:lastModifiedBy>
  <cp:revision>3</cp:revision>
  <dcterms:created xsi:type="dcterms:W3CDTF">2021-05-07T15:35:00Z</dcterms:created>
  <dcterms:modified xsi:type="dcterms:W3CDTF">2021-05-07T15:35:00Z</dcterms:modified>
</cp:coreProperties>
</file>