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7E65C91E" w:rsidR="7908378C" w:rsidRDefault="7908378C" w:rsidP="33572C6E">
            <w:pPr>
              <w:ind w:right="237"/>
              <w:rPr>
                <w:b/>
                <w:bCs/>
                <w:color w:val="auto"/>
                <w:sz w:val="32"/>
                <w:szCs w:val="32"/>
              </w:rPr>
            </w:pPr>
            <w:r w:rsidRPr="33572C6E">
              <w:rPr>
                <w:b/>
                <w:bCs/>
                <w:color w:val="auto"/>
                <w:sz w:val="32"/>
                <w:szCs w:val="32"/>
              </w:rPr>
              <w:t>Learner name: ___</w:t>
            </w:r>
            <w:r w:rsidR="0006113F">
              <w:rPr>
                <w:b/>
                <w:bCs/>
                <w:color w:val="auto"/>
                <w:sz w:val="32"/>
                <w:szCs w:val="32"/>
              </w:rPr>
              <w:t xml:space="preserve">Rhysian James </w:t>
            </w:r>
            <w:r w:rsidRPr="33572C6E">
              <w:rPr>
                <w:b/>
                <w:bCs/>
                <w:color w:val="auto"/>
                <w:sz w:val="32"/>
                <w:szCs w:val="32"/>
              </w:rPr>
              <w:t>___________________________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4D9AB9E7" w:rsidR="7908378C" w:rsidRDefault="0006113F" w:rsidP="33572C6E">
            <w:pPr>
              <w:ind w:right="237"/>
              <w:rPr>
                <w:b/>
                <w:bCs/>
                <w:color w:val="auto"/>
                <w:sz w:val="32"/>
                <w:szCs w:val="32"/>
              </w:rPr>
            </w:pPr>
            <w:r>
              <w:rPr>
                <w:b/>
                <w:bCs/>
                <w:color w:val="auto"/>
                <w:sz w:val="32"/>
                <w:szCs w:val="32"/>
              </w:rPr>
              <w:t>2131876</w:t>
            </w:r>
            <w:r w:rsidR="7908378C" w:rsidRPr="33572C6E">
              <w:rPr>
                <w:b/>
                <w:bCs/>
                <w:color w:val="auto"/>
                <w:sz w:val="32"/>
                <w:szCs w:val="32"/>
              </w:rPr>
              <w:t>_______________________________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023BDB"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72509A04"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r w:rsidRPr="0006113F">
        <w:rPr>
          <w:rFonts w:asciiTheme="minorHAnsi" w:eastAsiaTheme="minorHAnsi" w:hAnsiTheme="minorHAnsi" w:cstheme="minorBidi"/>
          <w:color w:val="auto"/>
          <w:sz w:val="22"/>
          <w:szCs w:val="22"/>
          <w:lang w:eastAsia="en-US"/>
        </w:rPr>
        <w:t xml:space="preserve">During this essay I will be discussing an incident I attended which was related to a mental health call. This incident my colleague and I were requested to attend on a grade one emergency response, as a distressed female had phoned for police assistance as she was suffering with her mental health and wanted to end her life, the female had also stated that she was home alone in her bathroom in possession of a large kitchen knife. </w:t>
      </w:r>
    </w:p>
    <w:p w14:paraId="19318A76"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p>
    <w:p w14:paraId="1C997FDA"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r w:rsidRPr="0006113F">
        <w:rPr>
          <w:rFonts w:asciiTheme="minorHAnsi" w:eastAsiaTheme="minorHAnsi" w:hAnsiTheme="minorHAnsi" w:cstheme="minorBidi"/>
          <w:color w:val="auto"/>
          <w:sz w:val="22"/>
          <w:szCs w:val="22"/>
          <w:lang w:eastAsia="en-US"/>
        </w:rPr>
        <w:t xml:space="preserve">As a response officers, we have a duty of care to protect members of the community and be able to identify when someone could be potentially at risk of harm. Any member of the public could find themselves vulnerable at any given time with circumstances that could be out of their control, the college of policing has described a person to be vulnerable if “as a result of their situation or circumstances, they are unable to take care of themselves or others from harm or exploitation” (College of Policing,2020). </w:t>
      </w:r>
    </w:p>
    <w:p w14:paraId="47CA7D66"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p>
    <w:p w14:paraId="3E399C87"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r w:rsidRPr="0006113F">
        <w:rPr>
          <w:rFonts w:asciiTheme="minorHAnsi" w:eastAsiaTheme="minorHAnsi" w:hAnsiTheme="minorHAnsi" w:cstheme="minorBidi"/>
          <w:color w:val="auto"/>
          <w:sz w:val="22"/>
          <w:szCs w:val="22"/>
          <w:lang w:eastAsia="en-US"/>
        </w:rPr>
        <w:t xml:space="preserve">On the way to the incident, I asked if the female had any warning makers due to there being mention of a knife. The female had markers for violence, self-harm, drugs and suicidal. As an officer, it is vital that you have access to all relevant information and intelligence so that we are able to risk assess as per the National decision-making model. </w:t>
      </w:r>
    </w:p>
    <w:p w14:paraId="4336C527"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p>
    <w:p w14:paraId="27364867"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r w:rsidRPr="0006113F">
        <w:rPr>
          <w:rFonts w:asciiTheme="minorHAnsi" w:eastAsiaTheme="minorHAnsi" w:hAnsiTheme="minorHAnsi" w:cstheme="minorBidi"/>
          <w:color w:val="auto"/>
          <w:sz w:val="22"/>
          <w:szCs w:val="22"/>
          <w:lang w:eastAsia="en-US"/>
        </w:rPr>
        <w:t xml:space="preserve">“The first stage of the NDM requires that officers and staff consider all available information and intelligence that is available to them before deciding on a course of action” (College of Policing,2022). </w:t>
      </w:r>
    </w:p>
    <w:p w14:paraId="68846C16"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p>
    <w:p w14:paraId="3B336B93"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r w:rsidRPr="0006113F">
        <w:rPr>
          <w:rFonts w:asciiTheme="minorHAnsi" w:eastAsiaTheme="minorHAnsi" w:hAnsiTheme="minorHAnsi" w:cstheme="minorBidi"/>
          <w:color w:val="auto"/>
          <w:sz w:val="22"/>
          <w:szCs w:val="22"/>
          <w:lang w:eastAsia="en-US"/>
        </w:rPr>
        <w:t xml:space="preserve">On arrival at the females address, we were let in by a male in his late teens which was her son. The male was not aware that the female had phoned for police. </w:t>
      </w:r>
      <w:proofErr w:type="gramStart"/>
      <w:r w:rsidRPr="0006113F">
        <w:rPr>
          <w:rFonts w:asciiTheme="minorHAnsi" w:eastAsiaTheme="minorHAnsi" w:hAnsiTheme="minorHAnsi" w:cstheme="minorBidi"/>
          <w:color w:val="auto"/>
          <w:sz w:val="22"/>
          <w:szCs w:val="22"/>
          <w:lang w:eastAsia="en-US"/>
        </w:rPr>
        <w:t>On entering the property, it</w:t>
      </w:r>
      <w:proofErr w:type="gramEnd"/>
      <w:r w:rsidRPr="0006113F">
        <w:rPr>
          <w:rFonts w:asciiTheme="minorHAnsi" w:eastAsiaTheme="minorHAnsi" w:hAnsiTheme="minorHAnsi" w:cstheme="minorBidi"/>
          <w:color w:val="auto"/>
          <w:sz w:val="22"/>
          <w:szCs w:val="22"/>
          <w:lang w:eastAsia="en-US"/>
        </w:rPr>
        <w:t xml:space="preserve"> became apparent that there were many issues that the family may have been experiencing. The property was extremely untidy, the floor was concrete with no carpet of flooring laid. The rooms were cluttered with rubbish and there were flies inside the house. The College of Policing (2021) says that in order to provide an appropriate and effective response to a vulnerable person, and to prevent them from suffering harm, “it is necessary to have an assessment of the capacity and resilience of that individual, as well as the people around them”. </w:t>
      </w:r>
    </w:p>
    <w:p w14:paraId="3EB2A93D"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r w:rsidRPr="0006113F">
        <w:rPr>
          <w:rFonts w:asciiTheme="minorHAnsi" w:eastAsiaTheme="minorHAnsi" w:hAnsiTheme="minorHAnsi" w:cstheme="minorBidi"/>
          <w:color w:val="auto"/>
          <w:sz w:val="22"/>
          <w:szCs w:val="22"/>
          <w:lang w:eastAsia="en-US"/>
        </w:rPr>
        <w:t xml:space="preserve">The female was sitting on the sofa in the living room of the property and was drinking wine from the bottle, there was no knife in sight. The female had no memory of calling the police, initially the female was irate with officers, but after a brief conversation with her asking her open-ended questions about what has led her to call police for assistance and what had led to her drinking heavily that day, she calmed down. Building a rapport with members of the public is vital so they </w:t>
      </w:r>
      <w:r w:rsidRPr="0006113F">
        <w:rPr>
          <w:rFonts w:asciiTheme="minorHAnsi" w:eastAsiaTheme="minorHAnsi" w:hAnsiTheme="minorHAnsi" w:cstheme="minorBidi"/>
          <w:color w:val="auto"/>
          <w:sz w:val="22"/>
          <w:szCs w:val="22"/>
          <w:lang w:eastAsia="en-US"/>
        </w:rPr>
        <w:lastRenderedPageBreak/>
        <w:t>build trust within the officers, therefore they are more likely to tell us about what is going on so we can arrange the right support and safeguarding for them.</w:t>
      </w:r>
    </w:p>
    <w:p w14:paraId="671363E5"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p>
    <w:p w14:paraId="6DEC471E"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r w:rsidRPr="0006113F">
        <w:rPr>
          <w:rFonts w:asciiTheme="minorHAnsi" w:eastAsiaTheme="minorHAnsi" w:hAnsiTheme="minorHAnsi" w:cstheme="minorBidi"/>
          <w:color w:val="auto"/>
          <w:sz w:val="22"/>
          <w:szCs w:val="22"/>
          <w:lang w:eastAsia="en-US"/>
        </w:rPr>
        <w:t xml:space="preserve">The male advised my colleague and I that his mother had been having mental health issues for many years and was under social services and the local mental health team. However, the female had not been taking her medication and was drinking heavily. The male was clearly in distress and advised officers that he was struggling to take care of his mother and she would become abusive towards him when intoxicated. I felt that we also had a duty of care to safeguard the male, adult safeguarding means, “Protecting an adult’s right to live in safety free from abuse and neglect” (College of Policing,2021).  Therefore, I submitted an early help referral for the male. The primary objective of an early help referral is to identify vulnerable persons. By working alongside other agencies such as mental health organisations, social services, and educational services, this early intervention approach prevents issues from escalating and addresses underlaying issues. </w:t>
      </w:r>
    </w:p>
    <w:p w14:paraId="1C713E90"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r w:rsidRPr="0006113F">
        <w:rPr>
          <w:rFonts w:asciiTheme="minorHAnsi" w:eastAsiaTheme="minorHAnsi" w:hAnsiTheme="minorHAnsi" w:cstheme="minorBidi"/>
          <w:color w:val="auto"/>
          <w:sz w:val="22"/>
          <w:szCs w:val="22"/>
          <w:lang w:eastAsia="en-US"/>
        </w:rPr>
        <w:t xml:space="preserve">The main aim of early intervention is to “prevent problems occurring, or to tackle them head-on when they do, before problems get worse” (Early Intervention Foundation, 2023). With a referral to early help, there are many ways in which support can be provided. Whether it may be home visits from professional organisations, or referrals to charities that can assist with the </w:t>
      </w:r>
      <w:proofErr w:type="spellStart"/>
      <w:r w:rsidRPr="0006113F">
        <w:rPr>
          <w:rFonts w:asciiTheme="minorHAnsi" w:eastAsiaTheme="minorHAnsi" w:hAnsiTheme="minorHAnsi" w:cstheme="minorBidi"/>
          <w:color w:val="auto"/>
          <w:sz w:val="22"/>
          <w:szCs w:val="22"/>
          <w:lang w:eastAsia="en-US"/>
        </w:rPr>
        <w:t>individuals</w:t>
      </w:r>
      <w:proofErr w:type="spellEnd"/>
      <w:r w:rsidRPr="0006113F">
        <w:rPr>
          <w:rFonts w:asciiTheme="minorHAnsi" w:eastAsiaTheme="minorHAnsi" w:hAnsiTheme="minorHAnsi" w:cstheme="minorBidi"/>
          <w:color w:val="auto"/>
          <w:sz w:val="22"/>
          <w:szCs w:val="22"/>
          <w:lang w:eastAsia="en-US"/>
        </w:rPr>
        <w:t xml:space="preserve"> needs. The early help can be extremely beneficial for adults, offering help and support in the early stages when people may be at their most vulnerable state and identifying issues can potentially avoid matters escalating, lessen the need for safeguarding enquiries and interventions. I have researched an article which states, early intervention allows people to obtain advice and assistance at the right time and place, so that they can focus on what matters to them and be in control of their everyday lives (Care Council for Wales,2017). I felt that the female and her son could really benefit from some intervention from social services due to their poor living conditions, the son also appeared to be struggling with basic daily struggles such as poor personal hygiene, lack of food within the property, </w:t>
      </w:r>
      <w:r w:rsidRPr="0006113F">
        <w:rPr>
          <w:rFonts w:asciiTheme="minorHAnsi" w:eastAsiaTheme="minorHAnsi" w:hAnsiTheme="minorHAnsi" w:cstheme="minorBidi"/>
          <w:color w:val="auto"/>
          <w:sz w:val="22"/>
          <w:szCs w:val="22"/>
          <w:lang w:eastAsia="en-US"/>
        </w:rPr>
        <w:lastRenderedPageBreak/>
        <w:t xml:space="preserve">he had dropped out of school at a young are to look after his mother therefore was relying on government benefits to provide daily essentials which his mother was using to purchase alcohol due to her addictions. The property was cold due to them having no money to put credit on their gas metre. Their overall living conditions were extremely poor and the son had no immediate family in the area to provide any form of support and at this point they had not received any form of support from outside agencies. </w:t>
      </w:r>
    </w:p>
    <w:p w14:paraId="3F79ED1C"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p>
    <w:p w14:paraId="438A19FF"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r w:rsidRPr="0006113F">
        <w:rPr>
          <w:rFonts w:asciiTheme="minorHAnsi" w:eastAsiaTheme="minorHAnsi" w:hAnsiTheme="minorHAnsi" w:cstheme="minorBidi"/>
          <w:color w:val="auto"/>
          <w:sz w:val="22"/>
          <w:szCs w:val="22"/>
          <w:lang w:eastAsia="en-US"/>
        </w:rPr>
        <w:t xml:space="preserve">After speaking with the son and learning how difficult he was finding it to take care of his mother and struggling with his own mental health due to the stress of the situation, I felt it was appropriate to submit and Public Protection Notification (PPN). A Public Protection Notification is a document that is shared online which allows police officers to make a record of safeguarding concerns that they may have identified during a call, this information is then shared to outside partner agencies so that support can be provided if necessary. </w:t>
      </w:r>
    </w:p>
    <w:p w14:paraId="241428C6"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p>
    <w:p w14:paraId="346D054E"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r w:rsidRPr="0006113F">
        <w:rPr>
          <w:rFonts w:asciiTheme="minorHAnsi" w:eastAsiaTheme="minorHAnsi" w:hAnsiTheme="minorHAnsi" w:cstheme="minorBidi"/>
          <w:color w:val="auto"/>
          <w:sz w:val="22"/>
          <w:szCs w:val="22"/>
          <w:lang w:eastAsia="en-US"/>
        </w:rPr>
        <w:t xml:space="preserve">When the Public Protection Notification is submitted, the Police public protection unit will then review the referral, they will then identify any risks and take the necessary action, PPU will then contact the relevant agencies i.e., social services. Before a police officer can submit a Public Protection Notification, it is vital to gain consent from the individual. This is where building a rapport with the individual and gaining their trust is so important, by gaining the trust of that person they are more likely to be open and honest about their situation therefore, an officer will find it easier to identify their needs. An article that I have read states that, listening to and communicating with the adult is essential so that the best way to address their needs can be established (Wales Safeguarding Procedures, 2021). One of the agencies that information is shared with during a multi-agency approach is the persons GP and the NHS. This is to identify if the individual requires any additional support with any mental health concerns. When police officers are attending mental health calls, it’s </w:t>
      </w:r>
      <w:r w:rsidRPr="0006113F">
        <w:rPr>
          <w:rFonts w:asciiTheme="minorHAnsi" w:eastAsiaTheme="minorHAnsi" w:hAnsiTheme="minorHAnsi" w:cstheme="minorBidi"/>
          <w:color w:val="auto"/>
          <w:sz w:val="22"/>
          <w:szCs w:val="22"/>
          <w:lang w:eastAsia="en-US"/>
        </w:rPr>
        <w:lastRenderedPageBreak/>
        <w:t xml:space="preserve">vitally important that all information is recorded accurately and that the full context of the persons situation is explained in detail, if an officer does not do this correctly when the Public Protection Unit are reviewing the PPN referral, they may not identify the risks posed by the individual and therefore the referral does not get risk assessed accurately. If this is to happen then the persons safeguarding needs will not be met and could have detrimental effect on the person’s well-being. </w:t>
      </w:r>
    </w:p>
    <w:p w14:paraId="55713EDA"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p>
    <w:p w14:paraId="74850FE7"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r w:rsidRPr="0006113F">
        <w:rPr>
          <w:rFonts w:asciiTheme="minorHAnsi" w:eastAsiaTheme="minorHAnsi" w:hAnsiTheme="minorHAnsi" w:cstheme="minorBidi"/>
          <w:color w:val="auto"/>
          <w:sz w:val="22"/>
          <w:szCs w:val="22"/>
          <w:lang w:eastAsia="en-US"/>
        </w:rPr>
        <w:t xml:space="preserve">Whilst at the home address, I phoned the National Health Service crisis team. They offer support and advice when individuals are in a mental health crisis. They will assess you over the phone and decide what the best course of action is for you. Unfortunately, due to the female being heavily intoxicated, they could not offer a face-to-face assessment. The only option officers had was to convey the female to local A&amp;E department however, she was refusing to go. I did consider using section 136 of the mental health Act 1983 but as the person was in her home address and not in a public place then we could not use this power. </w:t>
      </w:r>
      <w:bookmarkStart w:id="0" w:name="_Hlk149561057"/>
      <w:r w:rsidRPr="0006113F">
        <w:rPr>
          <w:rFonts w:asciiTheme="minorHAnsi" w:eastAsiaTheme="minorHAnsi" w:hAnsiTheme="minorHAnsi" w:cstheme="minorBidi"/>
          <w:color w:val="auto"/>
          <w:sz w:val="22"/>
          <w:szCs w:val="22"/>
          <w:lang w:eastAsia="en-US"/>
        </w:rPr>
        <w:t>Section 136(1A) allows this power to be exercised in any public or private place other than: a house, flat or room where that person, or another person lives, any yard garden garage or outhouse that is used in connection with the house, flat or room, other than one used in connection with one or more houses, flats, or rooms</w:t>
      </w:r>
      <w:bookmarkEnd w:id="0"/>
      <w:r w:rsidRPr="0006113F">
        <w:rPr>
          <w:rFonts w:asciiTheme="minorHAnsi" w:eastAsiaTheme="minorHAnsi" w:hAnsiTheme="minorHAnsi" w:cstheme="minorBidi"/>
          <w:color w:val="auto"/>
          <w:sz w:val="22"/>
          <w:szCs w:val="22"/>
          <w:lang w:eastAsia="en-US"/>
        </w:rPr>
        <w:t xml:space="preserve">. (College of Policing,2020). My colleague and I spent some time speaking with the female and her son building a rapport and discussing concerns we had for them and what we were going to do to help them both, the female then agreed for officers to convey them both to the local A&amp;E so an assessment could take place. Whilst at the hospital the female had her observations checked and spoke with a psychiatric doctor, once the alcohol had worn off officers could then convey the female to a different hospital where they had a psychiatric unit for a mental health assessment, the female was then sectioned under the mental health act and stayed there as an inpatient for 7 days. I believe that this was the best outcome for her as she was safeguarded in a safe environment and was receiving treatment for a </w:t>
      </w:r>
      <w:r w:rsidRPr="0006113F">
        <w:rPr>
          <w:rFonts w:asciiTheme="minorHAnsi" w:eastAsiaTheme="minorHAnsi" w:hAnsiTheme="minorHAnsi" w:cstheme="minorBidi"/>
          <w:color w:val="auto"/>
          <w:sz w:val="22"/>
          <w:szCs w:val="22"/>
          <w:lang w:eastAsia="en-US"/>
        </w:rPr>
        <w:lastRenderedPageBreak/>
        <w:t>declining mental health and it meant her son was also having some rest bite from having to take care of his mother whilst on his own with limited family support.</w:t>
      </w:r>
    </w:p>
    <w:p w14:paraId="2FC00189"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p>
    <w:p w14:paraId="7407BEE8"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r w:rsidRPr="0006113F">
        <w:rPr>
          <w:rFonts w:asciiTheme="minorHAnsi" w:eastAsiaTheme="minorHAnsi" w:hAnsiTheme="minorHAnsi" w:cstheme="minorBidi"/>
          <w:color w:val="auto"/>
          <w:sz w:val="22"/>
          <w:szCs w:val="22"/>
          <w:lang w:eastAsia="en-US"/>
        </w:rPr>
        <w:t xml:space="preserve">In conclusion, when dealing with people that are at their most vulnerable state, it is clear that ensuring the risks are identified at the earliest opportunity to provide the right support. It is key that frontline officers record details accurately and with as much detail as possible so that when the referrals are made via the multi-agency approach the right support is put in place for the person in all areas of their lives. It is also to identify that it may not just be the person that is in crisis that is struggling, family that they live with may also be struggling with coping with the situation and it’s vital that they are also supported during these difficult times. Living with a family member that is in a mental health crisis can be extremely draining and difficult, there were obvious concerns for both mother and son during this call and I feel that by my colleague and I putting the right referrals in place and identifying all issues raised that this would have a positive impact on both their lives and that they are both safeguarded and supported correctly. </w:t>
      </w:r>
    </w:p>
    <w:p w14:paraId="6833B7D3"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r w:rsidRPr="0006113F">
        <w:rPr>
          <w:rFonts w:asciiTheme="minorHAnsi" w:eastAsiaTheme="minorHAnsi" w:hAnsiTheme="minorHAnsi" w:cstheme="minorBidi"/>
          <w:color w:val="auto"/>
          <w:sz w:val="22"/>
          <w:szCs w:val="22"/>
          <w:lang w:eastAsia="en-US"/>
        </w:rPr>
        <w:t>Word Count 1843</w:t>
      </w:r>
    </w:p>
    <w:p w14:paraId="23200913"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u w:val="single"/>
          <w:lang w:eastAsia="en-US"/>
        </w:rPr>
      </w:pPr>
      <w:r w:rsidRPr="0006113F">
        <w:rPr>
          <w:rFonts w:asciiTheme="minorHAnsi" w:eastAsiaTheme="minorHAnsi" w:hAnsiTheme="minorHAnsi" w:cstheme="minorBidi"/>
          <w:color w:val="auto"/>
          <w:sz w:val="22"/>
          <w:szCs w:val="22"/>
          <w:u w:val="single"/>
          <w:lang w:eastAsia="en-US"/>
        </w:rPr>
        <w:t xml:space="preserve">Bibliography </w:t>
      </w:r>
    </w:p>
    <w:p w14:paraId="1F08D534"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u w:val="single"/>
          <w:lang w:eastAsia="en-US"/>
        </w:rPr>
      </w:pPr>
      <w:r w:rsidRPr="0006113F">
        <w:rPr>
          <w:rFonts w:asciiTheme="minorHAnsi" w:eastAsiaTheme="minorHAnsi" w:hAnsiTheme="minorHAnsi" w:cstheme="minorBidi"/>
          <w:color w:val="auto"/>
          <w:sz w:val="22"/>
          <w:szCs w:val="22"/>
          <w:u w:val="single"/>
          <w:lang w:eastAsia="en-US"/>
        </w:rPr>
        <w:t>Care Council for Wales (2017) Social Services and Well-being (Wales) Act 2014- The main principles underpinning the Act: voice and control, prevention and early intervention, well-being, co-</w:t>
      </w:r>
      <w:proofErr w:type="gramStart"/>
      <w:r w:rsidRPr="0006113F">
        <w:rPr>
          <w:rFonts w:asciiTheme="minorHAnsi" w:eastAsiaTheme="minorHAnsi" w:hAnsiTheme="minorHAnsi" w:cstheme="minorBidi"/>
          <w:color w:val="auto"/>
          <w:sz w:val="22"/>
          <w:szCs w:val="22"/>
          <w:u w:val="single"/>
          <w:lang w:eastAsia="en-US"/>
        </w:rPr>
        <w:t>production</w:t>
      </w:r>
      <w:proofErr w:type="gramEnd"/>
      <w:r w:rsidRPr="0006113F">
        <w:rPr>
          <w:rFonts w:asciiTheme="minorHAnsi" w:eastAsiaTheme="minorHAnsi" w:hAnsiTheme="minorHAnsi" w:cstheme="minorBidi"/>
          <w:color w:val="auto"/>
          <w:sz w:val="22"/>
          <w:szCs w:val="22"/>
          <w:u w:val="single"/>
          <w:lang w:eastAsia="en-US"/>
        </w:rPr>
        <w:t xml:space="preserve"> and multi-agency. Available at: https://socialcare.wales/cms-assets/documents/hub-downloads/Principles-Resource-Guide_March-17.pdf (Accessed 27th September 2023).</w:t>
      </w:r>
    </w:p>
    <w:p w14:paraId="30E7E151"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r w:rsidRPr="0006113F">
        <w:rPr>
          <w:rFonts w:asciiTheme="minorHAnsi" w:eastAsiaTheme="minorHAnsi" w:hAnsiTheme="minorHAnsi" w:cstheme="minorBidi"/>
          <w:color w:val="auto"/>
          <w:sz w:val="22"/>
          <w:szCs w:val="22"/>
          <w:lang w:eastAsia="en-US"/>
        </w:rPr>
        <w:t xml:space="preserve">College of Policing (2021) introduction to vulnerability-related risk. Available at: </w:t>
      </w:r>
      <w:hyperlink r:id="rId15" w:history="1">
        <w:r w:rsidRPr="0006113F">
          <w:rPr>
            <w:rFonts w:asciiTheme="minorHAnsi" w:eastAsiaTheme="minorHAnsi" w:hAnsiTheme="minorHAnsi" w:cstheme="minorBidi"/>
            <w:color w:val="0563C1" w:themeColor="hyperlink"/>
            <w:sz w:val="22"/>
            <w:szCs w:val="22"/>
            <w:u w:val="single"/>
            <w:lang w:eastAsia="en-US"/>
          </w:rPr>
          <w:t>https://www.college.police.uk/guidance/vulnerability-related-risks/introduction-vulnerability-related-risk#:~:text=exploited%20or%20abused.-,THRIVE,others%20from%20harm%20or%20exploitation</w:t>
        </w:r>
      </w:hyperlink>
      <w:r w:rsidRPr="0006113F">
        <w:rPr>
          <w:rFonts w:asciiTheme="minorHAnsi" w:eastAsiaTheme="minorHAnsi" w:hAnsiTheme="minorHAnsi" w:cstheme="minorBidi"/>
          <w:color w:val="auto"/>
          <w:sz w:val="22"/>
          <w:szCs w:val="22"/>
          <w:lang w:eastAsia="en-US"/>
        </w:rPr>
        <w:t>.  (Accessed 25</w:t>
      </w:r>
      <w:r w:rsidRPr="0006113F">
        <w:rPr>
          <w:rFonts w:asciiTheme="minorHAnsi" w:eastAsiaTheme="minorHAnsi" w:hAnsiTheme="minorHAnsi" w:cstheme="minorBidi"/>
          <w:color w:val="auto"/>
          <w:sz w:val="22"/>
          <w:szCs w:val="22"/>
          <w:vertAlign w:val="superscript"/>
          <w:lang w:eastAsia="en-US"/>
        </w:rPr>
        <w:t>th</w:t>
      </w:r>
      <w:r w:rsidRPr="0006113F">
        <w:rPr>
          <w:rFonts w:asciiTheme="minorHAnsi" w:eastAsiaTheme="minorHAnsi" w:hAnsiTheme="minorHAnsi" w:cstheme="minorBidi"/>
          <w:color w:val="auto"/>
          <w:sz w:val="22"/>
          <w:szCs w:val="22"/>
          <w:lang w:eastAsia="en-US"/>
        </w:rPr>
        <w:t xml:space="preserve"> September 2023)</w:t>
      </w:r>
    </w:p>
    <w:p w14:paraId="4ABBA775"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r w:rsidRPr="0006113F">
        <w:rPr>
          <w:rFonts w:asciiTheme="minorHAnsi" w:eastAsiaTheme="minorHAnsi" w:hAnsiTheme="minorHAnsi" w:cstheme="minorBidi"/>
          <w:color w:val="auto"/>
          <w:sz w:val="22"/>
          <w:szCs w:val="22"/>
          <w:lang w:eastAsia="en-US"/>
        </w:rPr>
        <w:lastRenderedPageBreak/>
        <w:t xml:space="preserve">College of Policing (2022) Mental Vulnerability and illness. Available at: </w:t>
      </w:r>
      <w:hyperlink r:id="rId16" w:history="1">
        <w:r w:rsidRPr="0006113F">
          <w:rPr>
            <w:rFonts w:asciiTheme="minorHAnsi" w:eastAsiaTheme="minorHAnsi" w:hAnsiTheme="minorHAnsi" w:cstheme="minorBidi"/>
            <w:color w:val="0563C1" w:themeColor="hyperlink"/>
            <w:sz w:val="22"/>
            <w:szCs w:val="22"/>
            <w:u w:val="single"/>
            <w:lang w:eastAsia="en-US"/>
          </w:rPr>
          <w:t>https://www.college.police.uk/app/mental-health/mental-vulnerability-and-illness</w:t>
        </w:r>
      </w:hyperlink>
      <w:r w:rsidRPr="0006113F">
        <w:rPr>
          <w:rFonts w:asciiTheme="minorHAnsi" w:eastAsiaTheme="minorHAnsi" w:hAnsiTheme="minorHAnsi" w:cstheme="minorBidi"/>
          <w:color w:val="auto"/>
          <w:sz w:val="22"/>
          <w:szCs w:val="22"/>
          <w:lang w:eastAsia="en-US"/>
        </w:rPr>
        <w:t xml:space="preserve"> (Accessed 25</w:t>
      </w:r>
      <w:r w:rsidRPr="0006113F">
        <w:rPr>
          <w:rFonts w:asciiTheme="minorHAnsi" w:eastAsiaTheme="minorHAnsi" w:hAnsiTheme="minorHAnsi" w:cstheme="minorBidi"/>
          <w:color w:val="auto"/>
          <w:sz w:val="22"/>
          <w:szCs w:val="22"/>
          <w:vertAlign w:val="superscript"/>
          <w:lang w:eastAsia="en-US"/>
        </w:rPr>
        <w:t>th</w:t>
      </w:r>
      <w:r w:rsidRPr="0006113F">
        <w:rPr>
          <w:rFonts w:asciiTheme="minorHAnsi" w:eastAsiaTheme="minorHAnsi" w:hAnsiTheme="minorHAnsi" w:cstheme="minorBidi"/>
          <w:color w:val="auto"/>
          <w:sz w:val="22"/>
          <w:szCs w:val="22"/>
          <w:lang w:eastAsia="en-US"/>
        </w:rPr>
        <w:t xml:space="preserve"> September 2023)</w:t>
      </w:r>
    </w:p>
    <w:p w14:paraId="1C1414D7"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r w:rsidRPr="0006113F">
        <w:rPr>
          <w:rFonts w:asciiTheme="minorHAnsi" w:eastAsiaTheme="minorHAnsi" w:hAnsiTheme="minorHAnsi" w:cstheme="minorBidi"/>
          <w:color w:val="auto"/>
          <w:sz w:val="22"/>
          <w:szCs w:val="22"/>
          <w:lang w:eastAsia="en-US"/>
        </w:rPr>
        <w:t xml:space="preserve">College of Policing (2021) introduction to Vulnerability-related risk. Available at: </w:t>
      </w:r>
      <w:hyperlink r:id="rId17" w:history="1">
        <w:r w:rsidRPr="0006113F">
          <w:rPr>
            <w:rFonts w:asciiTheme="minorHAnsi" w:eastAsiaTheme="minorHAnsi" w:hAnsiTheme="minorHAnsi" w:cstheme="minorBidi"/>
            <w:color w:val="0563C1" w:themeColor="hyperlink"/>
            <w:sz w:val="22"/>
            <w:szCs w:val="22"/>
            <w:u w:val="single"/>
            <w:lang w:eastAsia="en-US"/>
          </w:rPr>
          <w:t>https://www.college.police.uk/guidance/vulnerability-related-risks/introduction-vulnerability-related-risk</w:t>
        </w:r>
      </w:hyperlink>
      <w:r w:rsidRPr="0006113F">
        <w:rPr>
          <w:rFonts w:asciiTheme="minorHAnsi" w:eastAsiaTheme="minorHAnsi" w:hAnsiTheme="minorHAnsi" w:cstheme="minorBidi"/>
          <w:color w:val="auto"/>
          <w:sz w:val="22"/>
          <w:szCs w:val="22"/>
          <w:lang w:eastAsia="en-US"/>
        </w:rPr>
        <w:t>. (Accessed on 25</w:t>
      </w:r>
      <w:r w:rsidRPr="0006113F">
        <w:rPr>
          <w:rFonts w:asciiTheme="minorHAnsi" w:eastAsiaTheme="minorHAnsi" w:hAnsiTheme="minorHAnsi" w:cstheme="minorBidi"/>
          <w:color w:val="auto"/>
          <w:sz w:val="22"/>
          <w:szCs w:val="22"/>
          <w:vertAlign w:val="superscript"/>
          <w:lang w:eastAsia="en-US"/>
        </w:rPr>
        <w:t>th</w:t>
      </w:r>
      <w:r w:rsidRPr="0006113F">
        <w:rPr>
          <w:rFonts w:asciiTheme="minorHAnsi" w:eastAsiaTheme="minorHAnsi" w:hAnsiTheme="minorHAnsi" w:cstheme="minorBidi"/>
          <w:color w:val="auto"/>
          <w:sz w:val="22"/>
          <w:szCs w:val="22"/>
          <w:lang w:eastAsia="en-US"/>
        </w:rPr>
        <w:t xml:space="preserve"> September 2023)</w:t>
      </w:r>
    </w:p>
    <w:p w14:paraId="49702DB5"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r w:rsidRPr="0006113F">
        <w:rPr>
          <w:rFonts w:asciiTheme="minorHAnsi" w:eastAsiaTheme="minorHAnsi" w:hAnsiTheme="minorHAnsi" w:cstheme="minorBidi"/>
          <w:color w:val="auto"/>
          <w:sz w:val="22"/>
          <w:szCs w:val="22"/>
          <w:lang w:eastAsia="en-US"/>
        </w:rPr>
        <w:t xml:space="preserve">College of Policing (2020) Mental Health-detention. Available at: </w:t>
      </w:r>
      <w:hyperlink r:id="rId18" w:history="1">
        <w:r w:rsidRPr="0006113F">
          <w:rPr>
            <w:rFonts w:asciiTheme="minorHAnsi" w:eastAsiaTheme="minorHAnsi" w:hAnsiTheme="minorHAnsi" w:cstheme="minorBidi"/>
            <w:color w:val="0563C1" w:themeColor="hyperlink"/>
            <w:sz w:val="22"/>
            <w:szCs w:val="22"/>
            <w:u w:val="single"/>
            <w:lang w:eastAsia="en-US"/>
          </w:rPr>
          <w:t>https://www.college.police.uk/app/mental-health/mental-health-detention</w:t>
        </w:r>
      </w:hyperlink>
      <w:r w:rsidRPr="0006113F">
        <w:rPr>
          <w:rFonts w:asciiTheme="minorHAnsi" w:eastAsiaTheme="minorHAnsi" w:hAnsiTheme="minorHAnsi" w:cstheme="minorBidi"/>
          <w:color w:val="auto"/>
          <w:sz w:val="22"/>
          <w:szCs w:val="22"/>
          <w:lang w:eastAsia="en-US"/>
        </w:rPr>
        <w:t>. (Accessed on 27</w:t>
      </w:r>
      <w:r w:rsidRPr="0006113F">
        <w:rPr>
          <w:rFonts w:asciiTheme="minorHAnsi" w:eastAsiaTheme="minorHAnsi" w:hAnsiTheme="minorHAnsi" w:cstheme="minorBidi"/>
          <w:color w:val="auto"/>
          <w:sz w:val="22"/>
          <w:szCs w:val="22"/>
          <w:vertAlign w:val="superscript"/>
          <w:lang w:eastAsia="en-US"/>
        </w:rPr>
        <w:t>th</w:t>
      </w:r>
      <w:r w:rsidRPr="0006113F">
        <w:rPr>
          <w:rFonts w:asciiTheme="minorHAnsi" w:eastAsiaTheme="minorHAnsi" w:hAnsiTheme="minorHAnsi" w:cstheme="minorBidi"/>
          <w:color w:val="auto"/>
          <w:sz w:val="22"/>
          <w:szCs w:val="22"/>
          <w:lang w:eastAsia="en-US"/>
        </w:rPr>
        <w:t xml:space="preserve"> September 2023). </w:t>
      </w:r>
    </w:p>
    <w:p w14:paraId="6F965C08"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r w:rsidRPr="0006113F">
        <w:rPr>
          <w:rFonts w:asciiTheme="minorHAnsi" w:eastAsiaTheme="minorHAnsi" w:hAnsiTheme="minorHAnsi" w:cstheme="minorBidi"/>
          <w:color w:val="auto"/>
          <w:sz w:val="22"/>
          <w:szCs w:val="22"/>
          <w:lang w:eastAsia="en-US"/>
        </w:rPr>
        <w:t xml:space="preserve">Early Intervention Foundation (2020) What Is Early Intervention. Available at: </w:t>
      </w:r>
      <w:hyperlink r:id="rId19" w:history="1">
        <w:r w:rsidRPr="0006113F">
          <w:rPr>
            <w:rFonts w:asciiTheme="minorHAnsi" w:eastAsiaTheme="minorHAnsi" w:hAnsiTheme="minorHAnsi" w:cstheme="minorBidi"/>
            <w:color w:val="0563C1" w:themeColor="hyperlink"/>
            <w:sz w:val="22"/>
            <w:szCs w:val="22"/>
            <w:u w:val="single"/>
            <w:lang w:eastAsia="en-US"/>
          </w:rPr>
          <w:t>https://www.eif.org.uk/resource/what-is-early-intervention#:~:text=Early%20intervention%20means%20identifying%20and%20providing%20effective%20early,head-on%20when%20they%20do%2C%20before%20problems%20get%20worse</w:t>
        </w:r>
      </w:hyperlink>
      <w:r w:rsidRPr="0006113F">
        <w:rPr>
          <w:rFonts w:asciiTheme="minorHAnsi" w:eastAsiaTheme="minorHAnsi" w:hAnsiTheme="minorHAnsi" w:cstheme="minorBidi"/>
          <w:color w:val="auto"/>
          <w:sz w:val="22"/>
          <w:szCs w:val="22"/>
          <w:lang w:eastAsia="en-US"/>
        </w:rPr>
        <w:t>. (Accessed 27</w:t>
      </w:r>
      <w:r w:rsidRPr="0006113F">
        <w:rPr>
          <w:rFonts w:asciiTheme="minorHAnsi" w:eastAsiaTheme="minorHAnsi" w:hAnsiTheme="minorHAnsi" w:cstheme="minorBidi"/>
          <w:color w:val="auto"/>
          <w:sz w:val="22"/>
          <w:szCs w:val="22"/>
          <w:vertAlign w:val="superscript"/>
          <w:lang w:eastAsia="en-US"/>
        </w:rPr>
        <w:t>th</w:t>
      </w:r>
      <w:r w:rsidRPr="0006113F">
        <w:rPr>
          <w:rFonts w:asciiTheme="minorHAnsi" w:eastAsiaTheme="minorHAnsi" w:hAnsiTheme="minorHAnsi" w:cstheme="minorBidi"/>
          <w:color w:val="auto"/>
          <w:sz w:val="22"/>
          <w:szCs w:val="22"/>
          <w:lang w:eastAsia="en-US"/>
        </w:rPr>
        <w:t xml:space="preserve"> September 2023)</w:t>
      </w:r>
    </w:p>
    <w:p w14:paraId="76559298"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r w:rsidRPr="0006113F">
        <w:rPr>
          <w:rFonts w:asciiTheme="minorHAnsi" w:eastAsiaTheme="minorHAnsi" w:hAnsiTheme="minorHAnsi" w:cstheme="minorBidi"/>
          <w:color w:val="auto"/>
          <w:sz w:val="22"/>
          <w:szCs w:val="22"/>
          <w:lang w:eastAsia="en-US"/>
        </w:rPr>
        <w:t xml:space="preserve">Wales Safeguarding Procedures (2021) Safeguarding principles and effective practice: adults at risk of abuse and/or neglect. Available at: </w:t>
      </w:r>
      <w:hyperlink r:id="rId20" w:history="1">
        <w:r w:rsidRPr="0006113F">
          <w:rPr>
            <w:rFonts w:asciiTheme="minorHAnsi" w:eastAsiaTheme="minorHAnsi" w:hAnsiTheme="minorHAnsi" w:cstheme="minorBidi"/>
            <w:color w:val="0563C1" w:themeColor="hyperlink"/>
            <w:sz w:val="22"/>
            <w:szCs w:val="22"/>
            <w:u w:val="single"/>
            <w:lang w:eastAsia="en-US"/>
          </w:rPr>
          <w:t>https://www.safeguarding.wales/en/adu-i/adu-i-a1/</w:t>
        </w:r>
      </w:hyperlink>
      <w:r w:rsidRPr="0006113F">
        <w:rPr>
          <w:rFonts w:asciiTheme="minorHAnsi" w:eastAsiaTheme="minorHAnsi" w:hAnsiTheme="minorHAnsi" w:cstheme="minorBidi"/>
          <w:color w:val="auto"/>
          <w:sz w:val="22"/>
          <w:szCs w:val="22"/>
          <w:lang w:eastAsia="en-US"/>
        </w:rPr>
        <w:t xml:space="preserve"> (Accessed 28</w:t>
      </w:r>
      <w:r w:rsidRPr="0006113F">
        <w:rPr>
          <w:rFonts w:asciiTheme="minorHAnsi" w:eastAsiaTheme="minorHAnsi" w:hAnsiTheme="minorHAnsi" w:cstheme="minorBidi"/>
          <w:color w:val="auto"/>
          <w:sz w:val="22"/>
          <w:szCs w:val="22"/>
          <w:vertAlign w:val="superscript"/>
          <w:lang w:eastAsia="en-US"/>
        </w:rPr>
        <w:t>th</w:t>
      </w:r>
      <w:r w:rsidRPr="0006113F">
        <w:rPr>
          <w:rFonts w:asciiTheme="minorHAnsi" w:eastAsiaTheme="minorHAnsi" w:hAnsiTheme="minorHAnsi" w:cstheme="minorBidi"/>
          <w:color w:val="auto"/>
          <w:sz w:val="22"/>
          <w:szCs w:val="22"/>
          <w:lang w:eastAsia="en-US"/>
        </w:rPr>
        <w:t xml:space="preserve"> September 2023)</w:t>
      </w:r>
    </w:p>
    <w:p w14:paraId="4BE5BC71"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p>
    <w:p w14:paraId="477B1231"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p>
    <w:p w14:paraId="5775C528" w14:textId="77777777" w:rsidR="0006113F" w:rsidRPr="0006113F" w:rsidRDefault="0006113F" w:rsidP="0006113F">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C1963D3" w14:textId="77777777" w:rsidR="0006113F" w:rsidRPr="0006113F" w:rsidRDefault="0006113F" w:rsidP="0006113F">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5177CC1" w14:textId="77777777" w:rsidR="0006113F" w:rsidRPr="0006113F" w:rsidRDefault="0006113F" w:rsidP="0006113F">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119CF8F" w14:textId="77777777" w:rsidR="0006113F" w:rsidRPr="0006113F" w:rsidRDefault="0006113F" w:rsidP="0006113F">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63C5373" w14:textId="77777777" w:rsidR="0006113F" w:rsidRPr="0006113F" w:rsidRDefault="0006113F" w:rsidP="0006113F">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35A4CF3" w14:textId="77777777" w:rsidR="0006113F" w:rsidRPr="0006113F" w:rsidRDefault="0006113F" w:rsidP="0006113F">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1A46FA58" w14:textId="77777777" w:rsidR="0006113F" w:rsidRPr="0006113F" w:rsidRDefault="0006113F" w:rsidP="0006113F">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2FFEC34F" w14:textId="77777777" w:rsidR="0006113F" w:rsidRPr="0006113F" w:rsidRDefault="0006113F" w:rsidP="0006113F">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B977029" w14:textId="77777777" w:rsidR="0006113F" w:rsidRPr="0006113F" w:rsidRDefault="0006113F" w:rsidP="0006113F">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BB6B327" w14:textId="77777777" w:rsidR="0006113F" w:rsidRPr="0006113F" w:rsidRDefault="0006113F" w:rsidP="0006113F">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B03CC58" w14:textId="77777777" w:rsidR="0006113F" w:rsidRPr="0006113F" w:rsidRDefault="0006113F" w:rsidP="0006113F">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2BC2F209" w14:textId="77777777" w:rsidR="0006113F" w:rsidRPr="0006113F" w:rsidRDefault="0006113F" w:rsidP="0006113F">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70CC013C" w14:textId="77777777" w:rsidR="0006113F" w:rsidRPr="0006113F" w:rsidRDefault="0006113F" w:rsidP="0006113F">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6EFCE52" w14:textId="77777777" w:rsidR="0006113F" w:rsidRPr="00E676F7" w:rsidRDefault="0006113F" w:rsidP="5B843AF0">
      <w:pPr>
        <w:ind w:right="237"/>
        <w:jc w:val="both"/>
        <w:rPr>
          <w:rFonts w:eastAsia="Arial"/>
          <w:color w:val="000000" w:themeColor="text1"/>
          <w:sz w:val="24"/>
          <w:szCs w:val="24"/>
        </w:rPr>
      </w:pP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5CE196A1">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Default="005C76DE" w:rsidP="5CE196A1">
      <w:pPr>
        <w:ind w:right="237"/>
        <w:jc w:val="both"/>
        <w:rPr>
          <w:b/>
          <w:bCs/>
          <w:sz w:val="24"/>
          <w:szCs w:val="24"/>
        </w:rPr>
      </w:pPr>
      <w:r w:rsidRPr="5CE196A1">
        <w:rPr>
          <w:b/>
          <w:bCs/>
          <w:sz w:val="24"/>
          <w:szCs w:val="24"/>
        </w:rPr>
        <w:t>ANSWER:</w:t>
      </w:r>
    </w:p>
    <w:p w14:paraId="238039BE" w14:textId="77777777" w:rsidR="0006113F" w:rsidRDefault="0006113F" w:rsidP="5CE196A1">
      <w:pPr>
        <w:ind w:right="237"/>
        <w:jc w:val="both"/>
        <w:rPr>
          <w:b/>
          <w:bCs/>
          <w:sz w:val="24"/>
          <w:szCs w:val="24"/>
        </w:rPr>
      </w:pPr>
    </w:p>
    <w:p w14:paraId="345730E7"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r w:rsidRPr="0006113F">
        <w:rPr>
          <w:rFonts w:asciiTheme="minorHAnsi" w:eastAsiaTheme="minorHAnsi" w:hAnsiTheme="minorHAnsi" w:cstheme="minorBidi"/>
          <w:color w:val="auto"/>
          <w:sz w:val="22"/>
          <w:szCs w:val="22"/>
          <w:lang w:eastAsia="en-US"/>
        </w:rPr>
        <w:t xml:space="preserve">In this task I’ll be discussing an incident that I attended where my actions have played a significant role with a victim of crime and then reflecting on what happened. </w:t>
      </w:r>
    </w:p>
    <w:p w14:paraId="0FFBE00B"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p>
    <w:p w14:paraId="4CCEBC78"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r w:rsidRPr="0006113F">
        <w:rPr>
          <w:rFonts w:asciiTheme="minorHAnsi" w:eastAsiaTheme="minorHAnsi" w:hAnsiTheme="minorHAnsi" w:cstheme="minorBidi"/>
          <w:color w:val="auto"/>
          <w:sz w:val="22"/>
          <w:szCs w:val="22"/>
          <w:lang w:eastAsia="en-US"/>
        </w:rPr>
        <w:t xml:space="preserve">As a response officer, many of our day-to-day calls are related to domestic abuse incidents. It was recorded by the Office for National Statistics that 910,980 domestic abuse related crimes were recorded in England and Wales in the year ending March 2022.  In comparison to the previous year ending in March 2021 this is a 7.7% increase (Office for National Statistics, 2022). On average the police in England and Wales receive over 100 calls relating to domestic abuse every hour (HMIC, 2015). It is crucial that police respond to domestic abuse incidents thoroughly and rapidly to ensure that all parties involved are safeguarded. </w:t>
      </w:r>
    </w:p>
    <w:p w14:paraId="32212375"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p>
    <w:p w14:paraId="3C5A0D81"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r w:rsidRPr="0006113F">
        <w:rPr>
          <w:rFonts w:asciiTheme="minorHAnsi" w:eastAsiaTheme="minorHAnsi" w:hAnsiTheme="minorHAnsi" w:cstheme="minorBidi"/>
          <w:color w:val="auto"/>
          <w:sz w:val="22"/>
          <w:szCs w:val="22"/>
          <w:lang w:eastAsia="en-US"/>
        </w:rPr>
        <w:t xml:space="preserve">This particular incident occurred on a Sunday afternoon shift where I received information over my police issued radio, that there was an ongoing domestic between a male and female in a block of flats. The female reporting person was in distress and call handlers could hear here screaming for police assistance, the female also stated on the 999 call that “he was trying to strangle me”.  The call was then terminated. </w:t>
      </w:r>
    </w:p>
    <w:p w14:paraId="65C4EB12"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p>
    <w:p w14:paraId="4E7B103E"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r w:rsidRPr="0006113F">
        <w:rPr>
          <w:rFonts w:asciiTheme="minorHAnsi" w:eastAsiaTheme="minorHAnsi" w:hAnsiTheme="minorHAnsi" w:cstheme="minorBidi"/>
          <w:color w:val="auto"/>
          <w:sz w:val="22"/>
          <w:szCs w:val="22"/>
          <w:lang w:eastAsia="en-US"/>
        </w:rPr>
        <w:t xml:space="preserve">My colleague and I have travelled to the address on a grade one emergency response. Whilst on route, I have then asked the Police control room for an address and persons check and for information on any warning makers that there may be. </w:t>
      </w:r>
    </w:p>
    <w:p w14:paraId="622AFA48"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p>
    <w:p w14:paraId="25D07B3E"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r w:rsidRPr="0006113F">
        <w:rPr>
          <w:rFonts w:asciiTheme="minorHAnsi" w:eastAsiaTheme="minorHAnsi" w:hAnsiTheme="minorHAnsi" w:cstheme="minorBidi"/>
          <w:color w:val="auto"/>
          <w:sz w:val="22"/>
          <w:szCs w:val="22"/>
          <w:lang w:eastAsia="en-US"/>
        </w:rPr>
        <w:lastRenderedPageBreak/>
        <w:t xml:space="preserve">The police control room passed information back to my colleague and I stating that the female was a high-risk victim of domestic abuse and was subject to MARAC (Multi agency risk assessment conferences). A MARAC is a multi-agency meeting which is held on a regular basis, these involve professionals such as social services, police, domestic violence advisors and health professionals. They meet to discuss high risk domestic abuse cases and to put together a plan to safeguard the victim and any children that maybe involved within the family. In some domestic abuse cases, some victims are not willing to support police in their investigations and will not engage with officers, with safeguarding victims being the ultimate priority, MARAC agencies are able to share information without the consent of the victim if they feel there are serious concerns for their safety or for the safety of any others that maybe in the household </w:t>
      </w:r>
      <w:bookmarkStart w:id="1" w:name="_Hlk149564026"/>
      <w:r w:rsidRPr="0006113F">
        <w:rPr>
          <w:rFonts w:asciiTheme="minorHAnsi" w:eastAsiaTheme="minorHAnsi" w:hAnsiTheme="minorHAnsi" w:cstheme="minorBidi"/>
          <w:color w:val="auto"/>
          <w:sz w:val="22"/>
          <w:szCs w:val="22"/>
          <w:lang w:eastAsia="en-US"/>
        </w:rPr>
        <w:t>(Kent and Medway Domestic Abuse and Sexual Violence Executive Group, 2023).</w:t>
      </w:r>
    </w:p>
    <w:bookmarkEnd w:id="1"/>
    <w:p w14:paraId="4A14C041"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r w:rsidRPr="0006113F">
        <w:rPr>
          <w:rFonts w:asciiTheme="minorHAnsi" w:eastAsiaTheme="minorHAnsi" w:hAnsiTheme="minorHAnsi" w:cstheme="minorBidi"/>
          <w:color w:val="auto"/>
          <w:sz w:val="22"/>
          <w:szCs w:val="22"/>
          <w:lang w:eastAsia="en-US"/>
        </w:rPr>
        <w:t xml:space="preserve">The male also had warning markers for violence and drugs. It was also brought to our attention that the male was currently on bail pending further investigations and had conditions that he was not to contact the victim directly or indirectly and was not to attend her home address. Imminently, I was aware of how the victims life could be in danger. </w:t>
      </w:r>
    </w:p>
    <w:p w14:paraId="19206970"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p>
    <w:p w14:paraId="0B79AFC7"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r w:rsidRPr="0006113F">
        <w:rPr>
          <w:rFonts w:asciiTheme="minorHAnsi" w:eastAsiaTheme="minorHAnsi" w:hAnsiTheme="minorHAnsi" w:cstheme="minorBidi"/>
          <w:color w:val="auto"/>
          <w:sz w:val="22"/>
          <w:szCs w:val="22"/>
          <w:lang w:eastAsia="en-US"/>
        </w:rPr>
        <w:t xml:space="preserve">On arrival at the scene, we were let in to the flat by the victim, the female was visibly in distress. The victim also had a facial injury below her eye and reddening to the neck. She stated to us that the male had left the property. My colleague and I carried out an extensive search of the address to ensure he was no longer at the property. After the property had been searched, I immediately asked the female for a description of the male and of the clothing that he was wearing. I did this to pass information over the air so that other officers in the area could have observations on the male to effect an arrest. </w:t>
      </w:r>
    </w:p>
    <w:p w14:paraId="565920B6"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p>
    <w:p w14:paraId="3448C188"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r w:rsidRPr="0006113F">
        <w:rPr>
          <w:rFonts w:asciiTheme="minorHAnsi" w:eastAsiaTheme="minorHAnsi" w:hAnsiTheme="minorHAnsi" w:cstheme="minorBidi"/>
          <w:color w:val="auto"/>
          <w:sz w:val="22"/>
          <w:szCs w:val="22"/>
          <w:lang w:eastAsia="en-US"/>
        </w:rPr>
        <w:lastRenderedPageBreak/>
        <w:t xml:space="preserve">I then took a first account off the female to record in my electronic notebook and photographed the injuries with my police issues body worn video camera. I have then asked the victim to provide police with a statement to assist police in their investigations. The victim refused to do so and stated that she was in fear of her husband and did not wish for him to get into any more trouble than what he was already in with police and was in fear of her husband if she was to leave the relationship. I then explained to the victim that even though she may not have wanted to engage with officers, that in some cases when the victim will not support a prosecution, that the Crown Prosecution Service (CPS) may still attempt to pursue a case in a ‘victimless’ prosecution. This would mean that the case would be evidence based. The goal of a victimless prosecution and the criminalisation of domestic violence is to show that abuse of this nature will not be tolerated (Carnes,2020). </w:t>
      </w:r>
    </w:p>
    <w:p w14:paraId="663548F5"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p>
    <w:p w14:paraId="253CD4F1"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r w:rsidRPr="0006113F">
        <w:rPr>
          <w:rFonts w:asciiTheme="minorHAnsi" w:eastAsiaTheme="minorHAnsi" w:hAnsiTheme="minorHAnsi" w:cstheme="minorBidi"/>
          <w:color w:val="auto"/>
          <w:sz w:val="22"/>
          <w:szCs w:val="22"/>
          <w:lang w:eastAsia="en-US"/>
        </w:rPr>
        <w:t>I have done some research based on evidence on why women who are in abusive relationships find it so difficult to leave their abusive relationships, this article stated that “One of the reasons women don’t leave is because it can be incredibly dangerous. The fear that women feel is very real, there is a huge rise in the likelihood of violence after separation. 41% (37 of 91) of women killed by a male partner or former partner in England, Wales, and Northern Ireland in 2018 had separated or taken steps to separate from them. Eleven of these 37 women were killed within the first month of separation and 24 were killed within the first year” (Femicide Census, 2020).</w:t>
      </w:r>
    </w:p>
    <w:p w14:paraId="29C1F7A5"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p>
    <w:p w14:paraId="11464378"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r w:rsidRPr="0006113F">
        <w:rPr>
          <w:rFonts w:asciiTheme="minorHAnsi" w:eastAsiaTheme="minorHAnsi" w:hAnsiTheme="minorHAnsi" w:cstheme="minorBidi"/>
          <w:color w:val="auto"/>
          <w:sz w:val="22"/>
          <w:szCs w:val="22"/>
          <w:lang w:eastAsia="en-US"/>
        </w:rPr>
        <w:t xml:space="preserve">I have then suggested to the female to get her injuries seen at the local Accident and Emergency department and advised her that my colleague and I would accompany her there, the victim refused any medical treatment and would not allow officers to convey her there. As an officer we still have a duty of care to safeguard our victims. I have then contacted the victims Son with her consent, to provide an alternative address for the victim to stay at due to the male being at large at this stage. Until an arrest had been made it was my duty to ensure that the victim was safeguarded. Due to the </w:t>
      </w:r>
      <w:r w:rsidRPr="0006113F">
        <w:rPr>
          <w:rFonts w:asciiTheme="minorHAnsi" w:eastAsiaTheme="minorHAnsi" w:hAnsiTheme="minorHAnsi" w:cstheme="minorBidi"/>
          <w:color w:val="auto"/>
          <w:sz w:val="22"/>
          <w:szCs w:val="22"/>
          <w:lang w:eastAsia="en-US"/>
        </w:rPr>
        <w:lastRenderedPageBreak/>
        <w:t xml:space="preserve">male clearly having no regards to the criminal justice system and had returned to the address whilst there were imposed bail conditions in place, which he was now in breach of, I had reasonable suspicion to believe that he would possibly return to the address after the police had left. The victim’s safeguarding was paramount as she is vulnerable and at high risk. </w:t>
      </w:r>
    </w:p>
    <w:p w14:paraId="4F9713DB"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p>
    <w:p w14:paraId="71E19A6A"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r w:rsidRPr="0006113F">
        <w:rPr>
          <w:rFonts w:asciiTheme="minorHAnsi" w:eastAsiaTheme="minorHAnsi" w:hAnsiTheme="minorHAnsi" w:cstheme="minorBidi"/>
          <w:color w:val="auto"/>
          <w:sz w:val="22"/>
          <w:szCs w:val="22"/>
          <w:lang w:eastAsia="en-US"/>
        </w:rPr>
        <w:t xml:space="preserve">I have then tried once again to liaise with the victim explaining how vital a positive statement from a victim is to any investigation and explaining all the special measures, from giving evidence via video link or screens that can be put up in court so she did not have to see the perpetrator, that we could put in place for her should this matter go to court. I also made the victim aware of Live fear free which is a helpline for victims of domestic abuse. In spite of this, the victim was still unwilling to engage with officers. </w:t>
      </w:r>
    </w:p>
    <w:p w14:paraId="76EDB6E3"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p>
    <w:p w14:paraId="188E0F57"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r w:rsidRPr="0006113F">
        <w:rPr>
          <w:rFonts w:asciiTheme="minorHAnsi" w:eastAsiaTheme="minorHAnsi" w:hAnsiTheme="minorHAnsi" w:cstheme="minorBidi"/>
          <w:color w:val="auto"/>
          <w:sz w:val="22"/>
          <w:szCs w:val="22"/>
          <w:lang w:eastAsia="en-US"/>
        </w:rPr>
        <w:t xml:space="preserve">This article that I have researched states “Before considering victim participation in criminal justice, it is important to first acknowledge that, when victimised, proportionately few people engage with the system at all. Research into help-seeking after violence shows that while many disclose their experience to and seek help from various informal sources”, </w:t>
      </w:r>
      <w:hyperlink r:id="rId21" w:anchor="bibr70-02697580231151207" w:history="1">
        <w:r w:rsidRPr="0006113F">
          <w:rPr>
            <w:rFonts w:asciiTheme="minorHAnsi" w:eastAsiaTheme="minorHAnsi" w:hAnsiTheme="minorHAnsi" w:cstheme="minorBidi"/>
            <w:color w:val="0000FF"/>
            <w:sz w:val="22"/>
            <w:szCs w:val="22"/>
            <w:u w:val="single"/>
            <w:lang w:eastAsia="en-US"/>
          </w:rPr>
          <w:t>McCart et al., 2010</w:t>
        </w:r>
      </w:hyperlink>
      <w:r w:rsidRPr="0006113F">
        <w:rPr>
          <w:rFonts w:asciiTheme="minorHAnsi" w:eastAsiaTheme="minorHAnsi" w:hAnsiTheme="minorHAnsi" w:cstheme="minorBidi"/>
          <w:color w:val="auto"/>
          <w:sz w:val="22"/>
          <w:szCs w:val="22"/>
          <w:lang w:eastAsia="en-US"/>
        </w:rPr>
        <w:t xml:space="preserve">). I felt it was necessary to get the victim as much support as possible to help her make a clear decision for her best interests and to ensure that she was safeguarded going forward. </w:t>
      </w:r>
    </w:p>
    <w:p w14:paraId="1CEF2D3D"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p>
    <w:p w14:paraId="1EA72C38"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r w:rsidRPr="0006113F">
        <w:rPr>
          <w:rFonts w:asciiTheme="minorHAnsi" w:eastAsiaTheme="minorHAnsi" w:hAnsiTheme="minorHAnsi" w:cstheme="minorBidi"/>
          <w:color w:val="auto"/>
          <w:sz w:val="22"/>
          <w:szCs w:val="22"/>
          <w:lang w:eastAsia="en-US"/>
        </w:rPr>
        <w:t xml:space="preserve">I then arranged for an Independent Domestic Violence Advisor to visit the victim the following day, the purpose of an IDVA is to explain to the victim the high risk of harm they are subject to, and to address and safety concerns. In many cases, victims of Domestic abuse victims find it easier to speak to an IDVA as although they work alongside police officers, they are independent from the police force. It can be a lot less intimidating for a victim to speak to a civilian rather than someone in </w:t>
      </w:r>
      <w:r w:rsidRPr="0006113F">
        <w:rPr>
          <w:rFonts w:asciiTheme="minorHAnsi" w:eastAsiaTheme="minorHAnsi" w:hAnsiTheme="minorHAnsi" w:cstheme="minorBidi"/>
          <w:color w:val="auto"/>
          <w:sz w:val="22"/>
          <w:szCs w:val="22"/>
          <w:lang w:eastAsia="en-US"/>
        </w:rPr>
        <w:lastRenderedPageBreak/>
        <w:t>uniform. An IDVA’S role is to provide support and guidance to the victims and their families and to ensure that they remain safe throughout the process. The IDVAs will assist with liaising with police and all professional bodies involved on behalf on the victim. This can often empower and encourage victims to make better choices and give them the confidence to support a prosecution.</w:t>
      </w:r>
    </w:p>
    <w:p w14:paraId="0E581685"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p>
    <w:p w14:paraId="6464AC4E"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r w:rsidRPr="0006113F">
        <w:rPr>
          <w:rFonts w:asciiTheme="minorHAnsi" w:eastAsiaTheme="minorHAnsi" w:hAnsiTheme="minorHAnsi" w:cstheme="minorBidi"/>
          <w:color w:val="auto"/>
          <w:sz w:val="22"/>
          <w:szCs w:val="22"/>
          <w:lang w:eastAsia="en-US"/>
        </w:rPr>
        <w:t>I have then also submitted a public protection notice (PPN) for the victim, a public protection notice is a document that the police share with partner agencies in relation to safeguard victims. This information is then shared in a multi-agency risk assessment conference. In these conferences each case is discussed on an individual basis to put an action plan in place and support for the victim.  The main purpose of a PPN is to identify the risk of any potential harm that could come to the public or any specific individuals. By assessing the risk, safeguarding can then be put into place to protect the safety of the vulnerable persons.</w:t>
      </w:r>
    </w:p>
    <w:p w14:paraId="05330AD3"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p>
    <w:p w14:paraId="1232F601"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r w:rsidRPr="0006113F">
        <w:rPr>
          <w:rFonts w:asciiTheme="minorHAnsi" w:eastAsiaTheme="minorHAnsi" w:hAnsiTheme="minorHAnsi" w:cstheme="minorBidi"/>
          <w:color w:val="auto"/>
          <w:sz w:val="22"/>
          <w:szCs w:val="22"/>
          <w:lang w:eastAsia="en-US"/>
        </w:rPr>
        <w:t xml:space="preserve">There were arrest enquiries made for the male promptly after leaving the address and he was also placed on the priority suspect list. Locating the male was extremely vital as the risk of re offending was extremely high. Enquiries for the males whereabouts were made at his known associates address’s. After an extensive area search the male was located, he was arrested for domestic common assault and for breaching his restraining order. The male was then conveyed to police custody by officers where his detention was authorised. He was later charged and remanded. </w:t>
      </w:r>
    </w:p>
    <w:p w14:paraId="4814446D"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p>
    <w:p w14:paraId="4C91EF0D"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r w:rsidRPr="0006113F">
        <w:rPr>
          <w:rFonts w:asciiTheme="minorHAnsi" w:eastAsiaTheme="minorHAnsi" w:hAnsiTheme="minorHAnsi" w:cstheme="minorBidi"/>
          <w:color w:val="auto"/>
          <w:sz w:val="22"/>
          <w:szCs w:val="22"/>
          <w:lang w:eastAsia="en-US"/>
        </w:rPr>
        <w:t xml:space="preserve">In conclusion, in domestic abuse cases there are many challenges that the police and partner agencies are faced with. It is extremely difficult to deal with domestic abuse cases when the victims will not engage with police and are not supportive of a prosecution. As response officers we have a duty of care to protect the public and our main priority is to protect the vulnerable and to ensure </w:t>
      </w:r>
      <w:r w:rsidRPr="0006113F">
        <w:rPr>
          <w:rFonts w:asciiTheme="minorHAnsi" w:eastAsiaTheme="minorHAnsi" w:hAnsiTheme="minorHAnsi" w:cstheme="minorBidi"/>
          <w:color w:val="auto"/>
          <w:sz w:val="22"/>
          <w:szCs w:val="22"/>
          <w:lang w:eastAsia="en-US"/>
        </w:rPr>
        <w:lastRenderedPageBreak/>
        <w:t xml:space="preserve">that the victims and their families are safe. This is why supporting a victim through a domestic abuse incident and ensuring that they have all the support through multi agencies is vital. It is key that the victims are aware of the signs of abuse and the various types of abuse that there are as it is not always just physical violence. This will allow us to put safeguarding in place even if they themselves are not willing to support a prosecution or not. Its key for officers to gather all evidence available at the earliest opportunity to increase the chances of getting a successful charge. The Crown Prosecution Service and Police officers will always strive to ensure a successful charge of domestic abuse cases even if the victim is not supportive and have to go via a victimless method. This is due to safeguarding the victim, as a successful prosecution is likely to protect the victim coming to any further harm and to protect them from further abuse from the perpetrator.  </w:t>
      </w:r>
    </w:p>
    <w:p w14:paraId="158C9D51"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p>
    <w:p w14:paraId="4E7BECDD"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lang w:eastAsia="en-US"/>
        </w:rPr>
      </w:pPr>
      <w:r w:rsidRPr="0006113F">
        <w:rPr>
          <w:rFonts w:asciiTheme="minorHAnsi" w:eastAsiaTheme="minorHAnsi" w:hAnsiTheme="minorHAnsi" w:cstheme="minorBidi"/>
          <w:color w:val="auto"/>
          <w:sz w:val="22"/>
          <w:szCs w:val="22"/>
          <w:lang w:eastAsia="en-US"/>
        </w:rPr>
        <w:t>Word count 1849</w:t>
      </w:r>
    </w:p>
    <w:p w14:paraId="033ABC38" w14:textId="77777777" w:rsidR="0006113F" w:rsidRPr="0006113F" w:rsidRDefault="0006113F" w:rsidP="0006113F">
      <w:pPr>
        <w:overflowPunct/>
        <w:autoSpaceDE/>
        <w:autoSpaceDN/>
        <w:adjustRightInd/>
        <w:spacing w:after="160" w:line="480" w:lineRule="auto"/>
        <w:textAlignment w:val="auto"/>
        <w:rPr>
          <w:rFonts w:asciiTheme="minorHAnsi" w:eastAsiaTheme="minorHAnsi" w:hAnsiTheme="minorHAnsi" w:cstheme="minorBidi"/>
          <w:color w:val="auto"/>
          <w:sz w:val="22"/>
          <w:szCs w:val="22"/>
          <w:u w:val="single"/>
          <w:lang w:eastAsia="en-US"/>
        </w:rPr>
      </w:pPr>
      <w:r w:rsidRPr="0006113F">
        <w:rPr>
          <w:rFonts w:asciiTheme="minorHAnsi" w:eastAsiaTheme="minorHAnsi" w:hAnsiTheme="minorHAnsi" w:cstheme="minorBidi"/>
          <w:color w:val="auto"/>
          <w:sz w:val="22"/>
          <w:szCs w:val="22"/>
          <w:u w:val="single"/>
          <w:lang w:eastAsia="en-US"/>
        </w:rPr>
        <w:t>Bibliograph</w:t>
      </w:r>
    </w:p>
    <w:p w14:paraId="7F537353" w14:textId="77777777" w:rsidR="0006113F" w:rsidRPr="0006113F" w:rsidRDefault="0006113F" w:rsidP="0006113F">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6113F">
        <w:rPr>
          <w:rFonts w:asciiTheme="minorHAnsi" w:eastAsiaTheme="minorHAnsi" w:hAnsiTheme="minorHAnsi" w:cstheme="minorBidi"/>
          <w:color w:val="auto"/>
          <w:sz w:val="22"/>
          <w:szCs w:val="22"/>
          <w:lang w:eastAsia="en-US"/>
        </w:rPr>
        <w:t xml:space="preserve">Carnes, D. (2020) Why does the CPS pursue cases even without victim support? Available at: </w:t>
      </w:r>
      <w:hyperlink r:id="rId22" w:history="1">
        <w:r w:rsidRPr="0006113F">
          <w:rPr>
            <w:rFonts w:asciiTheme="minorHAnsi" w:eastAsiaTheme="minorHAnsi" w:hAnsiTheme="minorHAnsi" w:cstheme="minorBidi"/>
            <w:color w:val="0000FF"/>
            <w:sz w:val="22"/>
            <w:szCs w:val="22"/>
            <w:u w:val="single"/>
            <w:lang w:eastAsia="en-US"/>
          </w:rPr>
          <w:t>https://www.allaboutlaw.co.uk/commercial-awareness/legal-spotlight/why-does-the-cps-pursue-cases-even-without-victim-support-#:~:text=Why%20does%20the%20CPS%20pursue%20%E2%80%98victimless%E2%80%99%20prosecutions%20of,sources%20to%20satisfy%20the%20Code%20for%20Crown%20Prosecutors</w:t>
        </w:r>
      </w:hyperlink>
      <w:r w:rsidRPr="0006113F">
        <w:rPr>
          <w:rFonts w:asciiTheme="minorHAnsi" w:eastAsiaTheme="minorHAnsi" w:hAnsiTheme="minorHAnsi" w:cstheme="minorBidi"/>
          <w:color w:val="auto"/>
          <w:sz w:val="22"/>
          <w:szCs w:val="22"/>
          <w:lang w:eastAsia="en-US"/>
        </w:rPr>
        <w:t>. (Accessed October 21</w:t>
      </w:r>
      <w:r w:rsidRPr="0006113F">
        <w:rPr>
          <w:rFonts w:asciiTheme="minorHAnsi" w:eastAsiaTheme="minorHAnsi" w:hAnsiTheme="minorHAnsi" w:cstheme="minorBidi"/>
          <w:color w:val="auto"/>
          <w:sz w:val="22"/>
          <w:szCs w:val="22"/>
          <w:vertAlign w:val="superscript"/>
          <w:lang w:eastAsia="en-US"/>
        </w:rPr>
        <w:t>st</w:t>
      </w:r>
      <w:r w:rsidRPr="0006113F">
        <w:rPr>
          <w:rFonts w:asciiTheme="minorHAnsi" w:eastAsiaTheme="minorHAnsi" w:hAnsiTheme="minorHAnsi" w:cstheme="minorBidi"/>
          <w:color w:val="auto"/>
          <w:sz w:val="22"/>
          <w:szCs w:val="22"/>
          <w:lang w:eastAsia="en-US"/>
        </w:rPr>
        <w:t>, 2023)</w:t>
      </w:r>
    </w:p>
    <w:p w14:paraId="3F7C4631" w14:textId="77777777" w:rsidR="0006113F" w:rsidRPr="0006113F" w:rsidRDefault="0006113F" w:rsidP="0006113F">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1D9DAD21" w14:textId="77777777" w:rsidR="0006113F" w:rsidRPr="0006113F" w:rsidRDefault="0006113F" w:rsidP="0006113F">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450790F9" w14:textId="77777777" w:rsidR="0006113F" w:rsidRPr="0006113F" w:rsidRDefault="0006113F" w:rsidP="0006113F">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6113F">
        <w:rPr>
          <w:rFonts w:asciiTheme="minorHAnsi" w:eastAsiaTheme="minorHAnsi" w:hAnsiTheme="minorHAnsi" w:cstheme="minorBidi"/>
          <w:color w:val="auto"/>
          <w:sz w:val="22"/>
          <w:szCs w:val="22"/>
          <w:lang w:eastAsia="en-US"/>
        </w:rPr>
        <w:t xml:space="preserve">Domestic Abuse Support Service in Kent &amp; Medway, Multi-agency Risk Assessment Conference (MARAC) (2023. Available at: </w:t>
      </w:r>
      <w:hyperlink r:id="rId23" w:history="1">
        <w:r w:rsidRPr="0006113F">
          <w:rPr>
            <w:rFonts w:asciiTheme="minorHAnsi" w:eastAsiaTheme="minorHAnsi" w:hAnsiTheme="minorHAnsi" w:cstheme="minorBidi"/>
            <w:color w:val="0000FF"/>
            <w:sz w:val="22"/>
            <w:szCs w:val="22"/>
            <w:u w:val="single"/>
            <w:lang w:eastAsia="en-US"/>
          </w:rPr>
          <w:t>https://www.domesticabuseservices.org.uk/latest-news-articles-advice/marac/#:~:text=You%20will%20be%20asked%20if,safeguard%20you%20and%20your%20children</w:t>
        </w:r>
      </w:hyperlink>
      <w:r w:rsidRPr="0006113F">
        <w:rPr>
          <w:rFonts w:asciiTheme="minorHAnsi" w:eastAsiaTheme="minorHAnsi" w:hAnsiTheme="minorHAnsi" w:cstheme="minorBidi"/>
          <w:color w:val="auto"/>
          <w:sz w:val="22"/>
          <w:szCs w:val="22"/>
          <w:lang w:eastAsia="en-US"/>
        </w:rPr>
        <w:t>. (Accessed October 21</w:t>
      </w:r>
      <w:r w:rsidRPr="0006113F">
        <w:rPr>
          <w:rFonts w:asciiTheme="minorHAnsi" w:eastAsiaTheme="minorHAnsi" w:hAnsiTheme="minorHAnsi" w:cstheme="minorBidi"/>
          <w:color w:val="auto"/>
          <w:sz w:val="22"/>
          <w:szCs w:val="22"/>
          <w:vertAlign w:val="superscript"/>
          <w:lang w:eastAsia="en-US"/>
        </w:rPr>
        <w:t>st</w:t>
      </w:r>
      <w:r w:rsidRPr="0006113F">
        <w:rPr>
          <w:rFonts w:asciiTheme="minorHAnsi" w:eastAsiaTheme="minorHAnsi" w:hAnsiTheme="minorHAnsi" w:cstheme="minorBidi"/>
          <w:color w:val="auto"/>
          <w:sz w:val="22"/>
          <w:szCs w:val="22"/>
          <w:lang w:eastAsia="en-US"/>
        </w:rPr>
        <w:t>, 2023)</w:t>
      </w:r>
    </w:p>
    <w:p w14:paraId="4E516CF5" w14:textId="77777777" w:rsidR="0006113F" w:rsidRPr="0006113F" w:rsidRDefault="0006113F" w:rsidP="0006113F">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24CDDE4E" w14:textId="77777777" w:rsidR="0006113F" w:rsidRPr="0006113F" w:rsidRDefault="0006113F" w:rsidP="0006113F">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8D60E03" w14:textId="77777777" w:rsidR="0006113F" w:rsidRPr="0006113F" w:rsidRDefault="0006113F" w:rsidP="0006113F">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6113F">
        <w:rPr>
          <w:rFonts w:asciiTheme="minorHAnsi" w:eastAsiaTheme="minorHAnsi" w:hAnsiTheme="minorHAnsi" w:cstheme="minorBidi"/>
          <w:color w:val="auto"/>
          <w:sz w:val="22"/>
          <w:szCs w:val="22"/>
          <w:lang w:eastAsia="en-US"/>
        </w:rPr>
        <w:t xml:space="preserve">Femicide Census, (2020) Why don’t Women leave abusive relationships? Available at: </w:t>
      </w:r>
      <w:hyperlink r:id="rId24" w:history="1">
        <w:r w:rsidRPr="0006113F">
          <w:rPr>
            <w:rFonts w:asciiTheme="minorHAnsi" w:eastAsiaTheme="minorHAnsi" w:hAnsiTheme="minorHAnsi" w:cstheme="minorBidi"/>
            <w:color w:val="0000FF"/>
            <w:sz w:val="22"/>
            <w:szCs w:val="22"/>
            <w:u w:val="single"/>
            <w:lang w:eastAsia="en-US"/>
          </w:rPr>
          <w:t>Why don't women leave? - Women’s Aid (womensaid.org.uk)</w:t>
        </w:r>
      </w:hyperlink>
      <w:r w:rsidRPr="0006113F">
        <w:rPr>
          <w:rFonts w:asciiTheme="minorHAnsi" w:eastAsiaTheme="minorHAnsi" w:hAnsiTheme="minorHAnsi" w:cstheme="minorBidi"/>
          <w:color w:val="auto"/>
          <w:sz w:val="22"/>
          <w:szCs w:val="22"/>
          <w:lang w:eastAsia="en-US"/>
        </w:rPr>
        <w:t xml:space="preserve"> (Accessed October 21</w:t>
      </w:r>
      <w:r w:rsidRPr="0006113F">
        <w:rPr>
          <w:rFonts w:asciiTheme="minorHAnsi" w:eastAsiaTheme="minorHAnsi" w:hAnsiTheme="minorHAnsi" w:cstheme="minorBidi"/>
          <w:color w:val="auto"/>
          <w:sz w:val="22"/>
          <w:szCs w:val="22"/>
          <w:vertAlign w:val="superscript"/>
          <w:lang w:eastAsia="en-US"/>
        </w:rPr>
        <w:t>st</w:t>
      </w:r>
      <w:r w:rsidRPr="0006113F">
        <w:rPr>
          <w:rFonts w:asciiTheme="minorHAnsi" w:eastAsiaTheme="minorHAnsi" w:hAnsiTheme="minorHAnsi" w:cstheme="minorBidi"/>
          <w:color w:val="auto"/>
          <w:sz w:val="22"/>
          <w:szCs w:val="22"/>
          <w:lang w:eastAsia="en-US"/>
        </w:rPr>
        <w:t xml:space="preserve">, 2023). </w:t>
      </w:r>
    </w:p>
    <w:p w14:paraId="16E43AFF" w14:textId="77777777" w:rsidR="0006113F" w:rsidRPr="0006113F" w:rsidRDefault="0006113F" w:rsidP="0006113F">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4CB7FB10" w14:textId="77777777" w:rsidR="0006113F" w:rsidRPr="0006113F" w:rsidRDefault="0006113F" w:rsidP="0006113F">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6113F">
        <w:rPr>
          <w:rFonts w:asciiTheme="minorHAnsi" w:eastAsiaTheme="minorHAnsi" w:hAnsiTheme="minorHAnsi" w:cstheme="minorBidi"/>
          <w:color w:val="auto"/>
          <w:sz w:val="22"/>
          <w:szCs w:val="22"/>
          <w:lang w:eastAsia="en-US"/>
        </w:rPr>
        <w:lastRenderedPageBreak/>
        <w:t>McCart, M. (2010).  Victim participation in criminal justice: A quantitative systematic and critical literature review. Available at: https://journals.sagepub.com/doi/full/10.1177/02697580231151207</w:t>
      </w:r>
      <w:r w:rsidRPr="0006113F">
        <w:rPr>
          <w:rFonts w:asciiTheme="minorHAnsi" w:eastAsiaTheme="minorHAnsi" w:hAnsiTheme="minorHAnsi" w:cstheme="minorBidi"/>
          <w:color w:val="0000FF"/>
          <w:sz w:val="22"/>
          <w:szCs w:val="22"/>
          <w:u w:val="single"/>
          <w:lang w:eastAsia="en-US"/>
        </w:rPr>
        <w:t xml:space="preserve"> </w:t>
      </w:r>
      <w:r w:rsidRPr="0006113F">
        <w:rPr>
          <w:rFonts w:asciiTheme="minorHAnsi" w:eastAsiaTheme="minorHAnsi" w:hAnsiTheme="minorHAnsi" w:cstheme="minorBidi"/>
          <w:color w:val="auto"/>
          <w:sz w:val="22"/>
          <w:szCs w:val="22"/>
          <w:lang w:eastAsia="en-US"/>
        </w:rPr>
        <w:t>(Accessed October 21</w:t>
      </w:r>
      <w:r w:rsidRPr="0006113F">
        <w:rPr>
          <w:rFonts w:asciiTheme="minorHAnsi" w:eastAsiaTheme="minorHAnsi" w:hAnsiTheme="minorHAnsi" w:cstheme="minorBidi"/>
          <w:color w:val="auto"/>
          <w:sz w:val="22"/>
          <w:szCs w:val="22"/>
          <w:vertAlign w:val="superscript"/>
          <w:lang w:eastAsia="en-US"/>
        </w:rPr>
        <w:t>st</w:t>
      </w:r>
      <w:r w:rsidRPr="0006113F">
        <w:rPr>
          <w:rFonts w:asciiTheme="minorHAnsi" w:eastAsiaTheme="minorHAnsi" w:hAnsiTheme="minorHAnsi" w:cstheme="minorBidi"/>
          <w:color w:val="auto"/>
          <w:sz w:val="22"/>
          <w:szCs w:val="22"/>
          <w:lang w:eastAsia="en-US"/>
        </w:rPr>
        <w:t>,2023)</w:t>
      </w:r>
    </w:p>
    <w:p w14:paraId="49277804" w14:textId="77777777" w:rsidR="0006113F" w:rsidRPr="0006113F" w:rsidRDefault="0006113F" w:rsidP="0006113F">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A341E2D" w14:textId="77777777" w:rsidR="0006113F" w:rsidRPr="0006113F" w:rsidRDefault="0006113F" w:rsidP="0006113F">
      <w:pPr>
        <w:overflowPunct/>
        <w:autoSpaceDE/>
        <w:autoSpaceDN/>
        <w:adjustRightInd/>
        <w:spacing w:after="160" w:line="259" w:lineRule="auto"/>
        <w:textAlignment w:val="auto"/>
        <w:rPr>
          <w:rFonts w:asciiTheme="minorHAnsi" w:eastAsiaTheme="minorHAnsi" w:hAnsiTheme="minorHAnsi" w:cstheme="minorBidi"/>
          <w:color w:val="0000FF"/>
          <w:sz w:val="22"/>
          <w:szCs w:val="22"/>
          <w:u w:val="single"/>
          <w:lang w:eastAsia="en-US"/>
        </w:rPr>
      </w:pPr>
    </w:p>
    <w:p w14:paraId="0C766D55" w14:textId="77777777" w:rsidR="0006113F" w:rsidRPr="0006113F" w:rsidRDefault="0006113F" w:rsidP="0006113F">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364D0635" w14:textId="77777777" w:rsidR="0006113F" w:rsidRPr="0006113F" w:rsidRDefault="0006113F" w:rsidP="0006113F">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43F3FF2A" w14:textId="77777777" w:rsidR="0006113F" w:rsidRPr="0006113F" w:rsidRDefault="0006113F" w:rsidP="0006113F">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290B4EB" w14:textId="77777777" w:rsidR="0006113F" w:rsidRPr="0006113F" w:rsidRDefault="0006113F" w:rsidP="0006113F">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959C7E9" w14:textId="77777777" w:rsidR="0006113F" w:rsidRPr="00E676F7" w:rsidRDefault="0006113F" w:rsidP="5CE196A1">
      <w:pPr>
        <w:ind w:right="237"/>
        <w:jc w:val="both"/>
        <w:rPr>
          <w:b/>
          <w:bCs/>
          <w:sz w:val="24"/>
          <w:szCs w:val="24"/>
        </w:rPr>
      </w:pP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4207DFA" w:rsidR="0FF883D4" w:rsidRDefault="5CE196A1" w:rsidP="5CE196A1">
      <w:r w:rsidRPr="5CE196A1">
        <w:rPr>
          <w:rFonts w:eastAsia="Arial"/>
          <w:b/>
          <w:bCs/>
          <w:color w:val="000000" w:themeColor="text1"/>
          <w:sz w:val="24"/>
          <w:szCs w:val="24"/>
        </w:rPr>
        <w:t xml:space="preserve">Signed: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8CD1802" w:rsidR="0FF883D4" w:rsidRDefault="0FF883D4" w:rsidP="5CE196A1">
      <w:pPr>
        <w:ind w:left="2880" w:right="225" w:firstLine="720"/>
        <w:rPr>
          <w:b/>
          <w:bCs/>
          <w:sz w:val="24"/>
          <w:szCs w:val="24"/>
          <w:lang w:eastAsia="zh-TW"/>
        </w:rPr>
        <w:sectPr w:rsidR="0FF883D4" w:rsidSect="0022001B">
          <w:footerReference w:type="default" r:id="rId25"/>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A7A8586A"/>
    <w:lvl w:ilvl="0" w:tplc="4B3A753E">
      <w:start w:val="1"/>
      <w:numFmt w:val="decimal"/>
      <w:lvlText w:val="%1."/>
      <w:lvlJc w:val="left"/>
      <w:pPr>
        <w:ind w:left="720" w:hanging="360"/>
      </w:pPr>
    </w:lvl>
    <w:lvl w:ilvl="1" w:tplc="403EF2EA">
      <w:start w:val="1"/>
      <w:numFmt w:val="lowerLetter"/>
      <w:lvlText w:val="%2."/>
      <w:lvlJc w:val="left"/>
      <w:pPr>
        <w:ind w:left="1440" w:hanging="360"/>
      </w:pPr>
    </w:lvl>
    <w:lvl w:ilvl="2" w:tplc="A47EE81E">
      <w:start w:val="1"/>
      <w:numFmt w:val="lowerRoman"/>
      <w:lvlText w:val="%3."/>
      <w:lvlJc w:val="right"/>
      <w:pPr>
        <w:ind w:left="2160" w:hanging="180"/>
      </w:pPr>
    </w:lvl>
    <w:lvl w:ilvl="3" w:tplc="7C38FAE8">
      <w:start w:val="1"/>
      <w:numFmt w:val="decimal"/>
      <w:lvlText w:val="%4."/>
      <w:lvlJc w:val="left"/>
      <w:pPr>
        <w:ind w:left="2880" w:hanging="360"/>
      </w:pPr>
    </w:lvl>
    <w:lvl w:ilvl="4" w:tplc="5126993E">
      <w:start w:val="1"/>
      <w:numFmt w:val="lowerLetter"/>
      <w:lvlText w:val="%5."/>
      <w:lvlJc w:val="left"/>
      <w:pPr>
        <w:ind w:left="3600" w:hanging="360"/>
      </w:pPr>
    </w:lvl>
    <w:lvl w:ilvl="5" w:tplc="6CD479DE">
      <w:start w:val="1"/>
      <w:numFmt w:val="lowerRoman"/>
      <w:lvlText w:val="%6."/>
      <w:lvlJc w:val="right"/>
      <w:pPr>
        <w:ind w:left="4320" w:hanging="180"/>
      </w:pPr>
    </w:lvl>
    <w:lvl w:ilvl="6" w:tplc="A3A68A1C">
      <w:start w:val="1"/>
      <w:numFmt w:val="decimal"/>
      <w:lvlText w:val="%7."/>
      <w:lvlJc w:val="left"/>
      <w:pPr>
        <w:ind w:left="5040" w:hanging="360"/>
      </w:pPr>
    </w:lvl>
    <w:lvl w:ilvl="7" w:tplc="F0B611DA">
      <w:start w:val="1"/>
      <w:numFmt w:val="lowerLetter"/>
      <w:lvlText w:val="%8."/>
      <w:lvlJc w:val="left"/>
      <w:pPr>
        <w:ind w:left="5760" w:hanging="360"/>
      </w:pPr>
    </w:lvl>
    <w:lvl w:ilvl="8" w:tplc="4412D0D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3FB68010"/>
    <w:lvl w:ilvl="0" w:tplc="78F60FFE">
      <w:start w:val="1"/>
      <w:numFmt w:val="decimal"/>
      <w:lvlText w:val="%1."/>
      <w:lvlJc w:val="left"/>
      <w:pPr>
        <w:ind w:left="720" w:hanging="360"/>
      </w:pPr>
    </w:lvl>
    <w:lvl w:ilvl="1" w:tplc="F2B244F2">
      <w:start w:val="1"/>
      <w:numFmt w:val="decimal"/>
      <w:lvlText w:val="%2."/>
      <w:lvlJc w:val="left"/>
      <w:pPr>
        <w:ind w:left="1440" w:hanging="360"/>
      </w:pPr>
    </w:lvl>
    <w:lvl w:ilvl="2" w:tplc="7D28FB56">
      <w:start w:val="1"/>
      <w:numFmt w:val="lowerRoman"/>
      <w:lvlText w:val="%3."/>
      <w:lvlJc w:val="right"/>
      <w:pPr>
        <w:ind w:left="2160" w:hanging="180"/>
      </w:pPr>
    </w:lvl>
    <w:lvl w:ilvl="3" w:tplc="C8A285EC">
      <w:start w:val="1"/>
      <w:numFmt w:val="decimal"/>
      <w:lvlText w:val="%4."/>
      <w:lvlJc w:val="left"/>
      <w:pPr>
        <w:ind w:left="2880" w:hanging="360"/>
      </w:pPr>
    </w:lvl>
    <w:lvl w:ilvl="4" w:tplc="3A32E416">
      <w:start w:val="1"/>
      <w:numFmt w:val="lowerLetter"/>
      <w:lvlText w:val="%5."/>
      <w:lvlJc w:val="left"/>
      <w:pPr>
        <w:ind w:left="3600" w:hanging="360"/>
      </w:pPr>
    </w:lvl>
    <w:lvl w:ilvl="5" w:tplc="A9E0812A">
      <w:start w:val="1"/>
      <w:numFmt w:val="lowerRoman"/>
      <w:lvlText w:val="%6."/>
      <w:lvlJc w:val="right"/>
      <w:pPr>
        <w:ind w:left="4320" w:hanging="180"/>
      </w:pPr>
    </w:lvl>
    <w:lvl w:ilvl="6" w:tplc="BEFA3182">
      <w:start w:val="1"/>
      <w:numFmt w:val="decimal"/>
      <w:lvlText w:val="%7."/>
      <w:lvlJc w:val="left"/>
      <w:pPr>
        <w:ind w:left="5040" w:hanging="360"/>
      </w:pPr>
    </w:lvl>
    <w:lvl w:ilvl="7" w:tplc="CB82D5EE">
      <w:start w:val="1"/>
      <w:numFmt w:val="lowerLetter"/>
      <w:lvlText w:val="%8."/>
      <w:lvlJc w:val="left"/>
      <w:pPr>
        <w:ind w:left="5760" w:hanging="360"/>
      </w:pPr>
    </w:lvl>
    <w:lvl w:ilvl="8" w:tplc="BBE23FF8">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2347570">
    <w:abstractNumId w:val="47"/>
  </w:num>
  <w:num w:numId="2" w16cid:durableId="234822191">
    <w:abstractNumId w:val="10"/>
  </w:num>
  <w:num w:numId="3" w16cid:durableId="67769748">
    <w:abstractNumId w:val="1"/>
    <w:lvlOverride w:ilvl="0">
      <w:lvl w:ilvl="0">
        <w:start w:val="1"/>
        <w:numFmt w:val="bullet"/>
        <w:lvlText w:val=""/>
        <w:lvlJc w:val="left"/>
        <w:pPr>
          <w:ind w:left="720" w:hanging="360"/>
        </w:pPr>
        <w:rPr>
          <w:rFonts w:ascii="Symbol" w:hAnsi="Symbol" w:hint="default"/>
        </w:rPr>
      </w:lvl>
    </w:lvlOverride>
  </w:num>
  <w:num w:numId="4" w16cid:durableId="846595064">
    <w:abstractNumId w:val="22"/>
  </w:num>
  <w:num w:numId="5" w16cid:durableId="1400009394">
    <w:abstractNumId w:val="44"/>
  </w:num>
  <w:num w:numId="6" w16cid:durableId="1179009155">
    <w:abstractNumId w:val="46"/>
  </w:num>
  <w:num w:numId="7" w16cid:durableId="1941571946">
    <w:abstractNumId w:val="34"/>
  </w:num>
  <w:num w:numId="8" w16cid:durableId="345599295">
    <w:abstractNumId w:val="32"/>
  </w:num>
  <w:num w:numId="9" w16cid:durableId="711618965">
    <w:abstractNumId w:val="29"/>
  </w:num>
  <w:num w:numId="10" w16cid:durableId="875434182">
    <w:abstractNumId w:val="30"/>
  </w:num>
  <w:num w:numId="11" w16cid:durableId="618992630">
    <w:abstractNumId w:val="9"/>
  </w:num>
  <w:num w:numId="12" w16cid:durableId="860977863">
    <w:abstractNumId w:val="33"/>
  </w:num>
  <w:num w:numId="13" w16cid:durableId="1723400751">
    <w:abstractNumId w:val="17"/>
  </w:num>
  <w:num w:numId="14" w16cid:durableId="315494513">
    <w:abstractNumId w:val="16"/>
  </w:num>
  <w:num w:numId="15" w16cid:durableId="1022433486">
    <w:abstractNumId w:val="26"/>
  </w:num>
  <w:num w:numId="16" w16cid:durableId="16662534">
    <w:abstractNumId w:val="7"/>
  </w:num>
  <w:num w:numId="17" w16cid:durableId="632369436">
    <w:abstractNumId w:val="25"/>
  </w:num>
  <w:num w:numId="18" w16cid:durableId="1024134539">
    <w:abstractNumId w:val="15"/>
  </w:num>
  <w:num w:numId="19" w16cid:durableId="941761373">
    <w:abstractNumId w:val="13"/>
  </w:num>
  <w:num w:numId="20" w16cid:durableId="86509463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61368620">
    <w:abstractNumId w:val="23"/>
  </w:num>
  <w:num w:numId="22" w16cid:durableId="698511108">
    <w:abstractNumId w:val="18"/>
  </w:num>
  <w:num w:numId="23" w16cid:durableId="2027172276">
    <w:abstractNumId w:val="14"/>
  </w:num>
  <w:num w:numId="24" w16cid:durableId="26954565">
    <w:abstractNumId w:val="11"/>
  </w:num>
  <w:num w:numId="25" w16cid:durableId="267003837">
    <w:abstractNumId w:val="27"/>
  </w:num>
  <w:num w:numId="26" w16cid:durableId="1416786928">
    <w:abstractNumId w:val="19"/>
  </w:num>
  <w:num w:numId="27" w16cid:durableId="306709660">
    <w:abstractNumId w:val="40"/>
  </w:num>
  <w:num w:numId="28" w16cid:durableId="1309165147">
    <w:abstractNumId w:val="35"/>
  </w:num>
  <w:num w:numId="29" w16cid:durableId="291981939">
    <w:abstractNumId w:val="39"/>
  </w:num>
  <w:num w:numId="30" w16cid:durableId="1537960034">
    <w:abstractNumId w:val="20"/>
  </w:num>
  <w:num w:numId="31" w16cid:durableId="238251261">
    <w:abstractNumId w:val="42"/>
  </w:num>
  <w:num w:numId="32" w16cid:durableId="818620803">
    <w:abstractNumId w:val="31"/>
  </w:num>
  <w:num w:numId="33" w16cid:durableId="736132104">
    <w:abstractNumId w:val="12"/>
  </w:num>
  <w:num w:numId="34" w16cid:durableId="1158375626">
    <w:abstractNumId w:val="43"/>
  </w:num>
  <w:num w:numId="35" w16cid:durableId="1846047451">
    <w:abstractNumId w:val="38"/>
  </w:num>
  <w:num w:numId="36" w16cid:durableId="2064793386">
    <w:abstractNumId w:val="4"/>
  </w:num>
  <w:num w:numId="37" w16cid:durableId="508132558">
    <w:abstractNumId w:val="45"/>
  </w:num>
  <w:num w:numId="38" w16cid:durableId="1157772222">
    <w:abstractNumId w:val="41"/>
  </w:num>
  <w:num w:numId="39" w16cid:durableId="1924757913">
    <w:abstractNumId w:val="36"/>
  </w:num>
  <w:num w:numId="40" w16cid:durableId="294877665">
    <w:abstractNumId w:val="37"/>
  </w:num>
  <w:num w:numId="41" w16cid:durableId="440998504">
    <w:abstractNumId w:val="3"/>
  </w:num>
  <w:num w:numId="42" w16cid:durableId="1704864057">
    <w:abstractNumId w:val="5"/>
  </w:num>
  <w:num w:numId="43" w16cid:durableId="381248456">
    <w:abstractNumId w:val="24"/>
  </w:num>
  <w:num w:numId="44" w16cid:durableId="878274693">
    <w:abstractNumId w:val="6"/>
  </w:num>
  <w:num w:numId="45" w16cid:durableId="1468012427">
    <w:abstractNumId w:val="2"/>
  </w:num>
  <w:num w:numId="46" w16cid:durableId="461309394">
    <w:abstractNumId w:val="0"/>
  </w:num>
  <w:num w:numId="47" w16cid:durableId="163011251">
    <w:abstractNumId w:val="21"/>
  </w:num>
  <w:num w:numId="48" w16cid:durableId="1357972221">
    <w:abstractNumId w:val="28"/>
  </w:num>
  <w:num w:numId="49" w16cid:durableId="1803572187">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113F"/>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mental-health/mental-health-detention"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journals.sagepub.com/doi/full/10.1177/02697580231151207"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guidance/vulnerability-related-risks/introduction-vulnerability-related-ris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college.police.uk/app/mental-health/mental-vulnerability-and-illness" TargetMode="External"/><Relationship Id="rId20" Type="http://schemas.openxmlformats.org/officeDocument/2006/relationships/hyperlink" Target="https://www.safeguarding.wales/en/adu-i/adu-i-a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womensaid.org.uk/information-support/what-is-domestic-abuse/women-leave/" TargetMode="External"/><Relationship Id="rId5" Type="http://schemas.openxmlformats.org/officeDocument/2006/relationships/numbering" Target="numbering.xml"/><Relationship Id="rId15" Type="http://schemas.openxmlformats.org/officeDocument/2006/relationships/hyperlink" Target="https://www.college.police.uk/guidance/vulnerability-related-risks/introduction-vulnerability-related-risk#:~:text=exploited%20or%20abused.-,THRIVE,others%20from%20harm%20or%20exploitation" TargetMode="External"/><Relationship Id="rId23" Type="http://schemas.openxmlformats.org/officeDocument/2006/relationships/hyperlink" Target="https://www.domesticabuseservices.org.uk/latest-news-articles-advice/marac/#:~:text=You%20will%20be%20asked%20if,safeguard%20you%20and%20your%20children" TargetMode="External"/><Relationship Id="rId28"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https://www.eif.org.uk/resource/what-is-early-intervention#:~:text=Early%20intervention%20means%20identifying%20and%20providing%20effective%20early,head-on%20when%20they%20do%2C%20before%20problems%20get%20wors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allaboutlaw.co.uk/commercial-awareness/legal-spotlight/why-does-the-cps-pursue-cases-even-without-victim-support-#:~:text=Why%20does%20the%20CPS%20pursue%20%E2%80%98victimless%E2%80%99%20prosecutions%20of,sources%20to%20satisfy%20the%20Code%20for%20Crown%20Prosecutor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5560</Words>
  <Characters>32075</Characters>
  <Application>Microsoft Office Word</Application>
  <DocSecurity>0</DocSecurity>
  <Lines>267</Lines>
  <Paragraphs>75</Paragraphs>
  <ScaleCrop>false</ScaleCrop>
  <Company>Powys County Council</Company>
  <LinksUpToDate>false</LinksUpToDate>
  <CharactersWithSpaces>37560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James,Rhysian swp8280</cp:lastModifiedBy>
  <cp:revision>2</cp:revision>
  <cp:lastPrinted>2014-08-26T08:55:00Z</cp:lastPrinted>
  <dcterms:created xsi:type="dcterms:W3CDTF">2023-10-30T14:04:00Z</dcterms:created>
  <dcterms:modified xsi:type="dcterms:W3CDTF">2023-10-30T14:04:00Z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2023-10-30T14:02:44Z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a67c9603-34b8-4c39-b1da-c874ec59d8af</vt:lpwstr>
  </property>
  <property fmtid="{D5CDD505-2E9C-101B-9397-08002B2CF9AE}" pid="9" name="MSIP_Label_66cf8fe5-b7b7-4df7-b38d-1c61ac2f6639_ContentBits">
    <vt:lpwstr>0</vt:lpwstr>
  </property>
</Properties>
</file>