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5439F9" w14:textId="61FDA7D8" w:rsidR="001425DC" w:rsidRDefault="001425DC" w:rsidP="001425DC">
      <w:pPr>
        <w:jc w:val="center"/>
        <w:rPr>
          <w:color w:val="000000" w:themeColor="text1"/>
          <w:sz w:val="32"/>
          <w:szCs w:val="32"/>
        </w:rPr>
      </w:pPr>
      <w:r>
        <w:rPr>
          <w:color w:val="000000" w:themeColor="text1"/>
        </w:rPr>
        <w:t xml:space="preserve">    PRINCIPLE OF HEALTH AND SOCIAL CARE (I)</w:t>
      </w:r>
    </w:p>
    <w:p w14:paraId="0C40F81A" w14:textId="77777777" w:rsidR="001425DC" w:rsidRDefault="001425DC" w:rsidP="001425DC">
      <w:pPr>
        <w:ind w:firstLine="0"/>
        <w:rPr>
          <w:b/>
          <w:bCs/>
        </w:rPr>
      </w:pPr>
      <w:r>
        <w:t xml:space="preserve">                                                 STUDENT NAME:  </w:t>
      </w:r>
      <w:r>
        <w:rPr>
          <w:b/>
          <w:bCs/>
        </w:rPr>
        <w:t>NICOLETTE ROBOTHAM</w:t>
      </w:r>
    </w:p>
    <w:p w14:paraId="337AADA0" w14:textId="77777777" w:rsidR="001425DC" w:rsidRDefault="001425DC" w:rsidP="001425DC">
      <w:r>
        <w:t xml:space="preserve">                                     STUDENT ID NO: 1910056</w:t>
      </w:r>
    </w:p>
    <w:p w14:paraId="0463A51A" w14:textId="6B6A1E48" w:rsidR="001425DC" w:rsidRDefault="001425DC" w:rsidP="001425DC">
      <w:r>
        <w:t xml:space="preserve">                                     TUTOR NAME: MAGDALENA WRONSKA</w:t>
      </w:r>
    </w:p>
    <w:p w14:paraId="7DC17EFA" w14:textId="3ADBECB7" w:rsidR="001425DC" w:rsidRDefault="001425DC" w:rsidP="001425DC">
      <w:r>
        <w:t xml:space="preserve">                                     DUE DATE: 06 JANUARY 2021</w:t>
      </w:r>
    </w:p>
    <w:p w14:paraId="0F560771" w14:textId="0615C105" w:rsidR="00DB6843" w:rsidRDefault="00DB6843"/>
    <w:p w14:paraId="0B9A8C79" w14:textId="430BC584" w:rsidR="009017FE" w:rsidRDefault="009017FE"/>
    <w:p w14:paraId="35A51E56" w14:textId="1A89AABA" w:rsidR="009017FE" w:rsidRDefault="009017FE"/>
    <w:p w14:paraId="2E67611C" w14:textId="4F054A36" w:rsidR="009017FE" w:rsidRDefault="009017FE"/>
    <w:p w14:paraId="18FCC7B2" w14:textId="3485B57B" w:rsidR="009017FE" w:rsidRDefault="009017FE"/>
    <w:p w14:paraId="089003E8" w14:textId="17F2950E" w:rsidR="009017FE" w:rsidRDefault="009017FE"/>
    <w:p w14:paraId="504CEF49" w14:textId="32849C03" w:rsidR="009017FE" w:rsidRDefault="009017FE"/>
    <w:p w14:paraId="2461E66C" w14:textId="5AD19413" w:rsidR="009017FE" w:rsidRDefault="009017FE"/>
    <w:p w14:paraId="352A8AC0" w14:textId="3C19A62A" w:rsidR="009017FE" w:rsidRDefault="009017FE"/>
    <w:p w14:paraId="3F087EDC" w14:textId="43F7A373" w:rsidR="009017FE" w:rsidRDefault="009017FE"/>
    <w:p w14:paraId="0E465157" w14:textId="3AAB32EC" w:rsidR="009017FE" w:rsidRDefault="009017FE"/>
    <w:p w14:paraId="54CD6A0A" w14:textId="6769E775" w:rsidR="009017FE" w:rsidRDefault="009017FE"/>
    <w:p w14:paraId="64E16DEF" w14:textId="37436262" w:rsidR="009017FE" w:rsidRDefault="009017FE"/>
    <w:p w14:paraId="2F222D68" w14:textId="4D34C686" w:rsidR="009017FE" w:rsidRDefault="009017FE"/>
    <w:p w14:paraId="7CB0D10D" w14:textId="45ED57B7" w:rsidR="009017FE" w:rsidRDefault="009017FE">
      <w:pPr>
        <w:rPr>
          <w:b/>
          <w:bCs/>
          <w:sz w:val="28"/>
          <w:szCs w:val="28"/>
        </w:rPr>
      </w:pPr>
      <w:r w:rsidRPr="000E043F">
        <w:rPr>
          <w:b/>
          <w:bCs/>
          <w:sz w:val="28"/>
          <w:szCs w:val="28"/>
        </w:rPr>
        <w:lastRenderedPageBreak/>
        <w:t xml:space="preserve">Content </w:t>
      </w:r>
    </w:p>
    <w:p w14:paraId="3D4ACF30" w14:textId="772522BA" w:rsidR="00B65298" w:rsidRDefault="00B65298">
      <w:pPr>
        <w:rPr>
          <w:sz w:val="28"/>
          <w:szCs w:val="28"/>
        </w:rPr>
      </w:pPr>
      <w:r w:rsidRPr="00B65298">
        <w:rPr>
          <w:sz w:val="28"/>
          <w:szCs w:val="28"/>
        </w:rPr>
        <w:t>Introduction</w:t>
      </w:r>
      <w:r w:rsidR="000530F6">
        <w:rPr>
          <w:sz w:val="28"/>
          <w:szCs w:val="28"/>
        </w:rPr>
        <w:t>………………………………………………………….1</w:t>
      </w:r>
    </w:p>
    <w:p w14:paraId="66B220E5" w14:textId="26A78D0F" w:rsidR="000530F6" w:rsidRDefault="000530F6">
      <w:pPr>
        <w:rPr>
          <w:sz w:val="28"/>
          <w:szCs w:val="28"/>
        </w:rPr>
      </w:pPr>
      <w:r>
        <w:rPr>
          <w:sz w:val="28"/>
          <w:szCs w:val="28"/>
        </w:rPr>
        <w:t>Discussion……………………………………………………………2</w:t>
      </w:r>
    </w:p>
    <w:p w14:paraId="04DB4B53" w14:textId="4B09B072" w:rsidR="000530F6" w:rsidRDefault="000530F6">
      <w:pPr>
        <w:rPr>
          <w:sz w:val="28"/>
          <w:szCs w:val="28"/>
        </w:rPr>
      </w:pPr>
      <w:r>
        <w:rPr>
          <w:sz w:val="28"/>
          <w:szCs w:val="28"/>
        </w:rPr>
        <w:t>Recommendation…………………………………………………….7</w:t>
      </w:r>
    </w:p>
    <w:p w14:paraId="4DC2D79C" w14:textId="5F6D61E7" w:rsidR="000530F6" w:rsidRDefault="000530F6">
      <w:pPr>
        <w:rPr>
          <w:sz w:val="28"/>
          <w:szCs w:val="28"/>
        </w:rPr>
      </w:pPr>
      <w:r>
        <w:rPr>
          <w:sz w:val="28"/>
          <w:szCs w:val="28"/>
        </w:rPr>
        <w:t>Conclusion……………………………………………………………8</w:t>
      </w:r>
    </w:p>
    <w:p w14:paraId="0251C0F9" w14:textId="0DD946BB" w:rsidR="000530F6" w:rsidRDefault="000530F6">
      <w:pPr>
        <w:rPr>
          <w:sz w:val="28"/>
          <w:szCs w:val="28"/>
        </w:rPr>
      </w:pPr>
      <w:r>
        <w:rPr>
          <w:sz w:val="28"/>
          <w:szCs w:val="28"/>
        </w:rPr>
        <w:t>References…………………………………………………………</w:t>
      </w:r>
      <w:r w:rsidR="009E715A">
        <w:rPr>
          <w:sz w:val="28"/>
          <w:szCs w:val="28"/>
        </w:rPr>
        <w:t>….</w:t>
      </w:r>
      <w:r>
        <w:rPr>
          <w:sz w:val="28"/>
          <w:szCs w:val="28"/>
        </w:rPr>
        <w:t>9</w:t>
      </w:r>
    </w:p>
    <w:p w14:paraId="0E6402B6" w14:textId="77777777" w:rsidR="000530F6" w:rsidRPr="00B65298" w:rsidRDefault="000530F6">
      <w:pPr>
        <w:rPr>
          <w:sz w:val="28"/>
          <w:szCs w:val="28"/>
        </w:rPr>
      </w:pPr>
    </w:p>
    <w:p w14:paraId="4FC61D49" w14:textId="7E5E4AAA" w:rsidR="009017FE" w:rsidRDefault="009017FE"/>
    <w:p w14:paraId="0263511A" w14:textId="372AF0F1" w:rsidR="009017FE" w:rsidRDefault="009017FE"/>
    <w:p w14:paraId="056A24A0" w14:textId="540BB4C9" w:rsidR="009017FE" w:rsidRDefault="009017FE"/>
    <w:p w14:paraId="602378BB" w14:textId="4BDB857C" w:rsidR="009017FE" w:rsidRDefault="009017FE"/>
    <w:p w14:paraId="3F9CC0EF" w14:textId="7BA27753" w:rsidR="009017FE" w:rsidRDefault="009017FE"/>
    <w:p w14:paraId="22C89793" w14:textId="046BB5F4" w:rsidR="009017FE" w:rsidRDefault="009017FE"/>
    <w:p w14:paraId="332FF30F" w14:textId="518C60BD" w:rsidR="009017FE" w:rsidRDefault="009017FE"/>
    <w:p w14:paraId="116807C8" w14:textId="5EFF4451" w:rsidR="009017FE" w:rsidRDefault="009017FE"/>
    <w:p w14:paraId="01ECCE44" w14:textId="74B1BD53" w:rsidR="009017FE" w:rsidRDefault="009017FE"/>
    <w:p w14:paraId="61B902F4" w14:textId="11B3277B" w:rsidR="009017FE" w:rsidRDefault="009017FE"/>
    <w:p w14:paraId="20FE4F2F" w14:textId="57308C13" w:rsidR="009017FE" w:rsidRDefault="009017FE"/>
    <w:p w14:paraId="4F99BBD7" w14:textId="57C80690" w:rsidR="009017FE" w:rsidRDefault="009017FE" w:rsidP="00122E00">
      <w:pPr>
        <w:ind w:firstLine="0"/>
      </w:pPr>
    </w:p>
    <w:p w14:paraId="2FB0ABE3" w14:textId="27BEFAAF" w:rsidR="009017FE" w:rsidRDefault="009017FE"/>
    <w:p w14:paraId="07625B99" w14:textId="173520EF" w:rsidR="000E043F" w:rsidRDefault="000E043F" w:rsidP="000E043F">
      <w:pPr>
        <w:pStyle w:val="Heading1"/>
      </w:pPr>
      <w:r>
        <w:t xml:space="preserve">Introduction: </w:t>
      </w:r>
    </w:p>
    <w:p w14:paraId="6C3D41D2" w14:textId="77777777" w:rsidR="008F0BF2" w:rsidRPr="008F0BF2" w:rsidRDefault="008F0BF2" w:rsidP="008F0BF2">
      <w:pPr>
        <w:rPr>
          <w:lang w:val="en-GB"/>
        </w:rPr>
      </w:pPr>
    </w:p>
    <w:p w14:paraId="6360BF91" w14:textId="338563F2" w:rsidR="000E043F" w:rsidRDefault="000E043F" w:rsidP="000E043F">
      <w:r>
        <w:t xml:space="preserve">With the rapid ageing process, extensive intervention regarding dementia has gained increasing attention because of the high expenditure of health care sector and high prevalence of mortality rate.  Dementia is </w:t>
      </w:r>
      <w:proofErr w:type="spellStart"/>
      <w:r>
        <w:t>characterised</w:t>
      </w:r>
      <w:proofErr w:type="spellEnd"/>
      <w:r>
        <w:t xml:space="preserve"> by cognitive impairment where deterioration of memory, thinking and ability to perform daily activities of living.  Globally, more than 50 million individuals are diagnosed with dementia with 10 million new cases to years.  Alzheimer's disease is emerged as the significant contributor of dementia, accounting for approximately 70% of the neurodegenerative cases (</w:t>
      </w:r>
      <w:proofErr w:type="spellStart"/>
      <w:r>
        <w:t>Thyrian</w:t>
      </w:r>
      <w:proofErr w:type="spellEnd"/>
      <w:r>
        <w:t xml:space="preserve"> </w:t>
      </w:r>
      <w:r>
        <w:rPr>
          <w:i/>
        </w:rPr>
        <w:t>et al</w:t>
      </w:r>
      <w:r>
        <w:t xml:space="preserve">. 2016). Therefore, dementia is considered as the global cause of disability around the globe.   In the United Kingdom, currently approximately 850000 individuals with dementia in the UK which will be raised up to 1.6 million by 2040 (Alzheimer's society 2020). The recent statistics of the United Kingdom suggested that 1 in 6 individuals aged over 80 years are diagnosed with dementia.   70% of the population in the care home have dementia, accounting for 42000 individuals under 65 years with dementia in UK. The total cost of care for individuals with dementia is approximate, 34.7 billion in UK currency. Such statistics further intensified the need for identifying proper care home policy and practice that will enhance the healthy ageing and care experience.  The case scenario represents A 85-year-old man with progressive dementia, other conditions. Mr. T experienced hip operation due to fall and require support in improving mobility, domestic </w:t>
      </w:r>
      <w:proofErr w:type="gramStart"/>
      <w:r>
        <w:t>chores</w:t>
      </w:r>
      <w:proofErr w:type="gramEnd"/>
      <w:r>
        <w:t xml:space="preserve"> and any social events for improving independence. The paper aims to discuss </w:t>
      </w:r>
      <w:r w:rsidR="00122E00">
        <w:t>a</w:t>
      </w:r>
      <w:r>
        <w:t xml:space="preserve">n </w:t>
      </w:r>
      <w:proofErr w:type="spellStart"/>
      <w:r>
        <w:t>organisation</w:t>
      </w:r>
      <w:proofErr w:type="spellEnd"/>
      <w:r>
        <w:t xml:space="preserve">, capable of providing support for </w:t>
      </w:r>
      <w:proofErr w:type="spellStart"/>
      <w:r>
        <w:t>Mr</w:t>
      </w:r>
      <w:proofErr w:type="spellEnd"/>
      <w:r>
        <w:t xml:space="preserve"> &amp; </w:t>
      </w:r>
      <w:proofErr w:type="spellStart"/>
      <w:r>
        <w:t>Mrs</w:t>
      </w:r>
      <w:proofErr w:type="spellEnd"/>
      <w:r>
        <w:t xml:space="preserve"> T. Focusing on future policy and practice the chosen body, recommendations for future practice in the following paragraphs. </w:t>
      </w:r>
    </w:p>
    <w:p w14:paraId="358A0D65" w14:textId="77777777" w:rsidR="000E043F" w:rsidRDefault="000E043F" w:rsidP="000E043F"/>
    <w:p w14:paraId="11A2065B" w14:textId="77777777" w:rsidR="000E043F" w:rsidRDefault="000E043F" w:rsidP="000E043F">
      <w:pPr>
        <w:pStyle w:val="Heading1"/>
      </w:pPr>
      <w:r>
        <w:t xml:space="preserve"> Discussion: </w:t>
      </w:r>
    </w:p>
    <w:p w14:paraId="0FDA7B06" w14:textId="77777777" w:rsidR="000E043F" w:rsidRDefault="000E043F" w:rsidP="000E043F">
      <w:pPr>
        <w:pStyle w:val="Heading2"/>
      </w:pPr>
      <w:r>
        <w:t xml:space="preserve">Dementia and associated changes:  </w:t>
      </w:r>
    </w:p>
    <w:p w14:paraId="4BAE3DDE" w14:textId="77777777" w:rsidR="000E043F" w:rsidRDefault="000E043F" w:rsidP="000E043F">
      <w:r>
        <w:t xml:space="preserve"> Dementia is progress neurodegenerative disease which is </w:t>
      </w:r>
      <w:proofErr w:type="spellStart"/>
      <w:r>
        <w:t>characterised</w:t>
      </w:r>
      <w:proofErr w:type="spellEnd"/>
      <w:r>
        <w:t xml:space="preserve"> by deposition of amyloid-beta protein in the external part of neuron while twisted tau protein present in the internal part of the neuron. Pennington et al. (2018), reported that patients often exhibit forgetfulness in the early stage whereas patients exhibit wandering, difficulties in communicating and becoming lost in the middle as well as an advanced stage of dementia.   At this juncture, limited cognitive capacity reduces the ability to involve in the daily activities and enhance motor skills. It can be explained by Cognitive and affective theory of mind which suggested that cognitive and affective components both appear to be affected due to poor neural connection (</w:t>
      </w:r>
      <w:proofErr w:type="spellStart"/>
      <w:r>
        <w:t>Heitz</w:t>
      </w:r>
      <w:proofErr w:type="spellEnd"/>
      <w:r>
        <w:t xml:space="preserve"> </w:t>
      </w:r>
      <w:r>
        <w:rPr>
          <w:i/>
        </w:rPr>
        <w:t>et al.</w:t>
      </w:r>
      <w:r>
        <w:t xml:space="preserve"> 2016).  Therefore, the fall and associated injury are considered as the common impact of dementia.  The case scenario represented that the patient man with progressive dementia and coexisting conditions, indicating that progressive dementia resulted in limited capacity for daily activities and appropriate motor skills which reflected in fall and hip operation done of </w:t>
      </w:r>
      <w:proofErr w:type="spellStart"/>
      <w:r>
        <w:t>Mr</w:t>
      </w:r>
      <w:proofErr w:type="spellEnd"/>
      <w:r>
        <w:t xml:space="preserve"> T.</w:t>
      </w:r>
    </w:p>
    <w:p w14:paraId="76883953" w14:textId="77777777" w:rsidR="000E043F" w:rsidRDefault="000E043F" w:rsidP="000E043F">
      <w:r>
        <w:t xml:space="preserve">Podgorica et al. (2020), conducted a systematic review regarding clinical issues raising while caring for older patients with dementia. Study finding suggested that dementia patients often experience limited healthy ageing experience due to ongoing ethical dilemma associated with care for dementia patients. The underlying reason is that dementia patients usually have a limited cognitive capacity to understand the treatment procedure and consequence of the treatment. Pennington et al. (2018), argued that health care professionals have limited knowledge regarding the different stage of dementia which resulted in a violation of elderly rights, legal dilemma regarding autonomy and beneficence. The Mental Capacity Act violation is also prominent because the act safeguards the rights of competent adults to involve in their </w:t>
      </w:r>
      <w:r>
        <w:lastRenderedPageBreak/>
        <w:t>care (Donnelly 2016).  Therefore, professionals failed to respect for their needs, wishes and decision making of the patients.    While advance directives are highlighted as a significant solution to address such legal and ethical issues, majority of the dementia patients have no advance directives and hence, they often unable to live independently due to dementia (</w:t>
      </w:r>
      <w:proofErr w:type="spellStart"/>
      <w:r>
        <w:t>Tilburgs</w:t>
      </w:r>
      <w:proofErr w:type="spellEnd"/>
      <w:r>
        <w:t xml:space="preserve"> et al. 2018). </w:t>
      </w:r>
    </w:p>
    <w:p w14:paraId="630C1086" w14:textId="0647B009" w:rsidR="000E043F" w:rsidRDefault="000E043F" w:rsidP="000E043F">
      <w:r>
        <w:t xml:space="preserve">Before evaluating the policy and practices used by the care home, it is noteworthy to mention the NICE guidelines for caring for dementia patients.   NICE guidelines for the dementia care suggested that the best way of the enhancing dementia care experience included 1.1 involving people living with dementia in decisions about their care, 1.2 advance care planning,   1.3 care coordination and assisting, 1.4 interventions for promoting cognition, independence and wellbeing (NICE 2018).  Therefore, while identifying the care home suitable for the patient and his wife, NICE guideline for the care process must be considered. At this juncture, various care home or </w:t>
      </w:r>
      <w:proofErr w:type="spellStart"/>
      <w:r>
        <w:t>organisation</w:t>
      </w:r>
      <w:proofErr w:type="spellEnd"/>
      <w:r>
        <w:t xml:space="preserve"> can support the patient and his wife in living personal care, improve her mobility, domestic </w:t>
      </w:r>
      <w:r w:rsidR="009E715A">
        <w:t>chores,</w:t>
      </w:r>
      <w:r>
        <w:t xml:space="preserve"> and any social event. Browne et al. (2017), reported that dementia patients often have limited ability to improve personal hygiene due to lack of assistance and understanding of the importance. Similarly, Cooper et al. (2017), suggested that while they are willing to live independently, they often have limited assistance and information to do so. As </w:t>
      </w:r>
      <w:proofErr w:type="spellStart"/>
      <w:r>
        <w:t>Mr</w:t>
      </w:r>
      <w:proofErr w:type="spellEnd"/>
      <w:r>
        <w:t xml:space="preserve"> T and </w:t>
      </w:r>
      <w:proofErr w:type="spellStart"/>
      <w:r>
        <w:t>Mrs</w:t>
      </w:r>
      <w:proofErr w:type="spellEnd"/>
      <w:r>
        <w:t xml:space="preserve"> T experience similar ageing experiences, care home or </w:t>
      </w:r>
      <w:proofErr w:type="spellStart"/>
      <w:r>
        <w:t>organisation</w:t>
      </w:r>
      <w:proofErr w:type="spellEnd"/>
      <w:r>
        <w:t xml:space="preserve"> must have policy and practices that can safeguard the rights while supporting personal care. </w:t>
      </w:r>
    </w:p>
    <w:p w14:paraId="60E2C9C2" w14:textId="466CD325" w:rsidR="000E043F" w:rsidRDefault="000E043F" w:rsidP="000E043F">
      <w:r>
        <w:t xml:space="preserve">           In the United Kingdom, a various care home can support provide quality of care to </w:t>
      </w:r>
      <w:proofErr w:type="spellStart"/>
      <w:r>
        <w:t>Mr</w:t>
      </w:r>
      <w:proofErr w:type="spellEnd"/>
      <w:r>
        <w:t xml:space="preserve"> T such as Karuna </w:t>
      </w:r>
      <w:r w:rsidR="009E715A">
        <w:t>Manor, Dementia</w:t>
      </w:r>
      <w:r>
        <w:t xml:space="preserve"> UK, Groveland Park Care Home and </w:t>
      </w:r>
      <w:proofErr w:type="spellStart"/>
      <w:r>
        <w:t>Sancroft</w:t>
      </w:r>
      <w:proofErr w:type="spellEnd"/>
      <w:r>
        <w:t xml:space="preserve"> Community Care Ltd- </w:t>
      </w:r>
      <w:proofErr w:type="spellStart"/>
      <w:r>
        <w:t>Sancroft</w:t>
      </w:r>
      <w:proofErr w:type="spellEnd"/>
      <w:r>
        <w:t xml:space="preserve"> Hall.  These care homes are suitable for providing independence because </w:t>
      </w:r>
      <w:r w:rsidR="009E715A">
        <w:t>all</w:t>
      </w:r>
      <w:r>
        <w:t xml:space="preserve"> these care home and </w:t>
      </w:r>
      <w:proofErr w:type="spellStart"/>
      <w:r>
        <w:t>organisations</w:t>
      </w:r>
      <w:proofErr w:type="spellEnd"/>
      <w:r>
        <w:t xml:space="preserve"> provide care according to the ‘Living Well with Dementia: A National Dementia Strategy’. Living Well with Dementia: A </w:t>
      </w:r>
      <w:r>
        <w:lastRenderedPageBreak/>
        <w:t xml:space="preserve">National Dementia Strategy’ is a unique strategy developed by NHS to set out a vision for transforming dementia services with aim of achieving better awareness of dementia, early diagnosis (NICE 2018).    Out of all </w:t>
      </w:r>
      <w:proofErr w:type="spellStart"/>
      <w:r>
        <w:t>organisation</w:t>
      </w:r>
      <w:proofErr w:type="spellEnd"/>
      <w:r>
        <w:t xml:space="preserve"> and care home, Dementia UK is found to be suitable for promoting personal care process and daily chores. Evans et al. (2018), argued that due to complexities of the disease, registered nurses often exhibit low compliance with Mental Capacity Act 2005 that safeguard basic rights of dementia and care standards due to lack of dementia-specific training and tutoring that dedicated to non-pharmaceutical intervention (Donnelly 2016).  Such incidents are the foundation for developing the 'Care Quality Commission. Hence, such </w:t>
      </w:r>
      <w:proofErr w:type="spellStart"/>
      <w:r>
        <w:t>organisation</w:t>
      </w:r>
      <w:proofErr w:type="spellEnd"/>
      <w:r>
        <w:t xml:space="preserve"> and care home are that all </w:t>
      </w:r>
      <w:proofErr w:type="spellStart"/>
      <w:r>
        <w:t>organisation</w:t>
      </w:r>
      <w:proofErr w:type="spellEnd"/>
      <w:r>
        <w:t xml:space="preserve"> and care home has been registered in with regulator 'Care Quality Commission (CQC)' to provide these categories of care. Zhang et al. (2020), suggested that ‘Care Quality Commission is the regulator which inspects the quality of care and all NHS, as well as social care providers, must work according to the standards.  As dementia patients are vulnerable and require extensive support, health and social care providers working any </w:t>
      </w:r>
      <w:proofErr w:type="spellStart"/>
      <w:r>
        <w:t>organisation</w:t>
      </w:r>
      <w:proofErr w:type="spellEnd"/>
      <w:r>
        <w:t>, charity or home care must follow common standards such as Person-</w:t>
      </w:r>
      <w:proofErr w:type="spellStart"/>
      <w:r>
        <w:t>centred</w:t>
      </w:r>
      <w:proofErr w:type="spellEnd"/>
      <w:r>
        <w:t xml:space="preserve"> care, dignity and respect, consent, safeguard, food and drinking equipment and reporting exercise of non-compliant actions.  Therefore, all </w:t>
      </w:r>
      <w:proofErr w:type="spellStart"/>
      <w:r>
        <w:t>organisation</w:t>
      </w:r>
      <w:proofErr w:type="spellEnd"/>
      <w:r>
        <w:t xml:space="preserve"> and care home follow standards of Care Quality Commission to enhance the experience of the patients (Jonker and Fisher 2018</w:t>
      </w:r>
      <w:proofErr w:type="gramStart"/>
      <w:r>
        <w:t>).Karuna</w:t>
      </w:r>
      <w:proofErr w:type="gramEnd"/>
      <w:r>
        <w:t xml:space="preserve"> Manor is an exceptional luxury home offering expert and residential dementia care.   It is specifically designed for the Indian living in the United Kingdom where individuals belong to the Indian ethnicity experience independence by exploring homely environment, in-house </w:t>
      </w:r>
      <w:proofErr w:type="gramStart"/>
      <w:r>
        <w:t>cinema</w:t>
      </w:r>
      <w:proofErr w:type="gramEnd"/>
      <w:r>
        <w:t xml:space="preserve"> and stunning landscaped gardens (TLC Care 2020). The aim and objective of the care home are to enhance independence and autonomy by enhancing the wellbeing of the population. They safeguard the basic rights of the population through following NICE guidelines, especially through involving people living with dementia in decisions about their care and promoting independence. Similarly, </w:t>
      </w:r>
      <w:r>
        <w:lastRenderedPageBreak/>
        <w:t xml:space="preserve">Groveland Park Care Home aims to provide the essence of assistance based independent living along with exceptional respite care (Grovelandpark.co.uk 2020). Gola et al. (2020), reported dementia patients often feel empowered by involving in various recreational activities as such activities increase social interactions.  Therefore, they have highly skilled staffs with the expertise of physical and mental disability who encourage independent living and healthy ageing experience. All these services are according to the Care Quality Commission.  </w:t>
      </w:r>
      <w:proofErr w:type="spellStart"/>
      <w:proofErr w:type="gramStart"/>
      <w:r>
        <w:t>Volicer</w:t>
      </w:r>
      <w:proofErr w:type="spellEnd"/>
      <w:r>
        <w:t xml:space="preserve">,  </w:t>
      </w:r>
      <w:proofErr w:type="spellStart"/>
      <w:r>
        <w:t>Citrome</w:t>
      </w:r>
      <w:proofErr w:type="spellEnd"/>
      <w:proofErr w:type="gramEnd"/>
      <w:r>
        <w:t xml:space="preserve"> and </w:t>
      </w:r>
      <w:proofErr w:type="spellStart"/>
      <w:r>
        <w:t>Volavka</w:t>
      </w:r>
      <w:proofErr w:type="spellEnd"/>
      <w:r>
        <w:t xml:space="preserve"> (2017) reported that dementia patients often exhibit physical and mental disability due to poor cognition and motor function and hence, require extensive support to delay dementia.  The care home usually provides care to dementia, older adults and physical impairment and sensory impairment. Similar to the previous home care, they safeguard the basic rights of the population through following NICE guidelines, especially through involving people living with dementia in decisions, supporting </w:t>
      </w:r>
      <w:proofErr w:type="spellStart"/>
      <w:r>
        <w:t>carers</w:t>
      </w:r>
      <w:proofErr w:type="spellEnd"/>
      <w:r>
        <w:t xml:space="preserve"> in enhancing the quality of life of the patients and transitioning to the care (Martyr </w:t>
      </w:r>
      <w:r>
        <w:rPr>
          <w:i/>
        </w:rPr>
        <w:t>et al</w:t>
      </w:r>
      <w:r>
        <w:t xml:space="preserve">. 2018)..    However, no details of help in domestic chores were mentioned in services provided by Groveland Park Care Home. </w:t>
      </w:r>
      <w:proofErr w:type="spellStart"/>
      <w:r>
        <w:t>Sancroft</w:t>
      </w:r>
      <w:proofErr w:type="spellEnd"/>
      <w:r>
        <w:t xml:space="preserve"> Community Care Ltd- </w:t>
      </w:r>
      <w:proofErr w:type="spellStart"/>
      <w:r>
        <w:t>Sancroft</w:t>
      </w:r>
      <w:proofErr w:type="spellEnd"/>
      <w:r>
        <w:t xml:space="preserve"> Hall is </w:t>
      </w:r>
      <w:proofErr w:type="spellStart"/>
      <w:r>
        <w:t>specialised</w:t>
      </w:r>
      <w:proofErr w:type="spellEnd"/>
      <w:r>
        <w:t xml:space="preserve"> home for older individuals living with dementia care. The home has a range of accommodation with 24-hour support for the patients experiencing middle and advance stage of dementia. The primary aim is to create a home for older adults who can no longer manage in their own homes.  Therefore, the staffs recruited by </w:t>
      </w:r>
      <w:proofErr w:type="spellStart"/>
      <w:r>
        <w:t>Sancroft</w:t>
      </w:r>
      <w:proofErr w:type="spellEnd"/>
      <w:r>
        <w:t xml:space="preserve"> Community Care Ltd- </w:t>
      </w:r>
      <w:proofErr w:type="spellStart"/>
      <w:r>
        <w:t>Sancroft</w:t>
      </w:r>
      <w:proofErr w:type="spellEnd"/>
      <w:r>
        <w:t xml:space="preserve"> Hall usually respect the choices of the residents to live an independent life and live with personal dignity.  The warm and friendly environment allows professionals to support the population with dementia to invite their family and friends over chat or other community activities. </w:t>
      </w:r>
      <w:proofErr w:type="gramStart"/>
      <w:r>
        <w:t>Therefore,  unlike</w:t>
      </w:r>
      <w:proofErr w:type="gramEnd"/>
      <w:r>
        <w:t xml:space="preserve"> other two care home, </w:t>
      </w:r>
      <w:proofErr w:type="spellStart"/>
      <w:r>
        <w:t>Sancroft</w:t>
      </w:r>
      <w:proofErr w:type="spellEnd"/>
      <w:r>
        <w:t xml:space="preserve"> Community Care Ltd- </w:t>
      </w:r>
      <w:proofErr w:type="spellStart"/>
      <w:r>
        <w:t>Sancroft</w:t>
      </w:r>
      <w:proofErr w:type="spellEnd"/>
      <w:r>
        <w:t xml:space="preserve"> Hall more suitable to support to enhance the healthy ageing experience through improving independent living and involving in social activities. However, </w:t>
      </w:r>
      <w:r>
        <w:lastRenderedPageBreak/>
        <w:t xml:space="preserve">no details of help in domestic chores were mentioned which made it suitable for </w:t>
      </w:r>
      <w:proofErr w:type="spellStart"/>
      <w:r>
        <w:t>Mr</w:t>
      </w:r>
      <w:proofErr w:type="spellEnd"/>
      <w:r>
        <w:t xml:space="preserve"> T and </w:t>
      </w:r>
      <w:proofErr w:type="spellStart"/>
      <w:r>
        <w:t>Mrs</w:t>
      </w:r>
      <w:proofErr w:type="spellEnd"/>
      <w:r>
        <w:t xml:space="preserve"> T to experience healthy ageing (sancroftcommunitycare.co.uk 2020).  </w:t>
      </w:r>
    </w:p>
    <w:p w14:paraId="42F61C7C" w14:textId="77777777" w:rsidR="000E043F" w:rsidRDefault="000E043F" w:rsidP="000E043F">
      <w:r>
        <w:t xml:space="preserve"> </w:t>
      </w:r>
      <w:r>
        <w:tab/>
        <w:t xml:space="preserve">Dementia </w:t>
      </w:r>
      <w:proofErr w:type="spellStart"/>
      <w:r>
        <w:t>Uk</w:t>
      </w:r>
      <w:proofErr w:type="spellEnd"/>
      <w:r>
        <w:t xml:space="preserve"> is suitable for enhancing the healthy ageing experience of </w:t>
      </w:r>
      <w:proofErr w:type="spellStart"/>
      <w:r>
        <w:t>Mr</w:t>
      </w:r>
      <w:proofErr w:type="spellEnd"/>
      <w:r>
        <w:t xml:space="preserve"> T and </w:t>
      </w:r>
      <w:proofErr w:type="spellStart"/>
      <w:r>
        <w:t>Mrs</w:t>
      </w:r>
      <w:proofErr w:type="spellEnd"/>
      <w:r>
        <w:t xml:space="preserve"> T while supporting living with dementia.   Dementia UK provides is a charity that provides Admiral Nurses for families affected by dementia.  Oliveira, </w:t>
      </w:r>
      <w:proofErr w:type="spellStart"/>
      <w:r>
        <w:t>Zarit</w:t>
      </w:r>
      <w:proofErr w:type="spellEnd"/>
      <w:r>
        <w:t xml:space="preserve">, and </w:t>
      </w:r>
      <w:proofErr w:type="spellStart"/>
      <w:r>
        <w:t>Orrell</w:t>
      </w:r>
      <w:proofErr w:type="spellEnd"/>
      <w:r>
        <w:t xml:space="preserve"> (2019) reported that family caregiver often has limited knowledge and awareness regarding dementia which resulted in agitation, helplessness, </w:t>
      </w:r>
      <w:proofErr w:type="gramStart"/>
      <w:r>
        <w:t>negligence</w:t>
      </w:r>
      <w:proofErr w:type="gramEnd"/>
      <w:r>
        <w:t xml:space="preserve"> and stigma. Therefore, dementia UK is suitable to provide one to one compassionate care to the patients and family members. The aim of the charity is to provide extensive support to families living with dementia live positively with dementia and face the challenges of tomorrow with more confidence and less fear. </w:t>
      </w:r>
      <w:proofErr w:type="spellStart"/>
      <w:r>
        <w:t>Kaddour</w:t>
      </w:r>
      <w:proofErr w:type="spellEnd"/>
      <w:r>
        <w:t xml:space="preserve"> and </w:t>
      </w:r>
      <w:proofErr w:type="spellStart"/>
      <w:r>
        <w:t>Kishita</w:t>
      </w:r>
      <w:proofErr w:type="spellEnd"/>
      <w:r>
        <w:t xml:space="preserve"> (2020), reported that low awareness often reduces the ability to seek assistance and limited knowledge increase the anxiety of informal </w:t>
      </w:r>
      <w:proofErr w:type="spellStart"/>
      <w:r>
        <w:t>carers</w:t>
      </w:r>
      <w:proofErr w:type="spellEnd"/>
      <w:r>
        <w:t xml:space="preserve">. As observed in this case scenario, </w:t>
      </w:r>
      <w:proofErr w:type="spellStart"/>
      <w:r>
        <w:t>Mrs</w:t>
      </w:r>
      <w:proofErr w:type="spellEnd"/>
      <w:r>
        <w:t xml:space="preserve"> T seek information regarding better managing lives, it is suitable for supporting their lives. Hence, the main feature which made it suitable for </w:t>
      </w:r>
      <w:proofErr w:type="spellStart"/>
      <w:r>
        <w:t>Mrs</w:t>
      </w:r>
      <w:proofErr w:type="spellEnd"/>
      <w:r>
        <w:t xml:space="preserve"> T and </w:t>
      </w:r>
      <w:proofErr w:type="spellStart"/>
      <w:r>
        <w:t>Mr</w:t>
      </w:r>
      <w:proofErr w:type="spellEnd"/>
      <w:r>
        <w:t xml:space="preserve"> T is extensive support of Admiral Nurse Service.  Admiral Nurses have extensive training and knowledge to specifically support the patients with dementia such as improving memory and thinking through non-pharmacological interventions (aromatherapy and reminiscence therapy (Harrison </w:t>
      </w:r>
      <w:r>
        <w:rPr>
          <w:i/>
        </w:rPr>
        <w:t>et al.</w:t>
      </w:r>
      <w:r>
        <w:t xml:space="preserve"> 2019). While other care homes provide care to the older adults and other disability, dementia UK specifically provides care to the dementia care through Admiral Nurse which safeguard the basic rights of the dementia patients.   For example, Admiral Nurse exhibit practices that comply with the basic standards of Care Quality Commission (Person-</w:t>
      </w:r>
      <w:proofErr w:type="spellStart"/>
      <w:r>
        <w:t>centred</w:t>
      </w:r>
      <w:proofErr w:type="spellEnd"/>
      <w:r>
        <w:t xml:space="preserve"> care, dignity and respect, consent, safeguard, food and drinking equipment).  Allwood et al. (2017</w:t>
      </w:r>
      <w:proofErr w:type="gramStart"/>
      <w:r>
        <w:t>),  reported</w:t>
      </w:r>
      <w:proofErr w:type="gramEnd"/>
      <w:r>
        <w:t xml:space="preserve"> that health and social workers often have limited knowledge regarding early signs of dementia, communicate sensitively and recognizing signs of distress which reduce the quality of care. The charity is suitable to provide support to the patient and his wife by </w:t>
      </w:r>
      <w:r>
        <w:lastRenderedPageBreak/>
        <w:t>addressing unique needs. For example, nurses collaborate with the social workers while providing dementia care according to dementia care principles such as knowledge of early signs of dementia (principle 1), Principle 3 Communicate sensitively to empower (principle 3), recognize the signs of distress (principle 5) and family members are valued (principle 6) (</w:t>
      </w:r>
      <w:proofErr w:type="spellStart"/>
      <w:r>
        <w:t>Dening</w:t>
      </w:r>
      <w:proofErr w:type="spellEnd"/>
      <w:r>
        <w:t>,  Holmes and Pepper 2018).  Moyle (2019</w:t>
      </w:r>
      <w:proofErr w:type="gramStart"/>
      <w:r>
        <w:t>),  reported</w:t>
      </w:r>
      <w:proofErr w:type="gramEnd"/>
      <w:r>
        <w:t xml:space="preserve"> that dementia patients often experience comfort while they receive care in family environments like a home or any other places near. Therefore, it is highly suitable because dementia UK provides support in a home setting, low cost. As </w:t>
      </w:r>
      <w:proofErr w:type="spellStart"/>
      <w:r>
        <w:t>Mrs</w:t>
      </w:r>
      <w:proofErr w:type="spellEnd"/>
      <w:r>
        <w:t xml:space="preserve"> T required support in promoting personal care and improving mobility, nursing professionals can provide support in resuming mobility after fall, toileting, feeding and clothing.  The professionals follow NMC code of ethics to safeguard the basic rights of the dementia patients such as uphold their dignity (principle 1), ensuring their physical, emotional and mental needs are met (principle 3) and respecting privacy, confidentiality and autonomy (principle 5).  Therefore, providing care in the home environment, with expert professionals for co-existing issues further made it suitable for the case scenario. However, they follow appropriate policy and Mental Capacity Act to provide care, they have limited support for the social activities rather they collaborate with social workers to involve dementia patients in the various social and recreational activities to reduce social exclusion.  </w:t>
      </w:r>
    </w:p>
    <w:p w14:paraId="49AAAA14" w14:textId="77777777" w:rsidR="000E043F" w:rsidRDefault="000E043F" w:rsidP="000E043F"/>
    <w:p w14:paraId="743FC6DC" w14:textId="77777777" w:rsidR="000E043F" w:rsidRDefault="000E043F" w:rsidP="000E043F"/>
    <w:p w14:paraId="624571D6" w14:textId="77777777" w:rsidR="000E043F" w:rsidRDefault="000E043F" w:rsidP="000E043F"/>
    <w:p w14:paraId="646579FA" w14:textId="77777777" w:rsidR="000E043F" w:rsidRDefault="000E043F" w:rsidP="000E043F"/>
    <w:p w14:paraId="7762F296" w14:textId="1D2D0D57" w:rsidR="000E043F" w:rsidRDefault="000E043F" w:rsidP="000E043F">
      <w:r>
        <w:t xml:space="preserve">  </w:t>
      </w:r>
    </w:p>
    <w:p w14:paraId="2A015FE7" w14:textId="77777777" w:rsidR="000E043F" w:rsidRDefault="000E043F" w:rsidP="000E043F">
      <w:pPr>
        <w:pStyle w:val="Heading2"/>
      </w:pPr>
      <w:r>
        <w:lastRenderedPageBreak/>
        <w:t>Recommendation:</w:t>
      </w:r>
    </w:p>
    <w:p w14:paraId="11C8DAB1" w14:textId="1F3515FB" w:rsidR="000E043F" w:rsidRDefault="000E043F" w:rsidP="000E043F">
      <w:r>
        <w:t xml:space="preserve">  The analysis of the organization highlighted two major issues which can be incorporated in the policy to enhance the experience of care. For example, the charity usually provides care in the home environment which intensified the need for developing policy that can develop policies that will enhance the quality of care. For example, the policy can be developed that ensure that nurses have training in handling devices that can not only enhance functionality but also enhance the experience through reducing wandering, non-skidded floors and lighting area ) (</w:t>
      </w:r>
      <w:proofErr w:type="spellStart"/>
      <w:r>
        <w:t>Dening</w:t>
      </w:r>
      <w:proofErr w:type="spellEnd"/>
      <w:r>
        <w:t xml:space="preserve">,  Holmes and Pepper 2018). The policy can be developed by mandating health literacy to the extended family members and community members so that they can facilitate care experience without developing false beliefs or stigma. As they have limited support for social activities </w:t>
      </w:r>
      <w:r w:rsidR="00122E00">
        <w:t>rather,</w:t>
      </w:r>
      <w:r>
        <w:t xml:space="preserve"> they collaborate with social workers, the policy can be developed for enhancing social activities as a part of dementia care. The policy can be designed by developing social and recreational activities as a part of care and recruiting occupational workers as well as social workers. The practices can be altered according to the policy such as mandatory training can be provided with training and working according to the Mental Capacity Act. It will empower patients, improve </w:t>
      </w:r>
      <w:r w:rsidR="00122E00">
        <w:t>awareness,</w:t>
      </w:r>
      <w:r>
        <w:t xml:space="preserve"> and improve the healthy ageing experience. </w:t>
      </w:r>
    </w:p>
    <w:p w14:paraId="7AA446AC" w14:textId="0B383C8F" w:rsidR="000E043F" w:rsidRDefault="000E043F" w:rsidP="000E043F"/>
    <w:p w14:paraId="0777E809" w14:textId="1E0D4995" w:rsidR="000E043F" w:rsidRDefault="000E043F" w:rsidP="000E043F"/>
    <w:p w14:paraId="7ECCA853" w14:textId="0C627822" w:rsidR="000E043F" w:rsidRDefault="000E043F" w:rsidP="000E043F"/>
    <w:p w14:paraId="38A76D1F" w14:textId="0A11FDA8" w:rsidR="000E043F" w:rsidRDefault="000E043F" w:rsidP="000E043F"/>
    <w:p w14:paraId="6F3CBCC4" w14:textId="77777777" w:rsidR="000E043F" w:rsidRDefault="000E043F" w:rsidP="000E043F"/>
    <w:p w14:paraId="617A6D80" w14:textId="77777777" w:rsidR="000E043F" w:rsidRDefault="000E043F" w:rsidP="000E043F">
      <w:pPr>
        <w:pStyle w:val="Heading2"/>
      </w:pPr>
      <w:r>
        <w:lastRenderedPageBreak/>
        <w:t xml:space="preserve"> Conclusion:</w:t>
      </w:r>
    </w:p>
    <w:p w14:paraId="30C79FFE" w14:textId="77777777" w:rsidR="000E043F" w:rsidRDefault="000E043F" w:rsidP="000E043F">
      <w:r>
        <w:t xml:space="preserve"> </w:t>
      </w:r>
      <w:r>
        <w:tab/>
        <w:t xml:space="preserve">On a concluding note, it can be said that dementia is </w:t>
      </w:r>
      <w:proofErr w:type="spellStart"/>
      <w:r>
        <w:t>characterised</w:t>
      </w:r>
      <w:proofErr w:type="spellEnd"/>
      <w:r>
        <w:t xml:space="preserve"> by cognitive impairment where deterioration of memory, thinking and ability to perform daily activities of living. Patients often exhibit forgetfulness in the early stage whereas patients exhibit wandering, difficulties in communicating and becoming lost in the middle as well as an advanced stage of dementia.   At this juncture, limited cognitive capacity reduces the ability to involve in daily activities and enhance motor skills. At this juncture, dementia UK is suitable to provide one to one compassionate care to the patients and family members. The aim of the charity is to provide extensive support to families living with dementia live positively with dementia and face the challenges of tomorrow with more confidence and less fear. The professionals follow the NMC code of ethics to safeguard the basic rights of the dementia patient.  At this juncture, the common policy amendments can be developing social and recreational activities, nurses training in handling devices and mandating health literacy.</w:t>
      </w:r>
    </w:p>
    <w:p w14:paraId="75519A9A" w14:textId="77777777" w:rsidR="000E043F" w:rsidRDefault="000E043F" w:rsidP="000E043F">
      <w:pPr>
        <w:spacing w:before="40" w:after="0"/>
      </w:pPr>
      <w:r>
        <w:br w:type="page"/>
      </w:r>
    </w:p>
    <w:p w14:paraId="3DD5BEAF" w14:textId="454183B5" w:rsidR="000E043F" w:rsidRDefault="000E043F" w:rsidP="000E043F">
      <w:r>
        <w:lastRenderedPageBreak/>
        <w:t xml:space="preserve">References: </w:t>
      </w:r>
    </w:p>
    <w:p w14:paraId="4C0123C1" w14:textId="77777777" w:rsidR="000E043F" w:rsidRDefault="000E043F" w:rsidP="000E043F"/>
    <w:p w14:paraId="62C57755" w14:textId="77777777" w:rsidR="000E043F" w:rsidRDefault="000E043F" w:rsidP="000E043F"/>
    <w:p w14:paraId="4C7FD803" w14:textId="77777777" w:rsidR="000E043F" w:rsidRDefault="000E043F" w:rsidP="000E043F">
      <w:pPr>
        <w:ind w:left="360"/>
      </w:pPr>
      <w:r>
        <w:t xml:space="preserve">Allwood, R., </w:t>
      </w:r>
      <w:proofErr w:type="spellStart"/>
      <w:r>
        <w:t>Pilnick</w:t>
      </w:r>
      <w:proofErr w:type="spellEnd"/>
      <w:r>
        <w:t xml:space="preserve">, A., O'Brien, R., Goldberg, S., Harwood, R.H. and </w:t>
      </w:r>
      <w:proofErr w:type="spellStart"/>
      <w:r>
        <w:t>Beeke</w:t>
      </w:r>
      <w:proofErr w:type="spellEnd"/>
      <w:r>
        <w:t xml:space="preserve">, S., 2017. Should I stay or should I go? How healthcare </w:t>
      </w:r>
      <w:proofErr w:type="gramStart"/>
      <w:r>
        <w:t>professionals</w:t>
      </w:r>
      <w:proofErr w:type="gramEnd"/>
      <w:r>
        <w:t xml:space="preserve"> close encounters with people with dementia in the acute hospital setting. </w:t>
      </w:r>
      <w:r>
        <w:rPr>
          <w:i/>
          <w:iCs/>
        </w:rPr>
        <w:t>Social Science &amp; Medicine</w:t>
      </w:r>
      <w:r>
        <w:t>, </w:t>
      </w:r>
      <w:r>
        <w:rPr>
          <w:i/>
          <w:iCs/>
        </w:rPr>
        <w:t>191</w:t>
      </w:r>
      <w:r>
        <w:t>, pp.212-225.</w:t>
      </w:r>
    </w:p>
    <w:p w14:paraId="5F8EC6A7" w14:textId="77777777" w:rsidR="000E043F" w:rsidRDefault="000E043F" w:rsidP="000E043F">
      <w:pPr>
        <w:ind w:left="360"/>
      </w:pPr>
      <w:r>
        <w:t>Alzheimer's society 2020.Facts for dementia. Available at: https://www.alzheimers.org.uk/about-us/news-and-media/facts-media#:~:text=There%20are%20currently%20around%20850%2C000,age%20of%2080%20have%20dementia. [</w:t>
      </w:r>
      <w:proofErr w:type="gramStart"/>
      <w:r>
        <w:t>Accessed  28</w:t>
      </w:r>
      <w:proofErr w:type="gramEnd"/>
      <w:r>
        <w:t xml:space="preserve"> Jul. 2019].</w:t>
      </w:r>
    </w:p>
    <w:p w14:paraId="0367CD2A" w14:textId="77777777" w:rsidR="000E043F" w:rsidRDefault="000E043F" w:rsidP="000E043F">
      <w:pPr>
        <w:ind w:left="360"/>
      </w:pPr>
      <w:r>
        <w:t xml:space="preserve">Browne, J., Edwards, D.A., Rhodes, K.M., </w:t>
      </w:r>
      <w:proofErr w:type="spellStart"/>
      <w:r>
        <w:t>Brimicombe</w:t>
      </w:r>
      <w:proofErr w:type="spellEnd"/>
      <w:r>
        <w:t>, D.J. and Payne, R.A., 2017. Association of comorbidity and health service usage among patients with dementia in the UK: a population-based study. </w:t>
      </w:r>
      <w:r>
        <w:rPr>
          <w:i/>
          <w:iCs/>
        </w:rPr>
        <w:t>BMJ open</w:t>
      </w:r>
      <w:r>
        <w:t>, </w:t>
      </w:r>
      <w:r>
        <w:rPr>
          <w:i/>
          <w:iCs/>
        </w:rPr>
        <w:t>7</w:t>
      </w:r>
      <w:r>
        <w:t>(3), p.e012546.</w:t>
      </w:r>
    </w:p>
    <w:p w14:paraId="4036653A" w14:textId="77777777" w:rsidR="000E043F" w:rsidRDefault="000E043F" w:rsidP="000E043F">
      <w:pPr>
        <w:ind w:left="360"/>
      </w:pPr>
      <w:r>
        <w:t xml:space="preserve">Cooper, C., Lodwick, R., Walters, K., Raine, R., </w:t>
      </w:r>
      <w:proofErr w:type="spellStart"/>
      <w:r>
        <w:t>Manthorpe</w:t>
      </w:r>
      <w:proofErr w:type="spellEnd"/>
      <w:r>
        <w:t xml:space="preserve">, J., </w:t>
      </w:r>
      <w:proofErr w:type="spellStart"/>
      <w:r>
        <w:t>Iliffe</w:t>
      </w:r>
      <w:proofErr w:type="spellEnd"/>
      <w:r>
        <w:t>, S. and Petersen, I., 2017. Inequalities in receipt of mental and physical healthcare in people with dementia in the UK. </w:t>
      </w:r>
      <w:r>
        <w:rPr>
          <w:i/>
          <w:iCs/>
        </w:rPr>
        <w:t>Age and ageing</w:t>
      </w:r>
      <w:r>
        <w:t>, </w:t>
      </w:r>
      <w:r>
        <w:rPr>
          <w:i/>
          <w:iCs/>
        </w:rPr>
        <w:t>46</w:t>
      </w:r>
      <w:r>
        <w:t>(3), pp.393-400.</w:t>
      </w:r>
    </w:p>
    <w:p w14:paraId="01D638EB" w14:textId="77777777" w:rsidR="000E043F" w:rsidRDefault="000E043F" w:rsidP="000E043F">
      <w:pPr>
        <w:ind w:left="360"/>
      </w:pPr>
      <w:proofErr w:type="spellStart"/>
      <w:r>
        <w:t>Dening</w:t>
      </w:r>
      <w:proofErr w:type="spellEnd"/>
      <w:r>
        <w:t>, K.H., Holmes, D. and Pepper, A., 2018. Implementation of e-portfolios for the professional development of Admiral Nurses. </w:t>
      </w:r>
      <w:r>
        <w:rPr>
          <w:i/>
          <w:iCs/>
        </w:rPr>
        <w:t>Nursing Standard (2014+)</w:t>
      </w:r>
      <w:r>
        <w:t>, </w:t>
      </w:r>
      <w:r>
        <w:rPr>
          <w:i/>
          <w:iCs/>
        </w:rPr>
        <w:t>32</w:t>
      </w:r>
      <w:r>
        <w:t>(22), p.46.</w:t>
      </w:r>
    </w:p>
    <w:p w14:paraId="1252307E" w14:textId="77777777" w:rsidR="000E043F" w:rsidRDefault="000E043F" w:rsidP="000E043F">
      <w:pPr>
        <w:ind w:left="360"/>
      </w:pPr>
      <w:r>
        <w:t xml:space="preserve">Donnelly, M., 2016. Best interests in the Mental Capacity Act: time to say </w:t>
      </w:r>
      <w:proofErr w:type="gramStart"/>
      <w:r>
        <w:t>goodbye?.</w:t>
      </w:r>
      <w:proofErr w:type="gramEnd"/>
      <w:r>
        <w:t> </w:t>
      </w:r>
      <w:r>
        <w:rPr>
          <w:i/>
          <w:iCs/>
        </w:rPr>
        <w:t>Medical law review</w:t>
      </w:r>
      <w:r>
        <w:t>, </w:t>
      </w:r>
      <w:r>
        <w:rPr>
          <w:i/>
          <w:iCs/>
        </w:rPr>
        <w:t>24</w:t>
      </w:r>
      <w:r>
        <w:t>(3), pp.318-332.</w:t>
      </w:r>
    </w:p>
    <w:p w14:paraId="761B1030" w14:textId="77777777" w:rsidR="000E043F" w:rsidRDefault="000E043F" w:rsidP="000E043F">
      <w:pPr>
        <w:ind w:left="360"/>
      </w:pPr>
      <w:r>
        <w:lastRenderedPageBreak/>
        <w:t xml:space="preserve">Gola, A.B., Morris, S., Candy, B., Davis, S., King, M., </w:t>
      </w:r>
      <w:proofErr w:type="spellStart"/>
      <w:r>
        <w:t>Kupeli</w:t>
      </w:r>
      <w:proofErr w:type="spellEnd"/>
      <w:r>
        <w:t xml:space="preserve">, N., </w:t>
      </w:r>
      <w:proofErr w:type="spellStart"/>
      <w:r>
        <w:t>Leavey</w:t>
      </w:r>
      <w:proofErr w:type="spellEnd"/>
      <w:r>
        <w:t xml:space="preserve">, G., Moore, K., Nazareth, I., Omar, R. and </w:t>
      </w:r>
      <w:proofErr w:type="spellStart"/>
      <w:r>
        <w:t>Vickerstaff</w:t>
      </w:r>
      <w:proofErr w:type="spellEnd"/>
      <w:r>
        <w:t>, V., 2020. Healthcare utilization and monetary costs associated with agitation in UK care home residents with advanced dementia: a prospective cohort study. </w:t>
      </w:r>
      <w:r>
        <w:rPr>
          <w:i/>
          <w:iCs/>
        </w:rPr>
        <w:t>International Psychogeriatrics</w:t>
      </w:r>
      <w:r>
        <w:t>, </w:t>
      </w:r>
      <w:r>
        <w:rPr>
          <w:i/>
          <w:iCs/>
        </w:rPr>
        <w:t>32</w:t>
      </w:r>
      <w:r>
        <w:t>(3), pp.359-370.</w:t>
      </w:r>
    </w:p>
    <w:p w14:paraId="0748FE0C" w14:textId="77777777" w:rsidR="000E043F" w:rsidRDefault="000E043F" w:rsidP="000E043F">
      <w:pPr>
        <w:ind w:left="360"/>
      </w:pPr>
      <w:r>
        <w:t xml:space="preserve">Grovelandpark.co.uk 2020.Groveland Park Care </w:t>
      </w:r>
      <w:proofErr w:type="gramStart"/>
      <w:r>
        <w:t>Home.[</w:t>
      </w:r>
      <w:proofErr w:type="gramEnd"/>
      <w:r>
        <w:t>Accessed  28 Jul. 2019].https://www.grovelandpark.co.uk/services/residential/</w:t>
      </w:r>
    </w:p>
    <w:p w14:paraId="1646C889" w14:textId="77777777" w:rsidR="000E043F" w:rsidRDefault="000E043F" w:rsidP="000E043F">
      <w:pPr>
        <w:ind w:left="360"/>
      </w:pPr>
      <w:r>
        <w:t xml:space="preserve">Harrison </w:t>
      </w:r>
      <w:proofErr w:type="spellStart"/>
      <w:r>
        <w:t>Dening</w:t>
      </w:r>
      <w:proofErr w:type="spellEnd"/>
      <w:r>
        <w:t xml:space="preserve">, K., </w:t>
      </w:r>
      <w:proofErr w:type="spellStart"/>
      <w:r>
        <w:t>Scates</w:t>
      </w:r>
      <w:proofErr w:type="spellEnd"/>
      <w:r>
        <w:t>, C., McGill, G. and De-Vries, K., 2019. A training needs analysis of admiral nurses to facilitate advance care planning in dementia. </w:t>
      </w:r>
      <w:r>
        <w:rPr>
          <w:i/>
          <w:iCs/>
        </w:rPr>
        <w:t>Palliative Care: Research and Treatment</w:t>
      </w:r>
      <w:r>
        <w:t>, </w:t>
      </w:r>
      <w:r>
        <w:rPr>
          <w:i/>
          <w:iCs/>
        </w:rPr>
        <w:t>12</w:t>
      </w:r>
      <w:r>
        <w:t>, p.1178224219850183.</w:t>
      </w:r>
    </w:p>
    <w:p w14:paraId="3487EFC2" w14:textId="77777777" w:rsidR="000E043F" w:rsidRDefault="000E043F" w:rsidP="000E043F">
      <w:pPr>
        <w:ind w:left="360"/>
      </w:pPr>
      <w:proofErr w:type="spellStart"/>
      <w:r>
        <w:t>Heitz</w:t>
      </w:r>
      <w:proofErr w:type="spellEnd"/>
      <w:r>
        <w:t xml:space="preserve">, C., </w:t>
      </w:r>
      <w:proofErr w:type="spellStart"/>
      <w:r>
        <w:t>Noblet</w:t>
      </w:r>
      <w:proofErr w:type="spellEnd"/>
      <w:r>
        <w:t xml:space="preserve">, V., </w:t>
      </w:r>
      <w:proofErr w:type="spellStart"/>
      <w:r>
        <w:t>Phillipps</w:t>
      </w:r>
      <w:proofErr w:type="spellEnd"/>
      <w:r>
        <w:t xml:space="preserve">, C., Cretin, B., Vogt, N., Philippi, N., Kemp, J., de </w:t>
      </w:r>
      <w:proofErr w:type="spellStart"/>
      <w:r>
        <w:t>Petigny</w:t>
      </w:r>
      <w:proofErr w:type="spellEnd"/>
      <w:r>
        <w:t xml:space="preserve">, X., </w:t>
      </w:r>
      <w:proofErr w:type="spellStart"/>
      <w:r>
        <w:t>Bilger</w:t>
      </w:r>
      <w:proofErr w:type="spellEnd"/>
      <w:r>
        <w:t xml:space="preserve">, M., </w:t>
      </w:r>
      <w:proofErr w:type="spellStart"/>
      <w:r>
        <w:t>Demuynck</w:t>
      </w:r>
      <w:proofErr w:type="spellEnd"/>
      <w:r>
        <w:t>, C. and Martin-Hunyadi, C., 2016. Cognitive and affective theory of mind in dementia with Lewy bodies and Alzheimer’s disease. </w:t>
      </w:r>
      <w:r>
        <w:rPr>
          <w:i/>
          <w:iCs/>
        </w:rPr>
        <w:t>Alzheimer's research &amp; therapy</w:t>
      </w:r>
      <w:r>
        <w:t>, </w:t>
      </w:r>
      <w:r>
        <w:rPr>
          <w:i/>
          <w:iCs/>
        </w:rPr>
        <w:t>8</w:t>
      </w:r>
      <w:r>
        <w:t>(1), p.10.</w:t>
      </w:r>
    </w:p>
    <w:p w14:paraId="5E05C3F6" w14:textId="77777777" w:rsidR="000E043F" w:rsidRDefault="000E043F" w:rsidP="000E043F">
      <w:pPr>
        <w:ind w:left="360"/>
      </w:pPr>
      <w:r>
        <w:t>Jonker, L. and Fisher, S.J., 2018. The correlation between National Health Service trusts' clinical trial activity and both mortality rates and care quality commission ratings: a retrospective cross-sectional study. </w:t>
      </w:r>
      <w:r>
        <w:rPr>
          <w:i/>
          <w:iCs/>
        </w:rPr>
        <w:t>Public Health</w:t>
      </w:r>
      <w:r>
        <w:t>, </w:t>
      </w:r>
      <w:r>
        <w:rPr>
          <w:i/>
          <w:iCs/>
        </w:rPr>
        <w:t>157</w:t>
      </w:r>
      <w:r>
        <w:t>, pp.1-6.</w:t>
      </w:r>
    </w:p>
    <w:p w14:paraId="1E3B9015" w14:textId="77777777" w:rsidR="000E043F" w:rsidRDefault="000E043F" w:rsidP="000E043F">
      <w:pPr>
        <w:ind w:left="360"/>
      </w:pPr>
      <w:proofErr w:type="spellStart"/>
      <w:r>
        <w:t>Kaddour</w:t>
      </w:r>
      <w:proofErr w:type="spellEnd"/>
      <w:r>
        <w:t xml:space="preserve">, L. and </w:t>
      </w:r>
      <w:proofErr w:type="spellStart"/>
      <w:r>
        <w:t>Kishita</w:t>
      </w:r>
      <w:proofErr w:type="spellEnd"/>
      <w:r>
        <w:t xml:space="preserve">, N., 2020. Anxiety in informal dementia </w:t>
      </w:r>
      <w:proofErr w:type="spellStart"/>
      <w:r>
        <w:t>carers</w:t>
      </w:r>
      <w:proofErr w:type="spellEnd"/>
      <w:r>
        <w:t>: a meta-analysis of prevalence. </w:t>
      </w:r>
      <w:r>
        <w:rPr>
          <w:i/>
          <w:iCs/>
        </w:rPr>
        <w:t>Journal of geriatric psychiatry and neurology</w:t>
      </w:r>
      <w:r>
        <w:t>, </w:t>
      </w:r>
      <w:r>
        <w:rPr>
          <w:i/>
          <w:iCs/>
        </w:rPr>
        <w:t>33</w:t>
      </w:r>
      <w:r>
        <w:t>(3), pp.161-172.</w:t>
      </w:r>
    </w:p>
    <w:p w14:paraId="6E1335B1" w14:textId="77777777" w:rsidR="000E043F" w:rsidRDefault="000E043F" w:rsidP="000E043F">
      <w:pPr>
        <w:ind w:left="360"/>
      </w:pPr>
      <w:r>
        <w:t xml:space="preserve">Martyr, A., </w:t>
      </w:r>
      <w:proofErr w:type="spellStart"/>
      <w:r>
        <w:t>Nelis</w:t>
      </w:r>
      <w:proofErr w:type="spellEnd"/>
      <w:r>
        <w:t xml:space="preserve">, S.M., Quinn, C., Wu, Y.T., Lamont, R.A., Henderson, C., Clarke, R., </w:t>
      </w:r>
      <w:proofErr w:type="spellStart"/>
      <w:r>
        <w:t>Hindle</w:t>
      </w:r>
      <w:proofErr w:type="spellEnd"/>
      <w:r>
        <w:t xml:space="preserve">, J.V., Thom, J.M., Jones, I.R. and Morris, R.G., 2018. Living well with dementia: a systematic review and correlational meta-analysis of factors associated with quality of life, </w:t>
      </w:r>
      <w:proofErr w:type="gramStart"/>
      <w:r>
        <w:t>well-being</w:t>
      </w:r>
      <w:proofErr w:type="gramEnd"/>
      <w:r>
        <w:t xml:space="preserve"> and life satisfaction in people with dementia. </w:t>
      </w:r>
      <w:r>
        <w:rPr>
          <w:i/>
          <w:iCs/>
        </w:rPr>
        <w:t>Psychological medicine</w:t>
      </w:r>
      <w:r>
        <w:t>, </w:t>
      </w:r>
      <w:r>
        <w:rPr>
          <w:i/>
          <w:iCs/>
        </w:rPr>
        <w:t>48</w:t>
      </w:r>
      <w:r>
        <w:t>(13), pp.2130-2139.</w:t>
      </w:r>
    </w:p>
    <w:p w14:paraId="71FFACC0" w14:textId="77777777" w:rsidR="000E043F" w:rsidRDefault="000E043F" w:rsidP="000E043F">
      <w:pPr>
        <w:ind w:left="360"/>
      </w:pPr>
      <w:r>
        <w:lastRenderedPageBreak/>
        <w:t>Moyle, W., 2019. The promise of technology in the future of dementia care. </w:t>
      </w:r>
      <w:r>
        <w:rPr>
          <w:i/>
          <w:iCs/>
        </w:rPr>
        <w:t>Nature Reviews Neurology</w:t>
      </w:r>
      <w:r>
        <w:t>, </w:t>
      </w:r>
      <w:r>
        <w:rPr>
          <w:i/>
          <w:iCs/>
        </w:rPr>
        <w:t>15</w:t>
      </w:r>
      <w:r>
        <w:t>(6), pp.353-359.</w:t>
      </w:r>
    </w:p>
    <w:p w14:paraId="78933FDA" w14:textId="77777777" w:rsidR="000E043F" w:rsidRDefault="000E043F" w:rsidP="000E043F">
      <w:pPr>
        <w:ind w:left="360"/>
      </w:pPr>
      <w:r>
        <w:t xml:space="preserve">NICE 2018.NICE guidelines for caring for dementia patients. Available at: </w:t>
      </w:r>
      <w:hyperlink r:id="rId4" w:history="1">
        <w:r>
          <w:rPr>
            <w:rStyle w:val="Hyperlink"/>
          </w:rPr>
          <w:t>https://www.nice.org.uk/guidance/ng97/resources/dementia-assessment-management-and-support-for-people-living-with-dementia-and-their-carers-pdf-1837760199109</w:t>
        </w:r>
      </w:hyperlink>
    </w:p>
    <w:p w14:paraId="44058302" w14:textId="77777777" w:rsidR="000E043F" w:rsidRDefault="000E043F" w:rsidP="000E043F">
      <w:pPr>
        <w:ind w:left="360"/>
      </w:pPr>
      <w:r>
        <w:t xml:space="preserve">Oliveira, D., </w:t>
      </w:r>
      <w:proofErr w:type="spellStart"/>
      <w:r>
        <w:t>Zarit</w:t>
      </w:r>
      <w:proofErr w:type="spellEnd"/>
      <w:r>
        <w:t xml:space="preserve">, S.H. and </w:t>
      </w:r>
      <w:proofErr w:type="spellStart"/>
      <w:r>
        <w:t>Orrell</w:t>
      </w:r>
      <w:proofErr w:type="spellEnd"/>
      <w:r>
        <w:t>, M., 2019. Health-promoting self-care in family caregivers of people with dementia: the views of multiple stakeholders. </w:t>
      </w:r>
      <w:r>
        <w:rPr>
          <w:i/>
          <w:iCs/>
        </w:rPr>
        <w:t>The Gerontologist</w:t>
      </w:r>
      <w:r>
        <w:t>, </w:t>
      </w:r>
      <w:r>
        <w:rPr>
          <w:i/>
          <w:iCs/>
        </w:rPr>
        <w:t>59</w:t>
      </w:r>
      <w:r>
        <w:t xml:space="preserve">(5), </w:t>
      </w:r>
      <w:proofErr w:type="gramStart"/>
      <w:r>
        <w:t>pp.e</w:t>
      </w:r>
      <w:proofErr w:type="gramEnd"/>
      <w:r>
        <w:t>501-e511.</w:t>
      </w:r>
    </w:p>
    <w:p w14:paraId="227FC476" w14:textId="77777777" w:rsidR="000E043F" w:rsidRDefault="000E043F" w:rsidP="000E043F">
      <w:pPr>
        <w:ind w:left="360"/>
      </w:pPr>
      <w:r>
        <w:t xml:space="preserve">Pennington, C., Davey, K., </w:t>
      </w:r>
      <w:proofErr w:type="spellStart"/>
      <w:r>
        <w:t>ter</w:t>
      </w:r>
      <w:proofErr w:type="spellEnd"/>
      <w:r>
        <w:t xml:space="preserve"> </w:t>
      </w:r>
      <w:proofErr w:type="spellStart"/>
      <w:r>
        <w:t>Meulen</w:t>
      </w:r>
      <w:proofErr w:type="spellEnd"/>
      <w:r>
        <w:t xml:space="preserve">, R., </w:t>
      </w:r>
      <w:proofErr w:type="spellStart"/>
      <w:r>
        <w:t>Coulthard</w:t>
      </w:r>
      <w:proofErr w:type="spellEnd"/>
      <w:r>
        <w:t>, E. and Kehoe, P.G., 2018. Tools for testing decision-making capacity in dementia. </w:t>
      </w:r>
      <w:r>
        <w:rPr>
          <w:i/>
          <w:iCs/>
        </w:rPr>
        <w:t>Age and Ageing</w:t>
      </w:r>
      <w:r>
        <w:t>, </w:t>
      </w:r>
      <w:r>
        <w:rPr>
          <w:i/>
          <w:iCs/>
        </w:rPr>
        <w:t>47</w:t>
      </w:r>
      <w:r>
        <w:t>(6), pp.778-784.</w:t>
      </w:r>
    </w:p>
    <w:p w14:paraId="1AA0A974" w14:textId="77777777" w:rsidR="000E043F" w:rsidRDefault="000E043F" w:rsidP="000E043F">
      <w:pPr>
        <w:ind w:left="360"/>
      </w:pPr>
      <w:r>
        <w:t xml:space="preserve">Podgorica, N., </w:t>
      </w:r>
      <w:proofErr w:type="spellStart"/>
      <w:r>
        <w:t>Flatscher-Thöni</w:t>
      </w:r>
      <w:proofErr w:type="spellEnd"/>
      <w:r>
        <w:t xml:space="preserve">, M., </w:t>
      </w:r>
      <w:proofErr w:type="spellStart"/>
      <w:r>
        <w:t>Deufert</w:t>
      </w:r>
      <w:proofErr w:type="spellEnd"/>
      <w:r>
        <w:t xml:space="preserve">, D., Siebert, U., </w:t>
      </w:r>
      <w:proofErr w:type="gramStart"/>
      <w:r>
        <w:t xml:space="preserve">and  </w:t>
      </w:r>
      <w:proofErr w:type="spellStart"/>
      <w:r>
        <w:t>Ganner</w:t>
      </w:r>
      <w:proofErr w:type="spellEnd"/>
      <w:proofErr w:type="gramEnd"/>
      <w:r>
        <w:t>, M. 2020. A systematic review of ethical and legal issues in elder care. </w:t>
      </w:r>
      <w:r>
        <w:rPr>
          <w:i/>
          <w:iCs/>
        </w:rPr>
        <w:t>Nursing Ethics</w:t>
      </w:r>
      <w:r>
        <w:t xml:space="preserve">, 0969733020921488. </w:t>
      </w:r>
    </w:p>
    <w:p w14:paraId="20917EAA" w14:textId="77777777" w:rsidR="000E043F" w:rsidRDefault="000E043F" w:rsidP="000E043F">
      <w:pPr>
        <w:ind w:left="360"/>
      </w:pPr>
      <w:r>
        <w:t xml:space="preserve">sancroftcommunitycare.co.uk 2020.Sancroft Community Care Ltd- </w:t>
      </w:r>
      <w:proofErr w:type="spellStart"/>
      <w:r>
        <w:t>Sancroft</w:t>
      </w:r>
      <w:proofErr w:type="spellEnd"/>
      <w:r>
        <w:t xml:space="preserve"> Hall. </w:t>
      </w:r>
      <w:proofErr w:type="gramStart"/>
      <w:r>
        <w:t>.[</w:t>
      </w:r>
      <w:proofErr w:type="gramEnd"/>
      <w:r>
        <w:t>Accessed  28 Jul. 2019].https://www. sancroftcommunitycare.co.uk/services/residential/</w:t>
      </w:r>
    </w:p>
    <w:p w14:paraId="08B50A17" w14:textId="77777777" w:rsidR="000E043F" w:rsidRDefault="000E043F" w:rsidP="000E043F">
      <w:pPr>
        <w:ind w:left="360"/>
      </w:pPr>
      <w:proofErr w:type="spellStart"/>
      <w:r>
        <w:t>Thyrian</w:t>
      </w:r>
      <w:proofErr w:type="spellEnd"/>
      <w:r>
        <w:t xml:space="preserve">, J.R., Hertel, J., </w:t>
      </w:r>
      <w:proofErr w:type="spellStart"/>
      <w:r>
        <w:t>Wucherer</w:t>
      </w:r>
      <w:proofErr w:type="spellEnd"/>
      <w:r>
        <w:t xml:space="preserve">, D., Eichler, T., </w:t>
      </w:r>
      <w:proofErr w:type="spellStart"/>
      <w:r>
        <w:t>Michalowsky</w:t>
      </w:r>
      <w:proofErr w:type="spellEnd"/>
      <w:r>
        <w:t>, B., Dreier-</w:t>
      </w:r>
      <w:proofErr w:type="spellStart"/>
      <w:r>
        <w:t>Wolfgramm</w:t>
      </w:r>
      <w:proofErr w:type="spellEnd"/>
      <w:r>
        <w:t xml:space="preserve">, A., </w:t>
      </w:r>
      <w:proofErr w:type="spellStart"/>
      <w:r>
        <w:t>Zwingmann</w:t>
      </w:r>
      <w:proofErr w:type="spellEnd"/>
      <w:r>
        <w:t xml:space="preserve">, I., </w:t>
      </w:r>
      <w:proofErr w:type="spellStart"/>
      <w:r>
        <w:t>Kilimann</w:t>
      </w:r>
      <w:proofErr w:type="spellEnd"/>
      <w:r>
        <w:t xml:space="preserve">, I., </w:t>
      </w:r>
      <w:proofErr w:type="spellStart"/>
      <w:r>
        <w:t>Teipel</w:t>
      </w:r>
      <w:proofErr w:type="spellEnd"/>
      <w:r>
        <w:t>, S. and Hoffmann, W., 2017. Effectiveness and safety of dementia care management in primary care: a randomized clinical trial. </w:t>
      </w:r>
      <w:r>
        <w:rPr>
          <w:i/>
          <w:iCs/>
        </w:rPr>
        <w:t>JAMA psychiatry</w:t>
      </w:r>
      <w:r>
        <w:t>, </w:t>
      </w:r>
      <w:r>
        <w:rPr>
          <w:i/>
          <w:iCs/>
        </w:rPr>
        <w:t>74</w:t>
      </w:r>
      <w:r>
        <w:t>(10), pp.996-1004.</w:t>
      </w:r>
    </w:p>
    <w:p w14:paraId="2450CF07" w14:textId="77777777" w:rsidR="000E043F" w:rsidRDefault="000E043F" w:rsidP="000E043F">
      <w:pPr>
        <w:ind w:left="360"/>
      </w:pPr>
      <w:proofErr w:type="spellStart"/>
      <w:r>
        <w:t>Tilburgs</w:t>
      </w:r>
      <w:proofErr w:type="spellEnd"/>
      <w:r>
        <w:t xml:space="preserve">, B., </w:t>
      </w:r>
      <w:proofErr w:type="spellStart"/>
      <w:r>
        <w:t>Vernooij-Dassen</w:t>
      </w:r>
      <w:proofErr w:type="spellEnd"/>
      <w:r>
        <w:t xml:space="preserve">, M., Koopmans, R., van </w:t>
      </w:r>
      <w:proofErr w:type="spellStart"/>
      <w:r>
        <w:t>Gennip</w:t>
      </w:r>
      <w:proofErr w:type="spellEnd"/>
      <w:r>
        <w:t>, H., Engels, Y. and Perry, M., 2018. Barriers and facilitators for GPs in dementia advance care planning: a systematic integrative review. </w:t>
      </w:r>
      <w:proofErr w:type="spellStart"/>
      <w:r>
        <w:rPr>
          <w:i/>
          <w:iCs/>
        </w:rPr>
        <w:t>PLoS</w:t>
      </w:r>
      <w:proofErr w:type="spellEnd"/>
      <w:r>
        <w:rPr>
          <w:i/>
          <w:iCs/>
        </w:rPr>
        <w:t xml:space="preserve"> One</w:t>
      </w:r>
      <w:r>
        <w:t>, </w:t>
      </w:r>
      <w:r>
        <w:rPr>
          <w:i/>
          <w:iCs/>
        </w:rPr>
        <w:t>13</w:t>
      </w:r>
      <w:r>
        <w:t>(6), p.e0198535.</w:t>
      </w:r>
    </w:p>
    <w:p w14:paraId="4B22FBA3" w14:textId="77777777" w:rsidR="000E043F" w:rsidRDefault="000E043F" w:rsidP="000E043F">
      <w:pPr>
        <w:ind w:left="360"/>
      </w:pPr>
      <w:r>
        <w:lastRenderedPageBreak/>
        <w:t xml:space="preserve">TLC Care 2020. Karuna </w:t>
      </w:r>
      <w:proofErr w:type="gramStart"/>
      <w:r>
        <w:t>Manor.[</w:t>
      </w:r>
      <w:proofErr w:type="gramEnd"/>
      <w:r>
        <w:t>Accessed  28 Jul. 2019].https://www.tlccare.co.uk/homes/karuna-manor/</w:t>
      </w:r>
    </w:p>
    <w:p w14:paraId="181C699E" w14:textId="77777777" w:rsidR="000E043F" w:rsidRDefault="000E043F" w:rsidP="000E043F">
      <w:pPr>
        <w:ind w:left="360"/>
      </w:pPr>
      <w:proofErr w:type="spellStart"/>
      <w:r>
        <w:t>Volicer</w:t>
      </w:r>
      <w:proofErr w:type="spellEnd"/>
      <w:r>
        <w:t xml:space="preserve">, L., </w:t>
      </w:r>
      <w:proofErr w:type="spellStart"/>
      <w:r>
        <w:t>Citrome</w:t>
      </w:r>
      <w:proofErr w:type="spellEnd"/>
      <w:r>
        <w:t xml:space="preserve">, L. and </w:t>
      </w:r>
      <w:proofErr w:type="spellStart"/>
      <w:r>
        <w:t>Volavka</w:t>
      </w:r>
      <w:proofErr w:type="spellEnd"/>
      <w:r>
        <w:t>, J., 2017. Measurement of agitation and aggression in adult and aged neuropsychiatric patients: review of definitions and frequently used measurement scales. </w:t>
      </w:r>
      <w:r>
        <w:rPr>
          <w:i/>
          <w:iCs/>
        </w:rPr>
        <w:t>CNS spectrums</w:t>
      </w:r>
      <w:r>
        <w:t>, </w:t>
      </w:r>
      <w:r>
        <w:rPr>
          <w:i/>
          <w:iCs/>
        </w:rPr>
        <w:t>22</w:t>
      </w:r>
      <w:r>
        <w:t>(5), pp.407-414.</w:t>
      </w:r>
    </w:p>
    <w:p w14:paraId="150C9E3B" w14:textId="77777777" w:rsidR="000E043F" w:rsidRDefault="000E043F" w:rsidP="000E043F">
      <w:pPr>
        <w:ind w:left="360"/>
      </w:pPr>
      <w:r>
        <w:t xml:space="preserve">Wilson, S., 2017. Mental capacity legislation in the UK: systematic review of the experiences of adults lacking capacity and their </w:t>
      </w:r>
      <w:proofErr w:type="spellStart"/>
      <w:r>
        <w:t>carers</w:t>
      </w:r>
      <w:proofErr w:type="spellEnd"/>
      <w:r>
        <w:t>. </w:t>
      </w:r>
      <w:proofErr w:type="spellStart"/>
      <w:r>
        <w:rPr>
          <w:i/>
          <w:iCs/>
        </w:rPr>
        <w:t>BJPsych</w:t>
      </w:r>
      <w:proofErr w:type="spellEnd"/>
      <w:r>
        <w:rPr>
          <w:i/>
          <w:iCs/>
        </w:rPr>
        <w:t xml:space="preserve"> Bulletin</w:t>
      </w:r>
      <w:r>
        <w:t>, </w:t>
      </w:r>
      <w:r>
        <w:rPr>
          <w:i/>
          <w:iCs/>
        </w:rPr>
        <w:t>41</w:t>
      </w:r>
      <w:r>
        <w:t>(5), pp.260-266.</w:t>
      </w:r>
    </w:p>
    <w:p w14:paraId="201EEA05" w14:textId="77777777" w:rsidR="000E043F" w:rsidRDefault="000E043F" w:rsidP="000E043F">
      <w:pPr>
        <w:ind w:left="360"/>
      </w:pPr>
      <w:r>
        <w:t xml:space="preserve">Zhang, J., </w:t>
      </w:r>
      <w:proofErr w:type="spellStart"/>
      <w:r>
        <w:t>Sood</w:t>
      </w:r>
      <w:proofErr w:type="spellEnd"/>
      <w:r>
        <w:t xml:space="preserve">, H., Harrison, O.T., Horner, B., Sharma, N. and </w:t>
      </w:r>
      <w:proofErr w:type="spellStart"/>
      <w:r>
        <w:t>Budhdeo</w:t>
      </w:r>
      <w:proofErr w:type="spellEnd"/>
      <w:r>
        <w:t xml:space="preserve">, S., 2020. Interoperability in NHS hospitals must be improved: </w:t>
      </w:r>
      <w:proofErr w:type="gramStart"/>
      <w:r>
        <w:t>the</w:t>
      </w:r>
      <w:proofErr w:type="gramEnd"/>
      <w:r>
        <w:t xml:space="preserve"> Care Quality Commission should be a key </w:t>
      </w:r>
      <w:proofErr w:type="spellStart"/>
      <w:r>
        <w:t>actor</w:t>
      </w:r>
      <w:proofErr w:type="spellEnd"/>
      <w:r>
        <w:t xml:space="preserve"> in this process. </w:t>
      </w:r>
      <w:r>
        <w:rPr>
          <w:i/>
          <w:iCs/>
        </w:rPr>
        <w:t>Journal of the Royal Society of Medicine</w:t>
      </w:r>
      <w:r>
        <w:t>, </w:t>
      </w:r>
      <w:r>
        <w:rPr>
          <w:i/>
          <w:iCs/>
        </w:rPr>
        <w:t>113</w:t>
      </w:r>
      <w:r>
        <w:t>(3), pp.101-104.</w:t>
      </w:r>
    </w:p>
    <w:p w14:paraId="5D047837" w14:textId="77777777" w:rsidR="000E043F" w:rsidRDefault="000E043F" w:rsidP="000E043F"/>
    <w:p w14:paraId="64A3CF88" w14:textId="77777777" w:rsidR="009017FE" w:rsidRDefault="009017FE"/>
    <w:sectPr w:rsidR="00901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5DC"/>
    <w:rsid w:val="000530F6"/>
    <w:rsid w:val="000E043F"/>
    <w:rsid w:val="00122E00"/>
    <w:rsid w:val="001425DC"/>
    <w:rsid w:val="008F0BF2"/>
    <w:rsid w:val="009017FE"/>
    <w:rsid w:val="009E715A"/>
    <w:rsid w:val="00B65298"/>
    <w:rsid w:val="00DB6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6FE25"/>
  <w15:chartTrackingRefBased/>
  <w15:docId w15:val="{0D9A888D-DA91-44AF-AA6D-8595465A6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5DC"/>
    <w:pPr>
      <w:spacing w:after="200" w:line="480" w:lineRule="auto"/>
      <w:ind w:firstLine="720"/>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0E043F"/>
    <w:pPr>
      <w:keepNext/>
      <w:keepLines/>
      <w:spacing w:before="240" w:after="0" w:line="256" w:lineRule="auto"/>
      <w:ind w:firstLine="0"/>
      <w:jc w:val="left"/>
      <w:outlineLvl w:val="0"/>
    </w:pPr>
    <w:rPr>
      <w:rFonts w:eastAsiaTheme="majorEastAsia" w:cstheme="majorBidi"/>
      <w:b/>
      <w:color w:val="000000" w:themeColor="text1"/>
      <w:sz w:val="28"/>
      <w:szCs w:val="32"/>
      <w:lang w:val="en-GB"/>
    </w:rPr>
  </w:style>
  <w:style w:type="paragraph" w:styleId="Heading2">
    <w:name w:val="heading 2"/>
    <w:basedOn w:val="Normal"/>
    <w:next w:val="Normal"/>
    <w:link w:val="Heading2Char"/>
    <w:uiPriority w:val="9"/>
    <w:semiHidden/>
    <w:unhideWhenUsed/>
    <w:qFormat/>
    <w:rsid w:val="000E043F"/>
    <w:pPr>
      <w:keepNext/>
      <w:keepLines/>
      <w:spacing w:after="160" w:line="256" w:lineRule="auto"/>
      <w:ind w:firstLine="0"/>
      <w:jc w:val="left"/>
      <w:outlineLvl w:val="1"/>
    </w:pPr>
    <w:rPr>
      <w:rFonts w:eastAsiaTheme="majorEastAsia" w:cstheme="majorBidi"/>
      <w:b/>
      <w:color w:val="0D0D0D" w:themeColor="text1" w:themeTint="F2"/>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43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0E043F"/>
    <w:rPr>
      <w:rFonts w:ascii="Times New Roman" w:eastAsiaTheme="majorEastAsia" w:hAnsi="Times New Roman" w:cstheme="majorBidi"/>
      <w:b/>
      <w:color w:val="0D0D0D" w:themeColor="text1" w:themeTint="F2"/>
      <w:sz w:val="26"/>
      <w:szCs w:val="26"/>
    </w:rPr>
  </w:style>
  <w:style w:type="character" w:styleId="Hyperlink">
    <w:name w:val="Hyperlink"/>
    <w:basedOn w:val="DefaultParagraphFont"/>
    <w:uiPriority w:val="99"/>
    <w:semiHidden/>
    <w:unhideWhenUsed/>
    <w:rsid w:val="000E04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0070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ice.org.uk/guidance/ng97/resources/dementia-assessment-management-and-support-for-people-living-with-dementia-and-their-carers-pdf-18377601991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15</Pages>
  <Words>3421</Words>
  <Characters>19502</Characters>
  <Application>Microsoft Office Word</Application>
  <DocSecurity>0</DocSecurity>
  <Lines>162</Lines>
  <Paragraphs>45</Paragraphs>
  <ScaleCrop>false</ScaleCrop>
  <Company/>
  <LinksUpToDate>false</LinksUpToDate>
  <CharactersWithSpaces>22878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NIK</dc:creator>
  <cp:keywords/>
  <dc:description/>
  <cp:lastModifiedBy>Nikki NIK</cp:lastModifiedBy>
  <cp:revision>8</cp:revision>
  <dcterms:created xsi:type="dcterms:W3CDTF">2020-12-24T12:08:00Z</dcterms:created>
  <dcterms:modified xsi:type="dcterms:W3CDTF">2020-12-28T21:17:00Z</dcterms:modified>
</cp:coreProperties>
</file>