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3BDEC478"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1932C643" wp14:editId="4BECBF8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C240649" w14:textId="3C2B4159" w:rsidR="007D1947" w:rsidRDefault="00216E9C">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Hilton hotel – horizontal analysis</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3D11FE6E" w14:textId="17E3907D" w:rsidR="007D1947" w:rsidRDefault="00216E9C">
              <w:pPr>
                <w:pStyle w:val="NoSpacing"/>
                <w:jc w:val="center"/>
                <w:rPr>
                  <w:color w:val="5B9BD5" w:themeColor="accent1"/>
                  <w:sz w:val="28"/>
                  <w:szCs w:val="28"/>
                </w:rPr>
              </w:pPr>
              <w:r>
                <w:rPr>
                  <w:color w:val="5B9BD5" w:themeColor="accent1"/>
                  <w:sz w:val="28"/>
                  <w:szCs w:val="28"/>
                </w:rPr>
                <w:t>Moshfique Khaled Chowdhury (2017480)</w:t>
              </w:r>
            </w:p>
          </w:sdtContent>
        </w:sdt>
        <w:p w14:paraId="765A889E"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547C4096" wp14:editId="3DC68A3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5-31T00:00:00Z">
                                    <w:dateFormat w:val="MMMM d, yyyy"/>
                                    <w:lid w:val="en-US"/>
                                    <w:storeMappedDataAs w:val="dateTime"/>
                                    <w:calendar w:val="gregorian"/>
                                  </w:date>
                                </w:sdtPr>
                                <w:sdtEndPr/>
                                <w:sdtContent>
                                  <w:p w14:paraId="5DA3BD92" w14:textId="085E6594" w:rsidR="007D1947" w:rsidRDefault="00216E9C">
                                    <w:pPr>
                                      <w:pStyle w:val="NoSpacing"/>
                                      <w:spacing w:after="40"/>
                                      <w:jc w:val="center"/>
                                      <w:rPr>
                                        <w:caps/>
                                        <w:color w:val="5B9BD5" w:themeColor="accent1"/>
                                        <w:sz w:val="28"/>
                                        <w:szCs w:val="28"/>
                                      </w:rPr>
                                    </w:pPr>
                                    <w:r>
                                      <w:rPr>
                                        <w:caps/>
                                        <w:color w:val="5B9BD5" w:themeColor="accent1"/>
                                        <w:sz w:val="28"/>
                                        <w:szCs w:val="28"/>
                                      </w:rPr>
                                      <w:t>May 31, 2022</w:t>
                                    </w:r>
                                  </w:p>
                                </w:sdtContent>
                              </w:sdt>
                              <w:p w14:paraId="6DAC6D9E" w14:textId="468417E7" w:rsidR="007D1947" w:rsidRDefault="00E96CE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16E9C">
                                      <w:rPr>
                                        <w:caps/>
                                        <w:color w:val="5B9BD5" w:themeColor="accent1"/>
                                        <w:lang w:val="en-GB"/>
                                      </w:rPr>
                                      <w:t>Lecturer’s name: mr Dale clarke</w:t>
                                    </w:r>
                                  </w:sdtContent>
                                </w:sdt>
                              </w:p>
                              <w:p w14:paraId="0AF62F9A" w14:textId="77777777" w:rsidR="007D1947" w:rsidRDefault="00E96CE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47C409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5-31T00:00:00Z">
                              <w:dateFormat w:val="MMMM d, yyyy"/>
                              <w:lid w:val="en-US"/>
                              <w:storeMappedDataAs w:val="dateTime"/>
                              <w:calendar w:val="gregorian"/>
                            </w:date>
                          </w:sdtPr>
                          <w:sdtEndPr/>
                          <w:sdtContent>
                            <w:p w14:paraId="5DA3BD92" w14:textId="085E6594" w:rsidR="007D1947" w:rsidRDefault="00216E9C">
                              <w:pPr>
                                <w:pStyle w:val="NoSpacing"/>
                                <w:spacing w:after="40"/>
                                <w:jc w:val="center"/>
                                <w:rPr>
                                  <w:caps/>
                                  <w:color w:val="5B9BD5" w:themeColor="accent1"/>
                                  <w:sz w:val="28"/>
                                  <w:szCs w:val="28"/>
                                </w:rPr>
                              </w:pPr>
                              <w:r>
                                <w:rPr>
                                  <w:caps/>
                                  <w:color w:val="5B9BD5" w:themeColor="accent1"/>
                                  <w:sz w:val="28"/>
                                  <w:szCs w:val="28"/>
                                </w:rPr>
                                <w:t>May 31, 2022</w:t>
                              </w:r>
                            </w:p>
                          </w:sdtContent>
                        </w:sdt>
                        <w:p w14:paraId="6DAC6D9E" w14:textId="468417E7" w:rsidR="007D1947" w:rsidRDefault="0039214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16E9C">
                                <w:rPr>
                                  <w:caps/>
                                  <w:color w:val="5B9BD5" w:themeColor="accent1"/>
                                  <w:lang w:val="en-GB"/>
                                </w:rPr>
                                <w:t>Lecturer’s name: mr Dale clarke</w:t>
                              </w:r>
                            </w:sdtContent>
                          </w:sdt>
                        </w:p>
                        <w:p w14:paraId="0AF62F9A" w14:textId="77777777" w:rsidR="007D1947" w:rsidRDefault="0039214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04B14404" wp14:editId="1F8AED6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AF43997" w14:textId="77777777" w:rsidR="00216E9C" w:rsidRPr="000121DD" w:rsidRDefault="007D1947" w:rsidP="00216E9C">
          <w:pPr>
            <w:pStyle w:val="Heading1"/>
            <w:spacing w:line="276" w:lineRule="auto"/>
            <w:jc w:val="both"/>
            <w:rPr>
              <w:rFonts w:ascii="Arial" w:hAnsi="Arial" w:cs="Arial"/>
              <w:sz w:val="24"/>
              <w:szCs w:val="24"/>
            </w:rPr>
          </w:pPr>
          <w:r>
            <w:br w:type="page"/>
          </w:r>
          <w:bookmarkStart w:id="0" w:name="_Toc104560590"/>
          <w:r w:rsidR="00216E9C" w:rsidRPr="000121DD">
            <w:rPr>
              <w:rFonts w:ascii="Arial" w:hAnsi="Arial" w:cs="Arial"/>
              <w:sz w:val="24"/>
              <w:szCs w:val="24"/>
            </w:rPr>
            <w:lastRenderedPageBreak/>
            <w:t>Executive Summary</w:t>
          </w:r>
          <w:bookmarkEnd w:id="0"/>
        </w:p>
        <w:p w14:paraId="66524473" w14:textId="77777777" w:rsidR="00216E9C" w:rsidRPr="000121DD" w:rsidRDefault="00216E9C" w:rsidP="00216E9C">
          <w:pPr>
            <w:spacing w:line="276" w:lineRule="auto"/>
            <w:jc w:val="both"/>
            <w:rPr>
              <w:rFonts w:ascii="Arial" w:hAnsi="Arial" w:cs="Arial"/>
              <w:sz w:val="24"/>
              <w:szCs w:val="24"/>
            </w:rPr>
          </w:pPr>
          <w:r w:rsidRPr="000121DD">
            <w:rPr>
              <w:rFonts w:ascii="Arial" w:hAnsi="Arial" w:cs="Arial"/>
              <w:sz w:val="24"/>
              <w:szCs w:val="24"/>
            </w:rPr>
            <w:t xml:space="preserve">The purpose of this report is to analyse the financial status of Hiltons Worldwide Holdings, a hospitality company that is based out of the United States </w:t>
          </w:r>
          <w:proofErr w:type="gramStart"/>
          <w:r w:rsidRPr="000121DD">
            <w:rPr>
              <w:rFonts w:ascii="Arial" w:hAnsi="Arial" w:cs="Arial"/>
              <w:sz w:val="24"/>
              <w:szCs w:val="24"/>
            </w:rPr>
            <w:t>and,</w:t>
          </w:r>
          <w:proofErr w:type="gramEnd"/>
          <w:r w:rsidRPr="000121DD">
            <w:rPr>
              <w:rFonts w:ascii="Arial" w:hAnsi="Arial" w:cs="Arial"/>
              <w:sz w:val="24"/>
              <w:szCs w:val="24"/>
            </w:rPr>
            <w:t xml:space="preserve"> manages a portfolio of hotels and resorts. This report will be presented to the Chief Executive of the company to evaluate its performance during 2019 and 2020 fiscal year. A horizontal ratio analysis is carried out </w:t>
          </w:r>
          <w:proofErr w:type="gramStart"/>
          <w:r w:rsidRPr="000121DD">
            <w:rPr>
              <w:rFonts w:ascii="Arial" w:hAnsi="Arial" w:cs="Arial"/>
              <w:sz w:val="24"/>
              <w:szCs w:val="24"/>
            </w:rPr>
            <w:t>in order to</w:t>
          </w:r>
          <w:proofErr w:type="gramEnd"/>
          <w:r w:rsidRPr="000121DD">
            <w:rPr>
              <w:rFonts w:ascii="Arial" w:hAnsi="Arial" w:cs="Arial"/>
              <w:sz w:val="24"/>
              <w:szCs w:val="24"/>
            </w:rPr>
            <w:t xml:space="preserve"> evaluate the percentage changes within the company.  A horizontal ratio analysis will be carried out with the Income statements and balance sheets of the company. Upon completion of the calculation, critical analysis of the findings from the calculations will be submitted to the management. Finally, </w:t>
          </w:r>
          <w:proofErr w:type="gramStart"/>
          <w:r w:rsidRPr="000121DD">
            <w:rPr>
              <w:rFonts w:ascii="Arial" w:hAnsi="Arial" w:cs="Arial"/>
              <w:sz w:val="24"/>
              <w:szCs w:val="24"/>
            </w:rPr>
            <w:t>brief summary</w:t>
          </w:r>
          <w:proofErr w:type="gramEnd"/>
          <w:r w:rsidRPr="000121DD">
            <w:rPr>
              <w:rFonts w:ascii="Arial" w:hAnsi="Arial" w:cs="Arial"/>
              <w:sz w:val="24"/>
              <w:szCs w:val="24"/>
            </w:rPr>
            <w:t xml:space="preserve"> of the ratio will be provided for further understanding and decision making.</w:t>
          </w:r>
        </w:p>
        <w:p w14:paraId="0C547626" w14:textId="7D18CD82" w:rsidR="007D1947" w:rsidRDefault="007D1947" w:rsidP="00216E9C">
          <w:pPr>
            <w:pStyle w:val="Heading1"/>
          </w:pPr>
        </w:p>
        <w:p w14:paraId="1F455677" w14:textId="77777777" w:rsidR="007D1947" w:rsidRDefault="007D1947"/>
        <w:p w14:paraId="4212D1B9" w14:textId="77777777" w:rsidR="007D1947" w:rsidRDefault="007D1947"/>
        <w:p w14:paraId="67046C6A" w14:textId="77777777" w:rsidR="007D1947" w:rsidRDefault="007D1947"/>
        <w:p w14:paraId="2FBFFFEA" w14:textId="77777777" w:rsidR="007D1947" w:rsidRDefault="007D1947"/>
        <w:p w14:paraId="73C992F0" w14:textId="77777777" w:rsidR="007D1947" w:rsidRDefault="007D1947"/>
        <w:p w14:paraId="171706B6" w14:textId="77777777" w:rsidR="007D1947" w:rsidRDefault="007D1947"/>
        <w:p w14:paraId="696941F7" w14:textId="77777777" w:rsidR="007D1947" w:rsidRDefault="007D1947"/>
        <w:p w14:paraId="0614965F" w14:textId="77777777" w:rsidR="007D1947" w:rsidRDefault="007D1947"/>
        <w:p w14:paraId="5ED974BB" w14:textId="77777777" w:rsidR="007D1947" w:rsidRDefault="007D1947"/>
        <w:p w14:paraId="576008F1" w14:textId="77777777" w:rsidR="007D1947" w:rsidRDefault="007D1947"/>
        <w:p w14:paraId="1A43EBAE" w14:textId="77777777" w:rsidR="007D1947" w:rsidRDefault="007D1947"/>
        <w:p w14:paraId="3AB53BCB" w14:textId="77777777" w:rsidR="007D1947" w:rsidRDefault="007D1947"/>
        <w:p w14:paraId="55C39C75" w14:textId="77777777" w:rsidR="007D1947" w:rsidRDefault="007D1947"/>
        <w:p w14:paraId="4C5619CE" w14:textId="77777777" w:rsidR="007D1947" w:rsidRDefault="007D1947"/>
        <w:p w14:paraId="1E28E3DB" w14:textId="77777777" w:rsidR="007D1947" w:rsidRDefault="007D1947"/>
        <w:p w14:paraId="21BA113E" w14:textId="77777777" w:rsidR="007D1947" w:rsidRDefault="007D1947"/>
        <w:p w14:paraId="7A343257" w14:textId="77777777" w:rsidR="007D1947" w:rsidRDefault="007D1947"/>
        <w:p w14:paraId="3F7C2400" w14:textId="77777777" w:rsidR="007D1947" w:rsidRDefault="007D1947"/>
        <w:p w14:paraId="187DD929" w14:textId="77777777" w:rsidR="007D1947" w:rsidRDefault="007D1947"/>
        <w:p w14:paraId="2F00C679" w14:textId="77777777" w:rsidR="007D1947" w:rsidRDefault="007D1947"/>
        <w:p w14:paraId="4BCADBDC" w14:textId="77777777" w:rsidR="007D1947" w:rsidRDefault="007D1947"/>
        <w:p w14:paraId="406160D6" w14:textId="77777777" w:rsidR="007D1947" w:rsidRDefault="007D1947"/>
        <w:p w14:paraId="72CCCA61" w14:textId="77777777" w:rsidR="007D1947" w:rsidRDefault="007D1947"/>
        <w:p w14:paraId="357CE6DF" w14:textId="77777777" w:rsidR="007D1947" w:rsidRDefault="007D1947"/>
        <w:p w14:paraId="13B1C7C4" w14:textId="77777777" w:rsidR="007D1947" w:rsidRDefault="007D1947"/>
        <w:p w14:paraId="26495A02" w14:textId="77777777" w:rsidR="007D1947" w:rsidRDefault="007D1947"/>
        <w:p w14:paraId="670ED438" w14:textId="77777777" w:rsidR="007D1947" w:rsidRDefault="007D1947"/>
        <w:sdt>
          <w:sdtPr>
            <w:rPr>
              <w:rFonts w:asciiTheme="minorHAnsi" w:eastAsiaTheme="minorHAnsi" w:hAnsiTheme="minorHAnsi" w:cstheme="minorBidi"/>
              <w:color w:val="auto"/>
              <w:sz w:val="22"/>
              <w:szCs w:val="22"/>
              <w:lang w:val="en-IN"/>
            </w:rPr>
            <w:id w:val="-1867517030"/>
            <w:docPartObj>
              <w:docPartGallery w:val="Table of Contents"/>
              <w:docPartUnique/>
            </w:docPartObj>
          </w:sdtPr>
          <w:sdtEndPr>
            <w:rPr>
              <w:b/>
              <w:bCs/>
              <w:noProof/>
              <w:lang w:val="en-GB"/>
            </w:rPr>
          </w:sdtEndPr>
          <w:sdtContent>
            <w:p w14:paraId="030EB0A7" w14:textId="60AB1F20" w:rsidR="00216E9C" w:rsidRPr="002D3BD2" w:rsidRDefault="00216E9C" w:rsidP="00216E9C">
              <w:pPr>
                <w:pStyle w:val="TOCHeading"/>
                <w:rPr>
                  <w:rFonts w:ascii="Arial" w:hAnsi="Arial" w:cs="Arial"/>
                  <w:sz w:val="24"/>
                  <w:szCs w:val="24"/>
                </w:rPr>
              </w:pPr>
              <w:r w:rsidRPr="002D3BD2">
                <w:rPr>
                  <w:rFonts w:ascii="Arial" w:hAnsi="Arial" w:cs="Arial"/>
                  <w:sz w:val="24"/>
                  <w:szCs w:val="24"/>
                </w:rPr>
                <w:t>Contents</w:t>
              </w:r>
            </w:p>
            <w:p w14:paraId="659BAEB6" w14:textId="77777777" w:rsidR="00216E9C" w:rsidRPr="002D3BD2" w:rsidRDefault="00216E9C" w:rsidP="00216E9C">
              <w:pPr>
                <w:pStyle w:val="TOC1"/>
                <w:tabs>
                  <w:tab w:val="right" w:leader="dot" w:pos="9016"/>
                </w:tabs>
                <w:rPr>
                  <w:rFonts w:ascii="Arial" w:eastAsiaTheme="minorEastAsia" w:hAnsi="Arial" w:cs="Arial"/>
                  <w:noProof/>
                  <w:sz w:val="24"/>
                  <w:szCs w:val="24"/>
                  <w:lang w:eastAsia="en-IN"/>
                </w:rPr>
              </w:pPr>
              <w:r w:rsidRPr="002D3BD2">
                <w:rPr>
                  <w:rFonts w:ascii="Arial" w:hAnsi="Arial" w:cs="Arial"/>
                  <w:sz w:val="24"/>
                  <w:szCs w:val="24"/>
                </w:rPr>
                <w:fldChar w:fldCharType="begin"/>
              </w:r>
              <w:r w:rsidRPr="002D3BD2">
                <w:rPr>
                  <w:rFonts w:ascii="Arial" w:hAnsi="Arial" w:cs="Arial"/>
                  <w:sz w:val="24"/>
                  <w:szCs w:val="24"/>
                </w:rPr>
                <w:instrText xml:space="preserve"> TOC \o "1-3" \h \z \u </w:instrText>
              </w:r>
              <w:r w:rsidRPr="002D3BD2">
                <w:rPr>
                  <w:rFonts w:ascii="Arial" w:hAnsi="Arial" w:cs="Arial"/>
                  <w:sz w:val="24"/>
                  <w:szCs w:val="24"/>
                </w:rPr>
                <w:fldChar w:fldCharType="separate"/>
              </w:r>
              <w:hyperlink w:anchor="_Toc104560590" w:history="1">
                <w:r w:rsidRPr="002D3BD2">
                  <w:rPr>
                    <w:rStyle w:val="Hyperlink"/>
                    <w:rFonts w:ascii="Arial" w:hAnsi="Arial" w:cs="Arial"/>
                    <w:noProof/>
                    <w:sz w:val="24"/>
                    <w:szCs w:val="24"/>
                  </w:rPr>
                  <w:t>Executive Summary</w:t>
                </w:r>
                <w:r w:rsidRPr="002D3BD2">
                  <w:rPr>
                    <w:rFonts w:ascii="Arial" w:hAnsi="Arial" w:cs="Arial"/>
                    <w:noProof/>
                    <w:webHidden/>
                    <w:sz w:val="24"/>
                    <w:szCs w:val="24"/>
                  </w:rPr>
                  <w:tab/>
                </w:r>
                <w:r w:rsidRPr="002D3BD2">
                  <w:rPr>
                    <w:rFonts w:ascii="Arial" w:hAnsi="Arial" w:cs="Arial"/>
                    <w:noProof/>
                    <w:webHidden/>
                    <w:sz w:val="24"/>
                    <w:szCs w:val="24"/>
                  </w:rPr>
                  <w:fldChar w:fldCharType="begin"/>
                </w:r>
                <w:r w:rsidRPr="002D3BD2">
                  <w:rPr>
                    <w:rFonts w:ascii="Arial" w:hAnsi="Arial" w:cs="Arial"/>
                    <w:noProof/>
                    <w:webHidden/>
                    <w:sz w:val="24"/>
                    <w:szCs w:val="24"/>
                  </w:rPr>
                  <w:instrText xml:space="preserve"> PAGEREF _Toc104560590 \h </w:instrText>
                </w:r>
                <w:r w:rsidRPr="002D3BD2">
                  <w:rPr>
                    <w:rFonts w:ascii="Arial" w:hAnsi="Arial" w:cs="Arial"/>
                    <w:noProof/>
                    <w:webHidden/>
                    <w:sz w:val="24"/>
                    <w:szCs w:val="24"/>
                  </w:rPr>
                </w:r>
                <w:r w:rsidRPr="002D3BD2">
                  <w:rPr>
                    <w:rFonts w:ascii="Arial" w:hAnsi="Arial" w:cs="Arial"/>
                    <w:noProof/>
                    <w:webHidden/>
                    <w:sz w:val="24"/>
                    <w:szCs w:val="24"/>
                  </w:rPr>
                  <w:fldChar w:fldCharType="separate"/>
                </w:r>
                <w:r w:rsidRPr="002D3BD2">
                  <w:rPr>
                    <w:rFonts w:ascii="Arial" w:hAnsi="Arial" w:cs="Arial"/>
                    <w:noProof/>
                    <w:webHidden/>
                    <w:sz w:val="24"/>
                    <w:szCs w:val="24"/>
                  </w:rPr>
                  <w:t>3</w:t>
                </w:r>
                <w:r w:rsidRPr="002D3BD2">
                  <w:rPr>
                    <w:rFonts w:ascii="Arial" w:hAnsi="Arial" w:cs="Arial"/>
                    <w:noProof/>
                    <w:webHidden/>
                    <w:sz w:val="24"/>
                    <w:szCs w:val="24"/>
                  </w:rPr>
                  <w:fldChar w:fldCharType="end"/>
                </w:r>
              </w:hyperlink>
            </w:p>
            <w:p w14:paraId="208A773B" w14:textId="77777777" w:rsidR="00216E9C" w:rsidRPr="002D3BD2" w:rsidRDefault="00E96CE7" w:rsidP="00216E9C">
              <w:pPr>
                <w:pStyle w:val="TOC1"/>
                <w:tabs>
                  <w:tab w:val="right" w:leader="dot" w:pos="9016"/>
                </w:tabs>
                <w:rPr>
                  <w:rFonts w:ascii="Arial" w:eastAsiaTheme="minorEastAsia" w:hAnsi="Arial" w:cs="Arial"/>
                  <w:noProof/>
                  <w:sz w:val="24"/>
                  <w:szCs w:val="24"/>
                  <w:lang w:eastAsia="en-IN"/>
                </w:rPr>
              </w:pPr>
              <w:hyperlink w:anchor="_Toc104560591" w:history="1">
                <w:r w:rsidR="00216E9C" w:rsidRPr="002D3BD2">
                  <w:rPr>
                    <w:rStyle w:val="Hyperlink"/>
                    <w:rFonts w:ascii="Arial" w:hAnsi="Arial" w:cs="Arial"/>
                    <w:noProof/>
                    <w:sz w:val="24"/>
                    <w:szCs w:val="24"/>
                  </w:rPr>
                  <w:t>Introduction</w:t>
                </w:r>
                <w:r w:rsidR="00216E9C" w:rsidRPr="002D3BD2">
                  <w:rPr>
                    <w:rFonts w:ascii="Arial" w:hAnsi="Arial" w:cs="Arial"/>
                    <w:noProof/>
                    <w:webHidden/>
                    <w:sz w:val="24"/>
                    <w:szCs w:val="24"/>
                  </w:rPr>
                  <w:tab/>
                </w:r>
                <w:r w:rsidR="00216E9C" w:rsidRPr="002D3BD2">
                  <w:rPr>
                    <w:rFonts w:ascii="Arial" w:hAnsi="Arial" w:cs="Arial"/>
                    <w:noProof/>
                    <w:webHidden/>
                    <w:sz w:val="24"/>
                    <w:szCs w:val="24"/>
                  </w:rPr>
                  <w:fldChar w:fldCharType="begin"/>
                </w:r>
                <w:r w:rsidR="00216E9C" w:rsidRPr="002D3BD2">
                  <w:rPr>
                    <w:rFonts w:ascii="Arial" w:hAnsi="Arial" w:cs="Arial"/>
                    <w:noProof/>
                    <w:webHidden/>
                    <w:sz w:val="24"/>
                    <w:szCs w:val="24"/>
                  </w:rPr>
                  <w:instrText xml:space="preserve"> PAGEREF _Toc104560591 \h </w:instrText>
                </w:r>
                <w:r w:rsidR="00216E9C" w:rsidRPr="002D3BD2">
                  <w:rPr>
                    <w:rFonts w:ascii="Arial" w:hAnsi="Arial" w:cs="Arial"/>
                    <w:noProof/>
                    <w:webHidden/>
                    <w:sz w:val="24"/>
                    <w:szCs w:val="24"/>
                  </w:rPr>
                </w:r>
                <w:r w:rsidR="00216E9C" w:rsidRPr="002D3BD2">
                  <w:rPr>
                    <w:rFonts w:ascii="Arial" w:hAnsi="Arial" w:cs="Arial"/>
                    <w:noProof/>
                    <w:webHidden/>
                    <w:sz w:val="24"/>
                    <w:szCs w:val="24"/>
                  </w:rPr>
                  <w:fldChar w:fldCharType="separate"/>
                </w:r>
                <w:r w:rsidR="00216E9C" w:rsidRPr="002D3BD2">
                  <w:rPr>
                    <w:rFonts w:ascii="Arial" w:hAnsi="Arial" w:cs="Arial"/>
                    <w:noProof/>
                    <w:webHidden/>
                    <w:sz w:val="24"/>
                    <w:szCs w:val="24"/>
                  </w:rPr>
                  <w:t>3</w:t>
                </w:r>
                <w:r w:rsidR="00216E9C" w:rsidRPr="002D3BD2">
                  <w:rPr>
                    <w:rFonts w:ascii="Arial" w:hAnsi="Arial" w:cs="Arial"/>
                    <w:noProof/>
                    <w:webHidden/>
                    <w:sz w:val="24"/>
                    <w:szCs w:val="24"/>
                  </w:rPr>
                  <w:fldChar w:fldCharType="end"/>
                </w:r>
              </w:hyperlink>
            </w:p>
            <w:p w14:paraId="7B0CC741" w14:textId="77777777" w:rsidR="00216E9C" w:rsidRPr="002D3BD2" w:rsidRDefault="00E96CE7" w:rsidP="00216E9C">
              <w:pPr>
                <w:pStyle w:val="TOC1"/>
                <w:tabs>
                  <w:tab w:val="right" w:leader="dot" w:pos="9016"/>
                </w:tabs>
                <w:rPr>
                  <w:rFonts w:ascii="Arial" w:eastAsiaTheme="minorEastAsia" w:hAnsi="Arial" w:cs="Arial"/>
                  <w:noProof/>
                  <w:sz w:val="24"/>
                  <w:szCs w:val="24"/>
                  <w:lang w:eastAsia="en-IN"/>
                </w:rPr>
              </w:pPr>
              <w:hyperlink w:anchor="_Toc104560592" w:history="1">
                <w:r w:rsidR="00216E9C" w:rsidRPr="002D3BD2">
                  <w:rPr>
                    <w:rStyle w:val="Hyperlink"/>
                    <w:rFonts w:ascii="Arial" w:hAnsi="Arial" w:cs="Arial"/>
                    <w:noProof/>
                    <w:sz w:val="24"/>
                    <w:szCs w:val="24"/>
                  </w:rPr>
                  <w:t>Financial Trends</w:t>
                </w:r>
                <w:r w:rsidR="00216E9C" w:rsidRPr="002D3BD2">
                  <w:rPr>
                    <w:rFonts w:ascii="Arial" w:hAnsi="Arial" w:cs="Arial"/>
                    <w:noProof/>
                    <w:webHidden/>
                    <w:sz w:val="24"/>
                    <w:szCs w:val="24"/>
                  </w:rPr>
                  <w:tab/>
                </w:r>
                <w:r w:rsidR="00216E9C" w:rsidRPr="002D3BD2">
                  <w:rPr>
                    <w:rFonts w:ascii="Arial" w:hAnsi="Arial" w:cs="Arial"/>
                    <w:noProof/>
                    <w:webHidden/>
                    <w:sz w:val="24"/>
                    <w:szCs w:val="24"/>
                  </w:rPr>
                  <w:fldChar w:fldCharType="begin"/>
                </w:r>
                <w:r w:rsidR="00216E9C" w:rsidRPr="002D3BD2">
                  <w:rPr>
                    <w:rFonts w:ascii="Arial" w:hAnsi="Arial" w:cs="Arial"/>
                    <w:noProof/>
                    <w:webHidden/>
                    <w:sz w:val="24"/>
                    <w:szCs w:val="24"/>
                  </w:rPr>
                  <w:instrText xml:space="preserve"> PAGEREF _Toc104560592 \h </w:instrText>
                </w:r>
                <w:r w:rsidR="00216E9C" w:rsidRPr="002D3BD2">
                  <w:rPr>
                    <w:rFonts w:ascii="Arial" w:hAnsi="Arial" w:cs="Arial"/>
                    <w:noProof/>
                    <w:webHidden/>
                    <w:sz w:val="24"/>
                    <w:szCs w:val="24"/>
                  </w:rPr>
                </w:r>
                <w:r w:rsidR="00216E9C" w:rsidRPr="002D3BD2">
                  <w:rPr>
                    <w:rFonts w:ascii="Arial" w:hAnsi="Arial" w:cs="Arial"/>
                    <w:noProof/>
                    <w:webHidden/>
                    <w:sz w:val="24"/>
                    <w:szCs w:val="24"/>
                  </w:rPr>
                  <w:fldChar w:fldCharType="separate"/>
                </w:r>
                <w:r w:rsidR="00216E9C" w:rsidRPr="002D3BD2">
                  <w:rPr>
                    <w:rFonts w:ascii="Arial" w:hAnsi="Arial" w:cs="Arial"/>
                    <w:noProof/>
                    <w:webHidden/>
                    <w:sz w:val="24"/>
                    <w:szCs w:val="24"/>
                  </w:rPr>
                  <w:t>4</w:t>
                </w:r>
                <w:r w:rsidR="00216E9C" w:rsidRPr="002D3BD2">
                  <w:rPr>
                    <w:rFonts w:ascii="Arial" w:hAnsi="Arial" w:cs="Arial"/>
                    <w:noProof/>
                    <w:webHidden/>
                    <w:sz w:val="24"/>
                    <w:szCs w:val="24"/>
                  </w:rPr>
                  <w:fldChar w:fldCharType="end"/>
                </w:r>
              </w:hyperlink>
            </w:p>
            <w:p w14:paraId="34450AFD" w14:textId="77777777" w:rsidR="00216E9C" w:rsidRPr="002D3BD2" w:rsidRDefault="00E96CE7" w:rsidP="00216E9C">
              <w:pPr>
                <w:pStyle w:val="TOC2"/>
                <w:tabs>
                  <w:tab w:val="right" w:leader="dot" w:pos="9016"/>
                </w:tabs>
                <w:rPr>
                  <w:rFonts w:ascii="Arial" w:eastAsiaTheme="minorEastAsia" w:hAnsi="Arial" w:cs="Arial"/>
                  <w:noProof/>
                  <w:sz w:val="24"/>
                  <w:szCs w:val="24"/>
                  <w:lang w:eastAsia="en-IN"/>
                </w:rPr>
              </w:pPr>
              <w:hyperlink w:anchor="_Toc104560593" w:history="1">
                <w:r w:rsidR="00216E9C" w:rsidRPr="002D3BD2">
                  <w:rPr>
                    <w:rStyle w:val="Hyperlink"/>
                    <w:rFonts w:ascii="Arial" w:hAnsi="Arial" w:cs="Arial"/>
                    <w:noProof/>
                    <w:sz w:val="24"/>
                    <w:szCs w:val="24"/>
                  </w:rPr>
                  <w:t>Income Statement Trends Calculation</w:t>
                </w:r>
                <w:r w:rsidR="00216E9C" w:rsidRPr="002D3BD2">
                  <w:rPr>
                    <w:rFonts w:ascii="Arial" w:hAnsi="Arial" w:cs="Arial"/>
                    <w:noProof/>
                    <w:webHidden/>
                    <w:sz w:val="24"/>
                    <w:szCs w:val="24"/>
                  </w:rPr>
                  <w:tab/>
                </w:r>
                <w:r w:rsidR="00216E9C" w:rsidRPr="002D3BD2">
                  <w:rPr>
                    <w:rFonts w:ascii="Arial" w:hAnsi="Arial" w:cs="Arial"/>
                    <w:noProof/>
                    <w:webHidden/>
                    <w:sz w:val="24"/>
                    <w:szCs w:val="24"/>
                  </w:rPr>
                  <w:fldChar w:fldCharType="begin"/>
                </w:r>
                <w:r w:rsidR="00216E9C" w:rsidRPr="002D3BD2">
                  <w:rPr>
                    <w:rFonts w:ascii="Arial" w:hAnsi="Arial" w:cs="Arial"/>
                    <w:noProof/>
                    <w:webHidden/>
                    <w:sz w:val="24"/>
                    <w:szCs w:val="24"/>
                  </w:rPr>
                  <w:instrText xml:space="preserve"> PAGEREF _Toc104560593 \h </w:instrText>
                </w:r>
                <w:r w:rsidR="00216E9C" w:rsidRPr="002D3BD2">
                  <w:rPr>
                    <w:rFonts w:ascii="Arial" w:hAnsi="Arial" w:cs="Arial"/>
                    <w:noProof/>
                    <w:webHidden/>
                    <w:sz w:val="24"/>
                    <w:szCs w:val="24"/>
                  </w:rPr>
                </w:r>
                <w:r w:rsidR="00216E9C" w:rsidRPr="002D3BD2">
                  <w:rPr>
                    <w:rFonts w:ascii="Arial" w:hAnsi="Arial" w:cs="Arial"/>
                    <w:noProof/>
                    <w:webHidden/>
                    <w:sz w:val="24"/>
                    <w:szCs w:val="24"/>
                  </w:rPr>
                  <w:fldChar w:fldCharType="separate"/>
                </w:r>
                <w:r w:rsidR="00216E9C" w:rsidRPr="002D3BD2">
                  <w:rPr>
                    <w:rFonts w:ascii="Arial" w:hAnsi="Arial" w:cs="Arial"/>
                    <w:noProof/>
                    <w:webHidden/>
                    <w:sz w:val="24"/>
                    <w:szCs w:val="24"/>
                  </w:rPr>
                  <w:t>4</w:t>
                </w:r>
                <w:r w:rsidR="00216E9C" w:rsidRPr="002D3BD2">
                  <w:rPr>
                    <w:rFonts w:ascii="Arial" w:hAnsi="Arial" w:cs="Arial"/>
                    <w:noProof/>
                    <w:webHidden/>
                    <w:sz w:val="24"/>
                    <w:szCs w:val="24"/>
                  </w:rPr>
                  <w:fldChar w:fldCharType="end"/>
                </w:r>
              </w:hyperlink>
            </w:p>
            <w:p w14:paraId="57C367D9" w14:textId="77777777" w:rsidR="00216E9C" w:rsidRPr="002D3BD2" w:rsidRDefault="00E96CE7" w:rsidP="00216E9C">
              <w:pPr>
                <w:pStyle w:val="TOC2"/>
                <w:tabs>
                  <w:tab w:val="right" w:leader="dot" w:pos="9016"/>
                </w:tabs>
                <w:rPr>
                  <w:rFonts w:ascii="Arial" w:eastAsiaTheme="minorEastAsia" w:hAnsi="Arial" w:cs="Arial"/>
                  <w:noProof/>
                  <w:sz w:val="24"/>
                  <w:szCs w:val="24"/>
                  <w:lang w:eastAsia="en-IN"/>
                </w:rPr>
              </w:pPr>
              <w:hyperlink w:anchor="_Toc104560594" w:history="1">
                <w:r w:rsidR="00216E9C" w:rsidRPr="002D3BD2">
                  <w:rPr>
                    <w:rStyle w:val="Hyperlink"/>
                    <w:rFonts w:ascii="Arial" w:hAnsi="Arial" w:cs="Arial"/>
                    <w:noProof/>
                    <w:sz w:val="24"/>
                    <w:szCs w:val="24"/>
                  </w:rPr>
                  <w:t>Financial Trends Analysis Income Statement :-</w:t>
                </w:r>
                <w:r w:rsidR="00216E9C" w:rsidRPr="002D3BD2">
                  <w:rPr>
                    <w:rFonts w:ascii="Arial" w:hAnsi="Arial" w:cs="Arial"/>
                    <w:noProof/>
                    <w:webHidden/>
                    <w:sz w:val="24"/>
                    <w:szCs w:val="24"/>
                  </w:rPr>
                  <w:tab/>
                </w:r>
                <w:r w:rsidR="00216E9C" w:rsidRPr="002D3BD2">
                  <w:rPr>
                    <w:rFonts w:ascii="Arial" w:hAnsi="Arial" w:cs="Arial"/>
                    <w:noProof/>
                    <w:webHidden/>
                    <w:sz w:val="24"/>
                    <w:szCs w:val="24"/>
                  </w:rPr>
                  <w:fldChar w:fldCharType="begin"/>
                </w:r>
                <w:r w:rsidR="00216E9C" w:rsidRPr="002D3BD2">
                  <w:rPr>
                    <w:rFonts w:ascii="Arial" w:hAnsi="Arial" w:cs="Arial"/>
                    <w:noProof/>
                    <w:webHidden/>
                    <w:sz w:val="24"/>
                    <w:szCs w:val="24"/>
                  </w:rPr>
                  <w:instrText xml:space="preserve"> PAGEREF _Toc104560594 \h </w:instrText>
                </w:r>
                <w:r w:rsidR="00216E9C" w:rsidRPr="002D3BD2">
                  <w:rPr>
                    <w:rFonts w:ascii="Arial" w:hAnsi="Arial" w:cs="Arial"/>
                    <w:noProof/>
                    <w:webHidden/>
                    <w:sz w:val="24"/>
                    <w:szCs w:val="24"/>
                  </w:rPr>
                </w:r>
                <w:r w:rsidR="00216E9C" w:rsidRPr="002D3BD2">
                  <w:rPr>
                    <w:rFonts w:ascii="Arial" w:hAnsi="Arial" w:cs="Arial"/>
                    <w:noProof/>
                    <w:webHidden/>
                    <w:sz w:val="24"/>
                    <w:szCs w:val="24"/>
                  </w:rPr>
                  <w:fldChar w:fldCharType="separate"/>
                </w:r>
                <w:r w:rsidR="00216E9C" w:rsidRPr="002D3BD2">
                  <w:rPr>
                    <w:rFonts w:ascii="Arial" w:hAnsi="Arial" w:cs="Arial"/>
                    <w:noProof/>
                    <w:webHidden/>
                    <w:sz w:val="24"/>
                    <w:szCs w:val="24"/>
                  </w:rPr>
                  <w:t>4</w:t>
                </w:r>
                <w:r w:rsidR="00216E9C" w:rsidRPr="002D3BD2">
                  <w:rPr>
                    <w:rFonts w:ascii="Arial" w:hAnsi="Arial" w:cs="Arial"/>
                    <w:noProof/>
                    <w:webHidden/>
                    <w:sz w:val="24"/>
                    <w:szCs w:val="24"/>
                  </w:rPr>
                  <w:fldChar w:fldCharType="end"/>
                </w:r>
              </w:hyperlink>
            </w:p>
            <w:p w14:paraId="7E73C4CC" w14:textId="77777777" w:rsidR="00216E9C" w:rsidRPr="002D3BD2" w:rsidRDefault="00E96CE7" w:rsidP="00216E9C">
              <w:pPr>
                <w:pStyle w:val="TOC2"/>
                <w:tabs>
                  <w:tab w:val="right" w:leader="dot" w:pos="9016"/>
                </w:tabs>
                <w:rPr>
                  <w:rFonts w:ascii="Arial" w:eastAsiaTheme="minorEastAsia" w:hAnsi="Arial" w:cs="Arial"/>
                  <w:noProof/>
                  <w:sz w:val="24"/>
                  <w:szCs w:val="24"/>
                  <w:lang w:eastAsia="en-IN"/>
                </w:rPr>
              </w:pPr>
              <w:hyperlink w:anchor="_Toc104560595" w:history="1">
                <w:r w:rsidR="00216E9C" w:rsidRPr="002D3BD2">
                  <w:rPr>
                    <w:rStyle w:val="Hyperlink"/>
                    <w:rFonts w:ascii="Arial" w:hAnsi="Arial" w:cs="Arial"/>
                    <w:noProof/>
                    <w:sz w:val="24"/>
                    <w:szCs w:val="24"/>
                  </w:rPr>
                  <w:t>Balance Sheet Trends Calculation:-</w:t>
                </w:r>
                <w:r w:rsidR="00216E9C" w:rsidRPr="002D3BD2">
                  <w:rPr>
                    <w:rFonts w:ascii="Arial" w:hAnsi="Arial" w:cs="Arial"/>
                    <w:noProof/>
                    <w:webHidden/>
                    <w:sz w:val="24"/>
                    <w:szCs w:val="24"/>
                  </w:rPr>
                  <w:tab/>
                </w:r>
                <w:r w:rsidR="00216E9C" w:rsidRPr="002D3BD2">
                  <w:rPr>
                    <w:rFonts w:ascii="Arial" w:hAnsi="Arial" w:cs="Arial"/>
                    <w:noProof/>
                    <w:webHidden/>
                    <w:sz w:val="24"/>
                    <w:szCs w:val="24"/>
                  </w:rPr>
                  <w:fldChar w:fldCharType="begin"/>
                </w:r>
                <w:r w:rsidR="00216E9C" w:rsidRPr="002D3BD2">
                  <w:rPr>
                    <w:rFonts w:ascii="Arial" w:hAnsi="Arial" w:cs="Arial"/>
                    <w:noProof/>
                    <w:webHidden/>
                    <w:sz w:val="24"/>
                    <w:szCs w:val="24"/>
                  </w:rPr>
                  <w:instrText xml:space="preserve"> PAGEREF _Toc104560595 \h </w:instrText>
                </w:r>
                <w:r w:rsidR="00216E9C" w:rsidRPr="002D3BD2">
                  <w:rPr>
                    <w:rFonts w:ascii="Arial" w:hAnsi="Arial" w:cs="Arial"/>
                    <w:noProof/>
                    <w:webHidden/>
                    <w:sz w:val="24"/>
                    <w:szCs w:val="24"/>
                  </w:rPr>
                </w:r>
                <w:r w:rsidR="00216E9C" w:rsidRPr="002D3BD2">
                  <w:rPr>
                    <w:rFonts w:ascii="Arial" w:hAnsi="Arial" w:cs="Arial"/>
                    <w:noProof/>
                    <w:webHidden/>
                    <w:sz w:val="24"/>
                    <w:szCs w:val="24"/>
                  </w:rPr>
                  <w:fldChar w:fldCharType="separate"/>
                </w:r>
                <w:r w:rsidR="00216E9C" w:rsidRPr="002D3BD2">
                  <w:rPr>
                    <w:rFonts w:ascii="Arial" w:hAnsi="Arial" w:cs="Arial"/>
                    <w:noProof/>
                    <w:webHidden/>
                    <w:sz w:val="24"/>
                    <w:szCs w:val="24"/>
                  </w:rPr>
                  <w:t>5</w:t>
                </w:r>
                <w:r w:rsidR="00216E9C" w:rsidRPr="002D3BD2">
                  <w:rPr>
                    <w:rFonts w:ascii="Arial" w:hAnsi="Arial" w:cs="Arial"/>
                    <w:noProof/>
                    <w:webHidden/>
                    <w:sz w:val="24"/>
                    <w:szCs w:val="24"/>
                  </w:rPr>
                  <w:fldChar w:fldCharType="end"/>
                </w:r>
              </w:hyperlink>
            </w:p>
            <w:p w14:paraId="3A51C590" w14:textId="77777777" w:rsidR="00216E9C" w:rsidRPr="002D3BD2" w:rsidRDefault="00E96CE7" w:rsidP="00216E9C">
              <w:pPr>
                <w:pStyle w:val="TOC2"/>
                <w:tabs>
                  <w:tab w:val="right" w:leader="dot" w:pos="9016"/>
                </w:tabs>
                <w:rPr>
                  <w:rFonts w:ascii="Arial" w:eastAsiaTheme="minorEastAsia" w:hAnsi="Arial" w:cs="Arial"/>
                  <w:noProof/>
                  <w:sz w:val="24"/>
                  <w:szCs w:val="24"/>
                  <w:lang w:eastAsia="en-IN"/>
                </w:rPr>
              </w:pPr>
              <w:hyperlink w:anchor="_Toc104560596" w:history="1">
                <w:r w:rsidR="00216E9C" w:rsidRPr="002D3BD2">
                  <w:rPr>
                    <w:rStyle w:val="Hyperlink"/>
                    <w:rFonts w:ascii="Arial" w:hAnsi="Arial" w:cs="Arial"/>
                    <w:noProof/>
                    <w:sz w:val="24"/>
                    <w:szCs w:val="24"/>
                  </w:rPr>
                  <w:t>Financial Trends Analysis Balance Sheet :-</w:t>
                </w:r>
                <w:r w:rsidR="00216E9C" w:rsidRPr="002D3BD2">
                  <w:rPr>
                    <w:rFonts w:ascii="Arial" w:hAnsi="Arial" w:cs="Arial"/>
                    <w:noProof/>
                    <w:webHidden/>
                    <w:sz w:val="24"/>
                    <w:szCs w:val="24"/>
                  </w:rPr>
                  <w:tab/>
                </w:r>
                <w:r w:rsidR="00216E9C" w:rsidRPr="002D3BD2">
                  <w:rPr>
                    <w:rFonts w:ascii="Arial" w:hAnsi="Arial" w:cs="Arial"/>
                    <w:noProof/>
                    <w:webHidden/>
                    <w:sz w:val="24"/>
                    <w:szCs w:val="24"/>
                  </w:rPr>
                  <w:fldChar w:fldCharType="begin"/>
                </w:r>
                <w:r w:rsidR="00216E9C" w:rsidRPr="002D3BD2">
                  <w:rPr>
                    <w:rFonts w:ascii="Arial" w:hAnsi="Arial" w:cs="Arial"/>
                    <w:noProof/>
                    <w:webHidden/>
                    <w:sz w:val="24"/>
                    <w:szCs w:val="24"/>
                  </w:rPr>
                  <w:instrText xml:space="preserve"> PAGEREF _Toc104560596 \h </w:instrText>
                </w:r>
                <w:r w:rsidR="00216E9C" w:rsidRPr="002D3BD2">
                  <w:rPr>
                    <w:rFonts w:ascii="Arial" w:hAnsi="Arial" w:cs="Arial"/>
                    <w:noProof/>
                    <w:webHidden/>
                    <w:sz w:val="24"/>
                    <w:szCs w:val="24"/>
                  </w:rPr>
                </w:r>
                <w:r w:rsidR="00216E9C" w:rsidRPr="002D3BD2">
                  <w:rPr>
                    <w:rFonts w:ascii="Arial" w:hAnsi="Arial" w:cs="Arial"/>
                    <w:noProof/>
                    <w:webHidden/>
                    <w:sz w:val="24"/>
                    <w:szCs w:val="24"/>
                  </w:rPr>
                  <w:fldChar w:fldCharType="separate"/>
                </w:r>
                <w:r w:rsidR="00216E9C" w:rsidRPr="002D3BD2">
                  <w:rPr>
                    <w:rFonts w:ascii="Arial" w:hAnsi="Arial" w:cs="Arial"/>
                    <w:noProof/>
                    <w:webHidden/>
                    <w:sz w:val="24"/>
                    <w:szCs w:val="24"/>
                  </w:rPr>
                  <w:t>5</w:t>
                </w:r>
                <w:r w:rsidR="00216E9C" w:rsidRPr="002D3BD2">
                  <w:rPr>
                    <w:rFonts w:ascii="Arial" w:hAnsi="Arial" w:cs="Arial"/>
                    <w:noProof/>
                    <w:webHidden/>
                    <w:sz w:val="24"/>
                    <w:szCs w:val="24"/>
                  </w:rPr>
                  <w:fldChar w:fldCharType="end"/>
                </w:r>
              </w:hyperlink>
            </w:p>
            <w:p w14:paraId="6E14FE1A" w14:textId="77777777" w:rsidR="00216E9C" w:rsidRPr="002D3BD2" w:rsidRDefault="00E96CE7" w:rsidP="00216E9C">
              <w:pPr>
                <w:pStyle w:val="TOC1"/>
                <w:tabs>
                  <w:tab w:val="right" w:leader="dot" w:pos="9016"/>
                </w:tabs>
                <w:rPr>
                  <w:rFonts w:ascii="Arial" w:eastAsiaTheme="minorEastAsia" w:hAnsi="Arial" w:cs="Arial"/>
                  <w:noProof/>
                  <w:sz w:val="24"/>
                  <w:szCs w:val="24"/>
                  <w:lang w:eastAsia="en-IN"/>
                </w:rPr>
              </w:pPr>
              <w:hyperlink w:anchor="_Toc104560597" w:history="1">
                <w:r w:rsidR="00216E9C" w:rsidRPr="002D3BD2">
                  <w:rPr>
                    <w:rStyle w:val="Hyperlink"/>
                    <w:rFonts w:ascii="Arial" w:hAnsi="Arial" w:cs="Arial"/>
                    <w:noProof/>
                    <w:sz w:val="24"/>
                    <w:szCs w:val="24"/>
                  </w:rPr>
                  <w:t>Advantages of Using Horizontal Ratio Analysis</w:t>
                </w:r>
                <w:r w:rsidR="00216E9C" w:rsidRPr="002D3BD2">
                  <w:rPr>
                    <w:rFonts w:ascii="Arial" w:hAnsi="Arial" w:cs="Arial"/>
                    <w:noProof/>
                    <w:webHidden/>
                    <w:sz w:val="24"/>
                    <w:szCs w:val="24"/>
                  </w:rPr>
                  <w:tab/>
                </w:r>
                <w:r w:rsidR="00216E9C" w:rsidRPr="002D3BD2">
                  <w:rPr>
                    <w:rFonts w:ascii="Arial" w:hAnsi="Arial" w:cs="Arial"/>
                    <w:noProof/>
                    <w:webHidden/>
                    <w:sz w:val="24"/>
                    <w:szCs w:val="24"/>
                  </w:rPr>
                  <w:fldChar w:fldCharType="begin"/>
                </w:r>
                <w:r w:rsidR="00216E9C" w:rsidRPr="002D3BD2">
                  <w:rPr>
                    <w:rFonts w:ascii="Arial" w:hAnsi="Arial" w:cs="Arial"/>
                    <w:noProof/>
                    <w:webHidden/>
                    <w:sz w:val="24"/>
                    <w:szCs w:val="24"/>
                  </w:rPr>
                  <w:instrText xml:space="preserve"> PAGEREF _Toc104560597 \h </w:instrText>
                </w:r>
                <w:r w:rsidR="00216E9C" w:rsidRPr="002D3BD2">
                  <w:rPr>
                    <w:rFonts w:ascii="Arial" w:hAnsi="Arial" w:cs="Arial"/>
                    <w:noProof/>
                    <w:webHidden/>
                    <w:sz w:val="24"/>
                    <w:szCs w:val="24"/>
                  </w:rPr>
                </w:r>
                <w:r w:rsidR="00216E9C" w:rsidRPr="002D3BD2">
                  <w:rPr>
                    <w:rFonts w:ascii="Arial" w:hAnsi="Arial" w:cs="Arial"/>
                    <w:noProof/>
                    <w:webHidden/>
                    <w:sz w:val="24"/>
                    <w:szCs w:val="24"/>
                  </w:rPr>
                  <w:fldChar w:fldCharType="separate"/>
                </w:r>
                <w:r w:rsidR="00216E9C" w:rsidRPr="002D3BD2">
                  <w:rPr>
                    <w:rFonts w:ascii="Arial" w:hAnsi="Arial" w:cs="Arial"/>
                    <w:noProof/>
                    <w:webHidden/>
                    <w:sz w:val="24"/>
                    <w:szCs w:val="24"/>
                  </w:rPr>
                  <w:t>5</w:t>
                </w:r>
                <w:r w:rsidR="00216E9C" w:rsidRPr="002D3BD2">
                  <w:rPr>
                    <w:rFonts w:ascii="Arial" w:hAnsi="Arial" w:cs="Arial"/>
                    <w:noProof/>
                    <w:webHidden/>
                    <w:sz w:val="24"/>
                    <w:szCs w:val="24"/>
                  </w:rPr>
                  <w:fldChar w:fldCharType="end"/>
                </w:r>
              </w:hyperlink>
            </w:p>
            <w:p w14:paraId="36650EA7" w14:textId="77777777" w:rsidR="00216E9C" w:rsidRPr="002D3BD2" w:rsidRDefault="00E96CE7" w:rsidP="00216E9C">
              <w:pPr>
                <w:pStyle w:val="TOC1"/>
                <w:tabs>
                  <w:tab w:val="right" w:leader="dot" w:pos="9016"/>
                </w:tabs>
                <w:rPr>
                  <w:rFonts w:ascii="Arial" w:eastAsiaTheme="minorEastAsia" w:hAnsi="Arial" w:cs="Arial"/>
                  <w:noProof/>
                  <w:sz w:val="24"/>
                  <w:szCs w:val="24"/>
                  <w:lang w:eastAsia="en-IN"/>
                </w:rPr>
              </w:pPr>
              <w:hyperlink w:anchor="_Toc104560598" w:history="1">
                <w:r w:rsidR="00216E9C" w:rsidRPr="002D3BD2">
                  <w:rPr>
                    <w:rStyle w:val="Hyperlink"/>
                    <w:rFonts w:ascii="Arial" w:hAnsi="Arial" w:cs="Arial"/>
                    <w:noProof/>
                    <w:sz w:val="24"/>
                    <w:szCs w:val="24"/>
                  </w:rPr>
                  <w:t>Problems of Using Horizontal Analysis</w:t>
                </w:r>
                <w:r w:rsidR="00216E9C" w:rsidRPr="002D3BD2">
                  <w:rPr>
                    <w:rFonts w:ascii="Arial" w:hAnsi="Arial" w:cs="Arial"/>
                    <w:noProof/>
                    <w:webHidden/>
                    <w:sz w:val="24"/>
                    <w:szCs w:val="24"/>
                  </w:rPr>
                  <w:tab/>
                </w:r>
                <w:r w:rsidR="00216E9C" w:rsidRPr="002D3BD2">
                  <w:rPr>
                    <w:rFonts w:ascii="Arial" w:hAnsi="Arial" w:cs="Arial"/>
                    <w:noProof/>
                    <w:webHidden/>
                    <w:sz w:val="24"/>
                    <w:szCs w:val="24"/>
                  </w:rPr>
                  <w:fldChar w:fldCharType="begin"/>
                </w:r>
                <w:r w:rsidR="00216E9C" w:rsidRPr="002D3BD2">
                  <w:rPr>
                    <w:rFonts w:ascii="Arial" w:hAnsi="Arial" w:cs="Arial"/>
                    <w:noProof/>
                    <w:webHidden/>
                    <w:sz w:val="24"/>
                    <w:szCs w:val="24"/>
                  </w:rPr>
                  <w:instrText xml:space="preserve"> PAGEREF _Toc104560598 \h </w:instrText>
                </w:r>
                <w:r w:rsidR="00216E9C" w:rsidRPr="002D3BD2">
                  <w:rPr>
                    <w:rFonts w:ascii="Arial" w:hAnsi="Arial" w:cs="Arial"/>
                    <w:noProof/>
                    <w:webHidden/>
                    <w:sz w:val="24"/>
                    <w:szCs w:val="24"/>
                  </w:rPr>
                </w:r>
                <w:r w:rsidR="00216E9C" w:rsidRPr="002D3BD2">
                  <w:rPr>
                    <w:rFonts w:ascii="Arial" w:hAnsi="Arial" w:cs="Arial"/>
                    <w:noProof/>
                    <w:webHidden/>
                    <w:sz w:val="24"/>
                    <w:szCs w:val="24"/>
                  </w:rPr>
                  <w:fldChar w:fldCharType="separate"/>
                </w:r>
                <w:r w:rsidR="00216E9C" w:rsidRPr="002D3BD2">
                  <w:rPr>
                    <w:rFonts w:ascii="Arial" w:hAnsi="Arial" w:cs="Arial"/>
                    <w:noProof/>
                    <w:webHidden/>
                    <w:sz w:val="24"/>
                    <w:szCs w:val="24"/>
                  </w:rPr>
                  <w:t>6</w:t>
                </w:r>
                <w:r w:rsidR="00216E9C" w:rsidRPr="002D3BD2">
                  <w:rPr>
                    <w:rFonts w:ascii="Arial" w:hAnsi="Arial" w:cs="Arial"/>
                    <w:noProof/>
                    <w:webHidden/>
                    <w:sz w:val="24"/>
                    <w:szCs w:val="24"/>
                  </w:rPr>
                  <w:fldChar w:fldCharType="end"/>
                </w:r>
              </w:hyperlink>
            </w:p>
            <w:p w14:paraId="5DEFE306" w14:textId="77777777" w:rsidR="00216E9C" w:rsidRPr="002D3BD2" w:rsidRDefault="00E96CE7" w:rsidP="00216E9C">
              <w:pPr>
                <w:pStyle w:val="TOC1"/>
                <w:tabs>
                  <w:tab w:val="right" w:leader="dot" w:pos="9016"/>
                </w:tabs>
                <w:rPr>
                  <w:rFonts w:ascii="Arial" w:eastAsiaTheme="minorEastAsia" w:hAnsi="Arial" w:cs="Arial"/>
                  <w:noProof/>
                  <w:sz w:val="24"/>
                  <w:szCs w:val="24"/>
                  <w:lang w:eastAsia="en-IN"/>
                </w:rPr>
              </w:pPr>
              <w:hyperlink w:anchor="_Toc104560599" w:history="1">
                <w:r w:rsidR="00216E9C" w:rsidRPr="002D3BD2">
                  <w:rPr>
                    <w:rStyle w:val="Hyperlink"/>
                    <w:rFonts w:ascii="Arial" w:hAnsi="Arial" w:cs="Arial"/>
                    <w:noProof/>
                    <w:sz w:val="24"/>
                    <w:szCs w:val="24"/>
                  </w:rPr>
                  <w:t>Conclusion</w:t>
                </w:r>
                <w:r w:rsidR="00216E9C" w:rsidRPr="002D3BD2">
                  <w:rPr>
                    <w:rFonts w:ascii="Arial" w:hAnsi="Arial" w:cs="Arial"/>
                    <w:noProof/>
                    <w:webHidden/>
                    <w:sz w:val="24"/>
                    <w:szCs w:val="24"/>
                  </w:rPr>
                  <w:tab/>
                </w:r>
                <w:r w:rsidR="00216E9C" w:rsidRPr="002D3BD2">
                  <w:rPr>
                    <w:rFonts w:ascii="Arial" w:hAnsi="Arial" w:cs="Arial"/>
                    <w:noProof/>
                    <w:webHidden/>
                    <w:sz w:val="24"/>
                    <w:szCs w:val="24"/>
                  </w:rPr>
                  <w:fldChar w:fldCharType="begin"/>
                </w:r>
                <w:r w:rsidR="00216E9C" w:rsidRPr="002D3BD2">
                  <w:rPr>
                    <w:rFonts w:ascii="Arial" w:hAnsi="Arial" w:cs="Arial"/>
                    <w:noProof/>
                    <w:webHidden/>
                    <w:sz w:val="24"/>
                    <w:szCs w:val="24"/>
                  </w:rPr>
                  <w:instrText xml:space="preserve"> PAGEREF _Toc104560599 \h </w:instrText>
                </w:r>
                <w:r w:rsidR="00216E9C" w:rsidRPr="002D3BD2">
                  <w:rPr>
                    <w:rFonts w:ascii="Arial" w:hAnsi="Arial" w:cs="Arial"/>
                    <w:noProof/>
                    <w:webHidden/>
                    <w:sz w:val="24"/>
                    <w:szCs w:val="24"/>
                  </w:rPr>
                </w:r>
                <w:r w:rsidR="00216E9C" w:rsidRPr="002D3BD2">
                  <w:rPr>
                    <w:rFonts w:ascii="Arial" w:hAnsi="Arial" w:cs="Arial"/>
                    <w:noProof/>
                    <w:webHidden/>
                    <w:sz w:val="24"/>
                    <w:szCs w:val="24"/>
                  </w:rPr>
                  <w:fldChar w:fldCharType="separate"/>
                </w:r>
                <w:r w:rsidR="00216E9C" w:rsidRPr="002D3BD2">
                  <w:rPr>
                    <w:rFonts w:ascii="Arial" w:hAnsi="Arial" w:cs="Arial"/>
                    <w:noProof/>
                    <w:webHidden/>
                    <w:sz w:val="24"/>
                    <w:szCs w:val="24"/>
                  </w:rPr>
                  <w:t>7</w:t>
                </w:r>
                <w:r w:rsidR="00216E9C" w:rsidRPr="002D3BD2">
                  <w:rPr>
                    <w:rFonts w:ascii="Arial" w:hAnsi="Arial" w:cs="Arial"/>
                    <w:noProof/>
                    <w:webHidden/>
                    <w:sz w:val="24"/>
                    <w:szCs w:val="24"/>
                  </w:rPr>
                  <w:fldChar w:fldCharType="end"/>
                </w:r>
              </w:hyperlink>
            </w:p>
            <w:p w14:paraId="56E54C86" w14:textId="77777777" w:rsidR="00216E9C" w:rsidRPr="002D3BD2" w:rsidRDefault="00E96CE7" w:rsidP="00216E9C">
              <w:pPr>
                <w:pStyle w:val="TOC1"/>
                <w:tabs>
                  <w:tab w:val="right" w:leader="dot" w:pos="9016"/>
                </w:tabs>
                <w:rPr>
                  <w:rFonts w:ascii="Arial" w:eastAsiaTheme="minorEastAsia" w:hAnsi="Arial" w:cs="Arial"/>
                  <w:noProof/>
                  <w:sz w:val="24"/>
                  <w:szCs w:val="24"/>
                  <w:lang w:eastAsia="en-IN"/>
                </w:rPr>
              </w:pPr>
              <w:hyperlink w:anchor="_Toc104560600" w:history="1">
                <w:r w:rsidR="00216E9C" w:rsidRPr="002D3BD2">
                  <w:rPr>
                    <w:rStyle w:val="Hyperlink"/>
                    <w:rFonts w:ascii="Arial" w:hAnsi="Arial" w:cs="Arial"/>
                    <w:noProof/>
                    <w:sz w:val="24"/>
                    <w:szCs w:val="24"/>
                  </w:rPr>
                  <w:t>References</w:t>
                </w:r>
                <w:r w:rsidR="00216E9C" w:rsidRPr="002D3BD2">
                  <w:rPr>
                    <w:rFonts w:ascii="Arial" w:hAnsi="Arial" w:cs="Arial"/>
                    <w:noProof/>
                    <w:webHidden/>
                    <w:sz w:val="24"/>
                    <w:szCs w:val="24"/>
                  </w:rPr>
                  <w:tab/>
                </w:r>
                <w:r w:rsidR="00216E9C" w:rsidRPr="002D3BD2">
                  <w:rPr>
                    <w:rFonts w:ascii="Arial" w:hAnsi="Arial" w:cs="Arial"/>
                    <w:noProof/>
                    <w:webHidden/>
                    <w:sz w:val="24"/>
                    <w:szCs w:val="24"/>
                  </w:rPr>
                  <w:fldChar w:fldCharType="begin"/>
                </w:r>
                <w:r w:rsidR="00216E9C" w:rsidRPr="002D3BD2">
                  <w:rPr>
                    <w:rFonts w:ascii="Arial" w:hAnsi="Arial" w:cs="Arial"/>
                    <w:noProof/>
                    <w:webHidden/>
                    <w:sz w:val="24"/>
                    <w:szCs w:val="24"/>
                  </w:rPr>
                  <w:instrText xml:space="preserve"> PAGEREF _Toc104560600 \h </w:instrText>
                </w:r>
                <w:r w:rsidR="00216E9C" w:rsidRPr="002D3BD2">
                  <w:rPr>
                    <w:rFonts w:ascii="Arial" w:hAnsi="Arial" w:cs="Arial"/>
                    <w:noProof/>
                    <w:webHidden/>
                    <w:sz w:val="24"/>
                    <w:szCs w:val="24"/>
                  </w:rPr>
                </w:r>
                <w:r w:rsidR="00216E9C" w:rsidRPr="002D3BD2">
                  <w:rPr>
                    <w:rFonts w:ascii="Arial" w:hAnsi="Arial" w:cs="Arial"/>
                    <w:noProof/>
                    <w:webHidden/>
                    <w:sz w:val="24"/>
                    <w:szCs w:val="24"/>
                  </w:rPr>
                  <w:fldChar w:fldCharType="separate"/>
                </w:r>
                <w:r w:rsidR="00216E9C" w:rsidRPr="002D3BD2">
                  <w:rPr>
                    <w:rFonts w:ascii="Arial" w:hAnsi="Arial" w:cs="Arial"/>
                    <w:noProof/>
                    <w:webHidden/>
                    <w:sz w:val="24"/>
                    <w:szCs w:val="24"/>
                  </w:rPr>
                  <w:t>7</w:t>
                </w:r>
                <w:r w:rsidR="00216E9C" w:rsidRPr="002D3BD2">
                  <w:rPr>
                    <w:rFonts w:ascii="Arial" w:hAnsi="Arial" w:cs="Arial"/>
                    <w:noProof/>
                    <w:webHidden/>
                    <w:sz w:val="24"/>
                    <w:szCs w:val="24"/>
                  </w:rPr>
                  <w:fldChar w:fldCharType="end"/>
                </w:r>
              </w:hyperlink>
            </w:p>
            <w:p w14:paraId="35B5875F" w14:textId="77777777" w:rsidR="00216E9C" w:rsidRDefault="00216E9C" w:rsidP="00216E9C">
              <w:pPr>
                <w:rPr>
                  <w:b/>
                  <w:bCs/>
                  <w:noProof/>
                </w:rPr>
              </w:pPr>
              <w:r w:rsidRPr="002D3BD2">
                <w:rPr>
                  <w:rFonts w:ascii="Arial" w:hAnsi="Arial" w:cs="Arial"/>
                  <w:b/>
                  <w:bCs/>
                  <w:noProof/>
                  <w:sz w:val="24"/>
                  <w:szCs w:val="24"/>
                </w:rPr>
                <w:fldChar w:fldCharType="end"/>
              </w:r>
            </w:p>
          </w:sdtContent>
        </w:sdt>
        <w:p w14:paraId="4B6E43C0" w14:textId="44287F5E" w:rsidR="007D1947" w:rsidRDefault="007D1947" w:rsidP="00216E9C">
          <w:pPr>
            <w:pStyle w:val="TOCHeading"/>
          </w:pPr>
        </w:p>
        <w:p w14:paraId="6029F743" w14:textId="77777777" w:rsidR="007D1947" w:rsidRDefault="007D1947"/>
        <w:p w14:paraId="44FFAF5D" w14:textId="77777777" w:rsidR="007D1947" w:rsidRDefault="007D1947"/>
        <w:p w14:paraId="1FF75D73" w14:textId="77777777" w:rsidR="007D1947" w:rsidRDefault="007D1947"/>
        <w:p w14:paraId="6FC8D65F" w14:textId="77777777" w:rsidR="007D1947" w:rsidRDefault="007D1947"/>
        <w:p w14:paraId="06D4F34D" w14:textId="77777777" w:rsidR="007D1947" w:rsidRDefault="007D1947"/>
        <w:p w14:paraId="32867CF5" w14:textId="77777777" w:rsidR="007D1947" w:rsidRDefault="007D1947"/>
        <w:p w14:paraId="6C748E61" w14:textId="77777777" w:rsidR="007D1947" w:rsidRDefault="007D1947"/>
        <w:p w14:paraId="4E87151A" w14:textId="77777777" w:rsidR="007D1947" w:rsidRDefault="007D1947"/>
        <w:p w14:paraId="2F4155A5" w14:textId="77777777" w:rsidR="007D1947" w:rsidRDefault="007D1947"/>
        <w:p w14:paraId="787F748D" w14:textId="77777777" w:rsidR="007D1947" w:rsidRDefault="007D1947"/>
        <w:p w14:paraId="4CA74EB7" w14:textId="77777777" w:rsidR="007D1947" w:rsidRDefault="007D1947"/>
        <w:p w14:paraId="489580B2" w14:textId="77777777" w:rsidR="007D1947" w:rsidRDefault="007D1947"/>
        <w:p w14:paraId="2A770B60" w14:textId="77777777" w:rsidR="007D1947" w:rsidRDefault="007D1947"/>
        <w:p w14:paraId="5517BFA0" w14:textId="77777777" w:rsidR="00216E9C" w:rsidRPr="002D3BD2" w:rsidRDefault="00216E9C" w:rsidP="00216E9C">
          <w:pPr>
            <w:pStyle w:val="Heading1"/>
            <w:spacing w:line="276" w:lineRule="auto"/>
            <w:jc w:val="both"/>
            <w:rPr>
              <w:rFonts w:ascii="Arial" w:hAnsi="Arial" w:cs="Arial"/>
              <w:sz w:val="24"/>
              <w:szCs w:val="24"/>
            </w:rPr>
          </w:pPr>
          <w:bookmarkStart w:id="1" w:name="_Toc104560591"/>
          <w:r w:rsidRPr="002D3BD2">
            <w:rPr>
              <w:rFonts w:ascii="Arial" w:hAnsi="Arial" w:cs="Arial"/>
              <w:sz w:val="24"/>
              <w:szCs w:val="24"/>
            </w:rPr>
            <w:lastRenderedPageBreak/>
            <w:t>Introduction</w:t>
          </w:r>
          <w:bookmarkEnd w:id="1"/>
        </w:p>
        <w:p w14:paraId="0B1F4727" w14:textId="77777777" w:rsidR="00216E9C" w:rsidRPr="002D3BD2" w:rsidRDefault="00216E9C" w:rsidP="00216E9C">
          <w:pPr>
            <w:spacing w:line="276" w:lineRule="auto"/>
            <w:jc w:val="both"/>
            <w:rPr>
              <w:rFonts w:ascii="Arial" w:hAnsi="Arial" w:cs="Arial"/>
              <w:sz w:val="24"/>
              <w:szCs w:val="24"/>
            </w:rPr>
          </w:pPr>
        </w:p>
        <w:p w14:paraId="49F95778" w14:textId="77777777" w:rsidR="00216E9C" w:rsidRPr="002D3BD2" w:rsidRDefault="00216E9C" w:rsidP="00216E9C">
          <w:pPr>
            <w:spacing w:line="276" w:lineRule="auto"/>
            <w:jc w:val="both"/>
            <w:rPr>
              <w:rFonts w:ascii="Arial" w:hAnsi="Arial" w:cs="Arial"/>
              <w:sz w:val="24"/>
              <w:szCs w:val="24"/>
            </w:rPr>
          </w:pPr>
          <w:r w:rsidRPr="002D3BD2">
            <w:rPr>
              <w:rFonts w:ascii="Arial" w:hAnsi="Arial" w:cs="Arial"/>
              <w:sz w:val="24"/>
              <w:szCs w:val="24"/>
            </w:rPr>
            <w:t xml:space="preserve">Hilton Worldwide Holdings is a multinational hospitality brand based out of America having a wide range of hotels and resorts all over the world. The 2020 fiscal year came with a lot of challenges and hardships for the hospitality industry. The following report aims to calculate the horizontal ratios for 2019 and 2020 of Hilton Holdings </w:t>
          </w:r>
          <w:proofErr w:type="gramStart"/>
          <w:r w:rsidRPr="002D3BD2">
            <w:rPr>
              <w:rFonts w:ascii="Arial" w:hAnsi="Arial" w:cs="Arial"/>
              <w:sz w:val="24"/>
              <w:szCs w:val="24"/>
            </w:rPr>
            <w:t>in order to</w:t>
          </w:r>
          <w:proofErr w:type="gramEnd"/>
          <w:r w:rsidRPr="002D3BD2">
            <w:rPr>
              <w:rFonts w:ascii="Arial" w:hAnsi="Arial" w:cs="Arial"/>
              <w:sz w:val="24"/>
              <w:szCs w:val="24"/>
            </w:rPr>
            <w:t xml:space="preserve"> summarise the financial trends of company. </w:t>
          </w:r>
        </w:p>
        <w:p w14:paraId="7D9D6830" w14:textId="77777777" w:rsidR="00216E9C" w:rsidRPr="002D3BD2" w:rsidRDefault="00216E9C" w:rsidP="00216E9C">
          <w:pPr>
            <w:spacing w:line="276" w:lineRule="auto"/>
            <w:jc w:val="both"/>
            <w:rPr>
              <w:rFonts w:ascii="Arial" w:hAnsi="Arial" w:cs="Arial"/>
              <w:sz w:val="24"/>
              <w:szCs w:val="24"/>
            </w:rPr>
          </w:pPr>
          <w:r w:rsidRPr="002D3BD2">
            <w:rPr>
              <w:rFonts w:ascii="Arial" w:hAnsi="Arial" w:cs="Arial"/>
              <w:sz w:val="24"/>
              <w:szCs w:val="24"/>
            </w:rPr>
            <w:t>A company's financial statements must be consistent and similar to appropriately compare and analyse its financial performance, according to the Generally Accepted Accounting Principles (GAAP</w:t>
          </w:r>
          <w:proofErr w:type="gramStart"/>
          <w:r w:rsidRPr="002D3BD2">
            <w:rPr>
              <w:rFonts w:ascii="Arial" w:hAnsi="Arial" w:cs="Arial"/>
              <w:sz w:val="24"/>
              <w:szCs w:val="24"/>
            </w:rPr>
            <w:t>).(</w:t>
          </w:r>
          <w:proofErr w:type="gramEnd"/>
          <w:r w:rsidRPr="002D3BD2">
            <w:rPr>
              <w:rFonts w:ascii="Arial" w:hAnsi="Arial" w:cs="Arial"/>
              <w:sz w:val="24"/>
              <w:szCs w:val="24"/>
            </w:rPr>
            <w:t>Zeff,2005)  Keeping to the same accounting practises and principles year after year is referred to as a consistency restriction here. When a company's financial statements and other paperwork must be compared to similar companies in the same industry, this is known as the "comparison constraint." In financial reporting, horizontal analysis is utilised to strengthen and increase these constraints. Because of this, analysts and investors can discover the characteristics that drive a company's long-term financial success. Seasonality and growth patterns, for example, can be predicted by looking at their data. (Miron J, 1986) The approach also makes it possible to analyse and project future relative changes in various product lines.</w:t>
          </w:r>
        </w:p>
        <w:p w14:paraId="1AB2F239" w14:textId="77777777" w:rsidR="00216E9C" w:rsidRPr="002D3BD2" w:rsidRDefault="00216E9C" w:rsidP="00216E9C">
          <w:pPr>
            <w:spacing w:line="276" w:lineRule="auto"/>
            <w:jc w:val="both"/>
            <w:rPr>
              <w:rFonts w:ascii="Arial" w:hAnsi="Arial" w:cs="Arial"/>
              <w:sz w:val="24"/>
              <w:szCs w:val="24"/>
            </w:rPr>
          </w:pPr>
          <w:r w:rsidRPr="002D3BD2">
            <w:rPr>
              <w:rFonts w:ascii="Arial" w:hAnsi="Arial" w:cs="Arial"/>
              <w:sz w:val="24"/>
              <w:szCs w:val="24"/>
            </w:rPr>
            <w:t>It is possible to get a clear image of a company's operating results by looking at its financial statements, such as the balance sheet, cash flow statement, and income statement. In the same spirit, key business performance indicators like return on equity, inventory turnover, and profit margin can reveal potential issues and strengths inside a company. (</w:t>
          </w:r>
          <w:proofErr w:type="spellStart"/>
          <w:r w:rsidRPr="002D3BD2">
            <w:rPr>
              <w:rFonts w:ascii="Arial" w:hAnsi="Arial" w:cs="Arial"/>
              <w:sz w:val="24"/>
              <w:szCs w:val="24"/>
            </w:rPr>
            <w:t>Seike</w:t>
          </w:r>
          <w:proofErr w:type="spellEnd"/>
          <w:r w:rsidRPr="002D3BD2">
            <w:rPr>
              <w:rFonts w:ascii="Arial" w:hAnsi="Arial" w:cs="Arial"/>
              <w:sz w:val="24"/>
              <w:szCs w:val="24"/>
            </w:rPr>
            <w:t>, Seifert, 2010) Revenue growth or lower costs of goods sold may be cited as examples of why earnings per share are rising. For example, management may claim that these factors are responsible. To determine if the company has sufficient liquidity, horizontal analysis might look at the following ratios: coverage ratios, interest coverage ratios, and cash flow-to-debt ratios. It is also possible to examine the growth and profitability of different companies in the same industry using horizontal analysis. (</w:t>
          </w:r>
          <w:proofErr w:type="gramStart"/>
          <w:r w:rsidRPr="002D3BD2">
            <w:rPr>
              <w:rFonts w:ascii="Arial" w:hAnsi="Arial" w:cs="Arial"/>
              <w:sz w:val="24"/>
              <w:szCs w:val="24"/>
            </w:rPr>
            <w:t>Issakson,seifert</w:t>
          </w:r>
          <w:proofErr w:type="gramEnd"/>
          <w:r w:rsidRPr="002D3BD2">
            <w:rPr>
              <w:rFonts w:ascii="Arial" w:hAnsi="Arial" w:cs="Arial"/>
              <w:sz w:val="24"/>
              <w:szCs w:val="24"/>
            </w:rPr>
            <w:t>,2014)</w:t>
          </w:r>
        </w:p>
        <w:p w14:paraId="6C35C80D" w14:textId="77777777" w:rsidR="007D1947" w:rsidRDefault="007D1947" w:rsidP="007D1947"/>
        <w:p w14:paraId="6648814C" w14:textId="77777777" w:rsidR="004A11F6" w:rsidRDefault="004A11F6" w:rsidP="007D1947"/>
        <w:p w14:paraId="06953414" w14:textId="77777777" w:rsidR="004A11F6" w:rsidRDefault="004A11F6" w:rsidP="007D1947"/>
        <w:p w14:paraId="24FB9339" w14:textId="77777777" w:rsidR="004A11F6" w:rsidRDefault="004A11F6" w:rsidP="007D1947"/>
        <w:p w14:paraId="624BAEC6" w14:textId="77777777" w:rsidR="004A11F6" w:rsidRDefault="004A11F6" w:rsidP="007D1947"/>
        <w:p w14:paraId="0C7CBD32" w14:textId="77777777" w:rsidR="004A11F6" w:rsidRDefault="004A11F6" w:rsidP="007D1947"/>
        <w:p w14:paraId="45853FB4" w14:textId="77777777" w:rsidR="004A11F6" w:rsidRDefault="004A11F6" w:rsidP="007D1947"/>
        <w:p w14:paraId="755346A7" w14:textId="77777777" w:rsidR="00216E9C" w:rsidRDefault="00216E9C" w:rsidP="007D1947"/>
        <w:p w14:paraId="4CA95DD8" w14:textId="7161ED81" w:rsidR="0006377C" w:rsidRDefault="0006377C" w:rsidP="0006377C">
          <w:pPr>
            <w:pStyle w:val="Heading1"/>
            <w:spacing w:line="276" w:lineRule="auto"/>
            <w:jc w:val="both"/>
            <w:rPr>
              <w:rFonts w:ascii="Arial" w:hAnsi="Arial" w:cs="Arial"/>
              <w:sz w:val="24"/>
              <w:szCs w:val="24"/>
            </w:rPr>
          </w:pPr>
          <w:bookmarkStart w:id="2" w:name="_Toc104560592"/>
          <w:bookmarkStart w:id="3" w:name="_Toc104560593"/>
          <w:bookmarkStart w:id="4" w:name="_Hlk104891276"/>
          <w:r w:rsidRPr="002D3BD2">
            <w:rPr>
              <w:rFonts w:ascii="Arial" w:hAnsi="Arial" w:cs="Arial"/>
              <w:sz w:val="24"/>
              <w:szCs w:val="24"/>
            </w:rPr>
            <w:lastRenderedPageBreak/>
            <w:t>Financial Trends</w:t>
          </w:r>
          <w:bookmarkEnd w:id="2"/>
        </w:p>
        <w:p w14:paraId="40A723AE" w14:textId="77777777" w:rsidR="0006377C" w:rsidRPr="002D3BD2" w:rsidRDefault="0006377C" w:rsidP="0006377C">
          <w:pPr>
            <w:rPr>
              <w:rFonts w:ascii="Arial" w:hAnsi="Arial" w:cs="Arial"/>
              <w:sz w:val="24"/>
              <w:szCs w:val="24"/>
            </w:rPr>
          </w:pPr>
          <w:r w:rsidRPr="002D3BD2">
            <w:rPr>
              <w:rFonts w:ascii="Arial" w:hAnsi="Arial" w:cs="Arial"/>
              <w:sz w:val="24"/>
              <w:szCs w:val="24"/>
            </w:rPr>
            <w:t>Income Statement Trends Calculation</w:t>
          </w:r>
        </w:p>
        <w:bookmarkEnd w:id="3"/>
        <w:bookmarkEnd w:id="4"/>
        <w:p w14:paraId="53714BC2" w14:textId="31A3F8B5" w:rsidR="004A11F6" w:rsidRPr="0006377C" w:rsidRDefault="00E96CE7" w:rsidP="00E96CE7">
          <w:pPr>
            <w:jc w:val="center"/>
            <w:rPr>
              <w:rFonts w:ascii="Arial" w:hAnsi="Arial" w:cs="Arial"/>
              <w:sz w:val="24"/>
              <w:szCs w:val="24"/>
            </w:rPr>
          </w:pPr>
          <w:r w:rsidRPr="002D3BD2">
            <w:rPr>
              <w:rFonts w:ascii="Arial" w:hAnsi="Arial" w:cs="Arial"/>
              <w:sz w:val="24"/>
              <w:szCs w:val="24"/>
            </w:rPr>
            <w:t>Table 1</w:t>
          </w:r>
        </w:p>
        <w:tbl>
          <w:tblPr>
            <w:tblpPr w:leftFromText="180" w:rightFromText="180" w:vertAnchor="page" w:horzAnchor="margin" w:tblpY="2338"/>
            <w:tblW w:w="9831" w:type="dxa"/>
            <w:tblLook w:val="04A0" w:firstRow="1" w:lastRow="0" w:firstColumn="1" w:lastColumn="0" w:noHBand="0" w:noVBand="1"/>
          </w:tblPr>
          <w:tblGrid>
            <w:gridCol w:w="4138"/>
            <w:gridCol w:w="1411"/>
            <w:gridCol w:w="1411"/>
            <w:gridCol w:w="1171"/>
            <w:gridCol w:w="1700"/>
          </w:tblGrid>
          <w:tr w:rsidR="0006377C" w:rsidRPr="003E75A9" w14:paraId="1939F168" w14:textId="77777777" w:rsidTr="009900FB">
            <w:trPr>
              <w:trHeight w:val="258"/>
            </w:trPr>
            <w:tc>
              <w:tcPr>
                <w:tcW w:w="9831" w:type="dxa"/>
                <w:gridSpan w:val="5"/>
                <w:tcBorders>
                  <w:top w:val="single" w:sz="4" w:space="0" w:color="auto"/>
                  <w:left w:val="single" w:sz="4" w:space="0" w:color="auto"/>
                  <w:bottom w:val="single" w:sz="4" w:space="0" w:color="auto"/>
                  <w:right w:val="single" w:sz="4" w:space="0" w:color="auto"/>
                </w:tcBorders>
                <w:shd w:val="clear" w:color="000000" w:fill="ED7D31"/>
                <w:noWrap/>
                <w:vAlign w:val="bottom"/>
                <w:hideMark/>
              </w:tcPr>
              <w:p w14:paraId="370A17A5" w14:textId="77777777" w:rsidR="0006377C" w:rsidRPr="003E75A9" w:rsidRDefault="0006377C" w:rsidP="0006377C">
                <w:pPr>
                  <w:spacing w:after="0" w:line="276" w:lineRule="auto"/>
                  <w:jc w:val="both"/>
                  <w:rPr>
                    <w:rFonts w:ascii="Calibri" w:eastAsia="Times New Roman" w:hAnsi="Calibri" w:cs="Calibri"/>
                    <w:b/>
                    <w:bCs/>
                    <w:color w:val="000000"/>
                    <w:lang w:eastAsia="en-IN"/>
                  </w:rPr>
                </w:pPr>
                <w:r w:rsidRPr="003E75A9">
                  <w:rPr>
                    <w:rFonts w:ascii="Calibri" w:eastAsia="Times New Roman" w:hAnsi="Calibri" w:cs="Calibri"/>
                    <w:b/>
                    <w:bCs/>
                    <w:color w:val="000000"/>
                    <w:lang w:eastAsia="en-IN"/>
                  </w:rPr>
                  <w:t>HILTON WORLDWIDE HOLDINGS INCOME STATEMENT HORIZONTAL RATIOS</w:t>
                </w:r>
              </w:p>
            </w:tc>
          </w:tr>
          <w:tr w:rsidR="0006377C" w:rsidRPr="003E75A9" w14:paraId="0C732A15" w14:textId="77777777" w:rsidTr="009900FB">
            <w:trPr>
              <w:trHeight w:val="258"/>
            </w:trPr>
            <w:tc>
              <w:tcPr>
                <w:tcW w:w="9831" w:type="dxa"/>
                <w:gridSpan w:val="5"/>
                <w:tcBorders>
                  <w:top w:val="single" w:sz="4" w:space="0" w:color="auto"/>
                  <w:left w:val="single" w:sz="4" w:space="0" w:color="auto"/>
                  <w:bottom w:val="single" w:sz="4" w:space="0" w:color="auto"/>
                  <w:right w:val="single" w:sz="4" w:space="0" w:color="auto"/>
                </w:tcBorders>
                <w:shd w:val="clear" w:color="000000" w:fill="ED7D31"/>
                <w:noWrap/>
                <w:vAlign w:val="bottom"/>
              </w:tcPr>
              <w:p w14:paraId="5EEEDBCD" w14:textId="77777777" w:rsidR="0006377C" w:rsidRPr="003E75A9" w:rsidRDefault="0006377C" w:rsidP="0006377C">
                <w:pPr>
                  <w:spacing w:after="0" w:line="276" w:lineRule="auto"/>
                  <w:jc w:val="both"/>
                  <w:rPr>
                    <w:rFonts w:ascii="Calibri" w:eastAsia="Times New Roman" w:hAnsi="Calibri" w:cs="Calibri"/>
                    <w:b/>
                    <w:bCs/>
                    <w:color w:val="000000"/>
                    <w:lang w:eastAsia="en-IN"/>
                  </w:rPr>
                </w:pPr>
              </w:p>
            </w:tc>
          </w:tr>
          <w:tr w:rsidR="0006377C" w:rsidRPr="003E75A9" w14:paraId="2B748506" w14:textId="77777777" w:rsidTr="009900FB">
            <w:trPr>
              <w:trHeight w:val="258"/>
            </w:trPr>
            <w:tc>
              <w:tcPr>
                <w:tcW w:w="413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221C9B"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 </w:t>
                </w:r>
              </w:p>
            </w:tc>
            <w:tc>
              <w:tcPr>
                <w:tcW w:w="1411" w:type="dxa"/>
                <w:tcBorders>
                  <w:top w:val="single" w:sz="4" w:space="0" w:color="auto"/>
                  <w:left w:val="nil"/>
                  <w:bottom w:val="single" w:sz="4" w:space="0" w:color="auto"/>
                  <w:right w:val="single" w:sz="4" w:space="0" w:color="auto"/>
                </w:tcBorders>
                <w:shd w:val="clear" w:color="auto" w:fill="auto"/>
                <w:noWrap/>
                <w:vAlign w:val="bottom"/>
                <w:hideMark/>
              </w:tcPr>
              <w:p w14:paraId="6CB029E4" w14:textId="3CF093DB" w:rsidR="0006377C" w:rsidRPr="003E75A9" w:rsidRDefault="0006377C" w:rsidP="0006377C">
                <w:pPr>
                  <w:spacing w:after="0" w:line="276" w:lineRule="auto"/>
                  <w:jc w:val="both"/>
                  <w:rPr>
                    <w:rFonts w:ascii="Calibri" w:eastAsia="Times New Roman" w:hAnsi="Calibri" w:cs="Calibri"/>
                    <w:b/>
                    <w:bCs/>
                    <w:color w:val="000000"/>
                    <w:lang w:eastAsia="en-IN"/>
                  </w:rPr>
                </w:pPr>
                <w:r w:rsidRPr="003E75A9">
                  <w:rPr>
                    <w:rFonts w:ascii="Calibri" w:eastAsia="Times New Roman" w:hAnsi="Calibri" w:cs="Calibri"/>
                    <w:b/>
                    <w:bCs/>
                    <w:color w:val="000000"/>
                    <w:lang w:eastAsia="en-IN"/>
                  </w:rPr>
                  <w:t>20</w:t>
                </w:r>
                <w:r w:rsidR="003A2BA1">
                  <w:rPr>
                    <w:rFonts w:ascii="Calibri" w:eastAsia="Times New Roman" w:hAnsi="Calibri" w:cs="Calibri"/>
                    <w:b/>
                    <w:bCs/>
                    <w:color w:val="000000"/>
                    <w:lang w:eastAsia="en-IN"/>
                  </w:rPr>
                  <w:t>20</w:t>
                </w:r>
              </w:p>
            </w:tc>
            <w:tc>
              <w:tcPr>
                <w:tcW w:w="1411" w:type="dxa"/>
                <w:tcBorders>
                  <w:top w:val="single" w:sz="4" w:space="0" w:color="auto"/>
                  <w:left w:val="nil"/>
                  <w:bottom w:val="single" w:sz="4" w:space="0" w:color="auto"/>
                  <w:right w:val="single" w:sz="4" w:space="0" w:color="auto"/>
                </w:tcBorders>
                <w:shd w:val="clear" w:color="auto" w:fill="auto"/>
                <w:noWrap/>
                <w:vAlign w:val="bottom"/>
                <w:hideMark/>
              </w:tcPr>
              <w:p w14:paraId="3D4409E3" w14:textId="77777777" w:rsidR="0006377C" w:rsidRPr="003E75A9" w:rsidRDefault="0006377C" w:rsidP="0006377C">
                <w:pPr>
                  <w:spacing w:after="0" w:line="276" w:lineRule="auto"/>
                  <w:jc w:val="both"/>
                  <w:rPr>
                    <w:rFonts w:ascii="Calibri" w:eastAsia="Times New Roman" w:hAnsi="Calibri" w:cs="Calibri"/>
                    <w:b/>
                    <w:bCs/>
                    <w:color w:val="000000"/>
                    <w:lang w:eastAsia="en-IN"/>
                  </w:rPr>
                </w:pPr>
                <w:r w:rsidRPr="003E75A9">
                  <w:rPr>
                    <w:rFonts w:ascii="Calibri" w:eastAsia="Times New Roman" w:hAnsi="Calibri" w:cs="Calibri"/>
                    <w:b/>
                    <w:bCs/>
                    <w:color w:val="000000"/>
                    <w:lang w:eastAsia="en-IN"/>
                  </w:rPr>
                  <w:t>2019</w:t>
                </w:r>
              </w:p>
            </w:tc>
            <w:tc>
              <w:tcPr>
                <w:tcW w:w="1171" w:type="dxa"/>
                <w:tcBorders>
                  <w:top w:val="single" w:sz="4" w:space="0" w:color="auto"/>
                  <w:left w:val="nil"/>
                  <w:bottom w:val="single" w:sz="4" w:space="0" w:color="auto"/>
                  <w:right w:val="single" w:sz="4" w:space="0" w:color="auto"/>
                </w:tcBorders>
                <w:shd w:val="clear" w:color="auto" w:fill="auto"/>
                <w:noWrap/>
                <w:vAlign w:val="bottom"/>
                <w:hideMark/>
              </w:tcPr>
              <w:p w14:paraId="763C1F41" w14:textId="77777777" w:rsidR="0006377C" w:rsidRPr="003E75A9" w:rsidRDefault="0006377C" w:rsidP="0006377C">
                <w:pPr>
                  <w:spacing w:after="0" w:line="276" w:lineRule="auto"/>
                  <w:jc w:val="both"/>
                  <w:rPr>
                    <w:rFonts w:ascii="Calibri" w:eastAsia="Times New Roman" w:hAnsi="Calibri" w:cs="Calibri"/>
                    <w:b/>
                    <w:bCs/>
                    <w:color w:val="000000"/>
                    <w:lang w:eastAsia="en-IN"/>
                  </w:rPr>
                </w:pPr>
                <w:r w:rsidRPr="003E75A9">
                  <w:rPr>
                    <w:rFonts w:ascii="Calibri" w:eastAsia="Times New Roman" w:hAnsi="Calibri" w:cs="Calibri"/>
                    <w:b/>
                    <w:bCs/>
                    <w:color w:val="000000"/>
                    <w:lang w:eastAsia="en-IN"/>
                  </w:rPr>
                  <w:t xml:space="preserve">Change </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7B87FFFD" w14:textId="77777777" w:rsidR="0006377C" w:rsidRPr="003E75A9" w:rsidRDefault="0006377C" w:rsidP="0006377C">
                <w:pPr>
                  <w:spacing w:after="0" w:line="276" w:lineRule="auto"/>
                  <w:jc w:val="both"/>
                  <w:rPr>
                    <w:rFonts w:ascii="Calibri" w:eastAsia="Times New Roman" w:hAnsi="Calibri" w:cs="Calibri"/>
                    <w:b/>
                    <w:bCs/>
                    <w:color w:val="000000"/>
                    <w:lang w:eastAsia="en-IN"/>
                  </w:rPr>
                </w:pPr>
                <w:r w:rsidRPr="003E75A9">
                  <w:rPr>
                    <w:rFonts w:ascii="Calibri" w:eastAsia="Times New Roman" w:hAnsi="Calibri" w:cs="Calibri"/>
                    <w:b/>
                    <w:bCs/>
                    <w:color w:val="000000"/>
                    <w:lang w:eastAsia="en-IN"/>
                  </w:rPr>
                  <w:t>% Change</w:t>
                </w:r>
              </w:p>
            </w:tc>
          </w:tr>
          <w:tr w:rsidR="0006377C" w:rsidRPr="003E75A9" w14:paraId="6492924D" w14:textId="77777777" w:rsidTr="009900FB">
            <w:trPr>
              <w:trHeight w:val="258"/>
            </w:trPr>
            <w:tc>
              <w:tcPr>
                <w:tcW w:w="413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1FF140" w14:textId="77777777" w:rsidR="0006377C" w:rsidRPr="003E75A9" w:rsidRDefault="0006377C" w:rsidP="0006377C">
                <w:pPr>
                  <w:spacing w:after="0" w:line="276" w:lineRule="auto"/>
                  <w:jc w:val="both"/>
                  <w:rPr>
                    <w:rFonts w:ascii="Calibri" w:eastAsia="Times New Roman" w:hAnsi="Calibri" w:cs="Calibri"/>
                    <w:b/>
                    <w:bCs/>
                    <w:color w:val="000000"/>
                    <w:lang w:eastAsia="en-IN"/>
                  </w:rPr>
                </w:pPr>
                <w:r w:rsidRPr="003E75A9">
                  <w:rPr>
                    <w:rFonts w:ascii="Calibri" w:eastAsia="Times New Roman" w:hAnsi="Calibri" w:cs="Calibri"/>
                    <w:b/>
                    <w:bCs/>
                    <w:color w:val="000000"/>
                    <w:lang w:eastAsia="en-IN"/>
                  </w:rPr>
                  <w:t>Fiscal Year Ends</w:t>
                </w:r>
              </w:p>
            </w:tc>
            <w:tc>
              <w:tcPr>
                <w:tcW w:w="1411" w:type="dxa"/>
                <w:tcBorders>
                  <w:top w:val="single" w:sz="4" w:space="0" w:color="auto"/>
                  <w:left w:val="nil"/>
                  <w:bottom w:val="single" w:sz="4" w:space="0" w:color="auto"/>
                  <w:right w:val="single" w:sz="4" w:space="0" w:color="auto"/>
                </w:tcBorders>
                <w:shd w:val="clear" w:color="auto" w:fill="auto"/>
                <w:noWrap/>
                <w:vAlign w:val="bottom"/>
                <w:hideMark/>
              </w:tcPr>
              <w:p w14:paraId="5476F552" w14:textId="77777777" w:rsidR="0006377C" w:rsidRPr="003E75A9" w:rsidRDefault="0006377C" w:rsidP="0006377C">
                <w:pPr>
                  <w:spacing w:after="0" w:line="276" w:lineRule="auto"/>
                  <w:jc w:val="both"/>
                  <w:rPr>
                    <w:rFonts w:ascii="Calibri" w:eastAsia="Times New Roman" w:hAnsi="Calibri" w:cs="Calibri"/>
                    <w:b/>
                    <w:bCs/>
                    <w:color w:val="000000"/>
                    <w:lang w:eastAsia="en-IN"/>
                  </w:rPr>
                </w:pPr>
                <w:r w:rsidRPr="003E75A9">
                  <w:rPr>
                    <w:rFonts w:ascii="Calibri" w:eastAsia="Times New Roman" w:hAnsi="Calibri" w:cs="Calibri"/>
                    <w:b/>
                    <w:bCs/>
                    <w:color w:val="000000"/>
                    <w:lang w:eastAsia="en-IN"/>
                  </w:rPr>
                  <w:t>31-12-2021</w:t>
                </w:r>
              </w:p>
            </w:tc>
            <w:tc>
              <w:tcPr>
                <w:tcW w:w="1411" w:type="dxa"/>
                <w:tcBorders>
                  <w:top w:val="single" w:sz="4" w:space="0" w:color="auto"/>
                  <w:left w:val="nil"/>
                  <w:bottom w:val="single" w:sz="4" w:space="0" w:color="auto"/>
                  <w:right w:val="single" w:sz="4" w:space="0" w:color="auto"/>
                </w:tcBorders>
                <w:shd w:val="clear" w:color="auto" w:fill="auto"/>
                <w:noWrap/>
                <w:vAlign w:val="bottom"/>
                <w:hideMark/>
              </w:tcPr>
              <w:p w14:paraId="72AE3928" w14:textId="77777777" w:rsidR="0006377C" w:rsidRPr="003E75A9" w:rsidRDefault="0006377C" w:rsidP="0006377C">
                <w:pPr>
                  <w:spacing w:after="0" w:line="276" w:lineRule="auto"/>
                  <w:jc w:val="both"/>
                  <w:rPr>
                    <w:rFonts w:ascii="Calibri" w:eastAsia="Times New Roman" w:hAnsi="Calibri" w:cs="Calibri"/>
                    <w:b/>
                    <w:bCs/>
                    <w:color w:val="000000"/>
                    <w:lang w:eastAsia="en-IN"/>
                  </w:rPr>
                </w:pPr>
                <w:r w:rsidRPr="003E75A9">
                  <w:rPr>
                    <w:rFonts w:ascii="Calibri" w:eastAsia="Times New Roman" w:hAnsi="Calibri" w:cs="Calibri"/>
                    <w:b/>
                    <w:bCs/>
                    <w:color w:val="000000"/>
                    <w:lang w:eastAsia="en-IN"/>
                  </w:rPr>
                  <w:t>31-12-2020</w:t>
                </w:r>
              </w:p>
            </w:tc>
            <w:tc>
              <w:tcPr>
                <w:tcW w:w="1171" w:type="dxa"/>
                <w:tcBorders>
                  <w:top w:val="single" w:sz="4" w:space="0" w:color="auto"/>
                  <w:left w:val="nil"/>
                  <w:bottom w:val="single" w:sz="4" w:space="0" w:color="auto"/>
                  <w:right w:val="single" w:sz="4" w:space="0" w:color="auto"/>
                </w:tcBorders>
                <w:shd w:val="clear" w:color="auto" w:fill="auto"/>
                <w:noWrap/>
                <w:vAlign w:val="bottom"/>
                <w:hideMark/>
              </w:tcPr>
              <w:p w14:paraId="20D3A2BA" w14:textId="77777777" w:rsidR="0006377C" w:rsidRPr="003E75A9" w:rsidRDefault="0006377C" w:rsidP="0006377C">
                <w:pPr>
                  <w:spacing w:after="0" w:line="276" w:lineRule="auto"/>
                  <w:jc w:val="both"/>
                  <w:rPr>
                    <w:rFonts w:ascii="Calibri" w:eastAsia="Times New Roman" w:hAnsi="Calibri" w:cs="Calibri"/>
                    <w:b/>
                    <w:bCs/>
                    <w:color w:val="000000"/>
                    <w:lang w:eastAsia="en-IN"/>
                  </w:rPr>
                </w:pPr>
                <w:r w:rsidRPr="003E75A9">
                  <w:rPr>
                    <w:rFonts w:ascii="Calibri" w:eastAsia="Times New Roman" w:hAnsi="Calibri" w:cs="Calibri"/>
                    <w:b/>
                    <w:bCs/>
                    <w:color w:val="000000"/>
                    <w:lang w:eastAsia="en-IN"/>
                  </w:rPr>
                  <w:t> </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72168253" w14:textId="77777777" w:rsidR="0006377C" w:rsidRPr="003E75A9" w:rsidRDefault="0006377C" w:rsidP="0006377C">
                <w:pPr>
                  <w:spacing w:after="0" w:line="276" w:lineRule="auto"/>
                  <w:jc w:val="both"/>
                  <w:rPr>
                    <w:rFonts w:ascii="Calibri" w:eastAsia="Times New Roman" w:hAnsi="Calibri" w:cs="Calibri"/>
                    <w:b/>
                    <w:bCs/>
                    <w:color w:val="000000"/>
                    <w:lang w:eastAsia="en-IN"/>
                  </w:rPr>
                </w:pPr>
                <w:r w:rsidRPr="003E75A9">
                  <w:rPr>
                    <w:rFonts w:ascii="Calibri" w:eastAsia="Times New Roman" w:hAnsi="Calibri" w:cs="Calibri"/>
                    <w:b/>
                    <w:bCs/>
                    <w:color w:val="000000"/>
                    <w:lang w:eastAsia="en-IN"/>
                  </w:rPr>
                  <w:t> </w:t>
                </w:r>
              </w:p>
            </w:tc>
          </w:tr>
          <w:tr w:rsidR="0006377C" w:rsidRPr="003E75A9" w14:paraId="699E2F70" w14:textId="77777777" w:rsidTr="009900FB">
            <w:trPr>
              <w:trHeight w:val="258"/>
            </w:trPr>
            <w:tc>
              <w:tcPr>
                <w:tcW w:w="413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038064" w14:textId="77777777" w:rsidR="0006377C" w:rsidRPr="003E75A9" w:rsidRDefault="0006377C" w:rsidP="0006377C">
                <w:pPr>
                  <w:spacing w:after="0" w:line="276" w:lineRule="auto"/>
                  <w:jc w:val="both"/>
                  <w:rPr>
                    <w:rFonts w:ascii="Calibri" w:eastAsia="Times New Roman" w:hAnsi="Calibri" w:cs="Calibri"/>
                    <w:b/>
                    <w:bCs/>
                    <w:color w:val="000000"/>
                    <w:lang w:eastAsia="en-IN"/>
                  </w:rPr>
                </w:pPr>
                <w:r w:rsidRPr="003E75A9">
                  <w:rPr>
                    <w:rFonts w:ascii="Calibri" w:eastAsia="Times New Roman" w:hAnsi="Calibri" w:cs="Calibri"/>
                    <w:b/>
                    <w:bCs/>
                    <w:color w:val="000000"/>
                    <w:lang w:eastAsia="en-IN"/>
                  </w:rPr>
                  <w:t>Sales</w:t>
                </w:r>
              </w:p>
            </w:tc>
            <w:tc>
              <w:tcPr>
                <w:tcW w:w="1411" w:type="dxa"/>
                <w:tcBorders>
                  <w:top w:val="single" w:sz="4" w:space="0" w:color="auto"/>
                  <w:left w:val="nil"/>
                  <w:bottom w:val="single" w:sz="4" w:space="0" w:color="auto"/>
                  <w:right w:val="single" w:sz="4" w:space="0" w:color="auto"/>
                </w:tcBorders>
                <w:shd w:val="clear" w:color="auto" w:fill="auto"/>
                <w:noWrap/>
                <w:vAlign w:val="bottom"/>
                <w:hideMark/>
              </w:tcPr>
              <w:p w14:paraId="2F61762A"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4307000</w:t>
                </w:r>
              </w:p>
            </w:tc>
            <w:tc>
              <w:tcPr>
                <w:tcW w:w="1411" w:type="dxa"/>
                <w:tcBorders>
                  <w:top w:val="single" w:sz="4" w:space="0" w:color="auto"/>
                  <w:left w:val="nil"/>
                  <w:bottom w:val="single" w:sz="4" w:space="0" w:color="auto"/>
                  <w:right w:val="single" w:sz="4" w:space="0" w:color="auto"/>
                </w:tcBorders>
                <w:shd w:val="clear" w:color="auto" w:fill="auto"/>
                <w:noWrap/>
                <w:vAlign w:val="bottom"/>
                <w:hideMark/>
              </w:tcPr>
              <w:p w14:paraId="48FEEA12"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9452000</w:t>
                </w:r>
              </w:p>
            </w:tc>
            <w:tc>
              <w:tcPr>
                <w:tcW w:w="1171" w:type="dxa"/>
                <w:tcBorders>
                  <w:top w:val="single" w:sz="4" w:space="0" w:color="auto"/>
                  <w:left w:val="nil"/>
                  <w:bottom w:val="single" w:sz="4" w:space="0" w:color="auto"/>
                  <w:right w:val="single" w:sz="4" w:space="0" w:color="auto"/>
                </w:tcBorders>
                <w:shd w:val="clear" w:color="auto" w:fill="auto"/>
                <w:noWrap/>
                <w:vAlign w:val="bottom"/>
                <w:hideMark/>
              </w:tcPr>
              <w:p w14:paraId="766692F2"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-5145000</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58204905"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-54.43292425</w:t>
                </w:r>
              </w:p>
            </w:tc>
          </w:tr>
          <w:tr w:rsidR="0006377C" w:rsidRPr="003E75A9" w14:paraId="77E8F973" w14:textId="77777777" w:rsidTr="009900FB">
            <w:trPr>
              <w:trHeight w:val="258"/>
            </w:trPr>
            <w:tc>
              <w:tcPr>
                <w:tcW w:w="413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8EC7BB" w14:textId="77777777" w:rsidR="0006377C" w:rsidRPr="003E75A9" w:rsidRDefault="0006377C" w:rsidP="0006377C">
                <w:pPr>
                  <w:spacing w:after="0" w:line="276" w:lineRule="auto"/>
                  <w:jc w:val="both"/>
                  <w:rPr>
                    <w:rFonts w:ascii="Calibri" w:eastAsia="Times New Roman" w:hAnsi="Calibri" w:cs="Calibri"/>
                    <w:b/>
                    <w:bCs/>
                    <w:color w:val="000000"/>
                    <w:lang w:eastAsia="en-IN"/>
                  </w:rPr>
                </w:pPr>
                <w:r w:rsidRPr="003E75A9">
                  <w:rPr>
                    <w:rFonts w:ascii="Calibri" w:eastAsia="Times New Roman" w:hAnsi="Calibri" w:cs="Calibri"/>
                    <w:b/>
                    <w:bCs/>
                    <w:color w:val="000000"/>
                    <w:lang w:eastAsia="en-IN"/>
                  </w:rPr>
                  <w:t>Cost of Goods Sold</w:t>
                </w:r>
              </w:p>
            </w:tc>
            <w:tc>
              <w:tcPr>
                <w:tcW w:w="1411" w:type="dxa"/>
                <w:tcBorders>
                  <w:top w:val="single" w:sz="4" w:space="0" w:color="auto"/>
                  <w:left w:val="nil"/>
                  <w:bottom w:val="single" w:sz="4" w:space="0" w:color="auto"/>
                  <w:right w:val="single" w:sz="4" w:space="0" w:color="auto"/>
                </w:tcBorders>
                <w:shd w:val="clear" w:color="auto" w:fill="auto"/>
                <w:noWrap/>
                <w:vAlign w:val="bottom"/>
                <w:hideMark/>
              </w:tcPr>
              <w:p w14:paraId="24914E4A"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3724000</w:t>
                </w:r>
              </w:p>
            </w:tc>
            <w:tc>
              <w:tcPr>
                <w:tcW w:w="1411" w:type="dxa"/>
                <w:tcBorders>
                  <w:top w:val="single" w:sz="4" w:space="0" w:color="auto"/>
                  <w:left w:val="nil"/>
                  <w:bottom w:val="single" w:sz="4" w:space="0" w:color="auto"/>
                  <w:right w:val="single" w:sz="4" w:space="0" w:color="auto"/>
                </w:tcBorders>
                <w:shd w:val="clear" w:color="auto" w:fill="auto"/>
                <w:noWrap/>
                <w:vAlign w:val="bottom"/>
                <w:hideMark/>
              </w:tcPr>
              <w:p w14:paraId="75754260"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7017000</w:t>
                </w:r>
              </w:p>
            </w:tc>
            <w:tc>
              <w:tcPr>
                <w:tcW w:w="1171" w:type="dxa"/>
                <w:tcBorders>
                  <w:top w:val="single" w:sz="4" w:space="0" w:color="auto"/>
                  <w:left w:val="nil"/>
                  <w:bottom w:val="single" w:sz="4" w:space="0" w:color="auto"/>
                  <w:right w:val="single" w:sz="4" w:space="0" w:color="auto"/>
                </w:tcBorders>
                <w:shd w:val="clear" w:color="auto" w:fill="auto"/>
                <w:noWrap/>
                <w:vAlign w:val="bottom"/>
                <w:hideMark/>
              </w:tcPr>
              <w:p w14:paraId="2E804062"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-3293000</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0932AB79"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-46.92888699</w:t>
                </w:r>
              </w:p>
            </w:tc>
          </w:tr>
          <w:tr w:rsidR="0006377C" w:rsidRPr="003E75A9" w14:paraId="56E738CD" w14:textId="77777777" w:rsidTr="009900FB">
            <w:trPr>
              <w:trHeight w:val="258"/>
            </w:trPr>
            <w:tc>
              <w:tcPr>
                <w:tcW w:w="413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B6AF55" w14:textId="77777777" w:rsidR="0006377C" w:rsidRPr="003E75A9" w:rsidRDefault="0006377C" w:rsidP="0006377C">
                <w:pPr>
                  <w:spacing w:after="0" w:line="276" w:lineRule="auto"/>
                  <w:jc w:val="both"/>
                  <w:rPr>
                    <w:rFonts w:ascii="Calibri" w:eastAsia="Times New Roman" w:hAnsi="Calibri" w:cs="Calibri"/>
                    <w:b/>
                    <w:bCs/>
                    <w:color w:val="000000"/>
                    <w:lang w:eastAsia="en-IN"/>
                  </w:rPr>
                </w:pPr>
                <w:r w:rsidRPr="003E75A9">
                  <w:rPr>
                    <w:rFonts w:ascii="Calibri" w:eastAsia="Times New Roman" w:hAnsi="Calibri" w:cs="Calibri"/>
                    <w:b/>
                    <w:bCs/>
                    <w:color w:val="000000"/>
                    <w:lang w:eastAsia="en-IN"/>
                  </w:rPr>
                  <w:t>Gross Profit</w:t>
                </w:r>
              </w:p>
            </w:tc>
            <w:tc>
              <w:tcPr>
                <w:tcW w:w="1411" w:type="dxa"/>
                <w:tcBorders>
                  <w:top w:val="single" w:sz="4" w:space="0" w:color="auto"/>
                  <w:left w:val="nil"/>
                  <w:bottom w:val="single" w:sz="4" w:space="0" w:color="auto"/>
                  <w:right w:val="single" w:sz="4" w:space="0" w:color="auto"/>
                </w:tcBorders>
                <w:shd w:val="clear" w:color="auto" w:fill="auto"/>
                <w:noWrap/>
                <w:vAlign w:val="bottom"/>
                <w:hideMark/>
              </w:tcPr>
              <w:p w14:paraId="5E7121C6"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583000</w:t>
                </w:r>
              </w:p>
            </w:tc>
            <w:tc>
              <w:tcPr>
                <w:tcW w:w="1411" w:type="dxa"/>
                <w:tcBorders>
                  <w:top w:val="single" w:sz="4" w:space="0" w:color="auto"/>
                  <w:left w:val="nil"/>
                  <w:bottom w:val="single" w:sz="4" w:space="0" w:color="auto"/>
                  <w:right w:val="single" w:sz="4" w:space="0" w:color="auto"/>
                </w:tcBorders>
                <w:shd w:val="clear" w:color="auto" w:fill="auto"/>
                <w:noWrap/>
                <w:vAlign w:val="bottom"/>
                <w:hideMark/>
              </w:tcPr>
              <w:p w14:paraId="3529973A"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2435000</w:t>
                </w:r>
              </w:p>
            </w:tc>
            <w:tc>
              <w:tcPr>
                <w:tcW w:w="1171" w:type="dxa"/>
                <w:tcBorders>
                  <w:top w:val="single" w:sz="4" w:space="0" w:color="auto"/>
                  <w:left w:val="nil"/>
                  <w:bottom w:val="single" w:sz="4" w:space="0" w:color="auto"/>
                  <w:right w:val="single" w:sz="4" w:space="0" w:color="auto"/>
                </w:tcBorders>
                <w:shd w:val="clear" w:color="auto" w:fill="auto"/>
                <w:noWrap/>
                <w:vAlign w:val="bottom"/>
                <w:hideMark/>
              </w:tcPr>
              <w:p w14:paraId="179B4DEF"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-1852000</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3C0996B4"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-76.05749487</w:t>
                </w:r>
              </w:p>
            </w:tc>
          </w:tr>
          <w:tr w:rsidR="0006377C" w:rsidRPr="003E75A9" w14:paraId="18F084DC" w14:textId="77777777" w:rsidTr="009900FB">
            <w:trPr>
              <w:trHeight w:val="258"/>
            </w:trPr>
            <w:tc>
              <w:tcPr>
                <w:tcW w:w="413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7B0043" w14:textId="77777777" w:rsidR="0006377C" w:rsidRPr="003E75A9" w:rsidRDefault="0006377C" w:rsidP="0006377C">
                <w:pPr>
                  <w:spacing w:after="0" w:line="276" w:lineRule="auto"/>
                  <w:jc w:val="both"/>
                  <w:rPr>
                    <w:rFonts w:ascii="Calibri" w:eastAsia="Times New Roman" w:hAnsi="Calibri" w:cs="Calibri"/>
                    <w:b/>
                    <w:bCs/>
                    <w:color w:val="000000"/>
                    <w:lang w:eastAsia="en-IN"/>
                  </w:rPr>
                </w:pPr>
                <w:r w:rsidRPr="003E75A9">
                  <w:rPr>
                    <w:rFonts w:ascii="Calibri" w:eastAsia="Times New Roman" w:hAnsi="Calibri" w:cs="Calibri"/>
                    <w:b/>
                    <w:bCs/>
                    <w:color w:val="000000"/>
                    <w:lang w:eastAsia="en-IN"/>
                  </w:rPr>
                  <w:t>Operating Expenses</w:t>
                </w:r>
              </w:p>
            </w:tc>
            <w:tc>
              <w:tcPr>
                <w:tcW w:w="1411" w:type="dxa"/>
                <w:tcBorders>
                  <w:top w:val="single" w:sz="4" w:space="0" w:color="auto"/>
                  <w:left w:val="nil"/>
                  <w:bottom w:val="single" w:sz="4" w:space="0" w:color="auto"/>
                  <w:right w:val="single" w:sz="4" w:space="0" w:color="auto"/>
                </w:tcBorders>
                <w:shd w:val="clear" w:color="auto" w:fill="auto"/>
                <w:noWrap/>
                <w:vAlign w:val="bottom"/>
                <w:hideMark/>
              </w:tcPr>
              <w:p w14:paraId="2CC60AD8"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702000</w:t>
                </w:r>
              </w:p>
            </w:tc>
            <w:tc>
              <w:tcPr>
                <w:tcW w:w="1411" w:type="dxa"/>
                <w:tcBorders>
                  <w:top w:val="single" w:sz="4" w:space="0" w:color="auto"/>
                  <w:left w:val="nil"/>
                  <w:bottom w:val="single" w:sz="4" w:space="0" w:color="auto"/>
                  <w:right w:val="single" w:sz="4" w:space="0" w:color="auto"/>
                </w:tcBorders>
                <w:shd w:val="clear" w:color="auto" w:fill="auto"/>
                <w:noWrap/>
                <w:vAlign w:val="bottom"/>
                <w:hideMark/>
              </w:tcPr>
              <w:p w14:paraId="449AC7BA"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859000</w:t>
                </w:r>
              </w:p>
            </w:tc>
            <w:tc>
              <w:tcPr>
                <w:tcW w:w="1171" w:type="dxa"/>
                <w:tcBorders>
                  <w:top w:val="single" w:sz="4" w:space="0" w:color="auto"/>
                  <w:left w:val="nil"/>
                  <w:bottom w:val="single" w:sz="4" w:space="0" w:color="auto"/>
                  <w:right w:val="single" w:sz="4" w:space="0" w:color="auto"/>
                </w:tcBorders>
                <w:shd w:val="clear" w:color="auto" w:fill="auto"/>
                <w:noWrap/>
                <w:vAlign w:val="bottom"/>
                <w:hideMark/>
              </w:tcPr>
              <w:p w14:paraId="00ECFA73"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-157000</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1E50B305"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-18.27706636</w:t>
                </w:r>
              </w:p>
            </w:tc>
          </w:tr>
          <w:tr w:rsidR="0006377C" w:rsidRPr="003E75A9" w14:paraId="3DBE9542" w14:textId="77777777" w:rsidTr="009900FB">
            <w:trPr>
              <w:trHeight w:val="258"/>
            </w:trPr>
            <w:tc>
              <w:tcPr>
                <w:tcW w:w="413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E25BA2F" w14:textId="77777777" w:rsidR="0006377C" w:rsidRPr="003E75A9" w:rsidRDefault="0006377C" w:rsidP="0006377C">
                <w:pPr>
                  <w:spacing w:after="0" w:line="276" w:lineRule="auto"/>
                  <w:jc w:val="both"/>
                  <w:rPr>
                    <w:rFonts w:ascii="Calibri" w:eastAsia="Times New Roman" w:hAnsi="Calibri" w:cs="Calibri"/>
                    <w:b/>
                    <w:bCs/>
                    <w:color w:val="000000"/>
                    <w:lang w:eastAsia="en-IN"/>
                  </w:rPr>
                </w:pPr>
                <w:r w:rsidRPr="003E75A9">
                  <w:rPr>
                    <w:rFonts w:ascii="Calibri" w:eastAsia="Times New Roman" w:hAnsi="Calibri" w:cs="Calibri"/>
                    <w:b/>
                    <w:bCs/>
                    <w:color w:val="000000"/>
                    <w:lang w:eastAsia="en-IN"/>
                  </w:rPr>
                  <w:t>Operating Income</w:t>
                </w:r>
              </w:p>
            </w:tc>
            <w:tc>
              <w:tcPr>
                <w:tcW w:w="1411" w:type="dxa"/>
                <w:tcBorders>
                  <w:top w:val="single" w:sz="4" w:space="0" w:color="auto"/>
                  <w:left w:val="nil"/>
                  <w:bottom w:val="single" w:sz="4" w:space="0" w:color="auto"/>
                  <w:right w:val="single" w:sz="4" w:space="0" w:color="auto"/>
                </w:tcBorders>
                <w:shd w:val="clear" w:color="auto" w:fill="auto"/>
                <w:noWrap/>
                <w:vAlign w:val="bottom"/>
                <w:hideMark/>
              </w:tcPr>
              <w:p w14:paraId="68647F7E"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-119000</w:t>
                </w:r>
              </w:p>
            </w:tc>
            <w:tc>
              <w:tcPr>
                <w:tcW w:w="1411" w:type="dxa"/>
                <w:tcBorders>
                  <w:top w:val="single" w:sz="4" w:space="0" w:color="auto"/>
                  <w:left w:val="nil"/>
                  <w:bottom w:val="single" w:sz="4" w:space="0" w:color="auto"/>
                  <w:right w:val="single" w:sz="4" w:space="0" w:color="auto"/>
                </w:tcBorders>
                <w:shd w:val="clear" w:color="auto" w:fill="auto"/>
                <w:noWrap/>
                <w:vAlign w:val="bottom"/>
                <w:hideMark/>
              </w:tcPr>
              <w:p w14:paraId="727BE1D5"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1576000</w:t>
                </w:r>
              </w:p>
            </w:tc>
            <w:tc>
              <w:tcPr>
                <w:tcW w:w="1171" w:type="dxa"/>
                <w:tcBorders>
                  <w:top w:val="single" w:sz="4" w:space="0" w:color="auto"/>
                  <w:left w:val="nil"/>
                  <w:bottom w:val="single" w:sz="4" w:space="0" w:color="auto"/>
                  <w:right w:val="single" w:sz="4" w:space="0" w:color="auto"/>
                </w:tcBorders>
                <w:shd w:val="clear" w:color="auto" w:fill="auto"/>
                <w:noWrap/>
                <w:vAlign w:val="bottom"/>
                <w:hideMark/>
              </w:tcPr>
              <w:p w14:paraId="15939926"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-1695000</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5A670884"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-107.5507614</w:t>
                </w:r>
              </w:p>
            </w:tc>
          </w:tr>
          <w:tr w:rsidR="0006377C" w:rsidRPr="003E75A9" w14:paraId="6D4144B3" w14:textId="77777777" w:rsidTr="009900FB">
            <w:trPr>
              <w:trHeight w:val="258"/>
            </w:trPr>
            <w:tc>
              <w:tcPr>
                <w:tcW w:w="413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70CEA1" w14:textId="77777777" w:rsidR="0006377C" w:rsidRPr="003E75A9" w:rsidRDefault="0006377C" w:rsidP="0006377C">
                <w:pPr>
                  <w:spacing w:after="0" w:line="276" w:lineRule="auto"/>
                  <w:jc w:val="both"/>
                  <w:rPr>
                    <w:rFonts w:ascii="Calibri" w:eastAsia="Times New Roman" w:hAnsi="Calibri" w:cs="Calibri"/>
                    <w:b/>
                    <w:bCs/>
                    <w:color w:val="000000"/>
                    <w:lang w:eastAsia="en-IN"/>
                  </w:rPr>
                </w:pPr>
                <w:r w:rsidRPr="003E75A9">
                  <w:rPr>
                    <w:rFonts w:ascii="Calibri" w:eastAsia="Times New Roman" w:hAnsi="Calibri" w:cs="Calibri"/>
                    <w:b/>
                    <w:bCs/>
                    <w:color w:val="000000"/>
                    <w:lang w:eastAsia="en-IN"/>
                  </w:rPr>
                  <w:t xml:space="preserve">Interest Expense </w:t>
                </w:r>
              </w:p>
            </w:tc>
            <w:tc>
              <w:tcPr>
                <w:tcW w:w="1411" w:type="dxa"/>
                <w:tcBorders>
                  <w:top w:val="single" w:sz="4" w:space="0" w:color="auto"/>
                  <w:left w:val="nil"/>
                  <w:bottom w:val="single" w:sz="4" w:space="0" w:color="auto"/>
                  <w:right w:val="single" w:sz="4" w:space="0" w:color="auto"/>
                </w:tcBorders>
                <w:shd w:val="clear" w:color="auto" w:fill="auto"/>
                <w:noWrap/>
                <w:vAlign w:val="bottom"/>
                <w:hideMark/>
              </w:tcPr>
              <w:p w14:paraId="29B3E589"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429000</w:t>
                </w:r>
              </w:p>
            </w:tc>
            <w:tc>
              <w:tcPr>
                <w:tcW w:w="1411" w:type="dxa"/>
                <w:tcBorders>
                  <w:top w:val="single" w:sz="4" w:space="0" w:color="auto"/>
                  <w:left w:val="nil"/>
                  <w:bottom w:val="single" w:sz="4" w:space="0" w:color="auto"/>
                  <w:right w:val="single" w:sz="4" w:space="0" w:color="auto"/>
                </w:tcBorders>
                <w:shd w:val="clear" w:color="auto" w:fill="auto"/>
                <w:noWrap/>
                <w:vAlign w:val="bottom"/>
                <w:hideMark/>
              </w:tcPr>
              <w:p w14:paraId="75797396"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414000</w:t>
                </w:r>
              </w:p>
            </w:tc>
            <w:tc>
              <w:tcPr>
                <w:tcW w:w="1171" w:type="dxa"/>
                <w:tcBorders>
                  <w:top w:val="single" w:sz="4" w:space="0" w:color="auto"/>
                  <w:left w:val="nil"/>
                  <w:bottom w:val="single" w:sz="4" w:space="0" w:color="auto"/>
                  <w:right w:val="single" w:sz="4" w:space="0" w:color="auto"/>
                </w:tcBorders>
                <w:shd w:val="clear" w:color="auto" w:fill="auto"/>
                <w:noWrap/>
                <w:vAlign w:val="bottom"/>
                <w:hideMark/>
              </w:tcPr>
              <w:p w14:paraId="4F5431E2"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15000</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6C0A969F"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3.623188406</w:t>
                </w:r>
              </w:p>
            </w:tc>
          </w:tr>
          <w:tr w:rsidR="0006377C" w:rsidRPr="003E75A9" w14:paraId="54808B69" w14:textId="77777777" w:rsidTr="009900FB">
            <w:trPr>
              <w:trHeight w:val="258"/>
            </w:trPr>
            <w:tc>
              <w:tcPr>
                <w:tcW w:w="413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BF57971" w14:textId="77777777" w:rsidR="0006377C" w:rsidRPr="003E75A9" w:rsidRDefault="0006377C" w:rsidP="0006377C">
                <w:pPr>
                  <w:spacing w:after="0" w:line="276" w:lineRule="auto"/>
                  <w:jc w:val="both"/>
                  <w:rPr>
                    <w:rFonts w:ascii="Calibri" w:eastAsia="Times New Roman" w:hAnsi="Calibri" w:cs="Calibri"/>
                    <w:b/>
                    <w:bCs/>
                    <w:color w:val="000000"/>
                    <w:lang w:eastAsia="en-IN"/>
                  </w:rPr>
                </w:pPr>
                <w:r w:rsidRPr="003E75A9">
                  <w:rPr>
                    <w:rFonts w:ascii="Calibri" w:eastAsia="Times New Roman" w:hAnsi="Calibri" w:cs="Calibri"/>
                    <w:b/>
                    <w:bCs/>
                    <w:color w:val="000000"/>
                    <w:lang w:eastAsia="en-IN"/>
                  </w:rPr>
                  <w:t>Total Other Income/expenses net</w:t>
                </w:r>
              </w:p>
            </w:tc>
            <w:tc>
              <w:tcPr>
                <w:tcW w:w="1411" w:type="dxa"/>
                <w:tcBorders>
                  <w:top w:val="single" w:sz="4" w:space="0" w:color="auto"/>
                  <w:left w:val="nil"/>
                  <w:bottom w:val="single" w:sz="4" w:space="0" w:color="auto"/>
                  <w:right w:val="single" w:sz="4" w:space="0" w:color="auto"/>
                </w:tcBorders>
                <w:shd w:val="clear" w:color="auto" w:fill="auto"/>
                <w:noWrap/>
                <w:vAlign w:val="bottom"/>
                <w:hideMark/>
              </w:tcPr>
              <w:p w14:paraId="1340CBFB"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-376000</w:t>
                </w:r>
              </w:p>
            </w:tc>
            <w:tc>
              <w:tcPr>
                <w:tcW w:w="1411" w:type="dxa"/>
                <w:tcBorders>
                  <w:top w:val="single" w:sz="4" w:space="0" w:color="auto"/>
                  <w:left w:val="nil"/>
                  <w:bottom w:val="single" w:sz="4" w:space="0" w:color="auto"/>
                  <w:right w:val="single" w:sz="4" w:space="0" w:color="auto"/>
                </w:tcBorders>
                <w:shd w:val="clear" w:color="auto" w:fill="auto"/>
                <w:noWrap/>
                <w:vAlign w:val="bottom"/>
                <w:hideMark/>
              </w:tcPr>
              <w:p w14:paraId="37DE0D43"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82000</w:t>
                </w:r>
              </w:p>
            </w:tc>
            <w:tc>
              <w:tcPr>
                <w:tcW w:w="1171" w:type="dxa"/>
                <w:tcBorders>
                  <w:top w:val="single" w:sz="4" w:space="0" w:color="auto"/>
                  <w:left w:val="nil"/>
                  <w:bottom w:val="single" w:sz="4" w:space="0" w:color="auto"/>
                  <w:right w:val="single" w:sz="4" w:space="0" w:color="auto"/>
                </w:tcBorders>
                <w:shd w:val="clear" w:color="auto" w:fill="auto"/>
                <w:noWrap/>
                <w:vAlign w:val="bottom"/>
                <w:hideMark/>
              </w:tcPr>
              <w:p w14:paraId="5CAF9C34"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-458000</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58086110"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-558.5365854</w:t>
                </w:r>
              </w:p>
            </w:tc>
          </w:tr>
          <w:tr w:rsidR="0006377C" w:rsidRPr="003E75A9" w14:paraId="5F61C30E" w14:textId="77777777" w:rsidTr="009900FB">
            <w:trPr>
              <w:trHeight w:val="258"/>
            </w:trPr>
            <w:tc>
              <w:tcPr>
                <w:tcW w:w="413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712ADC" w14:textId="77777777" w:rsidR="0006377C" w:rsidRPr="003E75A9" w:rsidRDefault="0006377C" w:rsidP="0006377C">
                <w:pPr>
                  <w:spacing w:after="0" w:line="276" w:lineRule="auto"/>
                  <w:jc w:val="both"/>
                  <w:rPr>
                    <w:rFonts w:ascii="Calibri" w:eastAsia="Times New Roman" w:hAnsi="Calibri" w:cs="Calibri"/>
                    <w:b/>
                    <w:bCs/>
                    <w:color w:val="000000"/>
                    <w:lang w:eastAsia="en-IN"/>
                  </w:rPr>
                </w:pPr>
                <w:r w:rsidRPr="003E75A9">
                  <w:rPr>
                    <w:rFonts w:ascii="Calibri" w:eastAsia="Times New Roman" w:hAnsi="Calibri" w:cs="Calibri"/>
                    <w:b/>
                    <w:bCs/>
                    <w:color w:val="000000"/>
                    <w:lang w:eastAsia="en-IN"/>
                  </w:rPr>
                  <w:t xml:space="preserve">Income Before Taxes </w:t>
                </w:r>
              </w:p>
            </w:tc>
            <w:tc>
              <w:tcPr>
                <w:tcW w:w="1411" w:type="dxa"/>
                <w:tcBorders>
                  <w:top w:val="single" w:sz="4" w:space="0" w:color="auto"/>
                  <w:left w:val="nil"/>
                  <w:bottom w:val="single" w:sz="4" w:space="0" w:color="auto"/>
                  <w:right w:val="single" w:sz="4" w:space="0" w:color="auto"/>
                </w:tcBorders>
                <w:shd w:val="clear" w:color="auto" w:fill="auto"/>
                <w:noWrap/>
                <w:vAlign w:val="bottom"/>
                <w:hideMark/>
              </w:tcPr>
              <w:p w14:paraId="2A863375"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-924000</w:t>
                </w:r>
              </w:p>
            </w:tc>
            <w:tc>
              <w:tcPr>
                <w:tcW w:w="1411" w:type="dxa"/>
                <w:tcBorders>
                  <w:top w:val="single" w:sz="4" w:space="0" w:color="auto"/>
                  <w:left w:val="nil"/>
                  <w:bottom w:val="single" w:sz="4" w:space="0" w:color="auto"/>
                  <w:right w:val="single" w:sz="4" w:space="0" w:color="auto"/>
                </w:tcBorders>
                <w:shd w:val="clear" w:color="auto" w:fill="auto"/>
                <w:noWrap/>
                <w:vAlign w:val="bottom"/>
                <w:hideMark/>
              </w:tcPr>
              <w:p w14:paraId="7970DACE"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1244000</w:t>
                </w:r>
              </w:p>
            </w:tc>
            <w:tc>
              <w:tcPr>
                <w:tcW w:w="1171" w:type="dxa"/>
                <w:tcBorders>
                  <w:top w:val="single" w:sz="4" w:space="0" w:color="auto"/>
                  <w:left w:val="nil"/>
                  <w:bottom w:val="single" w:sz="4" w:space="0" w:color="auto"/>
                  <w:right w:val="single" w:sz="4" w:space="0" w:color="auto"/>
                </w:tcBorders>
                <w:shd w:val="clear" w:color="auto" w:fill="auto"/>
                <w:noWrap/>
                <w:vAlign w:val="bottom"/>
                <w:hideMark/>
              </w:tcPr>
              <w:p w14:paraId="7986FFBA"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-2168000</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4B0D7C2E"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-174.2765273</w:t>
                </w:r>
              </w:p>
            </w:tc>
          </w:tr>
          <w:tr w:rsidR="0006377C" w:rsidRPr="003E75A9" w14:paraId="74185091" w14:textId="77777777" w:rsidTr="009900FB">
            <w:trPr>
              <w:trHeight w:val="258"/>
            </w:trPr>
            <w:tc>
              <w:tcPr>
                <w:tcW w:w="413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84E1D4" w14:textId="77777777" w:rsidR="0006377C" w:rsidRPr="003E75A9" w:rsidRDefault="0006377C" w:rsidP="0006377C">
                <w:pPr>
                  <w:spacing w:after="0" w:line="276" w:lineRule="auto"/>
                  <w:jc w:val="both"/>
                  <w:rPr>
                    <w:rFonts w:ascii="Calibri" w:eastAsia="Times New Roman" w:hAnsi="Calibri" w:cs="Calibri"/>
                    <w:b/>
                    <w:bCs/>
                    <w:color w:val="000000"/>
                    <w:lang w:eastAsia="en-IN"/>
                  </w:rPr>
                </w:pPr>
                <w:r w:rsidRPr="003E75A9">
                  <w:rPr>
                    <w:rFonts w:ascii="Calibri" w:eastAsia="Times New Roman" w:hAnsi="Calibri" w:cs="Calibri"/>
                    <w:b/>
                    <w:bCs/>
                    <w:color w:val="000000"/>
                    <w:lang w:eastAsia="en-IN"/>
                  </w:rPr>
                  <w:t>Net Income</w:t>
                </w:r>
              </w:p>
            </w:tc>
            <w:tc>
              <w:tcPr>
                <w:tcW w:w="1411" w:type="dxa"/>
                <w:tcBorders>
                  <w:top w:val="single" w:sz="4" w:space="0" w:color="auto"/>
                  <w:left w:val="nil"/>
                  <w:bottom w:val="single" w:sz="4" w:space="0" w:color="auto"/>
                  <w:right w:val="single" w:sz="4" w:space="0" w:color="auto"/>
                </w:tcBorders>
                <w:shd w:val="clear" w:color="auto" w:fill="auto"/>
                <w:noWrap/>
                <w:vAlign w:val="bottom"/>
                <w:hideMark/>
              </w:tcPr>
              <w:p w14:paraId="38D85184"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-715000</w:t>
                </w:r>
              </w:p>
            </w:tc>
            <w:tc>
              <w:tcPr>
                <w:tcW w:w="1411" w:type="dxa"/>
                <w:tcBorders>
                  <w:top w:val="single" w:sz="4" w:space="0" w:color="auto"/>
                  <w:left w:val="nil"/>
                  <w:bottom w:val="single" w:sz="4" w:space="0" w:color="auto"/>
                  <w:right w:val="single" w:sz="4" w:space="0" w:color="auto"/>
                </w:tcBorders>
                <w:shd w:val="clear" w:color="auto" w:fill="auto"/>
                <w:noWrap/>
                <w:vAlign w:val="bottom"/>
                <w:hideMark/>
              </w:tcPr>
              <w:p w14:paraId="5DBC0413"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881000</w:t>
                </w:r>
              </w:p>
            </w:tc>
            <w:tc>
              <w:tcPr>
                <w:tcW w:w="1171" w:type="dxa"/>
                <w:tcBorders>
                  <w:top w:val="single" w:sz="4" w:space="0" w:color="auto"/>
                  <w:left w:val="nil"/>
                  <w:bottom w:val="single" w:sz="4" w:space="0" w:color="auto"/>
                  <w:right w:val="single" w:sz="4" w:space="0" w:color="auto"/>
                </w:tcBorders>
                <w:shd w:val="clear" w:color="auto" w:fill="auto"/>
                <w:noWrap/>
                <w:vAlign w:val="bottom"/>
                <w:hideMark/>
              </w:tcPr>
              <w:p w14:paraId="10F545EA"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-1596000</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2C87E2E6" w14:textId="77777777" w:rsidR="0006377C" w:rsidRPr="003E75A9" w:rsidRDefault="0006377C" w:rsidP="0006377C">
                <w:pPr>
                  <w:spacing w:after="0" w:line="276" w:lineRule="auto"/>
                  <w:jc w:val="both"/>
                  <w:rPr>
                    <w:rFonts w:ascii="Calibri" w:eastAsia="Times New Roman" w:hAnsi="Calibri" w:cs="Calibri"/>
                    <w:color w:val="000000"/>
                    <w:lang w:eastAsia="en-IN"/>
                  </w:rPr>
                </w:pPr>
                <w:r w:rsidRPr="003E75A9">
                  <w:rPr>
                    <w:rFonts w:ascii="Calibri" w:eastAsia="Times New Roman" w:hAnsi="Calibri" w:cs="Calibri"/>
                    <w:color w:val="000000"/>
                    <w:lang w:eastAsia="en-IN"/>
                  </w:rPr>
                  <w:t>-181.1577753</w:t>
                </w:r>
              </w:p>
            </w:tc>
          </w:tr>
        </w:tbl>
        <w:p w14:paraId="63D7C1A9" w14:textId="77777777" w:rsidR="0006377C" w:rsidRPr="00A10277" w:rsidRDefault="0006377C" w:rsidP="0006377C">
          <w:pPr>
            <w:spacing w:line="276" w:lineRule="auto"/>
            <w:jc w:val="both"/>
          </w:pPr>
        </w:p>
        <w:p w14:paraId="672D5B51" w14:textId="318AB786" w:rsidR="0006377C" w:rsidRDefault="0006377C" w:rsidP="0006377C">
          <w:pPr>
            <w:spacing w:line="276" w:lineRule="auto"/>
            <w:jc w:val="both"/>
            <w:rPr>
              <w:rFonts w:ascii="Arial" w:hAnsi="Arial" w:cs="Arial"/>
              <w:sz w:val="24"/>
              <w:szCs w:val="24"/>
            </w:rPr>
          </w:pPr>
          <w:r w:rsidRPr="002D3BD2">
            <w:rPr>
              <w:rFonts w:ascii="Arial" w:hAnsi="Arial" w:cs="Arial"/>
              <w:sz w:val="24"/>
              <w:szCs w:val="24"/>
            </w:rPr>
            <w:t>As illustrated above, horizontal analysis of the income statement is typically done in a two-year format, with a variance additionally shown that specifies the difference in each line item between the two years. Adding as many years as will fit on the page without presenting a variance is an alternate format that allows you to see broad changes by account over a long period of time. Each year in the report should be broken down into a percentage of total revenue by the percentage of total expenses for that year.</w:t>
          </w:r>
        </w:p>
        <w:p w14:paraId="31AF585D" w14:textId="77777777" w:rsidR="0006377C" w:rsidRPr="002D3BD2" w:rsidRDefault="0006377C" w:rsidP="0006377C">
          <w:pPr>
            <w:spacing w:line="276" w:lineRule="auto"/>
            <w:jc w:val="both"/>
            <w:rPr>
              <w:rFonts w:ascii="Arial" w:hAnsi="Arial" w:cs="Arial"/>
              <w:sz w:val="24"/>
              <w:szCs w:val="24"/>
            </w:rPr>
          </w:pPr>
        </w:p>
        <w:p w14:paraId="521513FB" w14:textId="77777777" w:rsidR="0006377C" w:rsidRPr="002D3BD2" w:rsidRDefault="0006377C" w:rsidP="0006377C">
          <w:pPr>
            <w:pStyle w:val="Heading2"/>
            <w:spacing w:line="276" w:lineRule="auto"/>
            <w:jc w:val="both"/>
            <w:rPr>
              <w:rFonts w:ascii="Arial" w:hAnsi="Arial" w:cs="Arial"/>
              <w:sz w:val="24"/>
              <w:szCs w:val="24"/>
            </w:rPr>
          </w:pPr>
          <w:bookmarkStart w:id="5" w:name="_Toc104560594"/>
          <w:r w:rsidRPr="002D3BD2">
            <w:rPr>
              <w:rFonts w:ascii="Arial" w:hAnsi="Arial" w:cs="Arial"/>
              <w:sz w:val="24"/>
              <w:szCs w:val="24"/>
            </w:rPr>
            <w:t xml:space="preserve">Financial Trends Analysis Income </w:t>
          </w:r>
          <w:proofErr w:type="gramStart"/>
          <w:r w:rsidRPr="002D3BD2">
            <w:rPr>
              <w:rFonts w:ascii="Arial" w:hAnsi="Arial" w:cs="Arial"/>
              <w:sz w:val="24"/>
              <w:szCs w:val="24"/>
            </w:rPr>
            <w:t>Statement :</w:t>
          </w:r>
          <w:proofErr w:type="gramEnd"/>
          <w:r w:rsidRPr="002D3BD2">
            <w:rPr>
              <w:rFonts w:ascii="Arial" w:hAnsi="Arial" w:cs="Arial"/>
              <w:sz w:val="24"/>
              <w:szCs w:val="24"/>
            </w:rPr>
            <w:t>-</w:t>
          </w:r>
          <w:bookmarkEnd w:id="5"/>
        </w:p>
        <w:p w14:paraId="0DAC710F" w14:textId="77777777" w:rsidR="0006377C" w:rsidRPr="002D3BD2" w:rsidRDefault="0006377C" w:rsidP="0006377C">
          <w:pPr>
            <w:spacing w:line="276" w:lineRule="auto"/>
            <w:jc w:val="both"/>
            <w:rPr>
              <w:rFonts w:ascii="Arial" w:hAnsi="Arial" w:cs="Arial"/>
              <w:sz w:val="24"/>
              <w:szCs w:val="24"/>
            </w:rPr>
          </w:pPr>
        </w:p>
        <w:p w14:paraId="2B79FD01" w14:textId="458C20EE" w:rsidR="0006377C" w:rsidRDefault="0006377C" w:rsidP="0006377C">
          <w:pPr>
            <w:spacing w:line="276" w:lineRule="auto"/>
            <w:jc w:val="both"/>
            <w:rPr>
              <w:rFonts w:ascii="Arial" w:hAnsi="Arial" w:cs="Arial"/>
              <w:sz w:val="24"/>
              <w:szCs w:val="24"/>
            </w:rPr>
          </w:pPr>
          <w:r w:rsidRPr="002D3BD2">
            <w:rPr>
              <w:rFonts w:ascii="Arial" w:hAnsi="Arial" w:cs="Arial"/>
              <w:sz w:val="24"/>
              <w:szCs w:val="24"/>
            </w:rPr>
            <w:t xml:space="preserve">On Analysing the data in Table 1, we can see that Hilton Worldwide holdings has been hard hit by the pandemic and the sales of the company have gone down by a whopping 54 per cent. The cost of goods sold in the hospitality industry includes items like the payroll, office supplies, rents, marketing, insurance etc. It has also reduced by 46 per cent indicating that the payrolls have gone down, and the Hilton cannot afford to pay their employees as much as they were paying in 2019. The gross company profit has also gone down by a huge margin of 76 per cent as it has gone down from around 2 and a half million dollars to just over half a million dollars. This is a huge margin of dip showing that Hilton Holdings have not been faring well in the 2020 fiscal year. The operating income has also reduced by a huge margin of -107 per cent to a negative value. A negative operating cost indicate that Hilton holding is facing the natural consequence of macroeconomic difficulties set in by the Covid-19 pandemic as the Direct and indirect costs exceed the total revenue. The net income during this fiscal </w:t>
          </w:r>
          <w:r w:rsidRPr="002D3BD2">
            <w:rPr>
              <w:rFonts w:ascii="Arial" w:hAnsi="Arial" w:cs="Arial"/>
              <w:sz w:val="24"/>
              <w:szCs w:val="24"/>
            </w:rPr>
            <w:lastRenderedPageBreak/>
            <w:t>year has also reduced by a huge margin of 181 per cent showing the gravity of the problems faced by the hospitality industry in the previous year. The Horizontal Ratios calculated from the income statement all indicate that the pandemic year of 2020 bought great hardships to the hospitality industry and Hilton Worldwide Holdings was one of the many companies that suffered due to this.</w:t>
          </w:r>
        </w:p>
        <w:p w14:paraId="2BD82E6B" w14:textId="0746CF7D" w:rsidR="0006377C" w:rsidRDefault="0006377C" w:rsidP="0006377C">
          <w:pPr>
            <w:spacing w:line="276" w:lineRule="auto"/>
            <w:jc w:val="both"/>
            <w:rPr>
              <w:rFonts w:ascii="Arial" w:hAnsi="Arial" w:cs="Arial"/>
              <w:sz w:val="24"/>
              <w:szCs w:val="24"/>
            </w:rPr>
          </w:pPr>
        </w:p>
        <w:p w14:paraId="0F02EB83" w14:textId="77777777" w:rsidR="0006377C" w:rsidRPr="002D3BD2" w:rsidRDefault="0006377C" w:rsidP="0006377C">
          <w:pPr>
            <w:pStyle w:val="Heading2"/>
            <w:spacing w:line="276" w:lineRule="auto"/>
            <w:jc w:val="both"/>
            <w:rPr>
              <w:rFonts w:ascii="Arial" w:hAnsi="Arial" w:cs="Arial"/>
              <w:sz w:val="24"/>
              <w:szCs w:val="24"/>
            </w:rPr>
          </w:pPr>
          <w:bookmarkStart w:id="6" w:name="_Toc104560595"/>
          <w:r w:rsidRPr="002D3BD2">
            <w:rPr>
              <w:rFonts w:ascii="Arial" w:hAnsi="Arial" w:cs="Arial"/>
              <w:sz w:val="24"/>
              <w:szCs w:val="24"/>
            </w:rPr>
            <w:t xml:space="preserve">Balance Sheet Trends </w:t>
          </w:r>
          <w:proofErr w:type="gramStart"/>
          <w:r w:rsidRPr="002D3BD2">
            <w:rPr>
              <w:rFonts w:ascii="Arial" w:hAnsi="Arial" w:cs="Arial"/>
              <w:sz w:val="24"/>
              <w:szCs w:val="24"/>
            </w:rPr>
            <w:t>Calculation:-</w:t>
          </w:r>
          <w:bookmarkEnd w:id="6"/>
          <w:proofErr w:type="gramEnd"/>
        </w:p>
        <w:p w14:paraId="7E11A6A6" w14:textId="77777777" w:rsidR="0006377C" w:rsidRPr="002D3BD2" w:rsidRDefault="0006377C" w:rsidP="0006377C">
          <w:pPr>
            <w:spacing w:line="276" w:lineRule="auto"/>
            <w:jc w:val="both"/>
            <w:rPr>
              <w:rFonts w:ascii="Arial" w:hAnsi="Arial" w:cs="Arial"/>
              <w:sz w:val="24"/>
              <w:szCs w:val="24"/>
            </w:rPr>
          </w:pPr>
          <w:r w:rsidRPr="002D3BD2">
            <w:rPr>
              <w:rFonts w:ascii="Arial" w:hAnsi="Arial" w:cs="Arial"/>
              <w:sz w:val="24"/>
              <w:szCs w:val="24"/>
            </w:rPr>
            <w:t xml:space="preserve">A two-year horizontal analysis of the balance sheet is also commonly used, with a variance displaying the difference between the two years for each line item, as illustrated below. Add as many years as possible without revealing a variation to the page as an alternative format, so you can view general changes by account over several years. Each year's total assets are shown as a percentage for every line item in the report, which is a less-common approach for financial </w:t>
          </w:r>
          <w:proofErr w:type="gramStart"/>
          <w:r w:rsidRPr="002D3BD2">
            <w:rPr>
              <w:rFonts w:ascii="Arial" w:hAnsi="Arial" w:cs="Arial"/>
              <w:sz w:val="24"/>
              <w:szCs w:val="24"/>
            </w:rPr>
            <w:t>reporting.(</w:t>
          </w:r>
          <w:proofErr w:type="gramEnd"/>
          <w:r w:rsidRPr="002D3BD2">
            <w:rPr>
              <w:rFonts w:ascii="Arial" w:hAnsi="Arial" w:cs="Arial"/>
              <w:sz w:val="24"/>
              <w:szCs w:val="24"/>
            </w:rPr>
            <w:t>weintrap,Resnick,1987)</w:t>
          </w:r>
        </w:p>
        <w:p w14:paraId="06333900" w14:textId="77777777" w:rsidR="0006377C" w:rsidRDefault="0006377C" w:rsidP="0006377C">
          <w:pPr>
            <w:spacing w:line="276" w:lineRule="auto"/>
            <w:jc w:val="both"/>
          </w:pPr>
        </w:p>
        <w:tbl>
          <w:tblPr>
            <w:tblW w:w="10201" w:type="dxa"/>
            <w:tblInd w:w="-592" w:type="dxa"/>
            <w:tblLook w:val="04A0" w:firstRow="1" w:lastRow="0" w:firstColumn="1" w:lastColumn="0" w:noHBand="0" w:noVBand="1"/>
          </w:tblPr>
          <w:tblGrid>
            <w:gridCol w:w="4332"/>
            <w:gridCol w:w="1356"/>
            <w:gridCol w:w="1356"/>
            <w:gridCol w:w="1289"/>
            <w:gridCol w:w="1868"/>
          </w:tblGrid>
          <w:tr w:rsidR="0006377C" w:rsidRPr="00D54A6B" w14:paraId="08DCD383" w14:textId="77777777" w:rsidTr="009900FB">
            <w:trPr>
              <w:trHeight w:val="297"/>
            </w:trPr>
            <w:tc>
              <w:tcPr>
                <w:tcW w:w="10201" w:type="dxa"/>
                <w:gridSpan w:val="5"/>
                <w:tcBorders>
                  <w:top w:val="single" w:sz="4" w:space="0" w:color="auto"/>
                  <w:left w:val="single" w:sz="4" w:space="0" w:color="auto"/>
                  <w:bottom w:val="single" w:sz="4" w:space="0" w:color="auto"/>
                  <w:right w:val="single" w:sz="4" w:space="0" w:color="auto"/>
                </w:tcBorders>
                <w:shd w:val="clear" w:color="000000" w:fill="548235"/>
                <w:noWrap/>
                <w:vAlign w:val="bottom"/>
                <w:hideMark/>
              </w:tcPr>
              <w:p w14:paraId="761E70DD" w14:textId="77777777" w:rsidR="0006377C" w:rsidRPr="00D54A6B" w:rsidRDefault="0006377C" w:rsidP="009900FB">
                <w:pPr>
                  <w:spacing w:after="0" w:line="276" w:lineRule="auto"/>
                  <w:jc w:val="both"/>
                  <w:rPr>
                    <w:rFonts w:ascii="Calibri" w:eastAsia="Times New Roman" w:hAnsi="Calibri" w:cs="Calibri"/>
                    <w:b/>
                    <w:bCs/>
                    <w:color w:val="000000"/>
                    <w:lang w:eastAsia="en-IN"/>
                  </w:rPr>
                </w:pPr>
                <w:r w:rsidRPr="00D54A6B">
                  <w:rPr>
                    <w:rFonts w:ascii="Calibri" w:eastAsia="Times New Roman" w:hAnsi="Calibri" w:cs="Calibri"/>
                    <w:b/>
                    <w:bCs/>
                    <w:color w:val="000000"/>
                    <w:lang w:eastAsia="en-IN"/>
                  </w:rPr>
                  <w:t>HILTON WORLDWIDE HOLDINGS BALANCE SHEET HORIZONTAL RATIOS</w:t>
                </w:r>
              </w:p>
            </w:tc>
          </w:tr>
          <w:tr w:rsidR="0006377C" w:rsidRPr="00D54A6B" w14:paraId="1B54929E" w14:textId="77777777" w:rsidTr="009900FB">
            <w:trPr>
              <w:trHeight w:val="297"/>
            </w:trPr>
            <w:tc>
              <w:tcPr>
                <w:tcW w:w="433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AAFA92"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 </w:t>
                </w:r>
              </w:p>
            </w:tc>
            <w:tc>
              <w:tcPr>
                <w:tcW w:w="1356" w:type="dxa"/>
                <w:tcBorders>
                  <w:top w:val="single" w:sz="4" w:space="0" w:color="auto"/>
                  <w:left w:val="nil"/>
                  <w:bottom w:val="single" w:sz="4" w:space="0" w:color="auto"/>
                  <w:right w:val="single" w:sz="4" w:space="0" w:color="auto"/>
                </w:tcBorders>
                <w:shd w:val="clear" w:color="auto" w:fill="auto"/>
                <w:noWrap/>
                <w:vAlign w:val="bottom"/>
                <w:hideMark/>
              </w:tcPr>
              <w:p w14:paraId="2C5B6C70" w14:textId="77777777" w:rsidR="0006377C" w:rsidRPr="00D54A6B" w:rsidRDefault="0006377C" w:rsidP="009900FB">
                <w:pPr>
                  <w:spacing w:after="0" w:line="276" w:lineRule="auto"/>
                  <w:jc w:val="both"/>
                  <w:rPr>
                    <w:rFonts w:ascii="Calibri" w:eastAsia="Times New Roman" w:hAnsi="Calibri" w:cs="Calibri"/>
                    <w:b/>
                    <w:bCs/>
                    <w:color w:val="000000"/>
                    <w:lang w:eastAsia="en-IN"/>
                  </w:rPr>
                </w:pPr>
                <w:r w:rsidRPr="00D54A6B">
                  <w:rPr>
                    <w:rFonts w:ascii="Calibri" w:eastAsia="Times New Roman" w:hAnsi="Calibri" w:cs="Calibri"/>
                    <w:b/>
                    <w:bCs/>
                    <w:color w:val="000000"/>
                    <w:lang w:eastAsia="en-IN"/>
                  </w:rPr>
                  <w:t>2020</w:t>
                </w:r>
              </w:p>
            </w:tc>
            <w:tc>
              <w:tcPr>
                <w:tcW w:w="1356" w:type="dxa"/>
                <w:tcBorders>
                  <w:top w:val="single" w:sz="4" w:space="0" w:color="auto"/>
                  <w:left w:val="nil"/>
                  <w:bottom w:val="single" w:sz="4" w:space="0" w:color="auto"/>
                  <w:right w:val="single" w:sz="4" w:space="0" w:color="auto"/>
                </w:tcBorders>
                <w:shd w:val="clear" w:color="auto" w:fill="auto"/>
                <w:noWrap/>
                <w:vAlign w:val="bottom"/>
                <w:hideMark/>
              </w:tcPr>
              <w:p w14:paraId="4A5BBD68" w14:textId="77777777" w:rsidR="0006377C" w:rsidRPr="00D54A6B" w:rsidRDefault="0006377C" w:rsidP="009900FB">
                <w:pPr>
                  <w:spacing w:after="0" w:line="276" w:lineRule="auto"/>
                  <w:jc w:val="both"/>
                  <w:rPr>
                    <w:rFonts w:ascii="Calibri" w:eastAsia="Times New Roman" w:hAnsi="Calibri" w:cs="Calibri"/>
                    <w:b/>
                    <w:bCs/>
                    <w:color w:val="000000"/>
                    <w:lang w:eastAsia="en-IN"/>
                  </w:rPr>
                </w:pPr>
                <w:r w:rsidRPr="00D54A6B">
                  <w:rPr>
                    <w:rFonts w:ascii="Calibri" w:eastAsia="Times New Roman" w:hAnsi="Calibri" w:cs="Calibri"/>
                    <w:b/>
                    <w:bCs/>
                    <w:color w:val="000000"/>
                    <w:lang w:eastAsia="en-IN"/>
                  </w:rPr>
                  <w:t>2019</w:t>
                </w:r>
              </w:p>
            </w:tc>
            <w:tc>
              <w:tcPr>
                <w:tcW w:w="1289" w:type="dxa"/>
                <w:tcBorders>
                  <w:top w:val="single" w:sz="4" w:space="0" w:color="auto"/>
                  <w:left w:val="nil"/>
                  <w:bottom w:val="single" w:sz="4" w:space="0" w:color="auto"/>
                  <w:right w:val="single" w:sz="4" w:space="0" w:color="auto"/>
                </w:tcBorders>
                <w:shd w:val="clear" w:color="auto" w:fill="auto"/>
                <w:noWrap/>
                <w:vAlign w:val="bottom"/>
                <w:hideMark/>
              </w:tcPr>
              <w:p w14:paraId="3C7E2BE1" w14:textId="77777777" w:rsidR="0006377C" w:rsidRPr="00D54A6B" w:rsidRDefault="0006377C" w:rsidP="009900FB">
                <w:pPr>
                  <w:spacing w:after="0" w:line="276" w:lineRule="auto"/>
                  <w:jc w:val="both"/>
                  <w:rPr>
                    <w:rFonts w:ascii="Calibri" w:eastAsia="Times New Roman" w:hAnsi="Calibri" w:cs="Calibri"/>
                    <w:b/>
                    <w:bCs/>
                    <w:color w:val="000000"/>
                    <w:lang w:eastAsia="en-IN"/>
                  </w:rPr>
                </w:pPr>
                <w:r w:rsidRPr="00D54A6B">
                  <w:rPr>
                    <w:rFonts w:ascii="Calibri" w:eastAsia="Times New Roman" w:hAnsi="Calibri" w:cs="Calibri"/>
                    <w:b/>
                    <w:bCs/>
                    <w:color w:val="000000"/>
                    <w:lang w:eastAsia="en-IN"/>
                  </w:rPr>
                  <w:t>Change</w:t>
                </w:r>
              </w:p>
            </w:tc>
            <w:tc>
              <w:tcPr>
                <w:tcW w:w="1868" w:type="dxa"/>
                <w:tcBorders>
                  <w:top w:val="single" w:sz="4" w:space="0" w:color="auto"/>
                  <w:left w:val="nil"/>
                  <w:bottom w:val="single" w:sz="4" w:space="0" w:color="auto"/>
                  <w:right w:val="single" w:sz="4" w:space="0" w:color="auto"/>
                </w:tcBorders>
                <w:shd w:val="clear" w:color="auto" w:fill="auto"/>
                <w:noWrap/>
                <w:vAlign w:val="bottom"/>
                <w:hideMark/>
              </w:tcPr>
              <w:p w14:paraId="4F661C32" w14:textId="77777777" w:rsidR="0006377C" w:rsidRPr="00D54A6B" w:rsidRDefault="0006377C" w:rsidP="009900FB">
                <w:pPr>
                  <w:spacing w:after="0" w:line="276" w:lineRule="auto"/>
                  <w:jc w:val="both"/>
                  <w:rPr>
                    <w:rFonts w:ascii="Calibri" w:eastAsia="Times New Roman" w:hAnsi="Calibri" w:cs="Calibri"/>
                    <w:b/>
                    <w:bCs/>
                    <w:color w:val="000000"/>
                    <w:lang w:eastAsia="en-IN"/>
                  </w:rPr>
                </w:pPr>
                <w:r w:rsidRPr="00D54A6B">
                  <w:rPr>
                    <w:rFonts w:ascii="Calibri" w:eastAsia="Times New Roman" w:hAnsi="Calibri" w:cs="Calibri"/>
                    <w:b/>
                    <w:bCs/>
                    <w:color w:val="000000"/>
                    <w:lang w:eastAsia="en-IN"/>
                  </w:rPr>
                  <w:t>% Change</w:t>
                </w:r>
              </w:p>
            </w:tc>
          </w:tr>
          <w:tr w:rsidR="0006377C" w:rsidRPr="00D54A6B" w14:paraId="23A81A77" w14:textId="77777777" w:rsidTr="009900FB">
            <w:trPr>
              <w:trHeight w:val="297"/>
            </w:trPr>
            <w:tc>
              <w:tcPr>
                <w:tcW w:w="433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8972D2" w14:textId="77777777" w:rsidR="0006377C" w:rsidRPr="00D54A6B" w:rsidRDefault="0006377C" w:rsidP="009900FB">
                <w:pPr>
                  <w:spacing w:after="0" w:line="276" w:lineRule="auto"/>
                  <w:jc w:val="both"/>
                  <w:rPr>
                    <w:rFonts w:ascii="Calibri" w:eastAsia="Times New Roman" w:hAnsi="Calibri" w:cs="Calibri"/>
                    <w:b/>
                    <w:bCs/>
                    <w:color w:val="000000"/>
                    <w:lang w:eastAsia="en-IN"/>
                  </w:rPr>
                </w:pPr>
                <w:r w:rsidRPr="00D54A6B">
                  <w:rPr>
                    <w:rFonts w:ascii="Calibri" w:eastAsia="Times New Roman" w:hAnsi="Calibri" w:cs="Calibri"/>
                    <w:b/>
                    <w:bCs/>
                    <w:color w:val="000000"/>
                    <w:lang w:eastAsia="en-IN"/>
                  </w:rPr>
                  <w:t>Current Asset</w:t>
                </w:r>
              </w:p>
            </w:tc>
            <w:tc>
              <w:tcPr>
                <w:tcW w:w="1356" w:type="dxa"/>
                <w:tcBorders>
                  <w:top w:val="single" w:sz="4" w:space="0" w:color="auto"/>
                  <w:left w:val="nil"/>
                  <w:bottom w:val="single" w:sz="4" w:space="0" w:color="auto"/>
                  <w:right w:val="single" w:sz="4" w:space="0" w:color="auto"/>
                </w:tcBorders>
                <w:shd w:val="clear" w:color="auto" w:fill="auto"/>
                <w:noWrap/>
                <w:vAlign w:val="bottom"/>
                <w:hideMark/>
              </w:tcPr>
              <w:p w14:paraId="32069757"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4202000</w:t>
                </w:r>
              </w:p>
            </w:tc>
            <w:tc>
              <w:tcPr>
                <w:tcW w:w="1356" w:type="dxa"/>
                <w:tcBorders>
                  <w:top w:val="single" w:sz="4" w:space="0" w:color="auto"/>
                  <w:left w:val="nil"/>
                  <w:bottom w:val="single" w:sz="4" w:space="0" w:color="auto"/>
                  <w:right w:val="single" w:sz="4" w:space="0" w:color="auto"/>
                </w:tcBorders>
                <w:shd w:val="clear" w:color="auto" w:fill="auto"/>
                <w:noWrap/>
                <w:vAlign w:val="bottom"/>
                <w:hideMark/>
              </w:tcPr>
              <w:p w14:paraId="41E8AF29"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2093000</w:t>
                </w:r>
              </w:p>
            </w:tc>
            <w:tc>
              <w:tcPr>
                <w:tcW w:w="1289" w:type="dxa"/>
                <w:tcBorders>
                  <w:top w:val="single" w:sz="4" w:space="0" w:color="auto"/>
                  <w:left w:val="nil"/>
                  <w:bottom w:val="single" w:sz="4" w:space="0" w:color="auto"/>
                  <w:right w:val="single" w:sz="4" w:space="0" w:color="auto"/>
                </w:tcBorders>
                <w:shd w:val="clear" w:color="auto" w:fill="auto"/>
                <w:noWrap/>
                <w:vAlign w:val="bottom"/>
                <w:hideMark/>
              </w:tcPr>
              <w:p w14:paraId="16948779"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-2109000</w:t>
                </w:r>
              </w:p>
            </w:tc>
            <w:tc>
              <w:tcPr>
                <w:tcW w:w="1868" w:type="dxa"/>
                <w:tcBorders>
                  <w:top w:val="single" w:sz="4" w:space="0" w:color="auto"/>
                  <w:left w:val="nil"/>
                  <w:bottom w:val="single" w:sz="4" w:space="0" w:color="auto"/>
                  <w:right w:val="single" w:sz="4" w:space="0" w:color="auto"/>
                </w:tcBorders>
                <w:shd w:val="clear" w:color="auto" w:fill="auto"/>
                <w:noWrap/>
                <w:vAlign w:val="bottom"/>
                <w:hideMark/>
              </w:tcPr>
              <w:p w14:paraId="5B1DDCAF"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-100.7644529</w:t>
                </w:r>
              </w:p>
            </w:tc>
          </w:tr>
          <w:tr w:rsidR="0006377C" w:rsidRPr="00D54A6B" w14:paraId="1F89EDAA" w14:textId="77777777" w:rsidTr="009900FB">
            <w:trPr>
              <w:trHeight w:val="297"/>
            </w:trPr>
            <w:tc>
              <w:tcPr>
                <w:tcW w:w="433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30C087F" w14:textId="77777777" w:rsidR="0006377C" w:rsidRPr="00D54A6B" w:rsidRDefault="0006377C" w:rsidP="009900FB">
                <w:pPr>
                  <w:spacing w:after="0" w:line="276" w:lineRule="auto"/>
                  <w:jc w:val="both"/>
                  <w:rPr>
                    <w:rFonts w:ascii="Calibri" w:eastAsia="Times New Roman" w:hAnsi="Calibri" w:cs="Calibri"/>
                    <w:b/>
                    <w:bCs/>
                    <w:color w:val="000000"/>
                    <w:lang w:eastAsia="en-IN"/>
                  </w:rPr>
                </w:pPr>
                <w:proofErr w:type="spellStart"/>
                <w:proofErr w:type="gramStart"/>
                <w:r w:rsidRPr="00D54A6B">
                  <w:rPr>
                    <w:rFonts w:ascii="Calibri" w:eastAsia="Times New Roman" w:hAnsi="Calibri" w:cs="Calibri"/>
                    <w:b/>
                    <w:bCs/>
                    <w:color w:val="000000"/>
                    <w:lang w:eastAsia="en-IN"/>
                  </w:rPr>
                  <w:t>Non Current</w:t>
                </w:r>
                <w:proofErr w:type="spellEnd"/>
                <w:proofErr w:type="gramEnd"/>
                <w:r w:rsidRPr="00D54A6B">
                  <w:rPr>
                    <w:rFonts w:ascii="Calibri" w:eastAsia="Times New Roman" w:hAnsi="Calibri" w:cs="Calibri"/>
                    <w:b/>
                    <w:bCs/>
                    <w:color w:val="000000"/>
                    <w:lang w:eastAsia="en-IN"/>
                  </w:rPr>
                  <w:t xml:space="preserve"> Asset</w:t>
                </w:r>
              </w:p>
            </w:tc>
            <w:tc>
              <w:tcPr>
                <w:tcW w:w="1356" w:type="dxa"/>
                <w:tcBorders>
                  <w:top w:val="single" w:sz="4" w:space="0" w:color="auto"/>
                  <w:left w:val="nil"/>
                  <w:bottom w:val="single" w:sz="4" w:space="0" w:color="auto"/>
                  <w:right w:val="single" w:sz="4" w:space="0" w:color="auto"/>
                </w:tcBorders>
                <w:shd w:val="clear" w:color="auto" w:fill="auto"/>
                <w:noWrap/>
                <w:vAlign w:val="bottom"/>
                <w:hideMark/>
              </w:tcPr>
              <w:p w14:paraId="7FAEABA0"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15810000</w:t>
                </w:r>
              </w:p>
            </w:tc>
            <w:tc>
              <w:tcPr>
                <w:tcW w:w="1356" w:type="dxa"/>
                <w:tcBorders>
                  <w:top w:val="single" w:sz="4" w:space="0" w:color="auto"/>
                  <w:left w:val="nil"/>
                  <w:bottom w:val="single" w:sz="4" w:space="0" w:color="auto"/>
                  <w:right w:val="single" w:sz="4" w:space="0" w:color="auto"/>
                </w:tcBorders>
                <w:shd w:val="clear" w:color="auto" w:fill="auto"/>
                <w:noWrap/>
                <w:vAlign w:val="bottom"/>
                <w:hideMark/>
              </w:tcPr>
              <w:p w14:paraId="6AFB21DF"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12558000</w:t>
                </w:r>
              </w:p>
            </w:tc>
            <w:tc>
              <w:tcPr>
                <w:tcW w:w="1289" w:type="dxa"/>
                <w:tcBorders>
                  <w:top w:val="single" w:sz="4" w:space="0" w:color="auto"/>
                  <w:left w:val="nil"/>
                  <w:bottom w:val="single" w:sz="4" w:space="0" w:color="auto"/>
                  <w:right w:val="single" w:sz="4" w:space="0" w:color="auto"/>
                </w:tcBorders>
                <w:shd w:val="clear" w:color="auto" w:fill="auto"/>
                <w:noWrap/>
                <w:vAlign w:val="bottom"/>
                <w:hideMark/>
              </w:tcPr>
              <w:p w14:paraId="3F4F4573"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-3252000</w:t>
                </w:r>
              </w:p>
            </w:tc>
            <w:tc>
              <w:tcPr>
                <w:tcW w:w="1868" w:type="dxa"/>
                <w:tcBorders>
                  <w:top w:val="single" w:sz="4" w:space="0" w:color="auto"/>
                  <w:left w:val="nil"/>
                  <w:bottom w:val="single" w:sz="4" w:space="0" w:color="auto"/>
                  <w:right w:val="single" w:sz="4" w:space="0" w:color="auto"/>
                </w:tcBorders>
                <w:shd w:val="clear" w:color="auto" w:fill="auto"/>
                <w:noWrap/>
                <w:vAlign w:val="bottom"/>
                <w:hideMark/>
              </w:tcPr>
              <w:p w14:paraId="5F2813BC"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-25.89584329</w:t>
                </w:r>
              </w:p>
            </w:tc>
          </w:tr>
          <w:tr w:rsidR="0006377C" w:rsidRPr="00D54A6B" w14:paraId="45B7E1BF" w14:textId="77777777" w:rsidTr="009900FB">
            <w:trPr>
              <w:trHeight w:val="297"/>
            </w:trPr>
            <w:tc>
              <w:tcPr>
                <w:tcW w:w="433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6F487C" w14:textId="77777777" w:rsidR="0006377C" w:rsidRPr="00D54A6B" w:rsidRDefault="0006377C" w:rsidP="009900FB">
                <w:pPr>
                  <w:spacing w:after="0" w:line="276" w:lineRule="auto"/>
                  <w:jc w:val="both"/>
                  <w:rPr>
                    <w:rFonts w:ascii="Calibri" w:eastAsia="Times New Roman" w:hAnsi="Calibri" w:cs="Calibri"/>
                    <w:b/>
                    <w:bCs/>
                    <w:color w:val="000000"/>
                    <w:lang w:eastAsia="en-IN"/>
                  </w:rPr>
                </w:pPr>
                <w:r w:rsidRPr="00D54A6B">
                  <w:rPr>
                    <w:rFonts w:ascii="Calibri" w:eastAsia="Times New Roman" w:hAnsi="Calibri" w:cs="Calibri"/>
                    <w:b/>
                    <w:bCs/>
                    <w:color w:val="000000"/>
                    <w:lang w:eastAsia="en-IN"/>
                  </w:rPr>
                  <w:t>Total Asset</w:t>
                </w:r>
              </w:p>
            </w:tc>
            <w:tc>
              <w:tcPr>
                <w:tcW w:w="1356" w:type="dxa"/>
                <w:tcBorders>
                  <w:top w:val="single" w:sz="4" w:space="0" w:color="auto"/>
                  <w:left w:val="nil"/>
                  <w:bottom w:val="single" w:sz="4" w:space="0" w:color="auto"/>
                  <w:right w:val="single" w:sz="4" w:space="0" w:color="auto"/>
                </w:tcBorders>
                <w:shd w:val="clear" w:color="auto" w:fill="auto"/>
                <w:noWrap/>
                <w:vAlign w:val="bottom"/>
                <w:hideMark/>
              </w:tcPr>
              <w:p w14:paraId="0D3C7998"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16775000</w:t>
                </w:r>
              </w:p>
            </w:tc>
            <w:tc>
              <w:tcPr>
                <w:tcW w:w="1356" w:type="dxa"/>
                <w:tcBorders>
                  <w:top w:val="single" w:sz="4" w:space="0" w:color="auto"/>
                  <w:left w:val="nil"/>
                  <w:bottom w:val="single" w:sz="4" w:space="0" w:color="auto"/>
                  <w:right w:val="single" w:sz="4" w:space="0" w:color="auto"/>
                </w:tcBorders>
                <w:shd w:val="clear" w:color="auto" w:fill="auto"/>
                <w:noWrap/>
                <w:vAlign w:val="bottom"/>
                <w:hideMark/>
              </w:tcPr>
              <w:p w14:paraId="641166B4"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14957000</w:t>
                </w:r>
              </w:p>
            </w:tc>
            <w:tc>
              <w:tcPr>
                <w:tcW w:w="1289" w:type="dxa"/>
                <w:tcBorders>
                  <w:top w:val="single" w:sz="4" w:space="0" w:color="auto"/>
                  <w:left w:val="nil"/>
                  <w:bottom w:val="single" w:sz="4" w:space="0" w:color="auto"/>
                  <w:right w:val="single" w:sz="4" w:space="0" w:color="auto"/>
                </w:tcBorders>
                <w:shd w:val="clear" w:color="auto" w:fill="auto"/>
                <w:noWrap/>
                <w:vAlign w:val="bottom"/>
                <w:hideMark/>
              </w:tcPr>
              <w:p w14:paraId="0A9DE0DC"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-1818000</w:t>
                </w:r>
              </w:p>
            </w:tc>
            <w:tc>
              <w:tcPr>
                <w:tcW w:w="1868" w:type="dxa"/>
                <w:tcBorders>
                  <w:top w:val="single" w:sz="4" w:space="0" w:color="auto"/>
                  <w:left w:val="nil"/>
                  <w:bottom w:val="single" w:sz="4" w:space="0" w:color="auto"/>
                  <w:right w:val="single" w:sz="4" w:space="0" w:color="auto"/>
                </w:tcBorders>
                <w:shd w:val="clear" w:color="auto" w:fill="auto"/>
                <w:noWrap/>
                <w:vAlign w:val="bottom"/>
                <w:hideMark/>
              </w:tcPr>
              <w:p w14:paraId="65C806C0"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-12.15484389</w:t>
                </w:r>
              </w:p>
            </w:tc>
          </w:tr>
          <w:tr w:rsidR="0006377C" w:rsidRPr="00D54A6B" w14:paraId="38581F6F" w14:textId="77777777" w:rsidTr="009900FB">
            <w:trPr>
              <w:trHeight w:val="297"/>
            </w:trPr>
            <w:tc>
              <w:tcPr>
                <w:tcW w:w="433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5C28BD" w14:textId="77777777" w:rsidR="0006377C" w:rsidRPr="00D54A6B" w:rsidRDefault="0006377C" w:rsidP="009900FB">
                <w:pPr>
                  <w:spacing w:after="0" w:line="276" w:lineRule="auto"/>
                  <w:jc w:val="both"/>
                  <w:rPr>
                    <w:rFonts w:ascii="Calibri" w:eastAsia="Times New Roman" w:hAnsi="Calibri" w:cs="Calibri"/>
                    <w:b/>
                    <w:bCs/>
                    <w:color w:val="000000"/>
                    <w:lang w:eastAsia="en-IN"/>
                  </w:rPr>
                </w:pPr>
                <w:r w:rsidRPr="00D54A6B">
                  <w:rPr>
                    <w:rFonts w:ascii="Calibri" w:eastAsia="Times New Roman" w:hAnsi="Calibri" w:cs="Calibri"/>
                    <w:b/>
                    <w:bCs/>
                    <w:color w:val="000000"/>
                    <w:lang w:eastAsia="en-IN"/>
                  </w:rPr>
                  <w:t>Current Liabilities</w:t>
                </w:r>
              </w:p>
            </w:tc>
            <w:tc>
              <w:tcPr>
                <w:tcW w:w="1356" w:type="dxa"/>
                <w:tcBorders>
                  <w:top w:val="single" w:sz="4" w:space="0" w:color="auto"/>
                  <w:left w:val="nil"/>
                  <w:bottom w:val="single" w:sz="4" w:space="0" w:color="auto"/>
                  <w:right w:val="single" w:sz="4" w:space="0" w:color="auto"/>
                </w:tcBorders>
                <w:shd w:val="clear" w:color="auto" w:fill="auto"/>
                <w:noWrap/>
                <w:vAlign w:val="bottom"/>
                <w:hideMark/>
              </w:tcPr>
              <w:p w14:paraId="7C93B804"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2431000</w:t>
                </w:r>
              </w:p>
            </w:tc>
            <w:tc>
              <w:tcPr>
                <w:tcW w:w="1356" w:type="dxa"/>
                <w:tcBorders>
                  <w:top w:val="single" w:sz="4" w:space="0" w:color="auto"/>
                  <w:left w:val="nil"/>
                  <w:bottom w:val="single" w:sz="4" w:space="0" w:color="auto"/>
                  <w:right w:val="single" w:sz="4" w:space="0" w:color="auto"/>
                </w:tcBorders>
                <w:shd w:val="clear" w:color="auto" w:fill="auto"/>
                <w:noWrap/>
                <w:vAlign w:val="bottom"/>
                <w:hideMark/>
              </w:tcPr>
              <w:p w14:paraId="4A077E18"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2871000</w:t>
                </w:r>
              </w:p>
            </w:tc>
            <w:tc>
              <w:tcPr>
                <w:tcW w:w="1289" w:type="dxa"/>
                <w:tcBorders>
                  <w:top w:val="single" w:sz="4" w:space="0" w:color="auto"/>
                  <w:left w:val="nil"/>
                  <w:bottom w:val="single" w:sz="4" w:space="0" w:color="auto"/>
                  <w:right w:val="single" w:sz="4" w:space="0" w:color="auto"/>
                </w:tcBorders>
                <w:shd w:val="clear" w:color="auto" w:fill="auto"/>
                <w:noWrap/>
                <w:vAlign w:val="bottom"/>
                <w:hideMark/>
              </w:tcPr>
              <w:p w14:paraId="1C7D3650"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440000</w:t>
                </w:r>
              </w:p>
            </w:tc>
            <w:tc>
              <w:tcPr>
                <w:tcW w:w="1868" w:type="dxa"/>
                <w:tcBorders>
                  <w:top w:val="single" w:sz="4" w:space="0" w:color="auto"/>
                  <w:left w:val="nil"/>
                  <w:bottom w:val="single" w:sz="4" w:space="0" w:color="auto"/>
                  <w:right w:val="single" w:sz="4" w:space="0" w:color="auto"/>
                </w:tcBorders>
                <w:shd w:val="clear" w:color="auto" w:fill="auto"/>
                <w:noWrap/>
                <w:vAlign w:val="bottom"/>
                <w:hideMark/>
              </w:tcPr>
              <w:p w14:paraId="0A995B81"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15.3256705</w:t>
                </w:r>
              </w:p>
            </w:tc>
          </w:tr>
          <w:tr w:rsidR="0006377C" w:rsidRPr="00D54A6B" w14:paraId="205AF04C" w14:textId="77777777" w:rsidTr="009900FB">
            <w:trPr>
              <w:trHeight w:val="297"/>
            </w:trPr>
            <w:tc>
              <w:tcPr>
                <w:tcW w:w="433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BAA850" w14:textId="77777777" w:rsidR="0006377C" w:rsidRPr="00D54A6B" w:rsidRDefault="0006377C" w:rsidP="009900FB">
                <w:pPr>
                  <w:spacing w:after="0" w:line="276" w:lineRule="auto"/>
                  <w:jc w:val="both"/>
                  <w:rPr>
                    <w:rFonts w:ascii="Calibri" w:eastAsia="Times New Roman" w:hAnsi="Calibri" w:cs="Calibri"/>
                    <w:b/>
                    <w:bCs/>
                    <w:color w:val="000000"/>
                    <w:lang w:eastAsia="en-IN"/>
                  </w:rPr>
                </w:pPr>
                <w:proofErr w:type="spellStart"/>
                <w:proofErr w:type="gramStart"/>
                <w:r w:rsidRPr="00D54A6B">
                  <w:rPr>
                    <w:rFonts w:ascii="Calibri" w:eastAsia="Times New Roman" w:hAnsi="Calibri" w:cs="Calibri"/>
                    <w:b/>
                    <w:bCs/>
                    <w:color w:val="000000"/>
                    <w:lang w:eastAsia="en-IN"/>
                  </w:rPr>
                  <w:t>Non Current</w:t>
                </w:r>
                <w:proofErr w:type="spellEnd"/>
                <w:proofErr w:type="gramEnd"/>
                <w:r w:rsidRPr="00D54A6B">
                  <w:rPr>
                    <w:rFonts w:ascii="Calibri" w:eastAsia="Times New Roman" w:hAnsi="Calibri" w:cs="Calibri"/>
                    <w:b/>
                    <w:bCs/>
                    <w:color w:val="000000"/>
                    <w:lang w:eastAsia="en-IN"/>
                  </w:rPr>
                  <w:t xml:space="preserve"> Liabilities</w:t>
                </w:r>
              </w:p>
            </w:tc>
            <w:tc>
              <w:tcPr>
                <w:tcW w:w="1356" w:type="dxa"/>
                <w:tcBorders>
                  <w:top w:val="single" w:sz="4" w:space="0" w:color="auto"/>
                  <w:left w:val="nil"/>
                  <w:bottom w:val="single" w:sz="4" w:space="0" w:color="auto"/>
                  <w:right w:val="single" w:sz="4" w:space="0" w:color="auto"/>
                </w:tcBorders>
                <w:shd w:val="clear" w:color="auto" w:fill="auto"/>
                <w:noWrap/>
                <w:vAlign w:val="bottom"/>
                <w:hideMark/>
              </w:tcPr>
              <w:p w14:paraId="3ED7C760"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15810000</w:t>
                </w:r>
              </w:p>
            </w:tc>
            <w:tc>
              <w:tcPr>
                <w:tcW w:w="1356" w:type="dxa"/>
                <w:tcBorders>
                  <w:top w:val="single" w:sz="4" w:space="0" w:color="auto"/>
                  <w:left w:val="nil"/>
                  <w:bottom w:val="single" w:sz="4" w:space="0" w:color="auto"/>
                  <w:right w:val="single" w:sz="4" w:space="0" w:color="auto"/>
                </w:tcBorders>
                <w:shd w:val="clear" w:color="auto" w:fill="auto"/>
                <w:noWrap/>
                <w:vAlign w:val="bottom"/>
                <w:hideMark/>
              </w:tcPr>
              <w:p w14:paraId="77087E32"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12558000</w:t>
                </w:r>
              </w:p>
            </w:tc>
            <w:tc>
              <w:tcPr>
                <w:tcW w:w="1289" w:type="dxa"/>
                <w:tcBorders>
                  <w:top w:val="single" w:sz="4" w:space="0" w:color="auto"/>
                  <w:left w:val="nil"/>
                  <w:bottom w:val="single" w:sz="4" w:space="0" w:color="auto"/>
                  <w:right w:val="single" w:sz="4" w:space="0" w:color="auto"/>
                </w:tcBorders>
                <w:shd w:val="clear" w:color="auto" w:fill="auto"/>
                <w:noWrap/>
                <w:vAlign w:val="bottom"/>
                <w:hideMark/>
              </w:tcPr>
              <w:p w14:paraId="1BDE3994"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-3252000</w:t>
                </w:r>
              </w:p>
            </w:tc>
            <w:tc>
              <w:tcPr>
                <w:tcW w:w="1868" w:type="dxa"/>
                <w:tcBorders>
                  <w:top w:val="single" w:sz="4" w:space="0" w:color="auto"/>
                  <w:left w:val="nil"/>
                  <w:bottom w:val="single" w:sz="4" w:space="0" w:color="auto"/>
                  <w:right w:val="single" w:sz="4" w:space="0" w:color="auto"/>
                </w:tcBorders>
                <w:shd w:val="clear" w:color="auto" w:fill="auto"/>
                <w:noWrap/>
                <w:vAlign w:val="bottom"/>
                <w:hideMark/>
              </w:tcPr>
              <w:p w14:paraId="3753AE85"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-25.89584329</w:t>
                </w:r>
              </w:p>
            </w:tc>
          </w:tr>
          <w:tr w:rsidR="0006377C" w:rsidRPr="00D54A6B" w14:paraId="3BFF7DA7" w14:textId="77777777" w:rsidTr="009900FB">
            <w:trPr>
              <w:trHeight w:val="297"/>
            </w:trPr>
            <w:tc>
              <w:tcPr>
                <w:tcW w:w="433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C14E21" w14:textId="77777777" w:rsidR="0006377C" w:rsidRPr="00D54A6B" w:rsidRDefault="0006377C" w:rsidP="009900FB">
                <w:pPr>
                  <w:spacing w:after="0" w:line="276" w:lineRule="auto"/>
                  <w:jc w:val="both"/>
                  <w:rPr>
                    <w:rFonts w:ascii="Calibri" w:eastAsia="Times New Roman" w:hAnsi="Calibri" w:cs="Calibri"/>
                    <w:b/>
                    <w:bCs/>
                    <w:color w:val="000000"/>
                    <w:lang w:eastAsia="en-IN"/>
                  </w:rPr>
                </w:pPr>
                <w:r w:rsidRPr="00D54A6B">
                  <w:rPr>
                    <w:rFonts w:ascii="Calibri" w:eastAsia="Times New Roman" w:hAnsi="Calibri" w:cs="Calibri"/>
                    <w:b/>
                    <w:bCs/>
                    <w:color w:val="000000"/>
                    <w:lang w:eastAsia="en-IN"/>
                  </w:rPr>
                  <w:t>Total Liabilities</w:t>
                </w:r>
              </w:p>
            </w:tc>
            <w:tc>
              <w:tcPr>
                <w:tcW w:w="1356" w:type="dxa"/>
                <w:tcBorders>
                  <w:top w:val="single" w:sz="4" w:space="0" w:color="auto"/>
                  <w:left w:val="nil"/>
                  <w:bottom w:val="single" w:sz="4" w:space="0" w:color="auto"/>
                  <w:right w:val="single" w:sz="4" w:space="0" w:color="auto"/>
                </w:tcBorders>
                <w:shd w:val="clear" w:color="auto" w:fill="auto"/>
                <w:noWrap/>
                <w:vAlign w:val="bottom"/>
                <w:hideMark/>
              </w:tcPr>
              <w:p w14:paraId="21DF1C82"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18241000</w:t>
                </w:r>
              </w:p>
            </w:tc>
            <w:tc>
              <w:tcPr>
                <w:tcW w:w="1356" w:type="dxa"/>
                <w:tcBorders>
                  <w:top w:val="single" w:sz="4" w:space="0" w:color="auto"/>
                  <w:left w:val="nil"/>
                  <w:bottom w:val="single" w:sz="4" w:space="0" w:color="auto"/>
                  <w:right w:val="single" w:sz="4" w:space="0" w:color="auto"/>
                </w:tcBorders>
                <w:shd w:val="clear" w:color="auto" w:fill="auto"/>
                <w:noWrap/>
                <w:vAlign w:val="bottom"/>
                <w:hideMark/>
              </w:tcPr>
              <w:p w14:paraId="07557CE0"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15429000</w:t>
                </w:r>
              </w:p>
            </w:tc>
            <w:tc>
              <w:tcPr>
                <w:tcW w:w="1289" w:type="dxa"/>
                <w:tcBorders>
                  <w:top w:val="single" w:sz="4" w:space="0" w:color="auto"/>
                  <w:left w:val="nil"/>
                  <w:bottom w:val="single" w:sz="4" w:space="0" w:color="auto"/>
                  <w:right w:val="single" w:sz="4" w:space="0" w:color="auto"/>
                </w:tcBorders>
                <w:shd w:val="clear" w:color="auto" w:fill="auto"/>
                <w:noWrap/>
                <w:vAlign w:val="bottom"/>
                <w:hideMark/>
              </w:tcPr>
              <w:p w14:paraId="75A44216"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-2812000</w:t>
                </w:r>
              </w:p>
            </w:tc>
            <w:tc>
              <w:tcPr>
                <w:tcW w:w="1868" w:type="dxa"/>
                <w:tcBorders>
                  <w:top w:val="single" w:sz="4" w:space="0" w:color="auto"/>
                  <w:left w:val="nil"/>
                  <w:bottom w:val="single" w:sz="4" w:space="0" w:color="auto"/>
                  <w:right w:val="single" w:sz="4" w:space="0" w:color="auto"/>
                </w:tcBorders>
                <w:shd w:val="clear" w:color="auto" w:fill="auto"/>
                <w:noWrap/>
                <w:vAlign w:val="bottom"/>
                <w:hideMark/>
              </w:tcPr>
              <w:p w14:paraId="39884658"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-18.22541966</w:t>
                </w:r>
              </w:p>
            </w:tc>
          </w:tr>
          <w:tr w:rsidR="0006377C" w:rsidRPr="00D54A6B" w14:paraId="4BFB7782" w14:textId="77777777" w:rsidTr="009900FB">
            <w:trPr>
              <w:trHeight w:val="297"/>
            </w:trPr>
            <w:tc>
              <w:tcPr>
                <w:tcW w:w="433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8447C8" w14:textId="77777777" w:rsidR="0006377C" w:rsidRPr="00D54A6B" w:rsidRDefault="0006377C" w:rsidP="009900FB">
                <w:pPr>
                  <w:spacing w:after="0" w:line="276" w:lineRule="auto"/>
                  <w:jc w:val="both"/>
                  <w:rPr>
                    <w:rFonts w:ascii="Calibri" w:eastAsia="Times New Roman" w:hAnsi="Calibri" w:cs="Calibri"/>
                    <w:b/>
                    <w:bCs/>
                    <w:color w:val="000000"/>
                    <w:lang w:eastAsia="en-IN"/>
                  </w:rPr>
                </w:pPr>
                <w:r w:rsidRPr="00D54A6B">
                  <w:rPr>
                    <w:rFonts w:ascii="Calibri" w:eastAsia="Times New Roman" w:hAnsi="Calibri" w:cs="Calibri"/>
                    <w:b/>
                    <w:bCs/>
                    <w:color w:val="000000"/>
                    <w:lang w:eastAsia="en-IN"/>
                  </w:rPr>
                  <w:t>Common Stock</w:t>
                </w:r>
              </w:p>
            </w:tc>
            <w:tc>
              <w:tcPr>
                <w:tcW w:w="1356" w:type="dxa"/>
                <w:tcBorders>
                  <w:top w:val="single" w:sz="4" w:space="0" w:color="auto"/>
                  <w:left w:val="nil"/>
                  <w:bottom w:val="single" w:sz="4" w:space="0" w:color="auto"/>
                  <w:right w:val="single" w:sz="4" w:space="0" w:color="auto"/>
                </w:tcBorders>
                <w:shd w:val="clear" w:color="auto" w:fill="auto"/>
                <w:noWrap/>
                <w:vAlign w:val="bottom"/>
                <w:hideMark/>
              </w:tcPr>
              <w:p w14:paraId="14C2B4E0"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3000</w:t>
                </w:r>
              </w:p>
            </w:tc>
            <w:tc>
              <w:tcPr>
                <w:tcW w:w="1356" w:type="dxa"/>
                <w:tcBorders>
                  <w:top w:val="single" w:sz="4" w:space="0" w:color="auto"/>
                  <w:left w:val="nil"/>
                  <w:bottom w:val="single" w:sz="4" w:space="0" w:color="auto"/>
                  <w:right w:val="single" w:sz="4" w:space="0" w:color="auto"/>
                </w:tcBorders>
                <w:shd w:val="clear" w:color="auto" w:fill="auto"/>
                <w:noWrap/>
                <w:vAlign w:val="bottom"/>
                <w:hideMark/>
              </w:tcPr>
              <w:p w14:paraId="0CA1BA76"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3000</w:t>
                </w:r>
              </w:p>
            </w:tc>
            <w:tc>
              <w:tcPr>
                <w:tcW w:w="1289" w:type="dxa"/>
                <w:tcBorders>
                  <w:top w:val="single" w:sz="4" w:space="0" w:color="auto"/>
                  <w:left w:val="nil"/>
                  <w:bottom w:val="single" w:sz="4" w:space="0" w:color="auto"/>
                  <w:right w:val="single" w:sz="4" w:space="0" w:color="auto"/>
                </w:tcBorders>
                <w:shd w:val="clear" w:color="auto" w:fill="auto"/>
                <w:noWrap/>
                <w:vAlign w:val="bottom"/>
                <w:hideMark/>
              </w:tcPr>
              <w:p w14:paraId="337B067A"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0</w:t>
                </w:r>
              </w:p>
            </w:tc>
            <w:tc>
              <w:tcPr>
                <w:tcW w:w="1868" w:type="dxa"/>
                <w:tcBorders>
                  <w:top w:val="single" w:sz="4" w:space="0" w:color="auto"/>
                  <w:left w:val="nil"/>
                  <w:bottom w:val="single" w:sz="4" w:space="0" w:color="auto"/>
                  <w:right w:val="single" w:sz="4" w:space="0" w:color="auto"/>
                </w:tcBorders>
                <w:shd w:val="clear" w:color="auto" w:fill="auto"/>
                <w:noWrap/>
                <w:vAlign w:val="bottom"/>
                <w:hideMark/>
              </w:tcPr>
              <w:p w14:paraId="11B44659"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0</w:t>
                </w:r>
              </w:p>
            </w:tc>
          </w:tr>
          <w:tr w:rsidR="0006377C" w:rsidRPr="00D54A6B" w14:paraId="2EF1EAD8" w14:textId="77777777" w:rsidTr="009900FB">
            <w:trPr>
              <w:trHeight w:val="297"/>
            </w:trPr>
            <w:tc>
              <w:tcPr>
                <w:tcW w:w="433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249264" w14:textId="77777777" w:rsidR="0006377C" w:rsidRPr="00D54A6B" w:rsidRDefault="0006377C" w:rsidP="009900FB">
                <w:pPr>
                  <w:spacing w:after="0" w:line="276" w:lineRule="auto"/>
                  <w:jc w:val="both"/>
                  <w:rPr>
                    <w:rFonts w:ascii="Calibri" w:eastAsia="Times New Roman" w:hAnsi="Calibri" w:cs="Calibri"/>
                    <w:b/>
                    <w:bCs/>
                    <w:color w:val="000000"/>
                    <w:lang w:eastAsia="en-IN"/>
                  </w:rPr>
                </w:pPr>
                <w:r w:rsidRPr="00D54A6B">
                  <w:rPr>
                    <w:rFonts w:ascii="Calibri" w:eastAsia="Times New Roman" w:hAnsi="Calibri" w:cs="Calibri"/>
                    <w:b/>
                    <w:bCs/>
                    <w:color w:val="000000"/>
                    <w:lang w:eastAsia="en-IN"/>
                  </w:rPr>
                  <w:t>Retained Earnings</w:t>
                </w:r>
              </w:p>
            </w:tc>
            <w:tc>
              <w:tcPr>
                <w:tcW w:w="1356" w:type="dxa"/>
                <w:tcBorders>
                  <w:top w:val="single" w:sz="4" w:space="0" w:color="auto"/>
                  <w:left w:val="nil"/>
                  <w:bottom w:val="single" w:sz="4" w:space="0" w:color="auto"/>
                  <w:right w:val="single" w:sz="4" w:space="0" w:color="auto"/>
                </w:tcBorders>
                <w:shd w:val="clear" w:color="auto" w:fill="auto"/>
                <w:noWrap/>
                <w:vAlign w:val="bottom"/>
                <w:hideMark/>
              </w:tcPr>
              <w:p w14:paraId="5B10C9D6"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-6732000</w:t>
                </w:r>
              </w:p>
            </w:tc>
            <w:tc>
              <w:tcPr>
                <w:tcW w:w="1356" w:type="dxa"/>
                <w:tcBorders>
                  <w:top w:val="single" w:sz="4" w:space="0" w:color="auto"/>
                  <w:left w:val="nil"/>
                  <w:bottom w:val="single" w:sz="4" w:space="0" w:color="auto"/>
                  <w:right w:val="single" w:sz="4" w:space="0" w:color="auto"/>
                </w:tcBorders>
                <w:shd w:val="clear" w:color="auto" w:fill="auto"/>
                <w:noWrap/>
                <w:vAlign w:val="bottom"/>
                <w:hideMark/>
              </w:tcPr>
              <w:p w14:paraId="2E1C09D5"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-5965000</w:t>
                </w:r>
              </w:p>
            </w:tc>
            <w:tc>
              <w:tcPr>
                <w:tcW w:w="1289" w:type="dxa"/>
                <w:tcBorders>
                  <w:top w:val="single" w:sz="4" w:space="0" w:color="auto"/>
                  <w:left w:val="nil"/>
                  <w:bottom w:val="single" w:sz="4" w:space="0" w:color="auto"/>
                  <w:right w:val="single" w:sz="4" w:space="0" w:color="auto"/>
                </w:tcBorders>
                <w:shd w:val="clear" w:color="auto" w:fill="auto"/>
                <w:noWrap/>
                <w:vAlign w:val="bottom"/>
                <w:hideMark/>
              </w:tcPr>
              <w:p w14:paraId="04B20A39"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767000</w:t>
                </w:r>
              </w:p>
            </w:tc>
            <w:tc>
              <w:tcPr>
                <w:tcW w:w="1868" w:type="dxa"/>
                <w:tcBorders>
                  <w:top w:val="single" w:sz="4" w:space="0" w:color="auto"/>
                  <w:left w:val="nil"/>
                  <w:bottom w:val="single" w:sz="4" w:space="0" w:color="auto"/>
                  <w:right w:val="single" w:sz="4" w:space="0" w:color="auto"/>
                </w:tcBorders>
                <w:shd w:val="clear" w:color="auto" w:fill="auto"/>
                <w:noWrap/>
                <w:vAlign w:val="bottom"/>
                <w:hideMark/>
              </w:tcPr>
              <w:p w14:paraId="3D3ED804"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-12.85834032</w:t>
                </w:r>
              </w:p>
            </w:tc>
          </w:tr>
          <w:tr w:rsidR="0006377C" w:rsidRPr="00D54A6B" w14:paraId="701A71A4" w14:textId="77777777" w:rsidTr="009900FB">
            <w:trPr>
              <w:trHeight w:val="297"/>
            </w:trPr>
            <w:tc>
              <w:tcPr>
                <w:tcW w:w="433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CB2EB2" w14:textId="77777777" w:rsidR="0006377C" w:rsidRPr="00D54A6B" w:rsidRDefault="0006377C" w:rsidP="009900FB">
                <w:pPr>
                  <w:spacing w:after="0" w:line="276" w:lineRule="auto"/>
                  <w:jc w:val="both"/>
                  <w:rPr>
                    <w:rFonts w:ascii="Calibri" w:eastAsia="Times New Roman" w:hAnsi="Calibri" w:cs="Calibri"/>
                    <w:b/>
                    <w:bCs/>
                    <w:color w:val="000000"/>
                    <w:lang w:eastAsia="en-IN"/>
                  </w:rPr>
                </w:pPr>
                <w:r w:rsidRPr="00D54A6B">
                  <w:rPr>
                    <w:rFonts w:ascii="Calibri" w:eastAsia="Times New Roman" w:hAnsi="Calibri" w:cs="Calibri"/>
                    <w:b/>
                    <w:bCs/>
                    <w:color w:val="000000"/>
                    <w:lang w:eastAsia="en-IN"/>
                  </w:rPr>
                  <w:t xml:space="preserve">Total </w:t>
                </w:r>
                <w:proofErr w:type="spellStart"/>
                <w:r w:rsidRPr="00D54A6B">
                  <w:rPr>
                    <w:rFonts w:ascii="Calibri" w:eastAsia="Times New Roman" w:hAnsi="Calibri" w:cs="Calibri"/>
                    <w:b/>
                    <w:bCs/>
                    <w:color w:val="000000"/>
                    <w:lang w:eastAsia="en-IN"/>
                  </w:rPr>
                  <w:t>Stockholders</w:t>
                </w:r>
                <w:proofErr w:type="spellEnd"/>
                <w:r w:rsidRPr="00D54A6B">
                  <w:rPr>
                    <w:rFonts w:ascii="Calibri" w:eastAsia="Times New Roman" w:hAnsi="Calibri" w:cs="Calibri"/>
                    <w:b/>
                    <w:bCs/>
                    <w:color w:val="000000"/>
                    <w:lang w:eastAsia="en-IN"/>
                  </w:rPr>
                  <w:t xml:space="preserve"> Equity</w:t>
                </w:r>
              </w:p>
            </w:tc>
            <w:tc>
              <w:tcPr>
                <w:tcW w:w="1356" w:type="dxa"/>
                <w:tcBorders>
                  <w:top w:val="single" w:sz="4" w:space="0" w:color="auto"/>
                  <w:left w:val="nil"/>
                  <w:bottom w:val="single" w:sz="4" w:space="0" w:color="auto"/>
                  <w:right w:val="single" w:sz="4" w:space="0" w:color="auto"/>
                </w:tcBorders>
                <w:shd w:val="clear" w:color="auto" w:fill="auto"/>
                <w:noWrap/>
                <w:vAlign w:val="bottom"/>
                <w:hideMark/>
              </w:tcPr>
              <w:p w14:paraId="3ACB2E6B"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-1492000</w:t>
                </w:r>
              </w:p>
            </w:tc>
            <w:tc>
              <w:tcPr>
                <w:tcW w:w="1356" w:type="dxa"/>
                <w:tcBorders>
                  <w:top w:val="single" w:sz="4" w:space="0" w:color="auto"/>
                  <w:left w:val="nil"/>
                  <w:bottom w:val="single" w:sz="4" w:space="0" w:color="auto"/>
                  <w:right w:val="single" w:sz="4" w:space="0" w:color="auto"/>
                </w:tcBorders>
                <w:shd w:val="clear" w:color="auto" w:fill="auto"/>
                <w:noWrap/>
                <w:vAlign w:val="bottom"/>
                <w:hideMark/>
              </w:tcPr>
              <w:p w14:paraId="1FC08ADA"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-482000</w:t>
                </w:r>
              </w:p>
            </w:tc>
            <w:tc>
              <w:tcPr>
                <w:tcW w:w="1289" w:type="dxa"/>
                <w:tcBorders>
                  <w:top w:val="single" w:sz="4" w:space="0" w:color="auto"/>
                  <w:left w:val="nil"/>
                  <w:bottom w:val="single" w:sz="4" w:space="0" w:color="auto"/>
                  <w:right w:val="single" w:sz="4" w:space="0" w:color="auto"/>
                </w:tcBorders>
                <w:shd w:val="clear" w:color="auto" w:fill="auto"/>
                <w:noWrap/>
                <w:vAlign w:val="bottom"/>
                <w:hideMark/>
              </w:tcPr>
              <w:p w14:paraId="389B87B7"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1010000</w:t>
                </w:r>
              </w:p>
            </w:tc>
            <w:tc>
              <w:tcPr>
                <w:tcW w:w="1868" w:type="dxa"/>
                <w:tcBorders>
                  <w:top w:val="single" w:sz="4" w:space="0" w:color="auto"/>
                  <w:left w:val="nil"/>
                  <w:bottom w:val="single" w:sz="4" w:space="0" w:color="auto"/>
                  <w:right w:val="single" w:sz="4" w:space="0" w:color="auto"/>
                </w:tcBorders>
                <w:shd w:val="clear" w:color="auto" w:fill="auto"/>
                <w:noWrap/>
                <w:vAlign w:val="bottom"/>
                <w:hideMark/>
              </w:tcPr>
              <w:p w14:paraId="41B24C00"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-209.5435685</w:t>
                </w:r>
              </w:p>
            </w:tc>
          </w:tr>
          <w:tr w:rsidR="0006377C" w:rsidRPr="00D54A6B" w14:paraId="4B91E055" w14:textId="77777777" w:rsidTr="009900FB">
            <w:trPr>
              <w:trHeight w:val="297"/>
            </w:trPr>
            <w:tc>
              <w:tcPr>
                <w:tcW w:w="433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869205" w14:textId="77777777" w:rsidR="0006377C" w:rsidRPr="00D54A6B" w:rsidRDefault="0006377C" w:rsidP="009900FB">
                <w:pPr>
                  <w:spacing w:after="0" w:line="276" w:lineRule="auto"/>
                  <w:jc w:val="both"/>
                  <w:rPr>
                    <w:rFonts w:ascii="Calibri" w:eastAsia="Times New Roman" w:hAnsi="Calibri" w:cs="Calibri"/>
                    <w:b/>
                    <w:bCs/>
                    <w:color w:val="000000"/>
                    <w:lang w:eastAsia="en-IN"/>
                  </w:rPr>
                </w:pPr>
                <w:r w:rsidRPr="00D54A6B">
                  <w:rPr>
                    <w:rFonts w:ascii="Calibri" w:eastAsia="Times New Roman" w:hAnsi="Calibri" w:cs="Calibri"/>
                    <w:b/>
                    <w:bCs/>
                    <w:color w:val="000000"/>
                    <w:lang w:eastAsia="en-IN"/>
                  </w:rPr>
                  <w:t>Total Liabilities and Stockholder</w:t>
                </w:r>
              </w:p>
            </w:tc>
            <w:tc>
              <w:tcPr>
                <w:tcW w:w="1356" w:type="dxa"/>
                <w:tcBorders>
                  <w:top w:val="single" w:sz="4" w:space="0" w:color="auto"/>
                  <w:left w:val="nil"/>
                  <w:bottom w:val="single" w:sz="4" w:space="0" w:color="auto"/>
                  <w:right w:val="single" w:sz="4" w:space="0" w:color="auto"/>
                </w:tcBorders>
                <w:shd w:val="clear" w:color="auto" w:fill="auto"/>
                <w:noWrap/>
                <w:vAlign w:val="bottom"/>
                <w:hideMark/>
              </w:tcPr>
              <w:p w14:paraId="629CA3F4"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16755000</w:t>
                </w:r>
              </w:p>
            </w:tc>
            <w:tc>
              <w:tcPr>
                <w:tcW w:w="1356" w:type="dxa"/>
                <w:tcBorders>
                  <w:top w:val="single" w:sz="4" w:space="0" w:color="auto"/>
                  <w:left w:val="nil"/>
                  <w:bottom w:val="single" w:sz="4" w:space="0" w:color="auto"/>
                  <w:right w:val="single" w:sz="4" w:space="0" w:color="auto"/>
                </w:tcBorders>
                <w:shd w:val="clear" w:color="auto" w:fill="auto"/>
                <w:noWrap/>
                <w:vAlign w:val="bottom"/>
                <w:hideMark/>
              </w:tcPr>
              <w:p w14:paraId="2E4AB530"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14957000</w:t>
                </w:r>
              </w:p>
            </w:tc>
            <w:tc>
              <w:tcPr>
                <w:tcW w:w="1289" w:type="dxa"/>
                <w:tcBorders>
                  <w:top w:val="single" w:sz="4" w:space="0" w:color="auto"/>
                  <w:left w:val="nil"/>
                  <w:bottom w:val="single" w:sz="4" w:space="0" w:color="auto"/>
                  <w:right w:val="single" w:sz="4" w:space="0" w:color="auto"/>
                </w:tcBorders>
                <w:shd w:val="clear" w:color="auto" w:fill="auto"/>
                <w:noWrap/>
                <w:vAlign w:val="bottom"/>
                <w:hideMark/>
              </w:tcPr>
              <w:p w14:paraId="0315BB59"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-1798000</w:t>
                </w:r>
              </w:p>
            </w:tc>
            <w:tc>
              <w:tcPr>
                <w:tcW w:w="1868" w:type="dxa"/>
                <w:tcBorders>
                  <w:top w:val="single" w:sz="4" w:space="0" w:color="auto"/>
                  <w:left w:val="nil"/>
                  <w:bottom w:val="single" w:sz="4" w:space="0" w:color="auto"/>
                  <w:right w:val="single" w:sz="4" w:space="0" w:color="auto"/>
                </w:tcBorders>
                <w:shd w:val="clear" w:color="auto" w:fill="auto"/>
                <w:noWrap/>
                <w:vAlign w:val="bottom"/>
                <w:hideMark/>
              </w:tcPr>
              <w:p w14:paraId="73C0EEB1" w14:textId="77777777" w:rsidR="0006377C" w:rsidRPr="00D54A6B" w:rsidRDefault="0006377C" w:rsidP="009900FB">
                <w:pPr>
                  <w:spacing w:after="0" w:line="276" w:lineRule="auto"/>
                  <w:jc w:val="both"/>
                  <w:rPr>
                    <w:rFonts w:ascii="Calibri" w:eastAsia="Times New Roman" w:hAnsi="Calibri" w:cs="Calibri"/>
                    <w:color w:val="000000"/>
                    <w:lang w:eastAsia="en-IN"/>
                  </w:rPr>
                </w:pPr>
                <w:r w:rsidRPr="00D54A6B">
                  <w:rPr>
                    <w:rFonts w:ascii="Calibri" w:eastAsia="Times New Roman" w:hAnsi="Calibri" w:cs="Calibri"/>
                    <w:color w:val="000000"/>
                    <w:lang w:eastAsia="en-IN"/>
                  </w:rPr>
                  <w:t>-12.02112723</w:t>
                </w:r>
              </w:p>
            </w:tc>
          </w:tr>
        </w:tbl>
        <w:p w14:paraId="3657FA2A" w14:textId="07D258BC" w:rsidR="0006377C" w:rsidRDefault="00E96CE7" w:rsidP="00E96CE7">
          <w:pPr>
            <w:spacing w:line="276" w:lineRule="auto"/>
            <w:jc w:val="center"/>
            <w:rPr>
              <w:rFonts w:ascii="Arial" w:hAnsi="Arial" w:cs="Arial"/>
              <w:sz w:val="24"/>
              <w:szCs w:val="24"/>
            </w:rPr>
          </w:pPr>
          <w:r w:rsidRPr="00E96CE7">
            <w:rPr>
              <w:rFonts w:ascii="Arial" w:hAnsi="Arial" w:cs="Arial"/>
              <w:sz w:val="24"/>
              <w:szCs w:val="24"/>
            </w:rPr>
            <w:t>Table 2</w:t>
          </w:r>
        </w:p>
        <w:p w14:paraId="2BA2EAF5" w14:textId="77777777" w:rsidR="00E96CE7" w:rsidRPr="00E96CE7" w:rsidRDefault="00E96CE7" w:rsidP="00E96CE7">
          <w:pPr>
            <w:spacing w:line="276" w:lineRule="auto"/>
            <w:jc w:val="center"/>
            <w:rPr>
              <w:rFonts w:ascii="Arial" w:hAnsi="Arial" w:cs="Arial"/>
              <w:sz w:val="24"/>
              <w:szCs w:val="24"/>
            </w:rPr>
          </w:pPr>
        </w:p>
        <w:p w14:paraId="6824FC91" w14:textId="77777777" w:rsidR="0006377C" w:rsidRPr="002D3BD2" w:rsidRDefault="0006377C" w:rsidP="0006377C">
          <w:pPr>
            <w:pStyle w:val="Heading2"/>
            <w:spacing w:line="276" w:lineRule="auto"/>
            <w:jc w:val="both"/>
            <w:rPr>
              <w:rFonts w:ascii="Arial" w:hAnsi="Arial" w:cs="Arial"/>
              <w:sz w:val="24"/>
              <w:szCs w:val="24"/>
            </w:rPr>
          </w:pPr>
          <w:bookmarkStart w:id="7" w:name="_Toc104560596"/>
          <w:r w:rsidRPr="002D3BD2">
            <w:rPr>
              <w:rFonts w:ascii="Arial" w:hAnsi="Arial" w:cs="Arial"/>
              <w:sz w:val="24"/>
              <w:szCs w:val="24"/>
            </w:rPr>
            <w:t xml:space="preserve">Financial Trends Analysis Balance </w:t>
          </w:r>
          <w:proofErr w:type="gramStart"/>
          <w:r w:rsidRPr="002D3BD2">
            <w:rPr>
              <w:rFonts w:ascii="Arial" w:hAnsi="Arial" w:cs="Arial"/>
              <w:sz w:val="24"/>
              <w:szCs w:val="24"/>
            </w:rPr>
            <w:t>Sheet :</w:t>
          </w:r>
          <w:proofErr w:type="gramEnd"/>
          <w:r w:rsidRPr="002D3BD2">
            <w:rPr>
              <w:rFonts w:ascii="Arial" w:hAnsi="Arial" w:cs="Arial"/>
              <w:sz w:val="24"/>
              <w:szCs w:val="24"/>
            </w:rPr>
            <w:t>-</w:t>
          </w:r>
          <w:bookmarkEnd w:id="7"/>
        </w:p>
        <w:p w14:paraId="6DFA2250" w14:textId="77777777" w:rsidR="0006377C" w:rsidRPr="002D3BD2" w:rsidRDefault="0006377C" w:rsidP="0006377C">
          <w:pPr>
            <w:spacing w:line="276" w:lineRule="auto"/>
            <w:jc w:val="both"/>
            <w:rPr>
              <w:rFonts w:ascii="Arial" w:hAnsi="Arial" w:cs="Arial"/>
              <w:sz w:val="24"/>
              <w:szCs w:val="24"/>
            </w:rPr>
          </w:pPr>
        </w:p>
        <w:p w14:paraId="7FB87F1F" w14:textId="313993FC" w:rsidR="00AA2A91" w:rsidRDefault="0006377C" w:rsidP="0006377C">
          <w:pPr>
            <w:spacing w:line="276" w:lineRule="auto"/>
            <w:jc w:val="both"/>
            <w:rPr>
              <w:rFonts w:ascii="Arial" w:hAnsi="Arial" w:cs="Arial"/>
              <w:sz w:val="24"/>
              <w:szCs w:val="24"/>
            </w:rPr>
          </w:pPr>
          <w:r w:rsidRPr="002D3BD2">
            <w:rPr>
              <w:rFonts w:ascii="Arial" w:hAnsi="Arial" w:cs="Arial"/>
              <w:sz w:val="24"/>
              <w:szCs w:val="24"/>
            </w:rPr>
            <w:t xml:space="preserve">Hilton Holdings current asset has decreased by 100 per cent. This indicates a sense of financial distress in the company which has been bought about by the pandemic. The current liabilities have also increased meaning that more purchases have been made by the company. The company has greater total liabilities than total assets indicating that it is in financial trouble and is facing debts. The stockholder’s equity has reduced by 200 per cent further adding to the fact that the company faces a lot of financial trouble as there have been </w:t>
          </w:r>
          <w:proofErr w:type="gramStart"/>
          <w:r w:rsidRPr="002D3BD2">
            <w:rPr>
              <w:rFonts w:ascii="Arial" w:hAnsi="Arial" w:cs="Arial"/>
              <w:sz w:val="24"/>
              <w:szCs w:val="24"/>
            </w:rPr>
            <w:t>a large number of</w:t>
          </w:r>
          <w:proofErr w:type="gramEnd"/>
          <w:r w:rsidRPr="002D3BD2">
            <w:rPr>
              <w:rFonts w:ascii="Arial" w:hAnsi="Arial" w:cs="Arial"/>
              <w:sz w:val="24"/>
              <w:szCs w:val="24"/>
            </w:rPr>
            <w:t xml:space="preserve"> expenses and losses. There is a huge decline in the companies’ profits and the pandemic has put Hilton Worldwide holdings in a spot of bother. </w:t>
          </w:r>
        </w:p>
        <w:p w14:paraId="08EEE778" w14:textId="50328D8E" w:rsidR="0006377C" w:rsidRDefault="0006377C" w:rsidP="0006377C">
          <w:pPr>
            <w:spacing w:line="276" w:lineRule="auto"/>
            <w:jc w:val="both"/>
            <w:rPr>
              <w:rFonts w:ascii="Arial" w:hAnsi="Arial" w:cs="Arial"/>
              <w:sz w:val="24"/>
              <w:szCs w:val="24"/>
            </w:rPr>
          </w:pPr>
        </w:p>
        <w:p w14:paraId="06CDBB45" w14:textId="77777777" w:rsidR="0006377C" w:rsidRPr="002D3BD2" w:rsidRDefault="0006377C" w:rsidP="0006377C">
          <w:pPr>
            <w:pStyle w:val="Heading1"/>
            <w:spacing w:line="276" w:lineRule="auto"/>
            <w:jc w:val="both"/>
            <w:rPr>
              <w:rFonts w:ascii="Arial" w:hAnsi="Arial" w:cs="Arial"/>
              <w:sz w:val="24"/>
              <w:szCs w:val="24"/>
            </w:rPr>
          </w:pPr>
          <w:bookmarkStart w:id="8" w:name="_Toc104560597"/>
          <w:r w:rsidRPr="002D3BD2">
            <w:rPr>
              <w:rFonts w:ascii="Arial" w:hAnsi="Arial" w:cs="Arial"/>
              <w:sz w:val="24"/>
              <w:szCs w:val="24"/>
            </w:rPr>
            <w:t>Advantages of Using Horizontal Ratio Analysis</w:t>
          </w:r>
          <w:bookmarkEnd w:id="8"/>
        </w:p>
        <w:p w14:paraId="1D95FC18" w14:textId="77777777" w:rsidR="0006377C" w:rsidRPr="002D3BD2" w:rsidRDefault="0006377C" w:rsidP="0006377C">
          <w:pPr>
            <w:spacing w:line="276" w:lineRule="auto"/>
            <w:jc w:val="both"/>
            <w:rPr>
              <w:rFonts w:ascii="Arial" w:hAnsi="Arial" w:cs="Arial"/>
              <w:sz w:val="24"/>
              <w:szCs w:val="24"/>
            </w:rPr>
          </w:pPr>
        </w:p>
        <w:p w14:paraId="1DF4D6C6" w14:textId="77777777" w:rsidR="0006377C" w:rsidRPr="002D3BD2" w:rsidRDefault="0006377C" w:rsidP="0006377C">
          <w:pPr>
            <w:spacing w:line="276" w:lineRule="auto"/>
            <w:jc w:val="both"/>
            <w:rPr>
              <w:rFonts w:ascii="Arial" w:hAnsi="Arial" w:cs="Arial"/>
              <w:sz w:val="24"/>
              <w:szCs w:val="24"/>
            </w:rPr>
          </w:pPr>
          <w:r w:rsidRPr="002D3BD2">
            <w:rPr>
              <w:rFonts w:ascii="Arial" w:hAnsi="Arial" w:cs="Arial"/>
              <w:sz w:val="24"/>
              <w:szCs w:val="24"/>
            </w:rPr>
            <w:t xml:space="preserve">When comparing data from </w:t>
          </w:r>
          <w:proofErr w:type="gramStart"/>
          <w:r w:rsidRPr="002D3BD2">
            <w:rPr>
              <w:rFonts w:ascii="Arial" w:hAnsi="Arial" w:cs="Arial"/>
              <w:sz w:val="24"/>
              <w:szCs w:val="24"/>
            </w:rPr>
            <w:t>a number of</w:t>
          </w:r>
          <w:proofErr w:type="gramEnd"/>
          <w:r w:rsidRPr="002D3BD2">
            <w:rPr>
              <w:rFonts w:ascii="Arial" w:hAnsi="Arial" w:cs="Arial"/>
              <w:sz w:val="24"/>
              <w:szCs w:val="24"/>
            </w:rPr>
            <w:t xml:space="preserve"> reporting periods, a horizontal analysis can be used. It might also be applied to the ratios produced from this data. </w:t>
          </w:r>
          <w:proofErr w:type="gramStart"/>
          <w:r w:rsidRPr="002D3BD2">
            <w:rPr>
              <w:rFonts w:ascii="Arial" w:hAnsi="Arial" w:cs="Arial"/>
              <w:sz w:val="24"/>
              <w:szCs w:val="24"/>
            </w:rPr>
            <w:t>As a general rule</w:t>
          </w:r>
          <w:proofErr w:type="gramEnd"/>
          <w:r w:rsidRPr="002D3BD2">
            <w:rPr>
              <w:rFonts w:ascii="Arial" w:hAnsi="Arial" w:cs="Arial"/>
              <w:sz w:val="24"/>
              <w:szCs w:val="24"/>
            </w:rPr>
            <w:t>, the numbers in each consecutive year can be stated as a percentage of the baseline year's total, with 100% being the baseline. (</w:t>
          </w:r>
          <w:proofErr w:type="spellStart"/>
          <w:r w:rsidRPr="002D3BD2">
            <w:rPr>
              <w:rFonts w:ascii="Arial" w:hAnsi="Arial" w:cs="Arial"/>
              <w:sz w:val="24"/>
              <w:szCs w:val="24"/>
            </w:rPr>
            <w:t>Lakada</w:t>
          </w:r>
          <w:proofErr w:type="spellEnd"/>
          <w:r w:rsidRPr="002D3BD2">
            <w:rPr>
              <w:rFonts w:ascii="Arial" w:hAnsi="Arial" w:cs="Arial"/>
              <w:sz w:val="24"/>
              <w:szCs w:val="24"/>
            </w:rPr>
            <w:t xml:space="preserve">, </w:t>
          </w:r>
          <w:proofErr w:type="spellStart"/>
          <w:r w:rsidRPr="002D3BD2">
            <w:rPr>
              <w:rFonts w:ascii="Arial" w:hAnsi="Arial" w:cs="Arial"/>
              <w:sz w:val="24"/>
              <w:szCs w:val="24"/>
            </w:rPr>
            <w:t>Lapian</w:t>
          </w:r>
          <w:proofErr w:type="spellEnd"/>
          <w:r w:rsidRPr="002D3BD2">
            <w:rPr>
              <w:rFonts w:ascii="Arial" w:hAnsi="Arial" w:cs="Arial"/>
              <w:sz w:val="24"/>
              <w:szCs w:val="24"/>
            </w:rPr>
            <w:t>, 2017) To determine whether any figures are particularly high or low in</w:t>
          </w:r>
        </w:p>
        <w:p w14:paraId="54E02A4B" w14:textId="77777777" w:rsidR="0006377C" w:rsidRPr="002D3BD2" w:rsidRDefault="0006377C" w:rsidP="0006377C">
          <w:pPr>
            <w:spacing w:line="276" w:lineRule="auto"/>
            <w:jc w:val="both"/>
            <w:rPr>
              <w:rFonts w:ascii="Arial" w:hAnsi="Arial" w:cs="Arial"/>
              <w:sz w:val="24"/>
              <w:szCs w:val="24"/>
            </w:rPr>
          </w:pPr>
        </w:p>
        <w:p w14:paraId="36C35A36" w14:textId="77777777" w:rsidR="0006377C" w:rsidRPr="002D3BD2" w:rsidRDefault="0006377C" w:rsidP="0006377C">
          <w:pPr>
            <w:spacing w:line="276" w:lineRule="auto"/>
            <w:jc w:val="both"/>
            <w:rPr>
              <w:rFonts w:ascii="Arial" w:hAnsi="Arial" w:cs="Arial"/>
              <w:sz w:val="24"/>
              <w:szCs w:val="24"/>
            </w:rPr>
          </w:pPr>
          <w:r w:rsidRPr="002D3BD2">
            <w:rPr>
              <w:rFonts w:ascii="Arial" w:hAnsi="Arial" w:cs="Arial"/>
              <w:sz w:val="24"/>
              <w:szCs w:val="24"/>
            </w:rPr>
            <w:t>relation to the information for bracketing periods, a horizontal analysis may be utilised, which may then initiate a detailed study into the cause of the difference. Additionally, it can be used to forecast the future amounts of specific line items. It is possible to see an increase in medical insurance rates by performing a horizontal analysis of employee benefits costs over time, whereas a similar analysis of revenue can show when sales peaked and began to fall. (</w:t>
          </w:r>
          <w:proofErr w:type="gramStart"/>
          <w:r w:rsidRPr="002D3BD2">
            <w:rPr>
              <w:rFonts w:ascii="Arial" w:hAnsi="Arial" w:cs="Arial"/>
              <w:sz w:val="24"/>
              <w:szCs w:val="24"/>
            </w:rPr>
            <w:t>vaca</w:t>
          </w:r>
          <w:proofErr w:type="gramEnd"/>
          <w:r w:rsidRPr="002D3BD2">
            <w:rPr>
              <w:rFonts w:ascii="Arial" w:hAnsi="Arial" w:cs="Arial"/>
              <w:sz w:val="24"/>
              <w:szCs w:val="24"/>
            </w:rPr>
            <w:t>-tapia,2019)</w:t>
          </w:r>
        </w:p>
        <w:p w14:paraId="7F6890B8" w14:textId="77777777" w:rsidR="0006377C" w:rsidRPr="002D3BD2" w:rsidRDefault="0006377C" w:rsidP="0006377C">
          <w:pPr>
            <w:spacing w:line="276" w:lineRule="auto"/>
            <w:jc w:val="both"/>
            <w:rPr>
              <w:rFonts w:ascii="Arial" w:hAnsi="Arial" w:cs="Arial"/>
              <w:sz w:val="24"/>
              <w:szCs w:val="24"/>
            </w:rPr>
          </w:pPr>
          <w:r w:rsidRPr="002D3BD2">
            <w:rPr>
              <w:rFonts w:ascii="Arial" w:hAnsi="Arial" w:cs="Arial"/>
              <w:sz w:val="24"/>
              <w:szCs w:val="24"/>
            </w:rPr>
            <w:t xml:space="preserve">For a thorough picture of the impact of operational results on a company's financial position within a given </w:t>
          </w:r>
          <w:proofErr w:type="gramStart"/>
          <w:r w:rsidRPr="002D3BD2">
            <w:rPr>
              <w:rFonts w:ascii="Arial" w:hAnsi="Arial" w:cs="Arial"/>
              <w:sz w:val="24"/>
              <w:szCs w:val="24"/>
            </w:rPr>
            <w:t>time period</w:t>
          </w:r>
          <w:proofErr w:type="gramEnd"/>
          <w:r w:rsidRPr="002D3BD2">
            <w:rPr>
              <w:rFonts w:ascii="Arial" w:hAnsi="Arial" w:cs="Arial"/>
              <w:sz w:val="24"/>
              <w:szCs w:val="24"/>
            </w:rPr>
            <w:t xml:space="preserve">, it is beneficial to perform a horizontal examination across all financial accounts. Even if a company had an amazing second year, the linked balance sheet analysis shows that it is having difficulty funding growth due to a decrease in cash, an increase in accounts payable and a rise of debt. (Silander, </w:t>
          </w:r>
          <w:proofErr w:type="gramStart"/>
          <w:r w:rsidRPr="002D3BD2">
            <w:rPr>
              <w:rFonts w:ascii="Arial" w:hAnsi="Arial" w:cs="Arial"/>
              <w:sz w:val="24"/>
              <w:szCs w:val="24"/>
            </w:rPr>
            <w:t>Haake ,</w:t>
          </w:r>
          <w:proofErr w:type="gramEnd"/>
          <w:r w:rsidRPr="002D3BD2">
            <w:rPr>
              <w:rFonts w:ascii="Arial" w:hAnsi="Arial" w:cs="Arial"/>
              <w:sz w:val="24"/>
              <w:szCs w:val="24"/>
            </w:rPr>
            <w:t xml:space="preserve"> 2019)</w:t>
          </w:r>
        </w:p>
        <w:p w14:paraId="6984F181" w14:textId="77777777" w:rsidR="0006377C" w:rsidRPr="002D3BD2" w:rsidRDefault="0006377C" w:rsidP="0006377C">
          <w:pPr>
            <w:spacing w:line="276" w:lineRule="auto"/>
            <w:jc w:val="both"/>
            <w:rPr>
              <w:rFonts w:ascii="Arial" w:hAnsi="Arial" w:cs="Arial"/>
              <w:sz w:val="24"/>
              <w:szCs w:val="24"/>
            </w:rPr>
          </w:pPr>
          <w:r w:rsidRPr="002D3BD2">
            <w:rPr>
              <w:rFonts w:ascii="Arial" w:hAnsi="Arial" w:cs="Arial"/>
              <w:sz w:val="24"/>
              <w:szCs w:val="24"/>
            </w:rPr>
            <w:t xml:space="preserve">When critical ratios or margins like the current ratio, interest coverage ratio, gross margin, and net profit margin are included in the horizontal analysis, the results can be extremely instructive. </w:t>
          </w:r>
          <w:proofErr w:type="gramStart"/>
          <w:r w:rsidRPr="002D3BD2">
            <w:rPr>
              <w:rFonts w:ascii="Arial" w:hAnsi="Arial" w:cs="Arial"/>
              <w:sz w:val="24"/>
              <w:szCs w:val="24"/>
            </w:rPr>
            <w:t>In particular, keep</w:t>
          </w:r>
          <w:proofErr w:type="gramEnd"/>
          <w:r w:rsidRPr="002D3BD2">
            <w:rPr>
              <w:rFonts w:ascii="Arial" w:hAnsi="Arial" w:cs="Arial"/>
              <w:sz w:val="24"/>
              <w:szCs w:val="24"/>
            </w:rPr>
            <w:t xml:space="preserve"> an eye on any metrics that are included in a company's loan covenants, as these metrics could indicate a potential breach of the covenant. Declining margins and/or liquidity issues can be identified earlier with this style of presentation, allowing for early corrective action.</w:t>
          </w:r>
        </w:p>
        <w:p w14:paraId="2C31DC13" w14:textId="77777777" w:rsidR="0006377C" w:rsidRPr="002D3BD2" w:rsidRDefault="0006377C" w:rsidP="0006377C">
          <w:pPr>
            <w:spacing w:line="276" w:lineRule="auto"/>
            <w:jc w:val="both"/>
            <w:rPr>
              <w:rFonts w:ascii="Arial" w:hAnsi="Arial" w:cs="Arial"/>
              <w:sz w:val="24"/>
              <w:szCs w:val="24"/>
            </w:rPr>
          </w:pPr>
          <w:r w:rsidRPr="002D3BD2">
            <w:rPr>
              <w:rFonts w:ascii="Arial" w:hAnsi="Arial" w:cs="Arial"/>
              <w:sz w:val="24"/>
              <w:szCs w:val="24"/>
            </w:rPr>
            <w:t xml:space="preserve">As a result of applying horizontal analysis, aberrations from long-term patterns can be easily spotted. Comparative data makes it easier to see how the data has changed over time. Horizontal analysis, on the other hand, makes it easier to predict future patterns. It is also possible to compare trends to those of competitors or industry averages, which is a benefit of this type of data display </w:t>
          </w:r>
          <w:proofErr w:type="gramStart"/>
          <w:r w:rsidRPr="002D3BD2">
            <w:rPr>
              <w:rFonts w:ascii="Arial" w:hAnsi="Arial" w:cs="Arial"/>
              <w:sz w:val="24"/>
              <w:szCs w:val="24"/>
            </w:rPr>
            <w:t>in order to</w:t>
          </w:r>
          <w:proofErr w:type="gramEnd"/>
          <w:r w:rsidRPr="002D3BD2">
            <w:rPr>
              <w:rFonts w:ascii="Arial" w:hAnsi="Arial" w:cs="Arial"/>
              <w:sz w:val="24"/>
              <w:szCs w:val="24"/>
            </w:rPr>
            <w:t xml:space="preserve"> determine how well an organization's performance compares to other businesses. Another advantage is that anomalies in a trend may be easily spotted, but other techniques of analysis may require a lot of experience to understand if the data in a presentation are suggestive of issues. (</w:t>
          </w:r>
          <w:proofErr w:type="gramStart"/>
          <w:r w:rsidRPr="002D3BD2">
            <w:rPr>
              <w:rFonts w:ascii="Arial" w:hAnsi="Arial" w:cs="Arial"/>
              <w:sz w:val="24"/>
              <w:szCs w:val="24"/>
            </w:rPr>
            <w:t>clavier</w:t>
          </w:r>
          <w:proofErr w:type="gramEnd"/>
          <w:r w:rsidRPr="002D3BD2">
            <w:rPr>
              <w:rFonts w:ascii="Arial" w:hAnsi="Arial" w:cs="Arial"/>
              <w:sz w:val="24"/>
              <w:szCs w:val="24"/>
            </w:rPr>
            <w:t>, haix,2010)</w:t>
          </w:r>
        </w:p>
        <w:p w14:paraId="0FD48232" w14:textId="77777777" w:rsidR="0006377C" w:rsidRDefault="0006377C" w:rsidP="0006377C">
          <w:pPr>
            <w:spacing w:line="276" w:lineRule="auto"/>
            <w:jc w:val="both"/>
            <w:rPr>
              <w:rFonts w:ascii="Arial" w:hAnsi="Arial" w:cs="Arial"/>
              <w:sz w:val="24"/>
              <w:szCs w:val="24"/>
            </w:rPr>
          </w:pPr>
        </w:p>
        <w:p w14:paraId="669381F7" w14:textId="77777777" w:rsidR="0006377C" w:rsidRDefault="0006377C" w:rsidP="0006377C">
          <w:pPr>
            <w:spacing w:line="276" w:lineRule="auto"/>
            <w:jc w:val="both"/>
            <w:rPr>
              <w:rFonts w:ascii="Arial" w:hAnsi="Arial" w:cs="Arial"/>
              <w:sz w:val="24"/>
              <w:szCs w:val="24"/>
            </w:rPr>
          </w:pPr>
        </w:p>
        <w:p w14:paraId="43EDDDB6" w14:textId="77777777" w:rsidR="0006377C" w:rsidRPr="002D3BD2" w:rsidRDefault="0006377C" w:rsidP="0006377C">
          <w:pPr>
            <w:spacing w:line="276" w:lineRule="auto"/>
            <w:jc w:val="both"/>
            <w:rPr>
              <w:rFonts w:ascii="Arial" w:hAnsi="Arial" w:cs="Arial"/>
              <w:sz w:val="24"/>
              <w:szCs w:val="24"/>
            </w:rPr>
          </w:pPr>
        </w:p>
        <w:p w14:paraId="175F680F" w14:textId="77777777" w:rsidR="0006377C" w:rsidRPr="002D3BD2" w:rsidRDefault="0006377C" w:rsidP="0006377C">
          <w:pPr>
            <w:pStyle w:val="Heading1"/>
            <w:spacing w:line="276" w:lineRule="auto"/>
            <w:jc w:val="both"/>
            <w:rPr>
              <w:rFonts w:ascii="Arial" w:hAnsi="Arial" w:cs="Arial"/>
              <w:sz w:val="24"/>
              <w:szCs w:val="24"/>
            </w:rPr>
          </w:pPr>
          <w:bookmarkStart w:id="9" w:name="_Toc104560598"/>
          <w:r w:rsidRPr="002D3BD2">
            <w:rPr>
              <w:rFonts w:ascii="Arial" w:hAnsi="Arial" w:cs="Arial"/>
              <w:sz w:val="24"/>
              <w:szCs w:val="24"/>
            </w:rPr>
            <w:t>Problems of Using Horizontal Analysis</w:t>
          </w:r>
          <w:bookmarkEnd w:id="9"/>
        </w:p>
        <w:p w14:paraId="4227D23A" w14:textId="77777777" w:rsidR="0006377C" w:rsidRPr="002D3BD2" w:rsidRDefault="0006377C" w:rsidP="0006377C">
          <w:pPr>
            <w:spacing w:line="276" w:lineRule="auto"/>
            <w:jc w:val="both"/>
            <w:rPr>
              <w:rFonts w:ascii="Arial" w:hAnsi="Arial" w:cs="Arial"/>
              <w:sz w:val="24"/>
              <w:szCs w:val="24"/>
            </w:rPr>
          </w:pPr>
        </w:p>
        <w:p w14:paraId="0CB8DF8D" w14:textId="77777777" w:rsidR="0006377C" w:rsidRPr="002D3BD2" w:rsidRDefault="0006377C" w:rsidP="0006377C">
          <w:pPr>
            <w:spacing w:line="276" w:lineRule="auto"/>
            <w:jc w:val="both"/>
            <w:rPr>
              <w:rFonts w:ascii="Arial" w:hAnsi="Arial" w:cs="Arial"/>
              <w:sz w:val="24"/>
              <w:szCs w:val="24"/>
            </w:rPr>
          </w:pPr>
          <w:r w:rsidRPr="002D3BD2">
            <w:rPr>
              <w:rFonts w:ascii="Arial" w:hAnsi="Arial" w:cs="Arial"/>
              <w:sz w:val="24"/>
              <w:szCs w:val="24"/>
            </w:rPr>
            <w:t>Horizontal analysis can be overused to produce misleading results. Analysers can inflate or deflate results by changing the number of comparison periods they use. According to one example, profits may appear high in comparison with those of the previous month, but they are in fact rather low when compared to the same month last year's results. This difficulty can be alleviated if comparison periods are used consistently. The comparison periods should also be stated when an analysis is offered on a regular basis spanning numerous reporting periods, so that readers are aware of the difference. For example, changes in the chart of accounts over time could result in revenues shifting between accounts, expenses shifting between accounts, assets shifting between accounts, and liabilities shifting between accounts when comparing accounts from one period to the next. (</w:t>
          </w:r>
          <w:proofErr w:type="spellStart"/>
          <w:proofErr w:type="gramStart"/>
          <w:r w:rsidRPr="002D3BD2">
            <w:rPr>
              <w:rFonts w:ascii="Arial" w:hAnsi="Arial" w:cs="Arial"/>
              <w:sz w:val="24"/>
              <w:szCs w:val="24"/>
            </w:rPr>
            <w:t>Lammerant</w:t>
          </w:r>
          <w:proofErr w:type="spellEnd"/>
          <w:r w:rsidRPr="002D3BD2">
            <w:rPr>
              <w:rFonts w:ascii="Arial" w:hAnsi="Arial" w:cs="Arial"/>
              <w:sz w:val="24"/>
              <w:szCs w:val="24"/>
            </w:rPr>
            <w:t xml:space="preserve"> ,</w:t>
          </w:r>
          <w:proofErr w:type="gramEnd"/>
          <w:r w:rsidRPr="002D3BD2">
            <w:rPr>
              <w:rFonts w:ascii="Arial" w:hAnsi="Arial" w:cs="Arial"/>
              <w:sz w:val="24"/>
              <w:szCs w:val="24"/>
            </w:rPr>
            <w:t xml:space="preserve"> Dehart,2015)</w:t>
          </w:r>
        </w:p>
        <w:p w14:paraId="2B64EDF4" w14:textId="77777777" w:rsidR="0006377C" w:rsidRPr="002D3BD2" w:rsidRDefault="0006377C" w:rsidP="0006377C">
          <w:pPr>
            <w:spacing w:line="276" w:lineRule="auto"/>
            <w:jc w:val="both"/>
            <w:rPr>
              <w:rFonts w:ascii="Arial" w:hAnsi="Arial" w:cs="Arial"/>
              <w:sz w:val="24"/>
              <w:szCs w:val="24"/>
            </w:rPr>
          </w:pPr>
          <w:r w:rsidRPr="002D3BD2">
            <w:rPr>
              <w:rFonts w:ascii="Arial" w:hAnsi="Arial" w:cs="Arial"/>
              <w:sz w:val="24"/>
              <w:szCs w:val="24"/>
            </w:rPr>
            <w:t>Another problem with using horizontal analysis is that it cannot be used to compare numbers within an accounting period and can only be used to compare two different accounting periods. For such a comparison vertical analysis needs to be used. It is possible to identify the relationship between items in the same financial statement by expressing all amounts as a percentage of a total amount using the</w:t>
          </w:r>
        </w:p>
        <w:p w14:paraId="5A09794A" w14:textId="77777777" w:rsidR="0006377C" w:rsidRPr="002D3BD2" w:rsidRDefault="0006377C" w:rsidP="0006377C">
          <w:pPr>
            <w:spacing w:line="276" w:lineRule="auto"/>
            <w:jc w:val="both"/>
            <w:rPr>
              <w:rFonts w:ascii="Arial" w:hAnsi="Arial" w:cs="Arial"/>
              <w:sz w:val="24"/>
              <w:szCs w:val="24"/>
            </w:rPr>
          </w:pPr>
        </w:p>
        <w:p w14:paraId="52FFD408" w14:textId="6398EF14" w:rsidR="00AA2A91" w:rsidRDefault="0006377C" w:rsidP="0006377C">
          <w:pPr>
            <w:spacing w:line="276" w:lineRule="auto"/>
            <w:jc w:val="both"/>
            <w:rPr>
              <w:rFonts w:ascii="Arial" w:hAnsi="Arial" w:cs="Arial"/>
              <w:sz w:val="24"/>
              <w:szCs w:val="24"/>
            </w:rPr>
          </w:pPr>
          <w:r w:rsidRPr="002D3BD2">
            <w:rPr>
              <w:rFonts w:ascii="Arial" w:hAnsi="Arial" w:cs="Arial"/>
              <w:sz w:val="24"/>
              <w:szCs w:val="24"/>
            </w:rPr>
            <w:t xml:space="preserve">vertical analysis approach In the same accounting period, this method compares various goods to a single </w:t>
          </w:r>
          <w:proofErr w:type="gramStart"/>
          <w:r w:rsidRPr="002D3BD2">
            <w:rPr>
              <w:rFonts w:ascii="Arial" w:hAnsi="Arial" w:cs="Arial"/>
              <w:sz w:val="24"/>
              <w:szCs w:val="24"/>
            </w:rPr>
            <w:t>item.(</w:t>
          </w:r>
          <w:proofErr w:type="gramEnd"/>
          <w:r w:rsidRPr="002D3BD2">
            <w:rPr>
              <w:rFonts w:ascii="Arial" w:hAnsi="Arial" w:cs="Arial"/>
              <w:sz w:val="24"/>
              <w:szCs w:val="24"/>
            </w:rPr>
            <w:t xml:space="preserve"> </w:t>
          </w:r>
          <w:proofErr w:type="spellStart"/>
          <w:r w:rsidRPr="002D3BD2">
            <w:rPr>
              <w:rFonts w:ascii="Arial" w:hAnsi="Arial" w:cs="Arial"/>
              <w:sz w:val="24"/>
              <w:szCs w:val="24"/>
            </w:rPr>
            <w:t>Ferriera,Thisse</w:t>
          </w:r>
          <w:proofErr w:type="spellEnd"/>
          <w:r w:rsidRPr="002D3BD2">
            <w:rPr>
              <w:rFonts w:ascii="Arial" w:hAnsi="Arial" w:cs="Arial"/>
              <w:sz w:val="24"/>
              <w:szCs w:val="24"/>
            </w:rPr>
            <w:t xml:space="preserve"> , 1996)</w:t>
          </w:r>
        </w:p>
        <w:p w14:paraId="7D18B072" w14:textId="77777777" w:rsidR="0006377C" w:rsidRPr="0006377C" w:rsidRDefault="0006377C" w:rsidP="0006377C">
          <w:pPr>
            <w:spacing w:line="276" w:lineRule="auto"/>
            <w:jc w:val="both"/>
            <w:rPr>
              <w:rFonts w:ascii="Arial" w:hAnsi="Arial" w:cs="Arial"/>
              <w:sz w:val="24"/>
              <w:szCs w:val="24"/>
            </w:rPr>
          </w:pPr>
        </w:p>
        <w:p w14:paraId="3B761FE2" w14:textId="3518ABC6" w:rsidR="00AA2A91" w:rsidRDefault="00AA2A91" w:rsidP="00AA2A91">
          <w:pPr>
            <w:pStyle w:val="Heading1"/>
          </w:pPr>
          <w:bookmarkStart w:id="10" w:name="_Toc463944608"/>
          <w:r>
            <w:t>Conclusion</w:t>
          </w:r>
          <w:r w:rsidR="00D854A5">
            <w:t xml:space="preserve"> </w:t>
          </w:r>
          <w:bookmarkEnd w:id="10"/>
        </w:p>
        <w:p w14:paraId="0E829F4D" w14:textId="77777777" w:rsidR="0006377C" w:rsidRPr="0006377C" w:rsidRDefault="0006377C" w:rsidP="0006377C"/>
        <w:p w14:paraId="06E056E1" w14:textId="77777777" w:rsidR="0006377C" w:rsidRPr="002D3BD2" w:rsidRDefault="0006377C" w:rsidP="0006377C">
          <w:pPr>
            <w:spacing w:line="276" w:lineRule="auto"/>
            <w:rPr>
              <w:rFonts w:ascii="Arial" w:hAnsi="Arial" w:cs="Arial"/>
              <w:sz w:val="24"/>
              <w:szCs w:val="24"/>
            </w:rPr>
          </w:pPr>
          <w:r w:rsidRPr="002D3BD2">
            <w:rPr>
              <w:rFonts w:ascii="Arial" w:hAnsi="Arial" w:cs="Arial"/>
              <w:sz w:val="24"/>
              <w:szCs w:val="24"/>
            </w:rPr>
            <w:t xml:space="preserve">According to the financial statements of Hiltons Worldwide in 2019 and 2020, it can be said that the company has faced a lot of problems with the pandemic setting in and needs a major change in sales and financial status for them to make profits. Management should look to reduce operational costs and try to have better marketing </w:t>
          </w:r>
          <w:proofErr w:type="gramStart"/>
          <w:r w:rsidRPr="002D3BD2">
            <w:rPr>
              <w:rFonts w:ascii="Arial" w:hAnsi="Arial" w:cs="Arial"/>
              <w:sz w:val="24"/>
              <w:szCs w:val="24"/>
            </w:rPr>
            <w:t>in order to</w:t>
          </w:r>
          <w:proofErr w:type="gramEnd"/>
          <w:r w:rsidRPr="002D3BD2">
            <w:rPr>
              <w:rFonts w:ascii="Arial" w:hAnsi="Arial" w:cs="Arial"/>
              <w:sz w:val="24"/>
              <w:szCs w:val="24"/>
            </w:rPr>
            <w:t xml:space="preserve"> get more sales. The stockholder’s equity </w:t>
          </w:r>
          <w:proofErr w:type="gramStart"/>
          <w:r w:rsidRPr="002D3BD2">
            <w:rPr>
              <w:rFonts w:ascii="Arial" w:hAnsi="Arial" w:cs="Arial"/>
              <w:sz w:val="24"/>
              <w:szCs w:val="24"/>
            </w:rPr>
            <w:t>has to</w:t>
          </w:r>
          <w:proofErr w:type="gramEnd"/>
          <w:r w:rsidRPr="002D3BD2">
            <w:rPr>
              <w:rFonts w:ascii="Arial" w:hAnsi="Arial" w:cs="Arial"/>
              <w:sz w:val="24"/>
              <w:szCs w:val="24"/>
            </w:rPr>
            <w:t xml:space="preserve"> improve in order to motivate more people to invest in the company. The hospitality industry suffered greatly in the previous fiscal year and Hilton holdings was one such company to get affected by the pandemic.</w:t>
          </w:r>
        </w:p>
        <w:p w14:paraId="359FB63E" w14:textId="77777777" w:rsidR="0006377C" w:rsidRPr="0006377C" w:rsidRDefault="0006377C" w:rsidP="0006377C"/>
        <w:p w14:paraId="3DB1E6EF" w14:textId="77777777" w:rsidR="00AA2A91" w:rsidRDefault="00AA2A91" w:rsidP="00AA2A91"/>
        <w:p w14:paraId="6CF543C0" w14:textId="77777777" w:rsidR="00AA2A91" w:rsidRDefault="00AA2A91" w:rsidP="00AA2A91"/>
        <w:p w14:paraId="1D240656" w14:textId="77777777" w:rsidR="00AA2A91" w:rsidRDefault="00AA2A91" w:rsidP="00AA2A91"/>
        <w:p w14:paraId="5CF90869" w14:textId="77777777" w:rsidR="00AA2A91" w:rsidRDefault="00AA2A91" w:rsidP="00AA2A91"/>
        <w:p w14:paraId="58C49762" w14:textId="77777777" w:rsidR="00AA2A91" w:rsidRPr="00AA2A91" w:rsidRDefault="00AA2A91" w:rsidP="00AA2A91">
          <w:pPr>
            <w:pStyle w:val="Heading1"/>
          </w:pPr>
          <w:bookmarkStart w:id="11" w:name="_Toc463944609"/>
          <w:r>
            <w:t>Bibliography</w:t>
          </w:r>
          <w:bookmarkEnd w:id="11"/>
        </w:p>
        <w:p w14:paraId="33B14C6C" w14:textId="77777777" w:rsidR="00392147" w:rsidRPr="002D3BD2" w:rsidRDefault="00392147" w:rsidP="00392147">
          <w:pPr>
            <w:spacing w:line="276" w:lineRule="auto"/>
            <w:rPr>
              <w:rFonts w:ascii="Arial" w:hAnsi="Arial" w:cs="Arial"/>
              <w:color w:val="222222"/>
              <w:sz w:val="24"/>
              <w:szCs w:val="24"/>
              <w:shd w:val="clear" w:color="auto" w:fill="FFFFFF"/>
            </w:rPr>
          </w:pPr>
          <w:r w:rsidRPr="002D3BD2">
            <w:rPr>
              <w:rFonts w:ascii="Arial" w:hAnsi="Arial" w:cs="Arial"/>
              <w:color w:val="222222"/>
              <w:sz w:val="24"/>
              <w:szCs w:val="24"/>
              <w:shd w:val="clear" w:color="auto" w:fill="FFFFFF"/>
            </w:rPr>
            <w:t>Silander, C., Haake, U., &amp; Lindberg, L. (2013). The different worlds of academia: a horizontal analysis of gender equality in Swedish higher education. </w:t>
          </w:r>
          <w:r w:rsidRPr="002D3BD2">
            <w:rPr>
              <w:rFonts w:ascii="Arial" w:hAnsi="Arial" w:cs="Arial"/>
              <w:i/>
              <w:iCs/>
              <w:color w:val="222222"/>
              <w:sz w:val="24"/>
              <w:szCs w:val="24"/>
              <w:shd w:val="clear" w:color="auto" w:fill="FFFFFF"/>
            </w:rPr>
            <w:t>Higher Education</w:t>
          </w:r>
          <w:r w:rsidRPr="002D3BD2">
            <w:rPr>
              <w:rFonts w:ascii="Arial" w:hAnsi="Arial" w:cs="Arial"/>
              <w:color w:val="222222"/>
              <w:sz w:val="24"/>
              <w:szCs w:val="24"/>
              <w:shd w:val="clear" w:color="auto" w:fill="FFFFFF"/>
            </w:rPr>
            <w:t>, </w:t>
          </w:r>
          <w:r w:rsidRPr="002D3BD2">
            <w:rPr>
              <w:rFonts w:ascii="Arial" w:hAnsi="Arial" w:cs="Arial"/>
              <w:i/>
              <w:iCs/>
              <w:color w:val="222222"/>
              <w:sz w:val="24"/>
              <w:szCs w:val="24"/>
              <w:shd w:val="clear" w:color="auto" w:fill="FFFFFF"/>
            </w:rPr>
            <w:t>66</w:t>
          </w:r>
          <w:r w:rsidRPr="002D3BD2">
            <w:rPr>
              <w:rFonts w:ascii="Arial" w:hAnsi="Arial" w:cs="Arial"/>
              <w:color w:val="222222"/>
              <w:sz w:val="24"/>
              <w:szCs w:val="24"/>
              <w:shd w:val="clear" w:color="auto" w:fill="FFFFFF"/>
            </w:rPr>
            <w:t>(2), 173-188.</w:t>
          </w:r>
        </w:p>
        <w:p w14:paraId="33CDA410" w14:textId="77777777" w:rsidR="00392147" w:rsidRPr="002D3BD2" w:rsidRDefault="00392147" w:rsidP="00392147">
          <w:pPr>
            <w:spacing w:line="276" w:lineRule="auto"/>
            <w:rPr>
              <w:rFonts w:ascii="Arial" w:hAnsi="Arial" w:cs="Arial"/>
              <w:color w:val="222222"/>
              <w:sz w:val="24"/>
              <w:szCs w:val="24"/>
              <w:shd w:val="clear" w:color="auto" w:fill="FFFFFF"/>
            </w:rPr>
          </w:pPr>
          <w:r w:rsidRPr="002D3BD2">
            <w:rPr>
              <w:rFonts w:ascii="Arial" w:hAnsi="Arial" w:cs="Arial"/>
              <w:color w:val="222222"/>
              <w:sz w:val="24"/>
              <w:szCs w:val="24"/>
              <w:shd w:val="clear" w:color="auto" w:fill="FFFFFF"/>
            </w:rPr>
            <w:t xml:space="preserve">Clavier, C., Feix, B., </w:t>
          </w:r>
          <w:proofErr w:type="spellStart"/>
          <w:r w:rsidRPr="002D3BD2">
            <w:rPr>
              <w:rFonts w:ascii="Arial" w:hAnsi="Arial" w:cs="Arial"/>
              <w:color w:val="222222"/>
              <w:sz w:val="24"/>
              <w:szCs w:val="24"/>
              <w:shd w:val="clear" w:color="auto" w:fill="FFFFFF"/>
            </w:rPr>
            <w:t>Gagnerot</w:t>
          </w:r>
          <w:proofErr w:type="spellEnd"/>
          <w:r w:rsidRPr="002D3BD2">
            <w:rPr>
              <w:rFonts w:ascii="Arial" w:hAnsi="Arial" w:cs="Arial"/>
              <w:color w:val="222222"/>
              <w:sz w:val="24"/>
              <w:szCs w:val="24"/>
              <w:shd w:val="clear" w:color="auto" w:fill="FFFFFF"/>
            </w:rPr>
            <w:t xml:space="preserve">, G., </w:t>
          </w:r>
          <w:proofErr w:type="spellStart"/>
          <w:r w:rsidRPr="002D3BD2">
            <w:rPr>
              <w:rFonts w:ascii="Arial" w:hAnsi="Arial" w:cs="Arial"/>
              <w:color w:val="222222"/>
              <w:sz w:val="24"/>
              <w:szCs w:val="24"/>
              <w:shd w:val="clear" w:color="auto" w:fill="FFFFFF"/>
            </w:rPr>
            <w:t>Roussellet</w:t>
          </w:r>
          <w:proofErr w:type="spellEnd"/>
          <w:r w:rsidRPr="002D3BD2">
            <w:rPr>
              <w:rFonts w:ascii="Arial" w:hAnsi="Arial" w:cs="Arial"/>
              <w:color w:val="222222"/>
              <w:sz w:val="24"/>
              <w:szCs w:val="24"/>
              <w:shd w:val="clear" w:color="auto" w:fill="FFFFFF"/>
            </w:rPr>
            <w:t>, M., &amp; Verneuil, V. (2010, December). Horizontal correlation analysis on exponentiation. In </w:t>
          </w:r>
          <w:r w:rsidRPr="002D3BD2">
            <w:rPr>
              <w:rFonts w:ascii="Arial" w:hAnsi="Arial" w:cs="Arial"/>
              <w:i/>
              <w:iCs/>
              <w:color w:val="222222"/>
              <w:sz w:val="24"/>
              <w:szCs w:val="24"/>
              <w:shd w:val="clear" w:color="auto" w:fill="FFFFFF"/>
            </w:rPr>
            <w:t>International Conference on Information and Communications Security</w:t>
          </w:r>
          <w:r w:rsidRPr="002D3BD2">
            <w:rPr>
              <w:rFonts w:ascii="Arial" w:hAnsi="Arial" w:cs="Arial"/>
              <w:color w:val="222222"/>
              <w:sz w:val="24"/>
              <w:szCs w:val="24"/>
              <w:shd w:val="clear" w:color="auto" w:fill="FFFFFF"/>
            </w:rPr>
            <w:t> (pp. 46-61). Springer, Berlin, Heidelberg.</w:t>
          </w:r>
        </w:p>
        <w:p w14:paraId="731BCD51" w14:textId="77777777" w:rsidR="00392147" w:rsidRPr="002D3BD2" w:rsidRDefault="00392147" w:rsidP="00392147">
          <w:pPr>
            <w:spacing w:line="276" w:lineRule="auto"/>
            <w:rPr>
              <w:rFonts w:ascii="Arial" w:hAnsi="Arial" w:cs="Arial"/>
              <w:color w:val="222222"/>
              <w:sz w:val="24"/>
              <w:szCs w:val="24"/>
              <w:shd w:val="clear" w:color="auto" w:fill="FFFFFF"/>
            </w:rPr>
          </w:pPr>
          <w:r w:rsidRPr="002D3BD2">
            <w:rPr>
              <w:rFonts w:ascii="Arial" w:hAnsi="Arial" w:cs="Arial"/>
              <w:color w:val="222222"/>
              <w:sz w:val="24"/>
              <w:szCs w:val="24"/>
              <w:shd w:val="clear" w:color="auto" w:fill="FFFFFF"/>
            </w:rPr>
            <w:t xml:space="preserve">Weintraub, B., &amp; Resnick, A. N. (1987). From the Bankruptcy Courts: The Meaning of" Ordinary Course </w:t>
          </w:r>
          <w:proofErr w:type="gramStart"/>
          <w:r w:rsidRPr="002D3BD2">
            <w:rPr>
              <w:rFonts w:ascii="Arial" w:hAnsi="Arial" w:cs="Arial"/>
              <w:color w:val="222222"/>
              <w:sz w:val="24"/>
              <w:szCs w:val="24"/>
              <w:shd w:val="clear" w:color="auto" w:fill="FFFFFF"/>
            </w:rPr>
            <w:t>Of</w:t>
          </w:r>
          <w:proofErr w:type="gramEnd"/>
          <w:r w:rsidRPr="002D3BD2">
            <w:rPr>
              <w:rFonts w:ascii="Arial" w:hAnsi="Arial" w:cs="Arial"/>
              <w:color w:val="222222"/>
              <w:sz w:val="24"/>
              <w:szCs w:val="24"/>
              <w:shd w:val="clear" w:color="auto" w:fill="FFFFFF"/>
            </w:rPr>
            <w:t xml:space="preserve"> Business" Under the Bankruptcy Code-Vertical and Horizontal Analysis. </w:t>
          </w:r>
          <w:r w:rsidRPr="002D3BD2">
            <w:rPr>
              <w:rFonts w:ascii="Arial" w:hAnsi="Arial" w:cs="Arial"/>
              <w:i/>
              <w:iCs/>
              <w:color w:val="222222"/>
              <w:sz w:val="24"/>
              <w:szCs w:val="24"/>
              <w:shd w:val="clear" w:color="auto" w:fill="FFFFFF"/>
            </w:rPr>
            <w:t>Uniform Commercial Code Law Journal</w:t>
          </w:r>
          <w:r w:rsidRPr="002D3BD2">
            <w:rPr>
              <w:rFonts w:ascii="Arial" w:hAnsi="Arial" w:cs="Arial"/>
              <w:color w:val="222222"/>
              <w:sz w:val="24"/>
              <w:szCs w:val="24"/>
              <w:shd w:val="clear" w:color="auto" w:fill="FFFFFF"/>
            </w:rPr>
            <w:t>, </w:t>
          </w:r>
          <w:r w:rsidRPr="002D3BD2">
            <w:rPr>
              <w:rFonts w:ascii="Arial" w:hAnsi="Arial" w:cs="Arial"/>
              <w:i/>
              <w:iCs/>
              <w:color w:val="222222"/>
              <w:sz w:val="24"/>
              <w:szCs w:val="24"/>
              <w:shd w:val="clear" w:color="auto" w:fill="FFFFFF"/>
            </w:rPr>
            <w:t>19</w:t>
          </w:r>
          <w:r w:rsidRPr="002D3BD2">
            <w:rPr>
              <w:rFonts w:ascii="Arial" w:hAnsi="Arial" w:cs="Arial"/>
              <w:color w:val="222222"/>
              <w:sz w:val="24"/>
              <w:szCs w:val="24"/>
              <w:shd w:val="clear" w:color="auto" w:fill="FFFFFF"/>
            </w:rPr>
            <w:t>, 364.</w:t>
          </w:r>
        </w:p>
        <w:p w14:paraId="0CA09A45" w14:textId="77777777" w:rsidR="00392147" w:rsidRPr="002D3BD2" w:rsidRDefault="00392147" w:rsidP="00392147">
          <w:pPr>
            <w:spacing w:line="276" w:lineRule="auto"/>
            <w:rPr>
              <w:rFonts w:ascii="Arial" w:hAnsi="Arial" w:cs="Arial"/>
              <w:color w:val="222222"/>
              <w:sz w:val="24"/>
              <w:szCs w:val="24"/>
              <w:shd w:val="clear" w:color="auto" w:fill="FFFFFF"/>
            </w:rPr>
          </w:pPr>
          <w:proofErr w:type="spellStart"/>
          <w:r w:rsidRPr="002D3BD2">
            <w:rPr>
              <w:rFonts w:ascii="Arial" w:hAnsi="Arial" w:cs="Arial"/>
              <w:color w:val="222222"/>
              <w:sz w:val="24"/>
              <w:szCs w:val="24"/>
              <w:shd w:val="clear" w:color="auto" w:fill="FFFFFF"/>
            </w:rPr>
            <w:t>Lakada</w:t>
          </w:r>
          <w:proofErr w:type="spellEnd"/>
          <w:r w:rsidRPr="002D3BD2">
            <w:rPr>
              <w:rFonts w:ascii="Arial" w:hAnsi="Arial" w:cs="Arial"/>
              <w:color w:val="222222"/>
              <w:sz w:val="24"/>
              <w:szCs w:val="24"/>
              <w:shd w:val="clear" w:color="auto" w:fill="FFFFFF"/>
            </w:rPr>
            <w:t xml:space="preserve">, M. N., </w:t>
          </w:r>
          <w:proofErr w:type="spellStart"/>
          <w:r w:rsidRPr="002D3BD2">
            <w:rPr>
              <w:rFonts w:ascii="Arial" w:hAnsi="Arial" w:cs="Arial"/>
              <w:color w:val="222222"/>
              <w:sz w:val="24"/>
              <w:szCs w:val="24"/>
              <w:shd w:val="clear" w:color="auto" w:fill="FFFFFF"/>
            </w:rPr>
            <w:t>Lapian</w:t>
          </w:r>
          <w:proofErr w:type="spellEnd"/>
          <w:r w:rsidRPr="002D3BD2">
            <w:rPr>
              <w:rFonts w:ascii="Arial" w:hAnsi="Arial" w:cs="Arial"/>
              <w:color w:val="222222"/>
              <w:sz w:val="24"/>
              <w:szCs w:val="24"/>
              <w:shd w:val="clear" w:color="auto" w:fill="FFFFFF"/>
            </w:rPr>
            <w:t xml:space="preserve">, S. J., &amp; </w:t>
          </w:r>
          <w:proofErr w:type="spellStart"/>
          <w:r w:rsidRPr="002D3BD2">
            <w:rPr>
              <w:rFonts w:ascii="Arial" w:hAnsi="Arial" w:cs="Arial"/>
              <w:color w:val="222222"/>
              <w:sz w:val="24"/>
              <w:szCs w:val="24"/>
              <w:shd w:val="clear" w:color="auto" w:fill="FFFFFF"/>
            </w:rPr>
            <w:t>Tumiwa</w:t>
          </w:r>
          <w:proofErr w:type="spellEnd"/>
          <w:r w:rsidRPr="002D3BD2">
            <w:rPr>
              <w:rFonts w:ascii="Arial" w:hAnsi="Arial" w:cs="Arial"/>
              <w:color w:val="222222"/>
              <w:sz w:val="24"/>
              <w:szCs w:val="24"/>
              <w:shd w:val="clear" w:color="auto" w:fill="FFFFFF"/>
            </w:rPr>
            <w:t xml:space="preserve">, J. R. (2017). </w:t>
          </w:r>
          <w:proofErr w:type="spellStart"/>
          <w:r w:rsidRPr="002D3BD2">
            <w:rPr>
              <w:rFonts w:ascii="Arial" w:hAnsi="Arial" w:cs="Arial"/>
              <w:color w:val="222222"/>
              <w:sz w:val="24"/>
              <w:szCs w:val="24"/>
              <w:shd w:val="clear" w:color="auto" w:fill="FFFFFF"/>
            </w:rPr>
            <w:t>Analyzing</w:t>
          </w:r>
          <w:proofErr w:type="spellEnd"/>
          <w:r w:rsidRPr="002D3BD2">
            <w:rPr>
              <w:rFonts w:ascii="Arial" w:hAnsi="Arial" w:cs="Arial"/>
              <w:color w:val="222222"/>
              <w:sz w:val="24"/>
              <w:szCs w:val="24"/>
              <w:shd w:val="clear" w:color="auto" w:fill="FFFFFF"/>
            </w:rPr>
            <w:t xml:space="preserve"> the financial statement using horizontal–vertical analysis to evaluating the company financial performance period 2012-2016 (Case Study at PT. Unilever </w:t>
          </w:r>
          <w:proofErr w:type="spellStart"/>
          <w:r w:rsidRPr="002D3BD2">
            <w:rPr>
              <w:rFonts w:ascii="Arial" w:hAnsi="Arial" w:cs="Arial"/>
              <w:color w:val="222222"/>
              <w:sz w:val="24"/>
              <w:szCs w:val="24"/>
              <w:shd w:val="clear" w:color="auto" w:fill="FFFFFF"/>
            </w:rPr>
            <w:t>IndonesiaTbk</w:t>
          </w:r>
          <w:proofErr w:type="spellEnd"/>
          <w:r w:rsidRPr="002D3BD2">
            <w:rPr>
              <w:rFonts w:ascii="Arial" w:hAnsi="Arial" w:cs="Arial"/>
              <w:color w:val="222222"/>
              <w:sz w:val="24"/>
              <w:szCs w:val="24"/>
              <w:shd w:val="clear" w:color="auto" w:fill="FFFFFF"/>
            </w:rPr>
            <w:t>). </w:t>
          </w:r>
          <w:proofErr w:type="spellStart"/>
          <w:r w:rsidRPr="002D3BD2">
            <w:rPr>
              <w:rFonts w:ascii="Arial" w:hAnsi="Arial" w:cs="Arial"/>
              <w:i/>
              <w:iCs/>
              <w:color w:val="222222"/>
              <w:sz w:val="24"/>
              <w:szCs w:val="24"/>
              <w:shd w:val="clear" w:color="auto" w:fill="FFFFFF"/>
            </w:rPr>
            <w:t>Jurnal</w:t>
          </w:r>
          <w:proofErr w:type="spellEnd"/>
          <w:r w:rsidRPr="002D3BD2">
            <w:rPr>
              <w:rFonts w:ascii="Arial" w:hAnsi="Arial" w:cs="Arial"/>
              <w:i/>
              <w:iCs/>
              <w:color w:val="222222"/>
              <w:sz w:val="24"/>
              <w:szCs w:val="24"/>
              <w:shd w:val="clear" w:color="auto" w:fill="FFFFFF"/>
            </w:rPr>
            <w:t xml:space="preserve"> EMBA: </w:t>
          </w:r>
          <w:proofErr w:type="spellStart"/>
          <w:r w:rsidRPr="002D3BD2">
            <w:rPr>
              <w:rFonts w:ascii="Arial" w:hAnsi="Arial" w:cs="Arial"/>
              <w:i/>
              <w:iCs/>
              <w:color w:val="222222"/>
              <w:sz w:val="24"/>
              <w:szCs w:val="24"/>
              <w:shd w:val="clear" w:color="auto" w:fill="FFFFFF"/>
            </w:rPr>
            <w:t>Jurnal</w:t>
          </w:r>
          <w:proofErr w:type="spellEnd"/>
          <w:r w:rsidRPr="002D3BD2">
            <w:rPr>
              <w:rFonts w:ascii="Arial" w:hAnsi="Arial" w:cs="Arial"/>
              <w:i/>
              <w:iCs/>
              <w:color w:val="222222"/>
              <w:sz w:val="24"/>
              <w:szCs w:val="24"/>
              <w:shd w:val="clear" w:color="auto" w:fill="FFFFFF"/>
            </w:rPr>
            <w:t xml:space="preserve"> Riset Ekonomi, </w:t>
          </w:r>
          <w:proofErr w:type="spellStart"/>
          <w:r w:rsidRPr="002D3BD2">
            <w:rPr>
              <w:rFonts w:ascii="Arial" w:hAnsi="Arial" w:cs="Arial"/>
              <w:i/>
              <w:iCs/>
              <w:color w:val="222222"/>
              <w:sz w:val="24"/>
              <w:szCs w:val="24"/>
              <w:shd w:val="clear" w:color="auto" w:fill="FFFFFF"/>
            </w:rPr>
            <w:t>Manajemen</w:t>
          </w:r>
          <w:proofErr w:type="spellEnd"/>
          <w:r w:rsidRPr="002D3BD2">
            <w:rPr>
              <w:rFonts w:ascii="Arial" w:hAnsi="Arial" w:cs="Arial"/>
              <w:i/>
              <w:iCs/>
              <w:color w:val="222222"/>
              <w:sz w:val="24"/>
              <w:szCs w:val="24"/>
              <w:shd w:val="clear" w:color="auto" w:fill="FFFFFF"/>
            </w:rPr>
            <w:t xml:space="preserve">, </w:t>
          </w:r>
          <w:proofErr w:type="spellStart"/>
          <w:r w:rsidRPr="002D3BD2">
            <w:rPr>
              <w:rFonts w:ascii="Arial" w:hAnsi="Arial" w:cs="Arial"/>
              <w:i/>
              <w:iCs/>
              <w:color w:val="222222"/>
              <w:sz w:val="24"/>
              <w:szCs w:val="24"/>
              <w:shd w:val="clear" w:color="auto" w:fill="FFFFFF"/>
            </w:rPr>
            <w:t>Bisnis</w:t>
          </w:r>
          <w:proofErr w:type="spellEnd"/>
          <w:r w:rsidRPr="002D3BD2">
            <w:rPr>
              <w:rFonts w:ascii="Arial" w:hAnsi="Arial" w:cs="Arial"/>
              <w:i/>
              <w:iCs/>
              <w:color w:val="222222"/>
              <w:sz w:val="24"/>
              <w:szCs w:val="24"/>
              <w:shd w:val="clear" w:color="auto" w:fill="FFFFFF"/>
            </w:rPr>
            <w:t xml:space="preserve"> dan </w:t>
          </w:r>
          <w:proofErr w:type="spellStart"/>
          <w:r w:rsidRPr="002D3BD2">
            <w:rPr>
              <w:rFonts w:ascii="Arial" w:hAnsi="Arial" w:cs="Arial"/>
              <w:i/>
              <w:iCs/>
              <w:color w:val="222222"/>
              <w:sz w:val="24"/>
              <w:szCs w:val="24"/>
              <w:shd w:val="clear" w:color="auto" w:fill="FFFFFF"/>
            </w:rPr>
            <w:t>Akuntansi</w:t>
          </w:r>
          <w:proofErr w:type="spellEnd"/>
          <w:r w:rsidRPr="002D3BD2">
            <w:rPr>
              <w:rFonts w:ascii="Arial" w:hAnsi="Arial" w:cs="Arial"/>
              <w:color w:val="222222"/>
              <w:sz w:val="24"/>
              <w:szCs w:val="24"/>
              <w:shd w:val="clear" w:color="auto" w:fill="FFFFFF"/>
            </w:rPr>
            <w:t>, </w:t>
          </w:r>
          <w:r w:rsidRPr="002D3BD2">
            <w:rPr>
              <w:rFonts w:ascii="Arial" w:hAnsi="Arial" w:cs="Arial"/>
              <w:i/>
              <w:iCs/>
              <w:color w:val="222222"/>
              <w:sz w:val="24"/>
              <w:szCs w:val="24"/>
              <w:shd w:val="clear" w:color="auto" w:fill="FFFFFF"/>
            </w:rPr>
            <w:t>5</w:t>
          </w:r>
          <w:r w:rsidRPr="002D3BD2">
            <w:rPr>
              <w:rFonts w:ascii="Arial" w:hAnsi="Arial" w:cs="Arial"/>
              <w:color w:val="222222"/>
              <w:sz w:val="24"/>
              <w:szCs w:val="24"/>
              <w:shd w:val="clear" w:color="auto" w:fill="FFFFFF"/>
            </w:rPr>
            <w:t>(3).</w:t>
          </w:r>
        </w:p>
        <w:p w14:paraId="084B1246" w14:textId="77777777" w:rsidR="00392147" w:rsidRPr="002D3BD2" w:rsidRDefault="00392147" w:rsidP="00392147">
          <w:pPr>
            <w:spacing w:line="276" w:lineRule="auto"/>
            <w:rPr>
              <w:rFonts w:ascii="Arial" w:hAnsi="Arial" w:cs="Arial"/>
              <w:color w:val="222222"/>
              <w:sz w:val="24"/>
              <w:szCs w:val="24"/>
              <w:shd w:val="clear" w:color="auto" w:fill="FFFFFF"/>
            </w:rPr>
          </w:pPr>
          <w:r w:rsidRPr="002D3BD2">
            <w:rPr>
              <w:rFonts w:ascii="Arial" w:hAnsi="Arial" w:cs="Arial"/>
              <w:color w:val="222222"/>
              <w:sz w:val="24"/>
              <w:szCs w:val="24"/>
              <w:shd w:val="clear" w:color="auto" w:fill="FFFFFF"/>
            </w:rPr>
            <w:t>Vaca-Tapia, A. C., Freire, F. C., Rivas-Echeverría, F. I., &amp; Aragón-</w:t>
          </w:r>
          <w:proofErr w:type="spellStart"/>
          <w:r w:rsidRPr="002D3BD2">
            <w:rPr>
              <w:rFonts w:ascii="Arial" w:hAnsi="Arial" w:cs="Arial"/>
              <w:color w:val="222222"/>
              <w:sz w:val="24"/>
              <w:szCs w:val="24"/>
              <w:shd w:val="clear" w:color="auto" w:fill="FFFFFF"/>
            </w:rPr>
            <w:t>Puetate</w:t>
          </w:r>
          <w:proofErr w:type="spellEnd"/>
          <w:r w:rsidRPr="002D3BD2">
            <w:rPr>
              <w:rFonts w:ascii="Arial" w:hAnsi="Arial" w:cs="Arial"/>
              <w:color w:val="222222"/>
              <w:sz w:val="24"/>
              <w:szCs w:val="24"/>
              <w:shd w:val="clear" w:color="auto" w:fill="FFFFFF"/>
            </w:rPr>
            <w:t>, J. A. (2018, January). Knowledge Based of an Expert System Using the Horizontal Analysis for Financial Statements of National, Private TV Companies in Ecuador. In </w:t>
          </w:r>
          <w:r w:rsidRPr="002D3BD2">
            <w:rPr>
              <w:rFonts w:ascii="Arial" w:hAnsi="Arial" w:cs="Arial"/>
              <w:i/>
              <w:iCs/>
              <w:color w:val="222222"/>
              <w:sz w:val="24"/>
              <w:szCs w:val="24"/>
              <w:shd w:val="clear" w:color="auto" w:fill="FFFFFF"/>
            </w:rPr>
            <w:t>International Conference on Information Technology &amp; Systems</w:t>
          </w:r>
          <w:r w:rsidRPr="002D3BD2">
            <w:rPr>
              <w:rFonts w:ascii="Arial" w:hAnsi="Arial" w:cs="Arial"/>
              <w:color w:val="222222"/>
              <w:sz w:val="24"/>
              <w:szCs w:val="24"/>
              <w:shd w:val="clear" w:color="auto" w:fill="FFFFFF"/>
            </w:rPr>
            <w:t> (pp. 1044-1054). Springer, Cham.</w:t>
          </w:r>
        </w:p>
        <w:p w14:paraId="4308CCAA" w14:textId="77777777" w:rsidR="00392147" w:rsidRPr="002D3BD2" w:rsidRDefault="00392147" w:rsidP="00392147">
          <w:pPr>
            <w:spacing w:line="276" w:lineRule="auto"/>
            <w:rPr>
              <w:rFonts w:ascii="Arial" w:hAnsi="Arial" w:cs="Arial"/>
              <w:color w:val="222222"/>
              <w:sz w:val="24"/>
              <w:szCs w:val="24"/>
              <w:shd w:val="clear" w:color="auto" w:fill="FFFFFF"/>
            </w:rPr>
          </w:pPr>
          <w:proofErr w:type="spellStart"/>
          <w:r w:rsidRPr="002D3BD2">
            <w:rPr>
              <w:rFonts w:ascii="Arial" w:hAnsi="Arial" w:cs="Arial"/>
              <w:color w:val="222222"/>
              <w:sz w:val="24"/>
              <w:szCs w:val="24"/>
              <w:shd w:val="clear" w:color="auto" w:fill="FFFFFF"/>
            </w:rPr>
            <w:t>Manshad</w:t>
          </w:r>
          <w:proofErr w:type="spellEnd"/>
          <w:r w:rsidRPr="002D3BD2">
            <w:rPr>
              <w:rFonts w:ascii="Arial" w:hAnsi="Arial" w:cs="Arial"/>
              <w:color w:val="222222"/>
              <w:sz w:val="24"/>
              <w:szCs w:val="24"/>
              <w:shd w:val="clear" w:color="auto" w:fill="FFFFFF"/>
            </w:rPr>
            <w:t xml:space="preserve">, A. K., </w:t>
          </w:r>
          <w:proofErr w:type="spellStart"/>
          <w:r w:rsidRPr="002D3BD2">
            <w:rPr>
              <w:rFonts w:ascii="Arial" w:hAnsi="Arial" w:cs="Arial"/>
              <w:color w:val="222222"/>
              <w:sz w:val="24"/>
              <w:szCs w:val="24"/>
              <w:shd w:val="clear" w:color="auto" w:fill="FFFFFF"/>
            </w:rPr>
            <w:t>Jalalifar</w:t>
          </w:r>
          <w:proofErr w:type="spellEnd"/>
          <w:r w:rsidRPr="002D3BD2">
            <w:rPr>
              <w:rFonts w:ascii="Arial" w:hAnsi="Arial" w:cs="Arial"/>
              <w:color w:val="222222"/>
              <w:sz w:val="24"/>
              <w:szCs w:val="24"/>
              <w:shd w:val="clear" w:color="auto" w:fill="FFFFFF"/>
            </w:rPr>
            <w:t xml:space="preserve">, H., &amp; </w:t>
          </w:r>
          <w:proofErr w:type="spellStart"/>
          <w:r w:rsidRPr="002D3BD2">
            <w:rPr>
              <w:rFonts w:ascii="Arial" w:hAnsi="Arial" w:cs="Arial"/>
              <w:color w:val="222222"/>
              <w:sz w:val="24"/>
              <w:szCs w:val="24"/>
              <w:shd w:val="clear" w:color="auto" w:fill="FFFFFF"/>
            </w:rPr>
            <w:t>Aslannejad</w:t>
          </w:r>
          <w:proofErr w:type="spellEnd"/>
          <w:r w:rsidRPr="002D3BD2">
            <w:rPr>
              <w:rFonts w:ascii="Arial" w:hAnsi="Arial" w:cs="Arial"/>
              <w:color w:val="222222"/>
              <w:sz w:val="24"/>
              <w:szCs w:val="24"/>
              <w:shd w:val="clear" w:color="auto" w:fill="FFFFFF"/>
            </w:rPr>
            <w:t xml:space="preserve">, M. (2014). Analysis of vertical, </w:t>
          </w:r>
          <w:proofErr w:type="gramStart"/>
          <w:r w:rsidRPr="002D3BD2">
            <w:rPr>
              <w:rFonts w:ascii="Arial" w:hAnsi="Arial" w:cs="Arial"/>
              <w:color w:val="222222"/>
              <w:sz w:val="24"/>
              <w:szCs w:val="24"/>
              <w:shd w:val="clear" w:color="auto" w:fill="FFFFFF"/>
            </w:rPr>
            <w:t>horizontal</w:t>
          </w:r>
          <w:proofErr w:type="gramEnd"/>
          <w:r w:rsidRPr="002D3BD2">
            <w:rPr>
              <w:rFonts w:ascii="Arial" w:hAnsi="Arial" w:cs="Arial"/>
              <w:color w:val="222222"/>
              <w:sz w:val="24"/>
              <w:szCs w:val="24"/>
              <w:shd w:val="clear" w:color="auto" w:fill="FFFFFF"/>
            </w:rPr>
            <w:t xml:space="preserve"> and deviated wellbores stability by analytical and numerical methods. </w:t>
          </w:r>
          <w:r w:rsidRPr="002D3BD2">
            <w:rPr>
              <w:rFonts w:ascii="Arial" w:hAnsi="Arial" w:cs="Arial"/>
              <w:i/>
              <w:iCs/>
              <w:color w:val="222222"/>
              <w:sz w:val="24"/>
              <w:szCs w:val="24"/>
              <w:shd w:val="clear" w:color="auto" w:fill="FFFFFF"/>
            </w:rPr>
            <w:t>Journal of Petroleum Exploration and Production Technology</w:t>
          </w:r>
          <w:r w:rsidRPr="002D3BD2">
            <w:rPr>
              <w:rFonts w:ascii="Arial" w:hAnsi="Arial" w:cs="Arial"/>
              <w:color w:val="222222"/>
              <w:sz w:val="24"/>
              <w:szCs w:val="24"/>
              <w:shd w:val="clear" w:color="auto" w:fill="FFFFFF"/>
            </w:rPr>
            <w:t>, </w:t>
          </w:r>
          <w:r w:rsidRPr="002D3BD2">
            <w:rPr>
              <w:rFonts w:ascii="Arial" w:hAnsi="Arial" w:cs="Arial"/>
              <w:i/>
              <w:iCs/>
              <w:color w:val="222222"/>
              <w:sz w:val="24"/>
              <w:szCs w:val="24"/>
              <w:shd w:val="clear" w:color="auto" w:fill="FFFFFF"/>
            </w:rPr>
            <w:t>4</w:t>
          </w:r>
          <w:r w:rsidRPr="002D3BD2">
            <w:rPr>
              <w:rFonts w:ascii="Arial" w:hAnsi="Arial" w:cs="Arial"/>
              <w:color w:val="222222"/>
              <w:sz w:val="24"/>
              <w:szCs w:val="24"/>
              <w:shd w:val="clear" w:color="auto" w:fill="FFFFFF"/>
            </w:rPr>
            <w:t>(4), 359-369.</w:t>
          </w:r>
        </w:p>
        <w:p w14:paraId="43A0694E" w14:textId="77777777" w:rsidR="00392147" w:rsidRPr="002D3BD2" w:rsidRDefault="00392147" w:rsidP="00392147">
          <w:pPr>
            <w:spacing w:line="276" w:lineRule="auto"/>
            <w:rPr>
              <w:rFonts w:ascii="Arial" w:hAnsi="Arial" w:cs="Arial"/>
              <w:color w:val="222222"/>
              <w:sz w:val="24"/>
              <w:szCs w:val="24"/>
              <w:shd w:val="clear" w:color="auto" w:fill="FFFFFF"/>
            </w:rPr>
          </w:pPr>
          <w:r w:rsidRPr="002D3BD2">
            <w:rPr>
              <w:rFonts w:ascii="Arial" w:hAnsi="Arial" w:cs="Arial"/>
              <w:color w:val="222222"/>
              <w:sz w:val="24"/>
              <w:szCs w:val="24"/>
              <w:shd w:val="clear" w:color="auto" w:fill="FFFFFF"/>
            </w:rPr>
            <w:t xml:space="preserve">Clavier, C., Feix, B., </w:t>
          </w:r>
          <w:proofErr w:type="spellStart"/>
          <w:r w:rsidRPr="002D3BD2">
            <w:rPr>
              <w:rFonts w:ascii="Arial" w:hAnsi="Arial" w:cs="Arial"/>
              <w:color w:val="222222"/>
              <w:sz w:val="24"/>
              <w:szCs w:val="24"/>
              <w:shd w:val="clear" w:color="auto" w:fill="FFFFFF"/>
            </w:rPr>
            <w:t>Gagnerot</w:t>
          </w:r>
          <w:proofErr w:type="spellEnd"/>
          <w:r w:rsidRPr="002D3BD2">
            <w:rPr>
              <w:rFonts w:ascii="Arial" w:hAnsi="Arial" w:cs="Arial"/>
              <w:color w:val="222222"/>
              <w:sz w:val="24"/>
              <w:szCs w:val="24"/>
              <w:shd w:val="clear" w:color="auto" w:fill="FFFFFF"/>
            </w:rPr>
            <w:t xml:space="preserve">, G., </w:t>
          </w:r>
          <w:proofErr w:type="spellStart"/>
          <w:r w:rsidRPr="002D3BD2">
            <w:rPr>
              <w:rFonts w:ascii="Arial" w:hAnsi="Arial" w:cs="Arial"/>
              <w:color w:val="222222"/>
              <w:sz w:val="24"/>
              <w:szCs w:val="24"/>
              <w:shd w:val="clear" w:color="auto" w:fill="FFFFFF"/>
            </w:rPr>
            <w:t>Roussellet</w:t>
          </w:r>
          <w:proofErr w:type="spellEnd"/>
          <w:r w:rsidRPr="002D3BD2">
            <w:rPr>
              <w:rFonts w:ascii="Arial" w:hAnsi="Arial" w:cs="Arial"/>
              <w:color w:val="222222"/>
              <w:sz w:val="24"/>
              <w:szCs w:val="24"/>
              <w:shd w:val="clear" w:color="auto" w:fill="FFFFFF"/>
            </w:rPr>
            <w:t>, M., &amp; Verneuil, V. (2010, December). Horizontal correlation analysis on exponentiation. In </w:t>
          </w:r>
          <w:r w:rsidRPr="002D3BD2">
            <w:rPr>
              <w:rFonts w:ascii="Arial" w:hAnsi="Arial" w:cs="Arial"/>
              <w:i/>
              <w:iCs/>
              <w:color w:val="222222"/>
              <w:sz w:val="24"/>
              <w:szCs w:val="24"/>
              <w:shd w:val="clear" w:color="auto" w:fill="FFFFFF"/>
            </w:rPr>
            <w:t>International Conference on Information and Communications Security</w:t>
          </w:r>
          <w:r w:rsidRPr="002D3BD2">
            <w:rPr>
              <w:rFonts w:ascii="Arial" w:hAnsi="Arial" w:cs="Arial"/>
              <w:color w:val="222222"/>
              <w:sz w:val="24"/>
              <w:szCs w:val="24"/>
              <w:shd w:val="clear" w:color="auto" w:fill="FFFFFF"/>
            </w:rPr>
            <w:t> (pp. 46-61). Springer, Berlin, Heidelberg.</w:t>
          </w:r>
        </w:p>
        <w:p w14:paraId="7BF49D1D" w14:textId="77777777" w:rsidR="00392147" w:rsidRPr="002D3BD2" w:rsidRDefault="00392147" w:rsidP="00392147">
          <w:pPr>
            <w:spacing w:line="276" w:lineRule="auto"/>
            <w:rPr>
              <w:rFonts w:ascii="Arial" w:hAnsi="Arial" w:cs="Arial"/>
              <w:color w:val="222222"/>
              <w:sz w:val="24"/>
              <w:szCs w:val="24"/>
              <w:shd w:val="clear" w:color="auto" w:fill="FFFFFF"/>
            </w:rPr>
          </w:pPr>
          <w:r w:rsidRPr="002D3BD2">
            <w:rPr>
              <w:rFonts w:ascii="Arial" w:hAnsi="Arial" w:cs="Arial"/>
              <w:color w:val="222222"/>
              <w:sz w:val="24"/>
              <w:szCs w:val="24"/>
              <w:shd w:val="clear" w:color="auto" w:fill="FFFFFF"/>
            </w:rPr>
            <w:t>Bernstein, B. (1999). Vertical and horizontal discourse: An essay. </w:t>
          </w:r>
          <w:r w:rsidRPr="002D3BD2">
            <w:rPr>
              <w:rFonts w:ascii="Arial" w:hAnsi="Arial" w:cs="Arial"/>
              <w:i/>
              <w:iCs/>
              <w:color w:val="222222"/>
              <w:sz w:val="24"/>
              <w:szCs w:val="24"/>
              <w:shd w:val="clear" w:color="auto" w:fill="FFFFFF"/>
            </w:rPr>
            <w:t>British journal of sociology of Education</w:t>
          </w:r>
          <w:r w:rsidRPr="002D3BD2">
            <w:rPr>
              <w:rFonts w:ascii="Arial" w:hAnsi="Arial" w:cs="Arial"/>
              <w:color w:val="222222"/>
              <w:sz w:val="24"/>
              <w:szCs w:val="24"/>
              <w:shd w:val="clear" w:color="auto" w:fill="FFFFFF"/>
            </w:rPr>
            <w:t>, </w:t>
          </w:r>
          <w:r w:rsidRPr="002D3BD2">
            <w:rPr>
              <w:rFonts w:ascii="Arial" w:hAnsi="Arial" w:cs="Arial"/>
              <w:i/>
              <w:iCs/>
              <w:color w:val="222222"/>
              <w:sz w:val="24"/>
              <w:szCs w:val="24"/>
              <w:shd w:val="clear" w:color="auto" w:fill="FFFFFF"/>
            </w:rPr>
            <w:t>20</w:t>
          </w:r>
          <w:r w:rsidRPr="002D3BD2">
            <w:rPr>
              <w:rFonts w:ascii="Arial" w:hAnsi="Arial" w:cs="Arial"/>
              <w:color w:val="222222"/>
              <w:sz w:val="24"/>
              <w:szCs w:val="24"/>
              <w:shd w:val="clear" w:color="auto" w:fill="FFFFFF"/>
            </w:rPr>
            <w:t>(2), 157-173.</w:t>
          </w:r>
        </w:p>
        <w:p w14:paraId="723C622F" w14:textId="77777777" w:rsidR="00392147" w:rsidRPr="002D3BD2" w:rsidRDefault="00392147" w:rsidP="00392147">
          <w:pPr>
            <w:spacing w:line="276" w:lineRule="auto"/>
            <w:rPr>
              <w:rFonts w:ascii="Arial" w:hAnsi="Arial" w:cs="Arial"/>
              <w:color w:val="222222"/>
              <w:sz w:val="24"/>
              <w:szCs w:val="24"/>
              <w:shd w:val="clear" w:color="auto" w:fill="FFFFFF"/>
            </w:rPr>
          </w:pPr>
          <w:r w:rsidRPr="002D3BD2">
            <w:rPr>
              <w:rFonts w:ascii="Arial" w:hAnsi="Arial" w:cs="Arial"/>
              <w:color w:val="222222"/>
              <w:sz w:val="24"/>
              <w:szCs w:val="24"/>
              <w:shd w:val="clear" w:color="auto" w:fill="FFFFFF"/>
            </w:rPr>
            <w:t>Zeff, S. A. (2005). Evolution of US generally accepted accounting principles (GAAP). </w:t>
          </w:r>
          <w:r w:rsidRPr="002D3BD2">
            <w:rPr>
              <w:rFonts w:ascii="Arial" w:hAnsi="Arial" w:cs="Arial"/>
              <w:i/>
              <w:iCs/>
              <w:color w:val="222222"/>
              <w:sz w:val="24"/>
              <w:szCs w:val="24"/>
              <w:shd w:val="clear" w:color="auto" w:fill="FFFFFF"/>
            </w:rPr>
            <w:t xml:space="preserve">Deloitte </w:t>
          </w:r>
          <w:proofErr w:type="spellStart"/>
          <w:r w:rsidRPr="002D3BD2">
            <w:rPr>
              <w:rFonts w:ascii="Arial" w:hAnsi="Arial" w:cs="Arial"/>
              <w:i/>
              <w:iCs/>
              <w:color w:val="222222"/>
              <w:sz w:val="24"/>
              <w:szCs w:val="24"/>
              <w:shd w:val="clear" w:color="auto" w:fill="FFFFFF"/>
            </w:rPr>
            <w:t>IASPlus</w:t>
          </w:r>
          <w:proofErr w:type="spellEnd"/>
          <w:r w:rsidRPr="002D3BD2">
            <w:rPr>
              <w:rFonts w:ascii="Arial" w:hAnsi="Arial" w:cs="Arial"/>
              <w:color w:val="222222"/>
              <w:sz w:val="24"/>
              <w:szCs w:val="24"/>
              <w:shd w:val="clear" w:color="auto" w:fill="FFFFFF"/>
            </w:rPr>
            <w:t>.</w:t>
          </w:r>
        </w:p>
        <w:p w14:paraId="118FA0A2" w14:textId="77777777" w:rsidR="00392147" w:rsidRPr="002D3BD2" w:rsidRDefault="00392147" w:rsidP="00392147">
          <w:pPr>
            <w:spacing w:line="276" w:lineRule="auto"/>
            <w:rPr>
              <w:rFonts w:ascii="Arial" w:hAnsi="Arial" w:cs="Arial"/>
              <w:color w:val="222222"/>
              <w:sz w:val="24"/>
              <w:szCs w:val="24"/>
              <w:shd w:val="clear" w:color="auto" w:fill="FFFFFF"/>
            </w:rPr>
          </w:pPr>
          <w:r w:rsidRPr="002D3BD2">
            <w:rPr>
              <w:rFonts w:ascii="Arial" w:hAnsi="Arial" w:cs="Arial"/>
              <w:color w:val="222222"/>
              <w:sz w:val="24"/>
              <w:szCs w:val="24"/>
              <w:shd w:val="clear" w:color="auto" w:fill="FFFFFF"/>
            </w:rPr>
            <w:t>Miron, J. A. (1986). Financial panics, the seasonality of the nominal interest rate, and the founding of the Fed. </w:t>
          </w:r>
          <w:r w:rsidRPr="002D3BD2">
            <w:rPr>
              <w:rFonts w:ascii="Arial" w:hAnsi="Arial" w:cs="Arial"/>
              <w:i/>
              <w:iCs/>
              <w:color w:val="222222"/>
              <w:sz w:val="24"/>
              <w:szCs w:val="24"/>
              <w:shd w:val="clear" w:color="auto" w:fill="FFFFFF"/>
            </w:rPr>
            <w:t>The American Economic Review</w:t>
          </w:r>
          <w:r w:rsidRPr="002D3BD2">
            <w:rPr>
              <w:rFonts w:ascii="Arial" w:hAnsi="Arial" w:cs="Arial"/>
              <w:color w:val="222222"/>
              <w:sz w:val="24"/>
              <w:szCs w:val="24"/>
              <w:shd w:val="clear" w:color="auto" w:fill="FFFFFF"/>
            </w:rPr>
            <w:t>, </w:t>
          </w:r>
          <w:r w:rsidRPr="002D3BD2">
            <w:rPr>
              <w:rFonts w:ascii="Arial" w:hAnsi="Arial" w:cs="Arial"/>
              <w:i/>
              <w:iCs/>
              <w:color w:val="222222"/>
              <w:sz w:val="24"/>
              <w:szCs w:val="24"/>
              <w:shd w:val="clear" w:color="auto" w:fill="FFFFFF"/>
            </w:rPr>
            <w:t>76</w:t>
          </w:r>
          <w:r w:rsidRPr="002D3BD2">
            <w:rPr>
              <w:rFonts w:ascii="Arial" w:hAnsi="Arial" w:cs="Arial"/>
              <w:color w:val="222222"/>
              <w:sz w:val="24"/>
              <w:szCs w:val="24"/>
              <w:shd w:val="clear" w:color="auto" w:fill="FFFFFF"/>
            </w:rPr>
            <w:t>(1), 125-140.</w:t>
          </w:r>
        </w:p>
        <w:p w14:paraId="4E122E8F" w14:textId="77777777" w:rsidR="00392147" w:rsidRPr="002D3BD2" w:rsidRDefault="00392147" w:rsidP="00392147">
          <w:pPr>
            <w:spacing w:line="276" w:lineRule="auto"/>
            <w:rPr>
              <w:rFonts w:ascii="Arial" w:hAnsi="Arial" w:cs="Arial"/>
              <w:color w:val="222222"/>
              <w:sz w:val="24"/>
              <w:szCs w:val="24"/>
              <w:shd w:val="clear" w:color="auto" w:fill="FFFFFF"/>
            </w:rPr>
          </w:pPr>
          <w:proofErr w:type="spellStart"/>
          <w:r w:rsidRPr="002D3BD2">
            <w:rPr>
              <w:rFonts w:ascii="Arial" w:hAnsi="Arial" w:cs="Arial"/>
              <w:color w:val="222222"/>
              <w:sz w:val="24"/>
              <w:szCs w:val="24"/>
              <w:shd w:val="clear" w:color="auto" w:fill="FFFFFF"/>
            </w:rPr>
            <w:t>Protopappa-Sieke</w:t>
          </w:r>
          <w:proofErr w:type="spellEnd"/>
          <w:r w:rsidRPr="002D3BD2">
            <w:rPr>
              <w:rFonts w:ascii="Arial" w:hAnsi="Arial" w:cs="Arial"/>
              <w:color w:val="222222"/>
              <w:sz w:val="24"/>
              <w:szCs w:val="24"/>
              <w:shd w:val="clear" w:color="auto" w:fill="FFFFFF"/>
            </w:rPr>
            <w:t>, M., &amp; Seifert, R. W. (2010). Interrelating operational and financial performance measurements in inventory control. </w:t>
          </w:r>
          <w:r w:rsidRPr="002D3BD2">
            <w:rPr>
              <w:rFonts w:ascii="Arial" w:hAnsi="Arial" w:cs="Arial"/>
              <w:i/>
              <w:iCs/>
              <w:color w:val="222222"/>
              <w:sz w:val="24"/>
              <w:szCs w:val="24"/>
              <w:shd w:val="clear" w:color="auto" w:fill="FFFFFF"/>
            </w:rPr>
            <w:t>European Journal of Operational Research</w:t>
          </w:r>
          <w:r w:rsidRPr="002D3BD2">
            <w:rPr>
              <w:rFonts w:ascii="Arial" w:hAnsi="Arial" w:cs="Arial"/>
              <w:color w:val="222222"/>
              <w:sz w:val="24"/>
              <w:szCs w:val="24"/>
              <w:shd w:val="clear" w:color="auto" w:fill="FFFFFF"/>
            </w:rPr>
            <w:t>, </w:t>
          </w:r>
          <w:r w:rsidRPr="002D3BD2">
            <w:rPr>
              <w:rFonts w:ascii="Arial" w:hAnsi="Arial" w:cs="Arial"/>
              <w:i/>
              <w:iCs/>
              <w:color w:val="222222"/>
              <w:sz w:val="24"/>
              <w:szCs w:val="24"/>
              <w:shd w:val="clear" w:color="auto" w:fill="FFFFFF"/>
            </w:rPr>
            <w:t>204</w:t>
          </w:r>
          <w:r w:rsidRPr="002D3BD2">
            <w:rPr>
              <w:rFonts w:ascii="Arial" w:hAnsi="Arial" w:cs="Arial"/>
              <w:color w:val="222222"/>
              <w:sz w:val="24"/>
              <w:szCs w:val="24"/>
              <w:shd w:val="clear" w:color="auto" w:fill="FFFFFF"/>
            </w:rPr>
            <w:t>(3), 439-448.</w:t>
          </w:r>
        </w:p>
        <w:p w14:paraId="2A90F745" w14:textId="77777777" w:rsidR="00392147" w:rsidRPr="002D3BD2" w:rsidRDefault="00392147" w:rsidP="00392147">
          <w:pPr>
            <w:spacing w:line="276" w:lineRule="auto"/>
            <w:rPr>
              <w:rFonts w:ascii="Arial" w:hAnsi="Arial" w:cs="Arial"/>
              <w:sz w:val="24"/>
              <w:szCs w:val="24"/>
            </w:rPr>
          </w:pPr>
          <w:r w:rsidRPr="002D3BD2">
            <w:rPr>
              <w:rFonts w:ascii="Arial" w:hAnsi="Arial" w:cs="Arial"/>
              <w:color w:val="222222"/>
              <w:sz w:val="24"/>
              <w:szCs w:val="24"/>
              <w:shd w:val="clear" w:color="auto" w:fill="FFFFFF"/>
            </w:rPr>
            <w:t>Isaksson, O. H., &amp; Seifert, R. W. (2014). Inventory leanness and the financial performance of firms. </w:t>
          </w:r>
          <w:r w:rsidRPr="002D3BD2">
            <w:rPr>
              <w:rFonts w:ascii="Arial" w:hAnsi="Arial" w:cs="Arial"/>
              <w:i/>
              <w:iCs/>
              <w:color w:val="222222"/>
              <w:sz w:val="24"/>
              <w:szCs w:val="24"/>
              <w:shd w:val="clear" w:color="auto" w:fill="FFFFFF"/>
            </w:rPr>
            <w:t>Production Planning &amp; Control</w:t>
          </w:r>
          <w:r w:rsidRPr="002D3BD2">
            <w:rPr>
              <w:rFonts w:ascii="Arial" w:hAnsi="Arial" w:cs="Arial"/>
              <w:color w:val="222222"/>
              <w:sz w:val="24"/>
              <w:szCs w:val="24"/>
              <w:shd w:val="clear" w:color="auto" w:fill="FFFFFF"/>
            </w:rPr>
            <w:t>, </w:t>
          </w:r>
          <w:r w:rsidRPr="002D3BD2">
            <w:rPr>
              <w:rFonts w:ascii="Arial" w:hAnsi="Arial" w:cs="Arial"/>
              <w:i/>
              <w:iCs/>
              <w:color w:val="222222"/>
              <w:sz w:val="24"/>
              <w:szCs w:val="24"/>
              <w:shd w:val="clear" w:color="auto" w:fill="FFFFFF"/>
            </w:rPr>
            <w:t>25</w:t>
          </w:r>
          <w:r w:rsidRPr="002D3BD2">
            <w:rPr>
              <w:rFonts w:ascii="Arial" w:hAnsi="Arial" w:cs="Arial"/>
              <w:color w:val="222222"/>
              <w:sz w:val="24"/>
              <w:szCs w:val="24"/>
              <w:shd w:val="clear" w:color="auto" w:fill="FFFFFF"/>
            </w:rPr>
            <w:t>(12), 999-1014.</w:t>
          </w:r>
        </w:p>
        <w:p w14:paraId="08F07262" w14:textId="77777777" w:rsidR="004A11F6" w:rsidRPr="007D1947" w:rsidRDefault="004A11F6" w:rsidP="007D1947"/>
        <w:p w14:paraId="0B60BCAC" w14:textId="77777777" w:rsidR="00CA09F3" w:rsidRDefault="00E96CE7"/>
      </w:sdtContent>
    </w:sdt>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5F5810"/>
    <w:multiLevelType w:val="hybridMultilevel"/>
    <w:tmpl w:val="1140415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61408854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564D7"/>
    <w:rsid w:val="0006377C"/>
    <w:rsid w:val="00115B96"/>
    <w:rsid w:val="00203775"/>
    <w:rsid w:val="00216E9C"/>
    <w:rsid w:val="00324CCD"/>
    <w:rsid w:val="00392147"/>
    <w:rsid w:val="003A2BA1"/>
    <w:rsid w:val="004A11F6"/>
    <w:rsid w:val="004D519C"/>
    <w:rsid w:val="007D1947"/>
    <w:rsid w:val="009C1CE2"/>
    <w:rsid w:val="00AA2A91"/>
    <w:rsid w:val="00C71FB5"/>
    <w:rsid w:val="00CA09F3"/>
    <w:rsid w:val="00D854A5"/>
    <w:rsid w:val="00DB6A70"/>
    <w:rsid w:val="00E96C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9A22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9C1CE2"/>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7207440">
      <w:bodyDiv w:val="1"/>
      <w:marLeft w:val="0"/>
      <w:marRight w:val="0"/>
      <w:marTop w:val="0"/>
      <w:marBottom w:val="0"/>
      <w:divBdr>
        <w:top w:val="none" w:sz="0" w:space="0" w:color="auto"/>
        <w:left w:val="none" w:sz="0" w:space="0" w:color="auto"/>
        <w:bottom w:val="none" w:sz="0" w:space="0" w:color="auto"/>
        <w:right w:val="none" w:sz="0" w:space="0" w:color="auto"/>
      </w:divBdr>
    </w:div>
    <w:div w:id="1439595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47E0F"/>
    <w:rsid w:val="00145AD8"/>
    <w:rsid w:val="002B6892"/>
    <w:rsid w:val="003F388D"/>
    <w:rsid w:val="0083132B"/>
    <w:rsid w:val="00A34C42"/>
    <w:rsid w:val="00BC1251"/>
    <w:rsid w:val="00C67429"/>
    <w:rsid w:val="00E248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2022-05-31T00:00:00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3" ma:contentTypeDescription="Create a new document." ma:contentTypeScope="" ma:versionID="e112791552e7951b25a41ed98e45e897">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ce305e294c66165be56cab75694a5e40"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1F08215-F19F-4234-833F-130A3CCC4DB8}">
  <ds:schemaRefs>
    <ds:schemaRef ds:uri="http://schemas.openxmlformats.org/officeDocument/2006/bibliography"/>
  </ds:schemaRefs>
</ds:datastoreItem>
</file>

<file path=customXml/itemProps3.xml><?xml version="1.0" encoding="utf-8"?>
<ds:datastoreItem xmlns:ds="http://schemas.openxmlformats.org/officeDocument/2006/customXml" ds:itemID="{3584C94B-2F23-4710-8FBB-D1F972122EE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4601369-8EFB-4313-B8B6-887C00BFFF9C}">
  <ds:schemaRefs>
    <ds:schemaRef ds:uri="http://schemas.microsoft.com/sharepoint/v3/contenttype/forms"/>
  </ds:schemaRefs>
</ds:datastoreItem>
</file>

<file path=customXml/itemProps5.xml><?xml version="1.0" encoding="utf-8"?>
<ds:datastoreItem xmlns:ds="http://schemas.openxmlformats.org/officeDocument/2006/customXml" ds:itemID="{5027283A-49DD-47F4-A39D-7EC867CC12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2410</Words>
  <Characters>13739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Lecturer’s name: mr Dale clarke</Company>
  <LinksUpToDate>false</LinksUpToDate>
  <CharactersWithSpaces>16117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Hilton hotel – horizontal analysis</dc:title>
  <dc:subject>Moshfique Khaled Chowdhury (2017480)</dc:subject>
  <dc:creator>Marie Pitson</dc:creator>
  <cp:keywords/>
  <dc:description/>
  <cp:lastModifiedBy>Moshfique Khaled Chowdhury</cp:lastModifiedBy>
  <cp:revision>4</cp:revision>
  <dcterms:created xsi:type="dcterms:W3CDTF">2022-05-31T11:14:00Z</dcterms:created>
  <dcterms:modified xsi:type="dcterms:W3CDTF">2022-05-31T11:22:00Z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