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20857A" w14:textId="2A9E3E7C" w:rsidR="0B2DB886" w:rsidRDefault="0B2DB886" w:rsidP="64B43011">
      <w:pPr>
        <w:pStyle w:val="NoSpacing"/>
        <w:spacing w:line="360" w:lineRule="auto"/>
        <w:rPr>
          <w:rFonts w:ascii="Arial Nova" w:eastAsia="Arial Nova" w:hAnsi="Arial Nova" w:cs="Arial Nova"/>
        </w:rPr>
      </w:pPr>
    </w:p>
    <w:p w14:paraId="4F0317B7" w14:textId="1DC235EC" w:rsidR="7D9805EB" w:rsidRDefault="7D9805EB" w:rsidP="64B43011">
      <w:pPr>
        <w:spacing w:line="360" w:lineRule="auto"/>
        <w:jc w:val="center"/>
        <w:rPr>
          <w:rFonts w:ascii="Arial Nova" w:eastAsia="Arial Nova" w:hAnsi="Arial Nova" w:cs="Arial Nova"/>
          <w:b/>
          <w:bCs/>
          <w:sz w:val="36"/>
          <w:szCs w:val="36"/>
          <w:u w:val="single"/>
        </w:rPr>
      </w:pPr>
      <w:r w:rsidRPr="330802FE">
        <w:rPr>
          <w:rFonts w:ascii="Arial Nova" w:eastAsia="Arial Nova" w:hAnsi="Arial Nova" w:cs="Arial Nova"/>
          <w:b/>
          <w:bCs/>
          <w:sz w:val="36"/>
          <w:szCs w:val="36"/>
          <w:u w:val="single"/>
        </w:rPr>
        <w:t>University of Wales Trinity Saint David</w:t>
      </w:r>
    </w:p>
    <w:p w14:paraId="7DA46A19" w14:textId="1157AB7E" w:rsidR="7D9805EB" w:rsidRDefault="7D9805EB" w:rsidP="64B43011">
      <w:pPr>
        <w:spacing w:line="360" w:lineRule="auto"/>
        <w:jc w:val="center"/>
        <w:rPr>
          <w:rFonts w:ascii="Arial Nova" w:eastAsia="Arial Nova" w:hAnsi="Arial Nova" w:cs="Arial Nova"/>
          <w:b/>
          <w:bCs/>
          <w:sz w:val="36"/>
          <w:szCs w:val="36"/>
          <w:u w:val="single"/>
        </w:rPr>
      </w:pPr>
      <w:r w:rsidRPr="330802FE">
        <w:rPr>
          <w:rFonts w:ascii="Arial Nova" w:eastAsia="Arial Nova" w:hAnsi="Arial Nova" w:cs="Arial Nova"/>
          <w:b/>
          <w:bCs/>
          <w:sz w:val="36"/>
          <w:szCs w:val="36"/>
          <w:u w:val="single"/>
        </w:rPr>
        <w:t>PGCE Primary</w:t>
      </w:r>
    </w:p>
    <w:p w14:paraId="65017E28" w14:textId="31192FFC" w:rsidR="25567D0D" w:rsidRDefault="25567D0D" w:rsidP="64B43011">
      <w:pPr>
        <w:spacing w:line="360" w:lineRule="auto"/>
        <w:jc w:val="center"/>
        <w:rPr>
          <w:rFonts w:ascii="Arial Nova" w:eastAsia="Arial Nova" w:hAnsi="Arial Nova" w:cs="Arial Nova"/>
          <w:b/>
          <w:bCs/>
          <w:sz w:val="36"/>
          <w:szCs w:val="36"/>
          <w:u w:val="single"/>
        </w:rPr>
      </w:pPr>
      <w:r w:rsidRPr="2B0917EE">
        <w:rPr>
          <w:rFonts w:ascii="Arial Nova" w:eastAsia="Arial Nova" w:hAnsi="Arial Nova" w:cs="Arial Nova"/>
          <w:b/>
          <w:bCs/>
          <w:sz w:val="36"/>
          <w:szCs w:val="36"/>
          <w:u w:val="single"/>
        </w:rPr>
        <w:t>ECAD</w:t>
      </w:r>
      <w:r w:rsidR="6C42D412" w:rsidRPr="2B0917EE">
        <w:rPr>
          <w:rFonts w:ascii="Arial Nova" w:eastAsia="Arial Nova" w:hAnsi="Arial Nova" w:cs="Arial Nova"/>
          <w:b/>
          <w:bCs/>
          <w:sz w:val="36"/>
          <w:szCs w:val="36"/>
          <w:u w:val="single"/>
        </w:rPr>
        <w:t>6010</w:t>
      </w:r>
    </w:p>
    <w:p w14:paraId="0FF91415" w14:textId="72D4385D" w:rsidR="10461346" w:rsidRDefault="4F73D744" w:rsidP="4C167BBF">
      <w:pPr>
        <w:spacing w:line="360" w:lineRule="auto"/>
        <w:jc w:val="center"/>
        <w:rPr>
          <w:rFonts w:ascii="Arial Nova" w:eastAsia="Arial Nova" w:hAnsi="Arial Nova" w:cs="Arial Nova"/>
          <w:b/>
          <w:bCs/>
          <w:sz w:val="36"/>
          <w:szCs w:val="36"/>
          <w:u w:val="single"/>
        </w:rPr>
      </w:pPr>
      <w:r w:rsidRPr="2B0917EE">
        <w:rPr>
          <w:rFonts w:ascii="Arial Nova" w:eastAsia="Arial Nova" w:hAnsi="Arial Nova" w:cs="Arial Nova"/>
          <w:b/>
          <w:bCs/>
          <w:sz w:val="36"/>
          <w:szCs w:val="36"/>
          <w:u w:val="single"/>
        </w:rPr>
        <w:t>Case Study</w:t>
      </w:r>
      <w:r w:rsidR="10461346" w:rsidRPr="2B0917EE">
        <w:rPr>
          <w:rFonts w:ascii="Arial Nova" w:eastAsia="Arial Nova" w:hAnsi="Arial Nova" w:cs="Arial Nova"/>
          <w:b/>
          <w:bCs/>
          <w:sz w:val="36"/>
          <w:szCs w:val="36"/>
          <w:u w:val="single"/>
        </w:rPr>
        <w:t xml:space="preserve"> &amp; Written </w:t>
      </w:r>
      <w:r w:rsidR="31657A6B" w:rsidRPr="2B0917EE">
        <w:rPr>
          <w:rFonts w:ascii="Arial Nova" w:eastAsia="Arial Nova" w:hAnsi="Arial Nova" w:cs="Arial Nova"/>
          <w:b/>
          <w:bCs/>
          <w:sz w:val="36"/>
          <w:szCs w:val="36"/>
          <w:u w:val="single"/>
        </w:rPr>
        <w:t>Assignment</w:t>
      </w:r>
    </w:p>
    <w:p w14:paraId="3DB0B466" w14:textId="030D1DC3" w:rsidR="27479427" w:rsidRDefault="27479427" w:rsidP="2B0917EE">
      <w:pPr>
        <w:spacing w:line="360" w:lineRule="auto"/>
        <w:jc w:val="center"/>
        <w:rPr>
          <w:rFonts w:ascii="Arial Nova" w:eastAsia="Arial Nova" w:hAnsi="Arial Nova" w:cs="Arial Nova"/>
          <w:b/>
          <w:bCs/>
          <w:sz w:val="36"/>
          <w:szCs w:val="36"/>
          <w:u w:val="single"/>
        </w:rPr>
      </w:pPr>
      <w:r w:rsidRPr="2B0917EE">
        <w:rPr>
          <w:rFonts w:ascii="Arial Nova" w:eastAsia="Arial Nova" w:hAnsi="Arial Nova" w:cs="Arial Nova"/>
          <w:b/>
          <w:bCs/>
          <w:sz w:val="36"/>
          <w:szCs w:val="36"/>
          <w:u w:val="single"/>
        </w:rPr>
        <w:t xml:space="preserve">What are the Perceptions of Year 1 Pupils </w:t>
      </w:r>
      <w:r w:rsidR="48442F43" w:rsidRPr="2B0917EE">
        <w:rPr>
          <w:rFonts w:ascii="Arial Nova" w:eastAsia="Arial Nova" w:hAnsi="Arial Nova" w:cs="Arial Nova"/>
          <w:b/>
          <w:bCs/>
          <w:sz w:val="36"/>
          <w:szCs w:val="36"/>
          <w:u w:val="single"/>
        </w:rPr>
        <w:t xml:space="preserve">in South Wales </w:t>
      </w:r>
      <w:r w:rsidRPr="2B0917EE">
        <w:rPr>
          <w:rFonts w:ascii="Arial Nova" w:eastAsia="Arial Nova" w:hAnsi="Arial Nova" w:cs="Arial Nova"/>
          <w:b/>
          <w:bCs/>
          <w:sz w:val="36"/>
          <w:szCs w:val="36"/>
          <w:u w:val="single"/>
        </w:rPr>
        <w:t>Surrounding</w:t>
      </w:r>
      <w:r w:rsidR="13F3D02F" w:rsidRPr="2B0917EE">
        <w:rPr>
          <w:rFonts w:ascii="Arial Nova" w:eastAsia="Arial Nova" w:hAnsi="Arial Nova" w:cs="Arial Nova"/>
          <w:b/>
          <w:bCs/>
          <w:sz w:val="36"/>
          <w:szCs w:val="36"/>
          <w:u w:val="single"/>
        </w:rPr>
        <w:t xml:space="preserve"> Daily</w:t>
      </w:r>
      <w:r w:rsidRPr="2B0917EE">
        <w:rPr>
          <w:rFonts w:ascii="Arial Nova" w:eastAsia="Arial Nova" w:hAnsi="Arial Nova" w:cs="Arial Nova"/>
          <w:b/>
          <w:bCs/>
          <w:sz w:val="36"/>
          <w:szCs w:val="36"/>
          <w:u w:val="single"/>
        </w:rPr>
        <w:t xml:space="preserve"> Mindfulness</w:t>
      </w:r>
      <w:r w:rsidR="1BDB8322" w:rsidRPr="2B0917EE">
        <w:rPr>
          <w:rFonts w:ascii="Arial Nova" w:eastAsia="Arial Nova" w:hAnsi="Arial Nova" w:cs="Arial Nova"/>
          <w:b/>
          <w:bCs/>
          <w:sz w:val="36"/>
          <w:szCs w:val="36"/>
          <w:u w:val="single"/>
        </w:rPr>
        <w:t xml:space="preserve"> Sessions</w:t>
      </w:r>
      <w:r w:rsidRPr="2B0917EE">
        <w:rPr>
          <w:rFonts w:ascii="Arial Nova" w:eastAsia="Arial Nova" w:hAnsi="Arial Nova" w:cs="Arial Nova"/>
          <w:b/>
          <w:bCs/>
          <w:sz w:val="36"/>
          <w:szCs w:val="36"/>
          <w:u w:val="single"/>
        </w:rPr>
        <w:t xml:space="preserve"> </w:t>
      </w:r>
      <w:r w:rsidR="64D6D0ED" w:rsidRPr="2B0917EE">
        <w:rPr>
          <w:rFonts w:ascii="Arial Nova" w:eastAsia="Arial Nova" w:hAnsi="Arial Nova" w:cs="Arial Nova"/>
          <w:b/>
          <w:bCs/>
          <w:sz w:val="36"/>
          <w:szCs w:val="36"/>
          <w:u w:val="single"/>
        </w:rPr>
        <w:t>in the Classroom Prior to Teaching and Learning.</w:t>
      </w:r>
    </w:p>
    <w:p w14:paraId="6C2B85B1" w14:textId="4B672739" w:rsidR="56007B9C" w:rsidRDefault="56007B9C" w:rsidP="2B0917EE">
      <w:pPr>
        <w:spacing w:line="360" w:lineRule="auto"/>
        <w:jc w:val="center"/>
        <w:rPr>
          <w:rFonts w:ascii="Arial Nova" w:eastAsia="Arial Nova" w:hAnsi="Arial Nova" w:cs="Arial Nova"/>
          <w:sz w:val="28"/>
          <w:szCs w:val="28"/>
        </w:rPr>
      </w:pPr>
      <w:r w:rsidRPr="2B0917EE">
        <w:rPr>
          <w:rFonts w:ascii="Arial Nova" w:eastAsia="Arial Nova" w:hAnsi="Arial Nova" w:cs="Arial Nova"/>
          <w:sz w:val="28"/>
          <w:szCs w:val="28"/>
        </w:rPr>
        <w:t>Name: Iestyn Roberts</w:t>
      </w:r>
    </w:p>
    <w:p w14:paraId="1EADFE96" w14:textId="7AE76BBC" w:rsidR="56007B9C" w:rsidRDefault="56007B9C" w:rsidP="2B0917EE">
      <w:pPr>
        <w:spacing w:line="360" w:lineRule="auto"/>
        <w:jc w:val="center"/>
        <w:rPr>
          <w:rFonts w:ascii="Arial Nova" w:eastAsia="Arial Nova" w:hAnsi="Arial Nova" w:cs="Arial Nova"/>
          <w:sz w:val="28"/>
          <w:szCs w:val="28"/>
        </w:rPr>
      </w:pPr>
      <w:r w:rsidRPr="2B0917EE">
        <w:rPr>
          <w:rFonts w:ascii="Arial Nova" w:eastAsia="Arial Nova" w:hAnsi="Arial Nova" w:cs="Arial Nova"/>
          <w:sz w:val="28"/>
          <w:szCs w:val="28"/>
        </w:rPr>
        <w:t>Student Number: 1902890</w:t>
      </w:r>
    </w:p>
    <w:p w14:paraId="1B5869AA" w14:textId="53D3649C" w:rsidR="35E5F006" w:rsidRDefault="35E5F006" w:rsidP="64B43011">
      <w:pPr>
        <w:spacing w:line="360" w:lineRule="auto"/>
        <w:jc w:val="center"/>
        <w:rPr>
          <w:rFonts w:ascii="Arial Nova" w:eastAsia="Arial Nova" w:hAnsi="Arial Nova" w:cs="Arial Nova"/>
          <w:sz w:val="28"/>
          <w:szCs w:val="28"/>
        </w:rPr>
      </w:pPr>
      <w:r w:rsidRPr="330802FE">
        <w:rPr>
          <w:rFonts w:ascii="Arial Nova" w:eastAsia="Arial Nova" w:hAnsi="Arial Nova" w:cs="Arial Nova"/>
          <w:sz w:val="28"/>
          <w:szCs w:val="28"/>
        </w:rPr>
        <w:t>Permitted Word Count</w:t>
      </w:r>
      <w:r w:rsidR="578EB89C" w:rsidRPr="330802FE">
        <w:rPr>
          <w:rFonts w:ascii="Arial Nova" w:eastAsia="Arial Nova" w:hAnsi="Arial Nova" w:cs="Arial Nova"/>
          <w:sz w:val="28"/>
          <w:szCs w:val="28"/>
        </w:rPr>
        <w:t>:</w:t>
      </w:r>
      <w:r w:rsidRPr="330802FE">
        <w:rPr>
          <w:rFonts w:ascii="Arial Nova" w:eastAsia="Arial Nova" w:hAnsi="Arial Nova" w:cs="Arial Nova"/>
          <w:sz w:val="28"/>
          <w:szCs w:val="28"/>
        </w:rPr>
        <w:t xml:space="preserve"> 4500</w:t>
      </w:r>
    </w:p>
    <w:p w14:paraId="743B148B" w14:textId="043CF996" w:rsidR="0B2DB886" w:rsidRDefault="35E5F006" w:rsidP="2B0917EE">
      <w:pPr>
        <w:spacing w:line="360" w:lineRule="auto"/>
        <w:jc w:val="center"/>
        <w:rPr>
          <w:rFonts w:ascii="Arial Nova" w:eastAsia="Arial Nova" w:hAnsi="Arial Nova" w:cs="Arial Nova"/>
          <w:sz w:val="28"/>
          <w:szCs w:val="28"/>
        </w:rPr>
      </w:pPr>
      <w:r w:rsidRPr="2B0917EE">
        <w:rPr>
          <w:rFonts w:ascii="Arial Nova" w:eastAsia="Arial Nova" w:hAnsi="Arial Nova" w:cs="Arial Nova"/>
          <w:sz w:val="28"/>
          <w:szCs w:val="28"/>
        </w:rPr>
        <w:t>Actual Word Count</w:t>
      </w:r>
      <w:r w:rsidR="57EB5FC7" w:rsidRPr="2B0917EE">
        <w:rPr>
          <w:rFonts w:ascii="Arial Nova" w:eastAsia="Arial Nova" w:hAnsi="Arial Nova" w:cs="Arial Nova"/>
          <w:sz w:val="28"/>
          <w:szCs w:val="28"/>
        </w:rPr>
        <w:t>:</w:t>
      </w:r>
      <w:r w:rsidR="246A16C5" w:rsidRPr="2B0917EE">
        <w:rPr>
          <w:rFonts w:ascii="Arial Nova" w:eastAsia="Arial Nova" w:hAnsi="Arial Nova" w:cs="Arial Nova"/>
          <w:sz w:val="28"/>
          <w:szCs w:val="28"/>
        </w:rPr>
        <w:t xml:space="preserve"> 4557</w:t>
      </w:r>
    </w:p>
    <w:p w14:paraId="27066F6D" w14:textId="066FD68C" w:rsidR="2B0917EE" w:rsidRDefault="2B0917EE" w:rsidP="2B0917EE">
      <w:pPr>
        <w:spacing w:line="360" w:lineRule="auto"/>
        <w:jc w:val="center"/>
        <w:rPr>
          <w:rFonts w:ascii="Arial Nova" w:eastAsia="Arial Nova" w:hAnsi="Arial Nova" w:cs="Arial Nova"/>
          <w:sz w:val="28"/>
          <w:szCs w:val="28"/>
        </w:rPr>
      </w:pPr>
    </w:p>
    <w:p w14:paraId="110428CF" w14:textId="56FA5E33" w:rsidR="6D78962D" w:rsidRDefault="6D78962D" w:rsidP="64B43011">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 xml:space="preserve">Aim, </w:t>
      </w:r>
      <w:r w:rsidR="41C1B5A5" w:rsidRPr="2B0917EE">
        <w:rPr>
          <w:rFonts w:ascii="Arial Nova" w:eastAsia="Arial Nova" w:hAnsi="Arial Nova" w:cs="Arial Nova"/>
          <w:b/>
          <w:bCs/>
          <w:sz w:val="28"/>
          <w:szCs w:val="28"/>
          <w:u w:val="single"/>
        </w:rPr>
        <w:t>F</w:t>
      </w:r>
      <w:r w:rsidRPr="2B0917EE">
        <w:rPr>
          <w:rFonts w:ascii="Arial Nova" w:eastAsia="Arial Nova" w:hAnsi="Arial Nova" w:cs="Arial Nova"/>
          <w:b/>
          <w:bCs/>
          <w:sz w:val="28"/>
          <w:szCs w:val="28"/>
          <w:u w:val="single"/>
        </w:rPr>
        <w:t xml:space="preserve">ocus and </w:t>
      </w:r>
      <w:r w:rsidR="329AA764" w:rsidRPr="2B0917EE">
        <w:rPr>
          <w:rFonts w:ascii="Arial Nova" w:eastAsia="Arial Nova" w:hAnsi="Arial Nova" w:cs="Arial Nova"/>
          <w:b/>
          <w:bCs/>
          <w:sz w:val="28"/>
          <w:szCs w:val="28"/>
          <w:u w:val="single"/>
        </w:rPr>
        <w:t>P</w:t>
      </w:r>
      <w:r w:rsidRPr="2B0917EE">
        <w:rPr>
          <w:rFonts w:ascii="Arial Nova" w:eastAsia="Arial Nova" w:hAnsi="Arial Nova" w:cs="Arial Nova"/>
          <w:b/>
          <w:bCs/>
          <w:sz w:val="28"/>
          <w:szCs w:val="28"/>
          <w:u w:val="single"/>
        </w:rPr>
        <w:t xml:space="preserve">urpose of the </w:t>
      </w:r>
      <w:r w:rsidR="442C3216" w:rsidRPr="2B0917EE">
        <w:rPr>
          <w:rFonts w:ascii="Arial Nova" w:eastAsia="Arial Nova" w:hAnsi="Arial Nova" w:cs="Arial Nova"/>
          <w:b/>
          <w:bCs/>
          <w:sz w:val="28"/>
          <w:szCs w:val="28"/>
          <w:u w:val="single"/>
        </w:rPr>
        <w:t>R</w:t>
      </w:r>
      <w:r w:rsidRPr="2B0917EE">
        <w:rPr>
          <w:rFonts w:ascii="Arial Nova" w:eastAsia="Arial Nova" w:hAnsi="Arial Nova" w:cs="Arial Nova"/>
          <w:b/>
          <w:bCs/>
          <w:sz w:val="28"/>
          <w:szCs w:val="28"/>
          <w:u w:val="single"/>
        </w:rPr>
        <w:t>esearch</w:t>
      </w:r>
    </w:p>
    <w:p w14:paraId="06496C08" w14:textId="21C436F9" w:rsidR="0B2DB886" w:rsidRDefault="6824DCA2" w:rsidP="2B0917EE">
      <w:pPr>
        <w:spacing w:line="360" w:lineRule="auto"/>
        <w:jc w:val="both"/>
        <w:rPr>
          <w:rFonts w:ascii="Arial Nova" w:eastAsia="Arial Nova" w:hAnsi="Arial Nova" w:cs="Arial Nova"/>
          <w:sz w:val="22"/>
          <w:szCs w:val="22"/>
        </w:rPr>
      </w:pPr>
      <w:r w:rsidRPr="2B0917EE">
        <w:rPr>
          <w:rFonts w:ascii="Arial Nova" w:eastAsia="Arial Nova" w:hAnsi="Arial Nova" w:cs="Arial Nova"/>
        </w:rPr>
        <w:t xml:space="preserve">Mindfulness has gained increasing recognition as a beneficial practice in promoting well-being and mental health, not only among adults but also among children and adolescents. In recent years, educators have explored the integration of mindfulness practices into the classroom environment to support students' social, emotional, and academic development. This research project aims to investigate the perceptions of Year 1 pupils in South Wales regarding daily mindfulness sessions conducted in the classroom before teaching and learning activities.  </w:t>
      </w:r>
    </w:p>
    <w:p w14:paraId="14FF0C16" w14:textId="48755BFE" w:rsidR="0B2DB886" w:rsidRDefault="116C21DD" w:rsidP="2B0917EE">
      <w:pPr>
        <w:spacing w:line="360" w:lineRule="auto"/>
        <w:jc w:val="both"/>
        <w:rPr>
          <w:rFonts w:ascii="Arial Nova" w:eastAsia="Arial Nova" w:hAnsi="Arial Nova" w:cs="Arial Nova"/>
        </w:rPr>
      </w:pPr>
      <w:r w:rsidRPr="2B0917EE">
        <w:rPr>
          <w:rFonts w:ascii="Arial Nova" w:eastAsia="Arial Nova" w:hAnsi="Arial Nova" w:cs="Arial Nova"/>
        </w:rPr>
        <w:lastRenderedPageBreak/>
        <w:t xml:space="preserve">The reason the decision was made to investigate the implementation of </w:t>
      </w:r>
      <w:r w:rsidR="0DBBC116" w:rsidRPr="2B0917EE">
        <w:rPr>
          <w:rFonts w:ascii="Arial Nova" w:eastAsia="Arial Nova" w:hAnsi="Arial Nova" w:cs="Arial Nova"/>
        </w:rPr>
        <w:t>mindfulness</w:t>
      </w:r>
      <w:r w:rsidRPr="2B0917EE">
        <w:rPr>
          <w:rFonts w:ascii="Arial Nova" w:eastAsia="Arial Nova" w:hAnsi="Arial Nova" w:cs="Arial Nova"/>
        </w:rPr>
        <w:t xml:space="preserve"> sessions links with some of the challenges I have faced t</w:t>
      </w:r>
      <w:r w:rsidR="3219AF44" w:rsidRPr="2B0917EE">
        <w:rPr>
          <w:rFonts w:ascii="Arial Nova" w:eastAsia="Arial Nova" w:hAnsi="Arial Nova" w:cs="Arial Nova"/>
        </w:rPr>
        <w:t>hroughout my placement and upon reflection in my PLP it was evident that behaviour management and social, emotional and behavioural issues are prominent features in today’s classr</w:t>
      </w:r>
      <w:r w:rsidR="4C60A647" w:rsidRPr="2B0917EE">
        <w:rPr>
          <w:rFonts w:ascii="Arial Nova" w:eastAsia="Arial Nova" w:hAnsi="Arial Nova" w:cs="Arial Nova"/>
        </w:rPr>
        <w:t xml:space="preserve">ooms and upon research into behaviour management strategies it was </w:t>
      </w:r>
      <w:r w:rsidR="2E694E7D" w:rsidRPr="2B0917EE">
        <w:rPr>
          <w:rFonts w:ascii="Arial Nova" w:eastAsia="Arial Nova" w:hAnsi="Arial Nova" w:cs="Arial Nova"/>
        </w:rPr>
        <w:t>clear</w:t>
      </w:r>
      <w:r w:rsidR="4C60A647" w:rsidRPr="2B0917EE">
        <w:rPr>
          <w:rFonts w:ascii="Arial Nova" w:eastAsia="Arial Nova" w:hAnsi="Arial Nova" w:cs="Arial Nova"/>
        </w:rPr>
        <w:t xml:space="preserve"> that mindfulness</w:t>
      </w:r>
      <w:r w:rsidR="007C526C" w:rsidRPr="2B0917EE">
        <w:rPr>
          <w:rFonts w:ascii="Arial Nova" w:eastAsia="Arial Nova" w:hAnsi="Arial Nova" w:cs="Arial Nova"/>
        </w:rPr>
        <w:t xml:space="preserve"> had potential of offering a scaffold with regard to behaviour management due to its calming nature</w:t>
      </w:r>
      <w:r w:rsidR="4F16DBE4" w:rsidRPr="2B0917EE">
        <w:rPr>
          <w:rFonts w:ascii="Arial Nova" w:eastAsia="Arial Nova" w:hAnsi="Arial Nova" w:cs="Arial Nova"/>
        </w:rPr>
        <w:t>, thus creating the inspiration for th</w:t>
      </w:r>
      <w:r w:rsidR="19D35DE8" w:rsidRPr="2B0917EE">
        <w:rPr>
          <w:rFonts w:ascii="Arial Nova" w:eastAsia="Arial Nova" w:hAnsi="Arial Nova" w:cs="Arial Nova"/>
        </w:rPr>
        <w:t xml:space="preserve">is </w:t>
      </w:r>
      <w:r w:rsidR="4F16DBE4" w:rsidRPr="2B0917EE">
        <w:rPr>
          <w:rFonts w:ascii="Arial Nova" w:eastAsia="Arial Nova" w:hAnsi="Arial Nova" w:cs="Arial Nova"/>
        </w:rPr>
        <w:t>research project.</w:t>
      </w:r>
    </w:p>
    <w:p w14:paraId="058CDBCD" w14:textId="51956D91" w:rsidR="0B2DB886" w:rsidRDefault="3CBCE392"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The school in which the case study has taken place will be referred to as ‘school X’ throughout to maintain confidentiality due to ethical considerations, the ethical considerations will be discussed in depth further on. For context, school X situated in the outskirts of Swansea, serves a large housing estate. With 255 students, including 45 in nursery. Notably, 55% of students receive free school meals, well above the national average, and 67% have additional learning needs, surpassing </w:t>
      </w:r>
      <w:proofErr w:type="spellStart"/>
      <w:r w:rsidRPr="2B0917EE">
        <w:rPr>
          <w:rFonts w:ascii="Arial Nova" w:eastAsia="Arial Nova" w:hAnsi="Arial Nova" w:cs="Arial Nova"/>
        </w:rPr>
        <w:t>Wales'</w:t>
      </w:r>
      <w:proofErr w:type="spellEnd"/>
      <w:r w:rsidRPr="2B0917EE">
        <w:rPr>
          <w:rFonts w:ascii="Arial Nova" w:eastAsia="Arial Nova" w:hAnsi="Arial Nova" w:cs="Arial Nova"/>
        </w:rPr>
        <w:t xml:space="preserve"> average. While most students (78%) are of white British origin, around 20% have English as an additional language, and none speak Welsh as their first language. Very few are under local authority care.</w:t>
      </w:r>
    </w:p>
    <w:p w14:paraId="163B5B75" w14:textId="077E8188" w:rsidR="0B2DB886" w:rsidRDefault="6824DCA2"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The decision to focus on Year 1 pupils is rooted in the importance of early intervention and the formative nature of primary education in shaping children's attitudes and </w:t>
      </w:r>
      <w:r w:rsidR="2B9260A2" w:rsidRPr="2B0917EE">
        <w:rPr>
          <w:rFonts w:ascii="Arial Nova" w:eastAsia="Arial Nova" w:hAnsi="Arial Nova" w:cs="Arial Nova"/>
        </w:rPr>
        <w:t>behaviours</w:t>
      </w:r>
      <w:r w:rsidRPr="2B0917EE">
        <w:rPr>
          <w:rFonts w:ascii="Arial Nova" w:eastAsia="Arial Nova" w:hAnsi="Arial Nova" w:cs="Arial Nova"/>
        </w:rPr>
        <w:t xml:space="preserve"> towards mindfulness practices. Year 1 represents a critical stage in children's cognitive and socio-emotional development, where they begin to navigate their emotions, interactions, and learning experiences in a structured classroom setting. Understanding their perceptions of mindfulness at this stage can provide valuable insights into its potential impact on their overall well-being and academic engagement.  </w:t>
      </w:r>
    </w:p>
    <w:p w14:paraId="392B273B" w14:textId="68E5CD41" w:rsidR="0B2DB886" w:rsidRDefault="6824DCA2" w:rsidP="330802FE">
      <w:pPr>
        <w:spacing w:line="360" w:lineRule="auto"/>
        <w:jc w:val="both"/>
        <w:rPr>
          <w:rFonts w:ascii="Arial Nova" w:eastAsia="Arial Nova" w:hAnsi="Arial Nova" w:cs="Arial Nova"/>
          <w:sz w:val="22"/>
          <w:szCs w:val="22"/>
        </w:rPr>
      </w:pPr>
      <w:r w:rsidRPr="2B0917EE">
        <w:rPr>
          <w:rFonts w:ascii="Arial Nova" w:eastAsia="Arial Nova" w:hAnsi="Arial Nova" w:cs="Arial Nova"/>
        </w:rPr>
        <w:t xml:space="preserve">Overall, this research project </w:t>
      </w:r>
      <w:r w:rsidR="3E663D77" w:rsidRPr="2B0917EE">
        <w:rPr>
          <w:rFonts w:ascii="Arial Nova" w:eastAsia="Arial Nova" w:hAnsi="Arial Nova" w:cs="Arial Nova"/>
        </w:rPr>
        <w:t>endeavours</w:t>
      </w:r>
      <w:r w:rsidRPr="2B0917EE">
        <w:rPr>
          <w:rFonts w:ascii="Arial Nova" w:eastAsia="Arial Nova" w:hAnsi="Arial Nova" w:cs="Arial Nova"/>
        </w:rPr>
        <w:t xml:space="preserve"> to contribute to the growing body of knowledge on the implementation of mindfulness in educational settings, with a specific focus on Year 1 pupils in South Wales. By shedding light on their perceptions, the findings aim to inform educators, policymakers, and stakeholders about the potential implications of integrating mindfulness practices into primary education curricula.</w:t>
      </w:r>
    </w:p>
    <w:p w14:paraId="3F9F0C42" w14:textId="76695388" w:rsidR="2B0917EE" w:rsidRDefault="2B0917EE" w:rsidP="2B0917EE">
      <w:pPr>
        <w:spacing w:line="360" w:lineRule="auto"/>
        <w:jc w:val="both"/>
        <w:rPr>
          <w:rFonts w:ascii="Arial Nova" w:eastAsia="Arial Nova" w:hAnsi="Arial Nova" w:cs="Arial Nova"/>
        </w:rPr>
      </w:pPr>
    </w:p>
    <w:p w14:paraId="7E6DB285" w14:textId="27CB576E" w:rsidR="6BE539D2" w:rsidRDefault="6BE539D2" w:rsidP="2B0917EE">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Explanation of Case Study</w:t>
      </w:r>
    </w:p>
    <w:p w14:paraId="37788CDC" w14:textId="77F10825" w:rsidR="78EAB2F9" w:rsidRDefault="78EAB2F9" w:rsidP="2B0917EE">
      <w:pPr>
        <w:spacing w:line="360" w:lineRule="auto"/>
        <w:jc w:val="both"/>
        <w:rPr>
          <w:rFonts w:ascii="Arial Nova" w:eastAsia="Arial Nova" w:hAnsi="Arial Nova" w:cs="Arial Nova"/>
        </w:rPr>
      </w:pPr>
      <w:r w:rsidRPr="2B0917EE">
        <w:rPr>
          <w:rFonts w:ascii="Arial Nova" w:eastAsia="Arial Nova" w:hAnsi="Arial Nova" w:cs="Arial Nova"/>
        </w:rPr>
        <w:t>In my exploration of social research literature, I've come to appreciate the significance of case study methodology. It's a versatile approach that delves into various dimensions and epistemological implications, offering valuable insights into theoretical propositions. Through critical analysis and engagement with diverse perspectives, case studies contribute to theoretical advancements in the field, making them a cornerstone of contemporary social research literature (Priya, 2020)</w:t>
      </w:r>
      <w:r w:rsidR="06E87527" w:rsidRPr="2B0917EE">
        <w:rPr>
          <w:rFonts w:ascii="Arial Nova" w:eastAsia="Arial Nova" w:hAnsi="Arial Nova" w:cs="Arial Nova"/>
        </w:rPr>
        <w:t xml:space="preserve">, in </w:t>
      </w:r>
      <w:r w:rsidR="410E3FEF" w:rsidRPr="2B0917EE">
        <w:rPr>
          <w:rFonts w:ascii="Arial Nova" w:eastAsia="Arial Nova" w:hAnsi="Arial Nova" w:cs="Arial Nova"/>
        </w:rPr>
        <w:t>accordance</w:t>
      </w:r>
      <w:r w:rsidR="06E87527" w:rsidRPr="2B0917EE">
        <w:rPr>
          <w:rFonts w:ascii="Arial Nova" w:eastAsia="Arial Nova" w:hAnsi="Arial Nova" w:cs="Arial Nova"/>
        </w:rPr>
        <w:t xml:space="preserve"> with the literature mentioned above, this research takes a case study approach</w:t>
      </w:r>
      <w:r w:rsidR="68F73E4D" w:rsidRPr="2B0917EE">
        <w:rPr>
          <w:rFonts w:ascii="Arial Nova" w:eastAsia="Arial Nova" w:hAnsi="Arial Nova" w:cs="Arial Nova"/>
        </w:rPr>
        <w:t>. It is essential to mention that all research throughout this case stud</w:t>
      </w:r>
      <w:r w:rsidR="4849B0E6" w:rsidRPr="2B0917EE">
        <w:rPr>
          <w:rFonts w:ascii="Arial Nova" w:eastAsia="Arial Nova" w:hAnsi="Arial Nova" w:cs="Arial Nova"/>
        </w:rPr>
        <w:t>y is in accordance with the guidelines of BERA (2018).</w:t>
      </w:r>
    </w:p>
    <w:p w14:paraId="79C8BD9D" w14:textId="2F5FBB75" w:rsidR="6BE539D2" w:rsidRDefault="6BE539D2" w:rsidP="2B0917EE">
      <w:pPr>
        <w:spacing w:line="360" w:lineRule="auto"/>
        <w:jc w:val="both"/>
        <w:rPr>
          <w:rFonts w:ascii="Arial Nova" w:eastAsia="Arial Nova" w:hAnsi="Arial Nova" w:cs="Arial Nova"/>
        </w:rPr>
      </w:pPr>
      <w:r w:rsidRPr="2B0917EE">
        <w:rPr>
          <w:rFonts w:ascii="Arial Nova" w:eastAsia="Arial Nova" w:hAnsi="Arial Nova" w:cs="Arial Nova"/>
        </w:rPr>
        <w:t>The purpose of the case study is to find out what Year 1 students in South Wales think about the regular mindfulness exercises that take place in the classroom prior to instruction and learning. The Leuven Scale is used in the study to evaluate students' engagement and well-being. A validated instrument frequently used to assess many facets of children's social-emotional development, such as wellbeing and engagement, is the Leuven Scale</w:t>
      </w:r>
      <w:r w:rsidR="1D4F9CBC" w:rsidRPr="2B0917EE">
        <w:rPr>
          <w:rFonts w:ascii="Arial Nova" w:eastAsia="Arial Nova" w:hAnsi="Arial Nova" w:cs="Arial Nova"/>
        </w:rPr>
        <w:t xml:space="preserve"> (Barber, 2013)</w:t>
      </w:r>
      <w:r w:rsidRPr="2B0917EE">
        <w:rPr>
          <w:rFonts w:ascii="Arial Nova" w:eastAsia="Arial Nova" w:hAnsi="Arial Nova" w:cs="Arial Nova"/>
        </w:rPr>
        <w:t xml:space="preserve">. To obtain the opinions of Year 1 students, the study uses focus groups in addition to the Leuven Scale. Focus groups offer a qualitative technique for learning in-depth details about the ideas, emotions, and experiences of participants. Researchers can investigate the attitudes of Year 1 students regarding mindfulness sessions, their comprehension of the advantages, and any obstacles they may face by holding focus groups with them. In the case study, daily mindfulness exercises are implemented in the classroom, and the Leuven Scale is used to gauge the effect on the wellbeing and engagement of Year 1 students. Students will participate in focus groups led by researchers to learn about their perspectives, thoughts, and experiences about these sessions. The results of the focus groups and the Leuven Scale evaluations will be examined to provide a thorough picture of how Year 1 students view and participate in everyday mindfulness exercises in the classroom. </w:t>
      </w:r>
    </w:p>
    <w:p w14:paraId="3D5ECF20" w14:textId="3BA2519F" w:rsidR="6BE539D2" w:rsidRDefault="6BE539D2" w:rsidP="2B0917EE">
      <w:pPr>
        <w:spacing w:line="360" w:lineRule="auto"/>
        <w:jc w:val="both"/>
        <w:rPr>
          <w:rFonts w:ascii="Arial Nova" w:eastAsia="Arial Nova" w:hAnsi="Arial Nova" w:cs="Arial Nova"/>
        </w:rPr>
      </w:pPr>
      <w:r w:rsidRPr="2B0917EE">
        <w:rPr>
          <w:rFonts w:ascii="Arial Nova" w:eastAsia="Arial Nova" w:hAnsi="Arial Nova" w:cs="Arial Nova"/>
        </w:rPr>
        <w:lastRenderedPageBreak/>
        <w:t>Overall, a mixed-methods approach is used in this case study to create a deeper understanding of how Year 1 students perceive mindfulness sessions by combining quantitative evaluation with qualitative research. The study intends to offer insight on the possible advantages and difficulties of incorporating mindfulness practices into the classroom setting for young children in South Wales using the Leuven Scale and focus groups.</w:t>
      </w:r>
    </w:p>
    <w:p w14:paraId="5F454C2E" w14:textId="53C6FE7E" w:rsidR="713F8C95" w:rsidRDefault="713F8C95"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However, this case study only includes a minority of the classroom due to a lack of responses to the consent forms that were sent out to parents and caregivers, this resulted in a small-scale </w:t>
      </w:r>
      <w:r w:rsidR="2FE471C7" w:rsidRPr="2B0917EE">
        <w:rPr>
          <w:rFonts w:ascii="Arial Nova" w:eastAsia="Arial Nova" w:hAnsi="Arial Nova" w:cs="Arial Nova"/>
        </w:rPr>
        <w:t>case study that has very few results to analyse and therefore consideration must take place surrounding the reliability of the results due to the lack of diversity and coverage. Additionally, it must be c</w:t>
      </w:r>
      <w:r w:rsidR="159D7AC4" w:rsidRPr="2B0917EE">
        <w:rPr>
          <w:rFonts w:ascii="Arial Nova" w:eastAsia="Arial Nova" w:hAnsi="Arial Nova" w:cs="Arial Nova"/>
        </w:rPr>
        <w:t>onsidered that the Leuven scale is recorded using the perception of the researcher and may be inaccurate due to error in observation. Furthermore, the focus groups with the children m</w:t>
      </w:r>
      <w:r w:rsidR="0138E803" w:rsidRPr="2B0917EE">
        <w:rPr>
          <w:rFonts w:ascii="Arial Nova" w:eastAsia="Arial Nova" w:hAnsi="Arial Nova" w:cs="Arial Nova"/>
        </w:rPr>
        <w:t xml:space="preserve">ust be considered with reference to Appendix 1 where it is mentioned that due to the nature of the case study children may be eager to please and give responses that </w:t>
      </w:r>
      <w:r w:rsidR="3FDDCD34" w:rsidRPr="2B0917EE">
        <w:rPr>
          <w:rFonts w:ascii="Arial Nova" w:eastAsia="Arial Nova" w:hAnsi="Arial Nova" w:cs="Arial Nova"/>
        </w:rPr>
        <w:t>the researcher may require, and thus creating uncertainty surrounding the results of the focus group.</w:t>
      </w:r>
    </w:p>
    <w:p w14:paraId="5D6EC555" w14:textId="39180A09" w:rsidR="6D78962D" w:rsidRDefault="6D78962D" w:rsidP="64B43011">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 xml:space="preserve">Overview of </w:t>
      </w:r>
      <w:r w:rsidR="3E081EFE" w:rsidRPr="2B0917EE">
        <w:rPr>
          <w:rFonts w:ascii="Arial Nova" w:eastAsia="Arial Nova" w:hAnsi="Arial Nova" w:cs="Arial Nova"/>
          <w:b/>
          <w:bCs/>
          <w:sz w:val="28"/>
          <w:szCs w:val="28"/>
          <w:u w:val="single"/>
        </w:rPr>
        <w:t>R</w:t>
      </w:r>
      <w:r w:rsidRPr="2B0917EE">
        <w:rPr>
          <w:rFonts w:ascii="Arial Nova" w:eastAsia="Arial Nova" w:hAnsi="Arial Nova" w:cs="Arial Nova"/>
          <w:b/>
          <w:bCs/>
          <w:sz w:val="28"/>
          <w:szCs w:val="28"/>
          <w:u w:val="single"/>
        </w:rPr>
        <w:t xml:space="preserve">elevant </w:t>
      </w:r>
      <w:r w:rsidR="641FE407" w:rsidRPr="2B0917EE">
        <w:rPr>
          <w:rFonts w:ascii="Arial Nova" w:eastAsia="Arial Nova" w:hAnsi="Arial Nova" w:cs="Arial Nova"/>
          <w:b/>
          <w:bCs/>
          <w:sz w:val="28"/>
          <w:szCs w:val="28"/>
          <w:u w:val="single"/>
        </w:rPr>
        <w:t>L</w:t>
      </w:r>
      <w:r w:rsidRPr="2B0917EE">
        <w:rPr>
          <w:rFonts w:ascii="Arial Nova" w:eastAsia="Arial Nova" w:hAnsi="Arial Nova" w:cs="Arial Nova"/>
          <w:b/>
          <w:bCs/>
          <w:sz w:val="28"/>
          <w:szCs w:val="28"/>
          <w:u w:val="single"/>
        </w:rPr>
        <w:t>iterature</w:t>
      </w:r>
    </w:p>
    <w:p w14:paraId="1616A434" w14:textId="0DCC0F76" w:rsidR="0B2DB886" w:rsidRDefault="5552FDAF" w:rsidP="2B0917EE">
      <w:pPr>
        <w:spacing w:line="360" w:lineRule="auto"/>
        <w:jc w:val="both"/>
        <w:rPr>
          <w:rFonts w:ascii="Arial Nova" w:eastAsia="Arial Nova" w:hAnsi="Arial Nova" w:cs="Arial Nova"/>
        </w:rPr>
      </w:pPr>
      <w:r w:rsidRPr="2B0917EE">
        <w:rPr>
          <w:rFonts w:ascii="Arial Nova" w:eastAsia="Arial Nova" w:hAnsi="Arial Nova" w:cs="Arial Nova"/>
          <w:color w:val="0D0D0D" w:themeColor="text1" w:themeTint="F2"/>
        </w:rPr>
        <w:t>Research into behaviour management le</w:t>
      </w:r>
      <w:r w:rsidR="5F2266C7" w:rsidRPr="2B0917EE">
        <w:rPr>
          <w:rFonts w:ascii="Arial Nova" w:eastAsia="Arial Nova" w:hAnsi="Arial Nova" w:cs="Arial Nova"/>
          <w:color w:val="0D0D0D" w:themeColor="text1" w:themeTint="F2"/>
        </w:rPr>
        <w:t>d</w:t>
      </w:r>
      <w:r w:rsidRPr="2B0917EE">
        <w:rPr>
          <w:rFonts w:ascii="Arial Nova" w:eastAsia="Arial Nova" w:hAnsi="Arial Nova" w:cs="Arial Nova"/>
          <w:color w:val="0D0D0D" w:themeColor="text1" w:themeTint="F2"/>
        </w:rPr>
        <w:t xml:space="preserve"> me into the decision of forming the research question </w:t>
      </w:r>
      <w:r w:rsidR="4F70996D" w:rsidRPr="2B0917EE">
        <w:rPr>
          <w:rFonts w:ascii="Arial Nova" w:eastAsia="Arial Nova" w:hAnsi="Arial Nova" w:cs="Arial Nova"/>
          <w:color w:val="0D0D0D" w:themeColor="text1" w:themeTint="F2"/>
        </w:rPr>
        <w:t>‘</w:t>
      </w:r>
      <w:r w:rsidR="4F70996D" w:rsidRPr="2B0917EE">
        <w:rPr>
          <w:rFonts w:ascii="Arial Nova" w:eastAsia="Arial Nova" w:hAnsi="Arial Nova" w:cs="Arial Nova"/>
        </w:rPr>
        <w:t xml:space="preserve">What are the Perceptions of Year 1 Pupils in South Wales Surrounding Daily Mindfulness Sessions in the Classroom Prior to Teaching and Learning’. The reason for this decision was due to some behaviour management and emotional issues further formed </w:t>
      </w:r>
      <w:r w:rsidR="0E157E9F" w:rsidRPr="2B0917EE">
        <w:rPr>
          <w:rFonts w:ascii="Arial Nova" w:eastAsia="Arial Nova" w:hAnsi="Arial Nova" w:cs="Arial Nova"/>
        </w:rPr>
        <w:t>due to a particular interest I have in emotional regulation, further reading led me to discover mindfulness as a strategy, and in turn, resu</w:t>
      </w:r>
      <w:r w:rsidR="4653CD6C" w:rsidRPr="2B0917EE">
        <w:rPr>
          <w:rFonts w:ascii="Arial Nova" w:eastAsia="Arial Nova" w:hAnsi="Arial Nova" w:cs="Arial Nova"/>
        </w:rPr>
        <w:t>lted in the idea for this case study.</w:t>
      </w:r>
    </w:p>
    <w:p w14:paraId="1031622B" w14:textId="71CD9D05" w:rsidR="0B2DB886" w:rsidRDefault="3EC16380" w:rsidP="2B0917EE">
      <w:pPr>
        <w:spacing w:line="360" w:lineRule="auto"/>
        <w:jc w:val="both"/>
        <w:rPr>
          <w:rFonts w:ascii="Arial Nova" w:eastAsia="Arial Nova" w:hAnsi="Arial Nova" w:cs="Arial Nova"/>
          <w:color w:val="0D0D0D" w:themeColor="text1" w:themeTint="F2"/>
        </w:rPr>
      </w:pPr>
      <w:r w:rsidRPr="2B0917EE">
        <w:rPr>
          <w:rFonts w:ascii="Arial Nova" w:eastAsia="Arial Nova" w:hAnsi="Arial Nova" w:cs="Arial Nova"/>
          <w:color w:val="0D0D0D" w:themeColor="text1" w:themeTint="F2"/>
        </w:rPr>
        <w:t>Regarding</w:t>
      </w:r>
      <w:r w:rsidR="352E9E77" w:rsidRPr="2B0917EE">
        <w:rPr>
          <w:rFonts w:ascii="Arial Nova" w:eastAsia="Arial Nova" w:hAnsi="Arial Nova" w:cs="Arial Nova"/>
          <w:color w:val="0D0D0D" w:themeColor="text1" w:themeTint="F2"/>
        </w:rPr>
        <w:t xml:space="preserve"> mindfulness, it is relev</w:t>
      </w:r>
      <w:r w:rsidR="097EE45A" w:rsidRPr="2B0917EE">
        <w:rPr>
          <w:rFonts w:ascii="Arial Nova" w:eastAsia="Arial Nova" w:hAnsi="Arial Nova" w:cs="Arial Nova"/>
          <w:color w:val="0D0D0D" w:themeColor="text1" w:themeTint="F2"/>
        </w:rPr>
        <w:t xml:space="preserve">ant to acknowledge a study that took place surrounding </w:t>
      </w:r>
      <w:r w:rsidR="3855D10F" w:rsidRPr="2B0917EE">
        <w:rPr>
          <w:rFonts w:ascii="Arial Nova" w:eastAsia="Arial Nova" w:hAnsi="Arial Nova" w:cs="Arial Nova"/>
          <w:color w:val="0D0D0D" w:themeColor="text1" w:themeTint="F2"/>
        </w:rPr>
        <w:t>this strategy</w:t>
      </w:r>
      <w:r w:rsidR="1E13D619" w:rsidRPr="2B0917EE">
        <w:rPr>
          <w:rFonts w:ascii="Arial Nova" w:eastAsia="Arial Nova" w:hAnsi="Arial Nova" w:cs="Arial Nova"/>
          <w:color w:val="0D0D0D" w:themeColor="text1" w:themeTint="F2"/>
        </w:rPr>
        <w:t>, this study was by</w:t>
      </w:r>
      <w:r w:rsidR="247A6C7D" w:rsidRPr="2B0917EE">
        <w:rPr>
          <w:rFonts w:ascii="Arial Nova" w:eastAsia="Arial Nova" w:hAnsi="Arial Nova" w:cs="Arial Nova"/>
          <w:color w:val="0D0D0D" w:themeColor="text1" w:themeTint="F2"/>
        </w:rPr>
        <w:t xml:space="preserve"> Charlotte Vickery and Dusana Dorjee in 2016.</w:t>
      </w:r>
      <w:r w:rsidR="1E13D619" w:rsidRPr="2B0917EE">
        <w:rPr>
          <w:rFonts w:ascii="Arial Nova" w:eastAsia="Arial Nova" w:hAnsi="Arial Nova" w:cs="Arial Nova"/>
          <w:color w:val="0D0D0D" w:themeColor="text1" w:themeTint="F2"/>
        </w:rPr>
        <w:t xml:space="preserve"> </w:t>
      </w:r>
      <w:r w:rsidR="352E9E77" w:rsidRPr="2B0917EE">
        <w:rPr>
          <w:rFonts w:ascii="Arial Nova" w:eastAsia="Arial Nova" w:hAnsi="Arial Nova" w:cs="Arial Nova"/>
          <w:color w:val="0D0D0D" w:themeColor="text1" w:themeTint="F2"/>
        </w:rPr>
        <w:t xml:space="preserve">Mindfulness programs for pre-adolescents are limited, making this study significant. It focuses on the Paws b program for children aged 7-9, delivered by schoolteachers, showing promising results. The feasibility pilot study used a non-randomized wait-list controlled design, part </w:t>
      </w:r>
      <w:r w:rsidR="352E9E77" w:rsidRPr="2B0917EE">
        <w:rPr>
          <w:rFonts w:ascii="Arial Nova" w:eastAsia="Arial Nova" w:hAnsi="Arial Nova" w:cs="Arial Nova"/>
          <w:color w:val="0D0D0D" w:themeColor="text1" w:themeTint="F2"/>
        </w:rPr>
        <w:lastRenderedPageBreak/>
        <w:t>of a larger project training teachers in mindfulness. Mindfulness training significantly decreased negative affect and improved meta-cognition in children aged 7-9, as reported by teachers. The findings suggest that mindfulness can enhance emotional well-being, promote resilience, and protect psychological well-being in children, potentially reducing emotional problems. Longitudinal comparisons indicated significant improvements in negative affect at follow-up, emphasizing the delayed manifestation of mindfulness benefits in primary-aged children. The discrepancy between teacher and parental ratings of meta-cognition highlights the need for further research to replicate and validate these findings</w:t>
      </w:r>
      <w:r w:rsidR="39D1FA0A" w:rsidRPr="2B0917EE">
        <w:rPr>
          <w:rFonts w:ascii="Arial Nova" w:eastAsia="Arial Nova" w:hAnsi="Arial Nova" w:cs="Arial Nova"/>
          <w:color w:val="0D0D0D" w:themeColor="text1" w:themeTint="F2"/>
        </w:rPr>
        <w:t xml:space="preserve"> (Vickery &amp; Dorjee, 2016).</w:t>
      </w:r>
    </w:p>
    <w:p w14:paraId="5B00602C" w14:textId="6101D80A" w:rsidR="0B2DB886" w:rsidRDefault="39D1FA0A" w:rsidP="2B0917EE">
      <w:pPr>
        <w:spacing w:line="360" w:lineRule="auto"/>
        <w:jc w:val="both"/>
        <w:rPr>
          <w:rFonts w:ascii="Arial Nova" w:eastAsia="Arial Nova" w:hAnsi="Arial Nova" w:cs="Arial Nova"/>
        </w:rPr>
      </w:pPr>
      <w:r w:rsidRPr="2B0917EE">
        <w:rPr>
          <w:rFonts w:ascii="Arial Nova" w:eastAsia="Arial Nova" w:hAnsi="Arial Nova" w:cs="Arial Nova"/>
          <w:color w:val="0D0D0D" w:themeColor="text1" w:themeTint="F2"/>
        </w:rPr>
        <w:t xml:space="preserve">Furthermore, </w:t>
      </w:r>
      <w:r w:rsidR="560A191A" w:rsidRPr="2B0917EE">
        <w:rPr>
          <w:rFonts w:ascii="Arial Nova" w:eastAsia="Arial Nova" w:hAnsi="Arial Nova" w:cs="Arial Nova"/>
          <w:color w:val="0D0D0D" w:themeColor="text1" w:themeTint="F2"/>
        </w:rPr>
        <w:t>‘</w:t>
      </w:r>
      <w:r w:rsidR="560A191A" w:rsidRPr="2B0917EE">
        <w:rPr>
          <w:rFonts w:ascii="Arial Nova" w:eastAsia="Arial Nova" w:hAnsi="Arial Nova" w:cs="Arial Nova"/>
        </w:rPr>
        <w:t xml:space="preserve">Mindfulness in primary school children as a route to enhanced life satisfaction, positive outlook and effective emotion regulation’ explores the enhancement mindfulness can have on those who partake, this </w:t>
      </w:r>
      <w:r w:rsidR="32A65616" w:rsidRPr="2B0917EE">
        <w:rPr>
          <w:rFonts w:ascii="Arial Nova" w:eastAsia="Arial Nova" w:hAnsi="Arial Nova" w:cs="Arial Nova"/>
        </w:rPr>
        <w:t xml:space="preserve">assesses </w:t>
      </w:r>
      <w:r w:rsidR="1316B44E" w:rsidRPr="2B0917EE">
        <w:rPr>
          <w:rFonts w:ascii="Arial Nova" w:eastAsia="Arial Nova" w:hAnsi="Arial Nova" w:cs="Arial Nova"/>
        </w:rPr>
        <w:t>how c</w:t>
      </w:r>
      <w:r w:rsidR="560A191A" w:rsidRPr="2B0917EE">
        <w:rPr>
          <w:rFonts w:ascii="Arial Nova" w:eastAsia="Arial Nova" w:hAnsi="Arial Nova" w:cs="Arial Nova"/>
        </w:rPr>
        <w:t xml:space="preserve">hildhood wellbeing serves as a critical determinant for future life outcomes, underscoring the significance of early interventions aimed at fostering emotional resilience and regulation. Within this context, mindfulness meditation emerges as a promising approach linked to enhancing both wellbeing and emotion regulation among children and adolescents. Its integration into school-based programs represents a proactive step toward promoting awareness, self-regulation, and overall mental health among young learners. While existing research highlights the potential benefits of mindfulness training in improving outcomes such as emotion regulation and coping skills in youth, there remains a notable gap in the literature, particularly concerning controlled studies targeting primary-aged children. Thus, this study </w:t>
      </w:r>
      <w:r w:rsidR="714B3B47" w:rsidRPr="2B0917EE">
        <w:rPr>
          <w:rFonts w:ascii="Arial Nova" w:eastAsia="Arial Nova" w:hAnsi="Arial Nova" w:cs="Arial Nova"/>
        </w:rPr>
        <w:t>endeavours</w:t>
      </w:r>
      <w:r w:rsidR="560A191A" w:rsidRPr="2B0917EE">
        <w:rPr>
          <w:rFonts w:ascii="Arial Nova" w:eastAsia="Arial Nova" w:hAnsi="Arial Nova" w:cs="Arial Nova"/>
        </w:rPr>
        <w:t xml:space="preserve"> to address this gap by evaluating the effectiveness of the Living Mindfully Programme, a tailored mindfulness intervention, in enhancing wellbeing and emotion regulation among primary school children aged 9-10. By addressing methodological limitations identified in prior research, such as small sample sizes or lack of rigorous control groups, this study aims to provide robust empirical evidence on the relationship between mindfulness practice, emotion regulation abilities, and overall wellbeing in young learners. Through its comprehensive approach, encompassing both quantitative and qualitative measures, this research seeks to offer valuable insights into </w:t>
      </w:r>
      <w:r w:rsidR="560A191A" w:rsidRPr="2B0917EE">
        <w:rPr>
          <w:rFonts w:ascii="Arial Nova" w:eastAsia="Arial Nova" w:hAnsi="Arial Nova" w:cs="Arial Nova"/>
        </w:rPr>
        <w:lastRenderedPageBreak/>
        <w:t>the potential mechanisms underlying mindfulness-based interventions in the context of childhood development. Ultimately, the findings from this study have the potential to inform future policy and practice in educational settings, advocating for the widespread integration of evidence-based mindfulness programs to support the holistic wellbeing of young learners</w:t>
      </w:r>
      <w:r w:rsidR="6AE4A4E3" w:rsidRPr="2B0917EE">
        <w:rPr>
          <w:rFonts w:ascii="Arial Nova" w:eastAsia="Arial Nova" w:hAnsi="Arial Nova" w:cs="Arial Nova"/>
        </w:rPr>
        <w:t xml:space="preserve"> (Amundsen et al., 2020).</w:t>
      </w:r>
    </w:p>
    <w:p w14:paraId="7A583385" w14:textId="3B6D74C6" w:rsidR="216FF181" w:rsidRDefault="216FF181"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With reference to the emotional regulation aspect to improve the quality of teaching and learning it is vital to reference the work of </w:t>
      </w:r>
      <w:r w:rsidR="4AABC74A" w:rsidRPr="2B0917EE">
        <w:rPr>
          <w:rFonts w:ascii="Arial Nova" w:eastAsia="Arial Nova" w:hAnsi="Arial Nova" w:cs="Arial Nova"/>
        </w:rPr>
        <w:t xml:space="preserve">Roemer, </w:t>
      </w:r>
      <w:proofErr w:type="gramStart"/>
      <w:r w:rsidR="4AABC74A" w:rsidRPr="2B0917EE">
        <w:rPr>
          <w:rFonts w:ascii="Arial Nova" w:eastAsia="Arial Nova" w:hAnsi="Arial Nova" w:cs="Arial Nova"/>
        </w:rPr>
        <w:t>Williston</w:t>
      </w:r>
      <w:proofErr w:type="gramEnd"/>
      <w:r w:rsidR="4AABC74A" w:rsidRPr="2B0917EE">
        <w:rPr>
          <w:rFonts w:ascii="Arial Nova" w:eastAsia="Arial Nova" w:hAnsi="Arial Nova" w:cs="Arial Nova"/>
        </w:rPr>
        <w:t xml:space="preserve"> and Rollins (2015). This study suggests that mindfulness practice is associated with improved emotion regulation (ER), including reduced distress, enhanced emotional recovery, and better goal-directed </w:t>
      </w:r>
      <w:r w:rsidR="60156193" w:rsidRPr="2B0917EE">
        <w:rPr>
          <w:rFonts w:ascii="Arial Nova" w:eastAsia="Arial Nova" w:hAnsi="Arial Nova" w:cs="Arial Nova"/>
        </w:rPr>
        <w:t>behaviours</w:t>
      </w:r>
      <w:r w:rsidR="4AABC74A" w:rsidRPr="2B0917EE">
        <w:rPr>
          <w:rFonts w:ascii="Arial Nova" w:eastAsia="Arial Nova" w:hAnsi="Arial Nova" w:cs="Arial Nova"/>
        </w:rPr>
        <w:t xml:space="preserve">. However, further experimental studies are necessary to establish causality and explore temporal processes, necessitating rigorous control conditions. Research indicates a strong correlation between self-reported mindfulness and ER, with acceptance and clarity playing significant roles. Mindfulness may affect ER differently over time, initially reducing distress and later facilitating emotional experiencing and adaptive ER. Future research directions include investigating mindfulness's impact on emotional recovery, meaningful </w:t>
      </w:r>
      <w:r w:rsidR="2FD2650B" w:rsidRPr="2B0917EE">
        <w:rPr>
          <w:rFonts w:ascii="Arial Nova" w:eastAsia="Arial Nova" w:hAnsi="Arial Nova" w:cs="Arial Nova"/>
        </w:rPr>
        <w:t>behaviours</w:t>
      </w:r>
      <w:r w:rsidR="4AABC74A" w:rsidRPr="2B0917EE">
        <w:rPr>
          <w:rFonts w:ascii="Arial Nova" w:eastAsia="Arial Nova" w:hAnsi="Arial Nova" w:cs="Arial Nova"/>
        </w:rPr>
        <w:t>, and inhibitory learning, particularly in clinical and diverse cultural contexts</w:t>
      </w:r>
      <w:r w:rsidR="248A9E4B" w:rsidRPr="2B0917EE">
        <w:rPr>
          <w:rFonts w:ascii="Arial Nova" w:eastAsia="Arial Nova" w:hAnsi="Arial Nova" w:cs="Arial Nova"/>
        </w:rPr>
        <w:t xml:space="preserve"> (Roemer, </w:t>
      </w:r>
      <w:proofErr w:type="gramStart"/>
      <w:r w:rsidR="248A9E4B" w:rsidRPr="2B0917EE">
        <w:rPr>
          <w:rFonts w:ascii="Arial Nova" w:eastAsia="Arial Nova" w:hAnsi="Arial Nova" w:cs="Arial Nova"/>
        </w:rPr>
        <w:t>Williston</w:t>
      </w:r>
      <w:proofErr w:type="gramEnd"/>
      <w:r w:rsidR="248A9E4B" w:rsidRPr="2B0917EE">
        <w:rPr>
          <w:rFonts w:ascii="Arial Nova" w:eastAsia="Arial Nova" w:hAnsi="Arial Nova" w:cs="Arial Nova"/>
        </w:rPr>
        <w:t xml:space="preserve"> and Rollins, 2015).</w:t>
      </w:r>
      <w:r w:rsidR="0950AC7C" w:rsidRPr="2B0917EE">
        <w:rPr>
          <w:rFonts w:ascii="Arial Nova" w:eastAsia="Arial Nova" w:hAnsi="Arial Nova" w:cs="Arial Nova"/>
        </w:rPr>
        <w:t xml:space="preserve"> This directly co</w:t>
      </w:r>
      <w:r w:rsidR="125F3F63" w:rsidRPr="2B0917EE">
        <w:rPr>
          <w:rFonts w:ascii="Arial Nova" w:eastAsia="Arial Nova" w:hAnsi="Arial Nova" w:cs="Arial Nova"/>
        </w:rPr>
        <w:t xml:space="preserve">rrelates with one of the key reasons as to why this </w:t>
      </w:r>
      <w:r w:rsidR="38722F48" w:rsidRPr="2B0917EE">
        <w:rPr>
          <w:rFonts w:ascii="Arial Nova" w:eastAsia="Arial Nova" w:hAnsi="Arial Nova" w:cs="Arial Nova"/>
        </w:rPr>
        <w:t>case</w:t>
      </w:r>
      <w:r w:rsidR="125F3F63" w:rsidRPr="2B0917EE">
        <w:rPr>
          <w:rFonts w:ascii="Arial Nova" w:eastAsia="Arial Nova" w:hAnsi="Arial Nova" w:cs="Arial Nova"/>
        </w:rPr>
        <w:t xml:space="preserve"> study was chosen and suggests that mindfulness can positively impact emotional regulation</w:t>
      </w:r>
      <w:r w:rsidR="323FF934" w:rsidRPr="2B0917EE">
        <w:rPr>
          <w:rFonts w:ascii="Arial Nova" w:eastAsia="Arial Nova" w:hAnsi="Arial Nova" w:cs="Arial Nova"/>
        </w:rPr>
        <w:t xml:space="preserve"> and in turn, improve engagement and wellbeing in teaching and learning.</w:t>
      </w:r>
    </w:p>
    <w:p w14:paraId="55422F7D" w14:textId="3757B562" w:rsidR="323FF934" w:rsidRDefault="323FF934"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Overall, these studies suggest that not only does mindfulness have a </w:t>
      </w:r>
      <w:r w:rsidR="7D7DAADD" w:rsidRPr="2B0917EE">
        <w:rPr>
          <w:rFonts w:ascii="Arial Nova" w:eastAsia="Arial Nova" w:hAnsi="Arial Nova" w:cs="Arial Nova"/>
        </w:rPr>
        <w:t>positive</w:t>
      </w:r>
      <w:r w:rsidRPr="2B0917EE">
        <w:rPr>
          <w:rFonts w:ascii="Arial Nova" w:eastAsia="Arial Nova" w:hAnsi="Arial Nova" w:cs="Arial Nova"/>
        </w:rPr>
        <w:t xml:space="preserve"> impact on the children’s engagement, but wellbeing and emotional regulation as well, these studies offer a vital insight to </w:t>
      </w:r>
      <w:r w:rsidR="11E23D9F" w:rsidRPr="2B0917EE">
        <w:rPr>
          <w:rFonts w:ascii="Arial Nova" w:eastAsia="Arial Nova" w:hAnsi="Arial Nova" w:cs="Arial Nova"/>
        </w:rPr>
        <w:t xml:space="preserve">the </w:t>
      </w:r>
      <w:r w:rsidR="62419819" w:rsidRPr="2B0917EE">
        <w:rPr>
          <w:rFonts w:ascii="Arial Nova" w:eastAsia="Arial Nova" w:hAnsi="Arial Nova" w:cs="Arial Nova"/>
        </w:rPr>
        <w:t>possible</w:t>
      </w:r>
      <w:r w:rsidR="11E23D9F" w:rsidRPr="2B0917EE">
        <w:rPr>
          <w:rFonts w:ascii="Arial Nova" w:eastAsia="Arial Nova" w:hAnsi="Arial Nova" w:cs="Arial Nova"/>
        </w:rPr>
        <w:t xml:space="preserve"> outcomes of the case study </w:t>
      </w:r>
      <w:r w:rsidR="067066BB" w:rsidRPr="2B0917EE">
        <w:rPr>
          <w:rFonts w:ascii="Arial Nova" w:eastAsia="Arial Nova" w:hAnsi="Arial Nova" w:cs="Arial Nova"/>
        </w:rPr>
        <w:t>and offer a foundation as to why this area was chosen due to the underlying issues that children may have and possible coping mechanisms or solutions.</w:t>
      </w:r>
    </w:p>
    <w:p w14:paraId="46D03D0C" w14:textId="132EA166" w:rsidR="6D78962D" w:rsidRDefault="6D78962D" w:rsidP="64B43011">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 xml:space="preserve">Research </w:t>
      </w:r>
      <w:r w:rsidR="77E048A7" w:rsidRPr="2B0917EE">
        <w:rPr>
          <w:rFonts w:ascii="Arial Nova" w:eastAsia="Arial Nova" w:hAnsi="Arial Nova" w:cs="Arial Nova"/>
          <w:b/>
          <w:bCs/>
          <w:sz w:val="28"/>
          <w:szCs w:val="28"/>
          <w:u w:val="single"/>
        </w:rPr>
        <w:t>M</w:t>
      </w:r>
      <w:r w:rsidRPr="2B0917EE">
        <w:rPr>
          <w:rFonts w:ascii="Arial Nova" w:eastAsia="Arial Nova" w:hAnsi="Arial Nova" w:cs="Arial Nova"/>
          <w:b/>
          <w:bCs/>
          <w:sz w:val="28"/>
          <w:szCs w:val="28"/>
          <w:u w:val="single"/>
        </w:rPr>
        <w:t>ethods</w:t>
      </w:r>
    </w:p>
    <w:p w14:paraId="63A35AAB" w14:textId="364C09A9" w:rsidR="0B2DB886" w:rsidRDefault="66F5556F" w:rsidP="64B43011">
      <w:pPr>
        <w:spacing w:line="360" w:lineRule="auto"/>
        <w:jc w:val="both"/>
        <w:rPr>
          <w:rFonts w:ascii="Arial Nova" w:eastAsia="Arial Nova" w:hAnsi="Arial Nova" w:cs="Arial Nova"/>
        </w:rPr>
      </w:pPr>
      <w:r w:rsidRPr="2B0917EE">
        <w:rPr>
          <w:rFonts w:ascii="Arial Nova" w:eastAsia="Arial Nova" w:hAnsi="Arial Nova" w:cs="Arial Nova"/>
        </w:rPr>
        <w:t>Firstly, t</w:t>
      </w:r>
      <w:r w:rsidR="75AB073A" w:rsidRPr="2B0917EE">
        <w:rPr>
          <w:rFonts w:ascii="Arial Nova" w:eastAsia="Arial Nova" w:hAnsi="Arial Nova" w:cs="Arial Nova"/>
        </w:rPr>
        <w:t xml:space="preserve">he Leuven Scales, which comprise the Leuven Involvement Scale and the Leuven Well-Being Scale, are comprehensive instruments utilized in educational settings to </w:t>
      </w:r>
      <w:r w:rsidR="75AB073A" w:rsidRPr="2B0917EE">
        <w:rPr>
          <w:rFonts w:ascii="Arial Nova" w:eastAsia="Arial Nova" w:hAnsi="Arial Nova" w:cs="Arial Nova"/>
        </w:rPr>
        <w:lastRenderedPageBreak/>
        <w:t xml:space="preserve">assess students' social-emotional aspects. With the purpose of gauging students' level of involvement and active participation in class activities, the Involvement Scale offers insights into how they engage with learning assignments. The Well-being Scale, on the other hand, evaluates students' emotional well-being by considering elements like contentment, self-assurance, and healthy peer interactions. By using scoring systems to quantify observable </w:t>
      </w:r>
      <w:r w:rsidR="4041094C" w:rsidRPr="2B0917EE">
        <w:rPr>
          <w:rFonts w:ascii="Arial Nova" w:eastAsia="Arial Nova" w:hAnsi="Arial Nova" w:cs="Arial Nova"/>
        </w:rPr>
        <w:t>behaviours</w:t>
      </w:r>
      <w:r w:rsidR="75AB073A" w:rsidRPr="2B0917EE">
        <w:rPr>
          <w:rFonts w:ascii="Arial Nova" w:eastAsia="Arial Nova" w:hAnsi="Arial Nova" w:cs="Arial Nova"/>
        </w:rPr>
        <w:t xml:space="preserve"> and emotional indications, both scales give instructors a comprehensive insight of the experiences of their pupils</w:t>
      </w:r>
      <w:r w:rsidR="7739F93A" w:rsidRPr="2B0917EE">
        <w:rPr>
          <w:rFonts w:ascii="Arial Nova" w:eastAsia="Arial Nova" w:hAnsi="Arial Nova" w:cs="Arial Nova"/>
        </w:rPr>
        <w:t xml:space="preserve"> (Barber, 2013)</w:t>
      </w:r>
      <w:r w:rsidR="75AB073A" w:rsidRPr="2B0917EE">
        <w:rPr>
          <w:rFonts w:ascii="Arial Nova" w:eastAsia="Arial Nova" w:hAnsi="Arial Nova" w:cs="Arial Nova"/>
        </w:rPr>
        <w:t xml:space="preserve">. The Leuven Scales rigorously evaluate involvement and well-being to help create inclusive and supportive learning settings that encourage students' social-emotional development in addition to their academic performance (Main, 2021). </w:t>
      </w:r>
      <w:r w:rsidR="4493727F" w:rsidRPr="2B0917EE">
        <w:rPr>
          <w:rFonts w:ascii="Arial Nova" w:eastAsia="Arial Nova" w:hAnsi="Arial Nova" w:cs="Arial Nova"/>
        </w:rPr>
        <w:t xml:space="preserve">Furthermore, The International Journal of Qualitative Studies in Education provides a focused exploration of the concept of involvement in the context of children's experiences in early years pedagogy. It delves into involvement as a key indicator of a high-quality learning environment, moving beyond conventional and progressive child development theories. The journal critically examines the Leuven Scale, developed by Ferre Laevers, a widely utilized tool for measuring involvement. Additionally, it delves into the genealogical influences and philosophical foundations of the scale, incorporating a </w:t>
      </w:r>
      <w:proofErr w:type="spellStart"/>
      <w:r w:rsidR="4493727F" w:rsidRPr="2B0917EE">
        <w:rPr>
          <w:rFonts w:ascii="Arial Nova" w:eastAsia="Arial Nova" w:hAnsi="Arial Nova" w:cs="Arial Nova"/>
        </w:rPr>
        <w:t>Deleuzian</w:t>
      </w:r>
      <w:proofErr w:type="spellEnd"/>
      <w:r w:rsidR="4493727F" w:rsidRPr="2B0917EE">
        <w:rPr>
          <w:rFonts w:ascii="Arial Nova" w:eastAsia="Arial Nova" w:hAnsi="Arial Nova" w:cs="Arial Nova"/>
        </w:rPr>
        <w:t xml:space="preserve"> perspective</w:t>
      </w:r>
      <w:r w:rsidR="568C6BD3" w:rsidRPr="2B0917EE">
        <w:rPr>
          <w:rFonts w:ascii="Arial Nova" w:eastAsia="Arial Nova" w:hAnsi="Arial Nova" w:cs="Arial Nova"/>
        </w:rPr>
        <w:t xml:space="preserve"> (</w:t>
      </w:r>
      <w:proofErr w:type="spellStart"/>
      <w:r w:rsidR="568C6BD3" w:rsidRPr="2B0917EE">
        <w:rPr>
          <w:rFonts w:ascii="Arial Nova" w:eastAsia="Arial Nova" w:hAnsi="Arial Nova" w:cs="Arial Nova"/>
        </w:rPr>
        <w:t>MacRae</w:t>
      </w:r>
      <w:proofErr w:type="spellEnd"/>
      <w:r w:rsidR="568C6BD3" w:rsidRPr="2B0917EE">
        <w:rPr>
          <w:rFonts w:ascii="Arial Nova" w:eastAsia="Arial Nova" w:hAnsi="Arial Nova" w:cs="Arial Nova"/>
        </w:rPr>
        <w:t xml:space="preserve"> &amp; Jones, 2020)</w:t>
      </w:r>
      <w:r w:rsidR="4493727F" w:rsidRPr="2B0917EE">
        <w:rPr>
          <w:rFonts w:ascii="Arial Nova" w:eastAsia="Arial Nova" w:hAnsi="Arial Nova" w:cs="Arial Nova"/>
        </w:rPr>
        <w:t>. The journal engages in thoughtful speculation regarding the potential consequences of integrating philosophy into early years education. This interdisciplinary approach contributes to a nuanced understanding of involvement and its implications for creating enriching and philosophically informed early education environments</w:t>
      </w:r>
      <w:r w:rsidR="29A1B41E" w:rsidRPr="2B0917EE">
        <w:rPr>
          <w:rFonts w:ascii="Arial Nova" w:eastAsia="Arial Nova" w:hAnsi="Arial Nova" w:cs="Arial Nova"/>
        </w:rPr>
        <w:t xml:space="preserve"> (</w:t>
      </w:r>
      <w:proofErr w:type="spellStart"/>
      <w:r w:rsidR="29A1B41E" w:rsidRPr="2B0917EE">
        <w:rPr>
          <w:rFonts w:ascii="Arial Nova" w:eastAsia="Arial Nova" w:hAnsi="Arial Nova" w:cs="Arial Nova"/>
        </w:rPr>
        <w:t>MacRae</w:t>
      </w:r>
      <w:proofErr w:type="spellEnd"/>
      <w:r w:rsidR="29A1B41E" w:rsidRPr="2B0917EE">
        <w:rPr>
          <w:rFonts w:ascii="Arial Nova" w:eastAsia="Arial Nova" w:hAnsi="Arial Nova" w:cs="Arial Nova"/>
        </w:rPr>
        <w:t xml:space="preserve"> and Jones, 2020). </w:t>
      </w:r>
      <w:r w:rsidR="75AB073A" w:rsidRPr="2B0917EE">
        <w:rPr>
          <w:rFonts w:ascii="Arial Nova" w:eastAsia="Arial Nova" w:hAnsi="Arial Nova" w:cs="Arial Nova"/>
        </w:rPr>
        <w:t xml:space="preserve">However, </w:t>
      </w:r>
      <w:r w:rsidR="550344AD" w:rsidRPr="2B0917EE">
        <w:rPr>
          <w:rFonts w:ascii="Arial Nova" w:eastAsia="Arial Nova" w:hAnsi="Arial Nova" w:cs="Arial Nova"/>
        </w:rPr>
        <w:t xml:space="preserve">In the context of education, involvement pertains to the degree of focus, engagement, and interest exhibited by students in various activities. Several factors, such as exceptional circumstances or a child's initial experience in a new environment, can influence their level of involvement. Granting children autonomy is a key factor in enhancing their involvement, as it enables them to pursue their interests and participate in decision-making processes. The involvement scale encompasses the notion of frequently interrupted activity, acknowledging instances where a child may be engaged in an activity for a certain period but may also experience moments of non-activity or </w:t>
      </w:r>
      <w:r w:rsidR="550344AD" w:rsidRPr="2B0917EE">
        <w:rPr>
          <w:rFonts w:ascii="Arial Nova" w:eastAsia="Arial Nova" w:hAnsi="Arial Nova" w:cs="Arial Nova"/>
        </w:rPr>
        <w:lastRenderedPageBreak/>
        <w:t>distraction. Understanding and promoting factors that enhance involvement are crucial for creating an enriching and effective learning environment</w:t>
      </w:r>
      <w:r w:rsidR="693BFCDD" w:rsidRPr="2B0917EE">
        <w:rPr>
          <w:rFonts w:ascii="Arial Nova" w:eastAsia="Arial Nova" w:hAnsi="Arial Nova" w:cs="Arial Nova"/>
        </w:rPr>
        <w:t>.</w:t>
      </w:r>
    </w:p>
    <w:p w14:paraId="43DABA81" w14:textId="31A45425" w:rsidR="0B4D71F1" w:rsidRDefault="6ECE6B9F" w:rsidP="2B0917EE">
      <w:pPr>
        <w:spacing w:line="360" w:lineRule="auto"/>
        <w:jc w:val="both"/>
        <w:rPr>
          <w:rFonts w:ascii="Arial Nova" w:eastAsia="Arial Nova" w:hAnsi="Arial Nova" w:cs="Arial Nova"/>
        </w:rPr>
      </w:pPr>
      <w:r w:rsidRPr="2B0917EE">
        <w:rPr>
          <w:rFonts w:ascii="Arial Nova" w:eastAsia="Arial Nova" w:hAnsi="Arial Nova" w:cs="Arial Nova"/>
        </w:rPr>
        <w:t>However, it is critical to mention that there are downsides to the Leuven scale, many of which are mentioned throughout the document in Appendix 1</w:t>
      </w:r>
      <w:r w:rsidR="4E20DE38" w:rsidRPr="2B0917EE">
        <w:rPr>
          <w:rFonts w:ascii="Arial Nova" w:eastAsia="Arial Nova" w:hAnsi="Arial Nova" w:cs="Arial Nova"/>
        </w:rPr>
        <w:t>, furthermore, it is worth noting that the Leuven scale is solely based on the perception of the person conducting the research and assessing the subject</w:t>
      </w:r>
      <w:r w:rsidR="0CC5C36A" w:rsidRPr="2B0917EE">
        <w:rPr>
          <w:rFonts w:ascii="Arial Nova" w:eastAsia="Arial Nova" w:hAnsi="Arial Nova" w:cs="Arial Nova"/>
        </w:rPr>
        <w:t xml:space="preserve">, thus allowing for error in perception due to misjudgement of the </w:t>
      </w:r>
      <w:r w:rsidR="44251B5F" w:rsidRPr="2B0917EE">
        <w:rPr>
          <w:rFonts w:ascii="Arial Nova" w:eastAsia="Arial Nova" w:hAnsi="Arial Nova" w:cs="Arial Nova"/>
        </w:rPr>
        <w:t xml:space="preserve">subject regarding their involvement or well-being. Notably, </w:t>
      </w:r>
      <w:r w:rsidR="7C636A2C" w:rsidRPr="2B0917EE">
        <w:rPr>
          <w:rFonts w:ascii="Arial Nova" w:eastAsia="Arial Nova" w:hAnsi="Arial Nova" w:cs="Arial Nova"/>
        </w:rPr>
        <w:t xml:space="preserve">the use of the Leuven scale can also lead to changes in behaviour of the subject whilst under the impression that they are being </w:t>
      </w:r>
      <w:r w:rsidR="3B084F5E" w:rsidRPr="2B0917EE">
        <w:rPr>
          <w:rFonts w:ascii="Arial Nova" w:eastAsia="Arial Nova" w:hAnsi="Arial Nova" w:cs="Arial Nova"/>
        </w:rPr>
        <w:t>observed, and of course, if the subject is not notified of the observation this could cause ethical issues to arise.</w:t>
      </w:r>
    </w:p>
    <w:p w14:paraId="7C5F68F4" w14:textId="429361F9" w:rsidR="0B4D71F1" w:rsidRDefault="7DD5B13C"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To draw broad conclusions about a population, researchers utilize basic random sampling. Its simplicity and impartiality are two of its main merits. The fact that prejudice can still exist in some situations, time constraints, expenses, and the challenge of obtaining a list of a bigger population are some of the drawbacks (Horton, 2020). However, </w:t>
      </w:r>
      <w:r w:rsidR="42E55F19" w:rsidRPr="2B0917EE">
        <w:rPr>
          <w:rFonts w:ascii="Arial Nova" w:eastAsia="Arial Nova" w:hAnsi="Arial Nova" w:cs="Arial Nova"/>
        </w:rPr>
        <w:t xml:space="preserve">careful consideration took place surrounding the sampling methods for the case study at hand and it was determined that the sampling method taking place would be random sampling. Nevertheless, the intention was to use random sampling, </w:t>
      </w:r>
      <w:r w:rsidR="6350AE0F" w:rsidRPr="2B0917EE">
        <w:rPr>
          <w:rFonts w:ascii="Arial Nova" w:eastAsia="Arial Nova" w:hAnsi="Arial Nova" w:cs="Arial Nova"/>
        </w:rPr>
        <w:t xml:space="preserve">but on the other hand, due to issues with the return of consent forms and having to adhere to the ethical considerations of attaining assent and consent to participate; only a select fraction of the class </w:t>
      </w:r>
      <w:proofErr w:type="gramStart"/>
      <w:r w:rsidR="6350AE0F" w:rsidRPr="2B0917EE">
        <w:rPr>
          <w:rFonts w:ascii="Arial Nova" w:eastAsia="Arial Nova" w:hAnsi="Arial Nova" w:cs="Arial Nova"/>
        </w:rPr>
        <w:t>were</w:t>
      </w:r>
      <w:proofErr w:type="gramEnd"/>
      <w:r w:rsidR="0BB96006" w:rsidRPr="2B0917EE">
        <w:rPr>
          <w:rFonts w:ascii="Arial Nova" w:eastAsia="Arial Nova" w:hAnsi="Arial Nova" w:cs="Arial Nova"/>
        </w:rPr>
        <w:t xml:space="preserve"> consented to taking part in the case study. The fact that the fraction that responded to the consent forms </w:t>
      </w:r>
      <w:r w:rsidR="4C936C87" w:rsidRPr="2B0917EE">
        <w:rPr>
          <w:rFonts w:ascii="Arial Nova" w:eastAsia="Arial Nova" w:hAnsi="Arial Nova" w:cs="Arial Nova"/>
        </w:rPr>
        <w:t>with approval was unpredictable that is a form of random sampling due to the nature of the unpredictability and</w:t>
      </w:r>
      <w:r w:rsidR="0D33EDE8" w:rsidRPr="2B0917EE">
        <w:rPr>
          <w:rFonts w:ascii="Arial Nova" w:eastAsia="Arial Nova" w:hAnsi="Arial Nova" w:cs="Arial Nova"/>
        </w:rPr>
        <w:t xml:space="preserve"> randomization of responses, and therefore the samples were randomised</w:t>
      </w:r>
      <w:r w:rsidR="5133CA04" w:rsidRPr="2B0917EE">
        <w:rPr>
          <w:rFonts w:ascii="Arial Nova" w:eastAsia="Arial Nova" w:hAnsi="Arial Nova" w:cs="Arial Nova"/>
        </w:rPr>
        <w:t xml:space="preserve"> prematurely, and the sample of results </w:t>
      </w:r>
      <w:r w:rsidR="02FDCB39" w:rsidRPr="2B0917EE">
        <w:rPr>
          <w:rFonts w:ascii="Arial Nova" w:eastAsia="Arial Nova" w:hAnsi="Arial Nova" w:cs="Arial Nova"/>
        </w:rPr>
        <w:t>was taken from the only participants with consent, due to ethical considerations.</w:t>
      </w:r>
    </w:p>
    <w:p w14:paraId="0AAC4D20" w14:textId="20BABC57" w:rsidR="0B4D71F1" w:rsidRDefault="763BB023"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The Mosaic approach prioritizes young children's voices, viewing them as capable sense-makers and explorers of their surroundings. It employs diverse methods like tours, map-making, and interviews to engage children in discussions about their lives. This approach fosters multi-level listening, encouraging children to reflect on their thoughts, interact with </w:t>
      </w:r>
      <w:r w:rsidRPr="2B0917EE">
        <w:rPr>
          <w:rFonts w:ascii="Arial Nova" w:eastAsia="Arial Nova" w:hAnsi="Arial Nova" w:cs="Arial Nova"/>
        </w:rPr>
        <w:lastRenderedPageBreak/>
        <w:t>peers and adults, and make their experiences visible through documentation. By bridging children's perspectives with adult perceptions, it aims to enhance communication and understanding between generations (</w:t>
      </w:r>
      <w:r w:rsidR="41A0EE87" w:rsidRPr="2B0917EE">
        <w:rPr>
          <w:rFonts w:ascii="Arial Nova" w:eastAsia="Arial Nova" w:hAnsi="Arial Nova" w:cs="Arial Nova"/>
        </w:rPr>
        <w:t>Clark, 2005). This approach allows the children’s voice to be heard and is an essential approach when exploring the perceptions of children</w:t>
      </w:r>
      <w:r w:rsidR="33A2F22A" w:rsidRPr="2B0917EE">
        <w:rPr>
          <w:rFonts w:ascii="Arial Nova" w:eastAsia="Arial Nova" w:hAnsi="Arial Nova" w:cs="Arial Nova"/>
        </w:rPr>
        <w:t xml:space="preserve">; offering a solid foundation to the research </w:t>
      </w:r>
      <w:r w:rsidR="7247D75B" w:rsidRPr="2B0917EE">
        <w:rPr>
          <w:rFonts w:ascii="Arial Nova" w:eastAsia="Arial Nova" w:hAnsi="Arial Nova" w:cs="Arial Nova"/>
        </w:rPr>
        <w:t>methodology</w:t>
      </w:r>
      <w:r w:rsidR="33A2F22A" w:rsidRPr="2B0917EE">
        <w:rPr>
          <w:rFonts w:ascii="Arial Nova" w:eastAsia="Arial Nova" w:hAnsi="Arial Nova" w:cs="Arial Nova"/>
        </w:rPr>
        <w:t xml:space="preserve"> in the title: </w:t>
      </w:r>
      <w:r w:rsidR="480AA613" w:rsidRPr="2B0917EE">
        <w:rPr>
          <w:rFonts w:ascii="Arial Nova" w:eastAsia="Arial Nova" w:hAnsi="Arial Nova" w:cs="Arial Nova"/>
        </w:rPr>
        <w:t xml:space="preserve">What are the </w:t>
      </w:r>
      <w:r w:rsidR="4583316F" w:rsidRPr="2B0917EE">
        <w:rPr>
          <w:rFonts w:ascii="Arial Nova" w:eastAsia="Arial Nova" w:hAnsi="Arial Nova" w:cs="Arial Nova"/>
        </w:rPr>
        <w:t>p</w:t>
      </w:r>
      <w:r w:rsidR="480AA613" w:rsidRPr="2B0917EE">
        <w:rPr>
          <w:rFonts w:ascii="Arial Nova" w:eastAsia="Arial Nova" w:hAnsi="Arial Nova" w:cs="Arial Nova"/>
        </w:rPr>
        <w:t xml:space="preserve">erceptions of </w:t>
      </w:r>
      <w:r w:rsidR="48C533D3" w:rsidRPr="2B0917EE">
        <w:rPr>
          <w:rFonts w:ascii="Arial Nova" w:eastAsia="Arial Nova" w:hAnsi="Arial Nova" w:cs="Arial Nova"/>
        </w:rPr>
        <w:t>y</w:t>
      </w:r>
      <w:r w:rsidR="480AA613" w:rsidRPr="2B0917EE">
        <w:rPr>
          <w:rFonts w:ascii="Arial Nova" w:eastAsia="Arial Nova" w:hAnsi="Arial Nova" w:cs="Arial Nova"/>
        </w:rPr>
        <w:t xml:space="preserve">ear 1 </w:t>
      </w:r>
      <w:r w:rsidR="0372025E" w:rsidRPr="2B0917EE">
        <w:rPr>
          <w:rFonts w:ascii="Arial Nova" w:eastAsia="Arial Nova" w:hAnsi="Arial Nova" w:cs="Arial Nova"/>
        </w:rPr>
        <w:t>p</w:t>
      </w:r>
      <w:r w:rsidR="480AA613" w:rsidRPr="2B0917EE">
        <w:rPr>
          <w:rFonts w:ascii="Arial Nova" w:eastAsia="Arial Nova" w:hAnsi="Arial Nova" w:cs="Arial Nova"/>
        </w:rPr>
        <w:t xml:space="preserve">upils in South Wales </w:t>
      </w:r>
      <w:r w:rsidR="399B8F01" w:rsidRPr="2B0917EE">
        <w:rPr>
          <w:rFonts w:ascii="Arial Nova" w:eastAsia="Arial Nova" w:hAnsi="Arial Nova" w:cs="Arial Nova"/>
        </w:rPr>
        <w:t>s</w:t>
      </w:r>
      <w:r w:rsidR="480AA613" w:rsidRPr="2B0917EE">
        <w:rPr>
          <w:rFonts w:ascii="Arial Nova" w:eastAsia="Arial Nova" w:hAnsi="Arial Nova" w:cs="Arial Nova"/>
        </w:rPr>
        <w:t xml:space="preserve">urrounding </w:t>
      </w:r>
      <w:r w:rsidR="0B944DF0" w:rsidRPr="2B0917EE">
        <w:rPr>
          <w:rFonts w:ascii="Arial Nova" w:eastAsia="Arial Nova" w:hAnsi="Arial Nova" w:cs="Arial Nova"/>
        </w:rPr>
        <w:t>d</w:t>
      </w:r>
      <w:r w:rsidR="480AA613" w:rsidRPr="2B0917EE">
        <w:rPr>
          <w:rFonts w:ascii="Arial Nova" w:eastAsia="Arial Nova" w:hAnsi="Arial Nova" w:cs="Arial Nova"/>
        </w:rPr>
        <w:t xml:space="preserve">aily </w:t>
      </w:r>
      <w:r w:rsidR="390B238D" w:rsidRPr="2B0917EE">
        <w:rPr>
          <w:rFonts w:ascii="Arial Nova" w:eastAsia="Arial Nova" w:hAnsi="Arial Nova" w:cs="Arial Nova"/>
        </w:rPr>
        <w:t>m</w:t>
      </w:r>
      <w:r w:rsidR="480AA613" w:rsidRPr="2B0917EE">
        <w:rPr>
          <w:rFonts w:ascii="Arial Nova" w:eastAsia="Arial Nova" w:hAnsi="Arial Nova" w:cs="Arial Nova"/>
        </w:rPr>
        <w:t xml:space="preserve">indfulness </w:t>
      </w:r>
      <w:r w:rsidR="6E0504B1" w:rsidRPr="2B0917EE">
        <w:rPr>
          <w:rFonts w:ascii="Arial Nova" w:eastAsia="Arial Nova" w:hAnsi="Arial Nova" w:cs="Arial Nova"/>
        </w:rPr>
        <w:t>s</w:t>
      </w:r>
      <w:r w:rsidR="480AA613" w:rsidRPr="2B0917EE">
        <w:rPr>
          <w:rFonts w:ascii="Arial Nova" w:eastAsia="Arial Nova" w:hAnsi="Arial Nova" w:cs="Arial Nova"/>
        </w:rPr>
        <w:t xml:space="preserve">essions in the </w:t>
      </w:r>
      <w:r w:rsidR="07144373" w:rsidRPr="2B0917EE">
        <w:rPr>
          <w:rFonts w:ascii="Arial Nova" w:eastAsia="Arial Nova" w:hAnsi="Arial Nova" w:cs="Arial Nova"/>
        </w:rPr>
        <w:t>c</w:t>
      </w:r>
      <w:r w:rsidR="480AA613" w:rsidRPr="2B0917EE">
        <w:rPr>
          <w:rFonts w:ascii="Arial Nova" w:eastAsia="Arial Nova" w:hAnsi="Arial Nova" w:cs="Arial Nova"/>
        </w:rPr>
        <w:t xml:space="preserve">lassroom </w:t>
      </w:r>
      <w:r w:rsidR="25CF43DB" w:rsidRPr="2B0917EE">
        <w:rPr>
          <w:rFonts w:ascii="Arial Nova" w:eastAsia="Arial Nova" w:hAnsi="Arial Nova" w:cs="Arial Nova"/>
        </w:rPr>
        <w:t>p</w:t>
      </w:r>
      <w:r w:rsidR="480AA613" w:rsidRPr="2B0917EE">
        <w:rPr>
          <w:rFonts w:ascii="Arial Nova" w:eastAsia="Arial Nova" w:hAnsi="Arial Nova" w:cs="Arial Nova"/>
        </w:rPr>
        <w:t xml:space="preserve">rior to </w:t>
      </w:r>
      <w:r w:rsidR="70FB1EE5" w:rsidRPr="2B0917EE">
        <w:rPr>
          <w:rFonts w:ascii="Arial Nova" w:eastAsia="Arial Nova" w:hAnsi="Arial Nova" w:cs="Arial Nova"/>
        </w:rPr>
        <w:t>t</w:t>
      </w:r>
      <w:r w:rsidR="480AA613" w:rsidRPr="2B0917EE">
        <w:rPr>
          <w:rFonts w:ascii="Arial Nova" w:eastAsia="Arial Nova" w:hAnsi="Arial Nova" w:cs="Arial Nova"/>
        </w:rPr>
        <w:t xml:space="preserve">eaching and </w:t>
      </w:r>
      <w:r w:rsidR="49432B84" w:rsidRPr="2B0917EE">
        <w:rPr>
          <w:rFonts w:ascii="Arial Nova" w:eastAsia="Arial Nova" w:hAnsi="Arial Nova" w:cs="Arial Nova"/>
        </w:rPr>
        <w:t>l</w:t>
      </w:r>
      <w:r w:rsidR="480AA613" w:rsidRPr="2B0917EE">
        <w:rPr>
          <w:rFonts w:ascii="Arial Nova" w:eastAsia="Arial Nova" w:hAnsi="Arial Nova" w:cs="Arial Nova"/>
        </w:rPr>
        <w:t>earning</w:t>
      </w:r>
      <w:r w:rsidR="16219368" w:rsidRPr="2B0917EE">
        <w:rPr>
          <w:rFonts w:ascii="Arial Nova" w:eastAsia="Arial Nova" w:hAnsi="Arial Nova" w:cs="Arial Nova"/>
        </w:rPr>
        <w:t>, this approach occurring in the form of focus groups to address the perceptions and opinions of the students.</w:t>
      </w:r>
      <w:r w:rsidR="2CC15D12" w:rsidRPr="2B0917EE">
        <w:rPr>
          <w:rFonts w:ascii="Arial Nova" w:eastAsia="Arial Nova" w:hAnsi="Arial Nova" w:cs="Arial Nova"/>
        </w:rPr>
        <w:t xml:space="preserve"> The </w:t>
      </w:r>
      <w:r w:rsidR="03015F13" w:rsidRPr="2B0917EE">
        <w:rPr>
          <w:rFonts w:ascii="Arial Nova" w:eastAsia="Arial Nova" w:hAnsi="Arial Nova" w:cs="Arial Nova"/>
        </w:rPr>
        <w:t>mosaic</w:t>
      </w:r>
      <w:r w:rsidR="2CC15D12" w:rsidRPr="2B0917EE">
        <w:rPr>
          <w:rFonts w:ascii="Arial Nova" w:eastAsia="Arial Nova" w:hAnsi="Arial Nova" w:cs="Arial Nova"/>
        </w:rPr>
        <w:t xml:space="preserve"> approach will be incorporated using focus group interventions to discuss the children’s perceptions.</w:t>
      </w:r>
    </w:p>
    <w:p w14:paraId="6645791D" w14:textId="2EC7DC08" w:rsidR="6D78962D" w:rsidRDefault="21695A28"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Overall and amalgamation of Leuven scales, random sampling and the mosaic approach will offer a varied approach to the project. The </w:t>
      </w:r>
      <w:r w:rsidR="6D3308E5" w:rsidRPr="2B0917EE">
        <w:rPr>
          <w:rFonts w:ascii="Arial Nova" w:eastAsia="Arial Nova" w:hAnsi="Arial Nova" w:cs="Arial Nova"/>
        </w:rPr>
        <w:t>approaches</w:t>
      </w:r>
      <w:r w:rsidRPr="2B0917EE">
        <w:rPr>
          <w:rFonts w:ascii="Arial Nova" w:eastAsia="Arial Nova" w:hAnsi="Arial Nova" w:cs="Arial Nova"/>
        </w:rPr>
        <w:t xml:space="preserve"> being varied allows for differing perspectives</w:t>
      </w:r>
      <w:r w:rsidR="7AD9687E" w:rsidRPr="2B0917EE">
        <w:rPr>
          <w:rFonts w:ascii="Arial Nova" w:eastAsia="Arial Nova" w:hAnsi="Arial Nova" w:cs="Arial Nova"/>
        </w:rPr>
        <w:t xml:space="preserve">, the </w:t>
      </w:r>
      <w:r w:rsidR="7D3B3DFF" w:rsidRPr="2B0917EE">
        <w:rPr>
          <w:rFonts w:ascii="Arial Nova" w:eastAsia="Arial Nova" w:hAnsi="Arial Nova" w:cs="Arial Nova"/>
        </w:rPr>
        <w:t>mosaic</w:t>
      </w:r>
      <w:r w:rsidR="7AD9687E" w:rsidRPr="2B0917EE">
        <w:rPr>
          <w:rFonts w:ascii="Arial Nova" w:eastAsia="Arial Nova" w:hAnsi="Arial Nova" w:cs="Arial Nova"/>
        </w:rPr>
        <w:t xml:space="preserve"> approach allowing for the children’s perceptions and opinions to be </w:t>
      </w:r>
      <w:proofErr w:type="gramStart"/>
      <w:r w:rsidR="7AD9687E" w:rsidRPr="2B0917EE">
        <w:rPr>
          <w:rFonts w:ascii="Arial Nova" w:eastAsia="Arial Nova" w:hAnsi="Arial Nova" w:cs="Arial Nova"/>
        </w:rPr>
        <w:t>expressed;</w:t>
      </w:r>
      <w:proofErr w:type="gramEnd"/>
      <w:r w:rsidR="7AD9687E" w:rsidRPr="2B0917EE">
        <w:rPr>
          <w:rFonts w:ascii="Arial Nova" w:eastAsia="Arial Nova" w:hAnsi="Arial Nova" w:cs="Arial Nova"/>
        </w:rPr>
        <w:t xml:space="preserve"> allowing for direct results</w:t>
      </w:r>
      <w:r w:rsidR="0D88F989" w:rsidRPr="2B0917EE">
        <w:rPr>
          <w:rFonts w:ascii="Arial Nova" w:eastAsia="Arial Nova" w:hAnsi="Arial Nova" w:cs="Arial Nova"/>
        </w:rPr>
        <w:t>. Furthermore, the children’s perceptions will be analysed via Leuven scales, this offers</w:t>
      </w:r>
      <w:r w:rsidR="2519BAEF" w:rsidRPr="2B0917EE">
        <w:rPr>
          <w:rFonts w:ascii="Arial Nova" w:eastAsia="Arial Nova" w:hAnsi="Arial Nova" w:cs="Arial Nova"/>
        </w:rPr>
        <w:t xml:space="preserve"> a different perspective, one that will assess the wellbeing and engagement of the children </w:t>
      </w:r>
      <w:r w:rsidR="63BEA020" w:rsidRPr="2B0917EE">
        <w:rPr>
          <w:rFonts w:ascii="Arial Nova" w:eastAsia="Arial Nova" w:hAnsi="Arial Nova" w:cs="Arial Nova"/>
        </w:rPr>
        <w:t>throughout rather than having a direct result from the children, this dual approach will offer more reliable data d</w:t>
      </w:r>
      <w:r w:rsidR="6EABF841" w:rsidRPr="2B0917EE">
        <w:rPr>
          <w:rFonts w:ascii="Arial Nova" w:eastAsia="Arial Nova" w:hAnsi="Arial Nova" w:cs="Arial Nova"/>
        </w:rPr>
        <w:t>ue to the varied approaches. However, the lack of consent only allows for a select group of participants and therefore the results may be limited</w:t>
      </w:r>
      <w:r w:rsidR="5AA1D41F" w:rsidRPr="2B0917EE">
        <w:rPr>
          <w:rFonts w:ascii="Arial Nova" w:eastAsia="Arial Nova" w:hAnsi="Arial Nova" w:cs="Arial Nova"/>
        </w:rPr>
        <w:t>, this must be considered due to the small scale of the investigation.</w:t>
      </w:r>
    </w:p>
    <w:p w14:paraId="50E2E97F" w14:textId="15593617" w:rsidR="6D78962D" w:rsidRDefault="6D78962D" w:rsidP="64B43011">
      <w:pPr>
        <w:spacing w:line="360" w:lineRule="auto"/>
        <w:jc w:val="center"/>
        <w:rPr>
          <w:rFonts w:ascii="Arial Nova" w:eastAsia="Arial Nova" w:hAnsi="Arial Nova" w:cs="Arial Nova"/>
          <w:b/>
          <w:bCs/>
          <w:sz w:val="28"/>
          <w:szCs w:val="28"/>
          <w:u w:val="single"/>
          <w:lang w:val="en-US"/>
        </w:rPr>
      </w:pPr>
      <w:r w:rsidRPr="2B0917EE">
        <w:rPr>
          <w:rFonts w:ascii="Arial Nova" w:eastAsia="Arial Nova" w:hAnsi="Arial Nova" w:cs="Arial Nova"/>
          <w:b/>
          <w:bCs/>
          <w:sz w:val="28"/>
          <w:szCs w:val="28"/>
          <w:u w:val="single"/>
        </w:rPr>
        <w:t>Analysis Methods</w:t>
      </w:r>
    </w:p>
    <w:p w14:paraId="247F6A4E" w14:textId="7FFAF79F" w:rsidR="638B27E0" w:rsidRDefault="638B27E0" w:rsidP="2B0917EE">
      <w:pPr>
        <w:spacing w:line="360" w:lineRule="auto"/>
        <w:jc w:val="both"/>
        <w:rPr>
          <w:rFonts w:ascii="Arial Nova" w:eastAsia="Arial Nova" w:hAnsi="Arial Nova" w:cs="Arial Nova"/>
        </w:rPr>
      </w:pPr>
      <w:r w:rsidRPr="2B0917EE">
        <w:rPr>
          <w:rFonts w:ascii="Arial Nova" w:eastAsia="Arial Nova" w:hAnsi="Arial Nova" w:cs="Arial Nova"/>
        </w:rPr>
        <w:t>A mi</w:t>
      </w:r>
      <w:r w:rsidR="4D2D8967" w:rsidRPr="2B0917EE">
        <w:rPr>
          <w:rFonts w:ascii="Arial Nova" w:eastAsia="Arial Nova" w:hAnsi="Arial Nova" w:cs="Arial Nova"/>
        </w:rPr>
        <w:t>x</w:t>
      </w:r>
      <w:r w:rsidRPr="2B0917EE">
        <w:rPr>
          <w:rFonts w:ascii="Arial Nova" w:eastAsia="Arial Nova" w:hAnsi="Arial Nova" w:cs="Arial Nova"/>
        </w:rPr>
        <w:t>ed method approach w</w:t>
      </w:r>
      <w:r w:rsidR="2F12D863" w:rsidRPr="2B0917EE">
        <w:rPr>
          <w:rFonts w:ascii="Arial Nova" w:eastAsia="Arial Nova" w:hAnsi="Arial Nova" w:cs="Arial Nova"/>
        </w:rPr>
        <w:t>ill be</w:t>
      </w:r>
      <w:r w:rsidRPr="2B0917EE">
        <w:rPr>
          <w:rFonts w:ascii="Arial Nova" w:eastAsia="Arial Nova" w:hAnsi="Arial Nova" w:cs="Arial Nova"/>
        </w:rPr>
        <w:t xml:space="preserve"> used to gain a multifaceted understanding surrounding the case study</w:t>
      </w:r>
      <w:r w:rsidR="28DA861C" w:rsidRPr="2B0917EE">
        <w:rPr>
          <w:rFonts w:ascii="Arial Nova" w:eastAsia="Arial Nova" w:hAnsi="Arial Nova" w:cs="Arial Nova"/>
        </w:rPr>
        <w:t xml:space="preserve"> question of; ‘What are the Perceptions of Year 1 Pupils in South Wales Surrounding Daily Mindfulness Sessions in the Classroom Prior to Teaching and Learning’. The amalgamation of qualitative data and quantitative data allows for</w:t>
      </w:r>
      <w:r w:rsidR="06EFEA3F" w:rsidRPr="2B0917EE">
        <w:rPr>
          <w:rFonts w:ascii="Arial Nova" w:eastAsia="Arial Nova" w:hAnsi="Arial Nova" w:cs="Arial Nova"/>
        </w:rPr>
        <w:t xml:space="preserve"> a broader viewpoint of the essence of the case study</w:t>
      </w:r>
      <w:r w:rsidR="5DEA2C89" w:rsidRPr="2B0917EE">
        <w:rPr>
          <w:rFonts w:ascii="Arial Nova" w:eastAsia="Arial Nova" w:hAnsi="Arial Nova" w:cs="Arial Nova"/>
        </w:rPr>
        <w:t xml:space="preserve"> and its features.</w:t>
      </w:r>
    </w:p>
    <w:p w14:paraId="27D4D881" w14:textId="34838BBA" w:rsidR="5C89CEFE" w:rsidRDefault="5C89CEFE" w:rsidP="2B0917EE">
      <w:pPr>
        <w:spacing w:line="360" w:lineRule="auto"/>
        <w:jc w:val="both"/>
        <w:rPr>
          <w:rFonts w:ascii="Arial Nova" w:eastAsia="Arial Nova" w:hAnsi="Arial Nova" w:cs="Arial Nova"/>
        </w:rPr>
      </w:pPr>
      <w:r w:rsidRPr="2B0917EE">
        <w:rPr>
          <w:rFonts w:ascii="Arial Nova" w:eastAsia="Arial Nova" w:hAnsi="Arial Nova" w:cs="Arial Nova"/>
        </w:rPr>
        <w:t>To outline the benefits of m</w:t>
      </w:r>
      <w:r w:rsidR="60F852C9" w:rsidRPr="2B0917EE">
        <w:rPr>
          <w:rFonts w:ascii="Arial Nova" w:eastAsia="Arial Nova" w:hAnsi="Arial Nova" w:cs="Arial Nova"/>
        </w:rPr>
        <w:t>ixed methods research</w:t>
      </w:r>
      <w:r w:rsidR="3FB20920" w:rsidRPr="2B0917EE">
        <w:rPr>
          <w:rFonts w:ascii="Arial Nova" w:eastAsia="Arial Nova" w:hAnsi="Arial Nova" w:cs="Arial Nova"/>
        </w:rPr>
        <w:t>, it</w:t>
      </w:r>
      <w:r w:rsidR="60F852C9" w:rsidRPr="2B0917EE">
        <w:rPr>
          <w:rFonts w:ascii="Arial Nova" w:eastAsia="Arial Nova" w:hAnsi="Arial Nova" w:cs="Arial Nova"/>
        </w:rPr>
        <w:t xml:space="preserve"> integrates both quantitative and qualitative data collection and analysis techniques, offering a comprehensive understanding of research topics. This approach enables researchers to leverage the </w:t>
      </w:r>
      <w:r w:rsidR="60F852C9" w:rsidRPr="2B0917EE">
        <w:rPr>
          <w:rFonts w:ascii="Arial Nova" w:eastAsia="Arial Nova" w:hAnsi="Arial Nova" w:cs="Arial Nova"/>
        </w:rPr>
        <w:lastRenderedPageBreak/>
        <w:t>strengths of both methodologies, fostering informed discussions and yielding richer insights. By combining numerical data with qualitative narratives, mixed methods research expands the scope of inquiry in educational contexts, providing valuable insights for educational institutions and society</w:t>
      </w:r>
      <w:r w:rsidR="2E45AEFF" w:rsidRPr="2B0917EE">
        <w:rPr>
          <w:rFonts w:ascii="Arial Nova" w:eastAsia="Arial Nova" w:hAnsi="Arial Nova" w:cs="Arial Nova"/>
        </w:rPr>
        <w:t xml:space="preserve"> (Almalki, 2016)</w:t>
      </w:r>
      <w:r w:rsidR="1F1CB3DC" w:rsidRPr="2B0917EE">
        <w:rPr>
          <w:rFonts w:ascii="Arial Nova" w:eastAsia="Arial Nova" w:hAnsi="Arial Nova" w:cs="Arial Nova"/>
        </w:rPr>
        <w:t>, therefore implying that this form of data analysis offers a broader yield of data and a nuanced perspective</w:t>
      </w:r>
      <w:r w:rsidR="2E45AEFF" w:rsidRPr="2B0917EE">
        <w:rPr>
          <w:rFonts w:ascii="Arial Nova" w:eastAsia="Arial Nova" w:hAnsi="Arial Nova" w:cs="Arial Nova"/>
        </w:rPr>
        <w:t>.</w:t>
      </w:r>
    </w:p>
    <w:p w14:paraId="3DC09C19" w14:textId="06C8D686" w:rsidR="5D495BB3" w:rsidRDefault="5D495BB3"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However, </w:t>
      </w:r>
      <w:r w:rsidR="33139A33" w:rsidRPr="2B0917EE">
        <w:rPr>
          <w:rFonts w:ascii="Arial Nova" w:eastAsia="Arial Nova" w:hAnsi="Arial Nova" w:cs="Arial Nova"/>
        </w:rPr>
        <w:t xml:space="preserve">some of the challenges of this may be that </w:t>
      </w:r>
      <w:r w:rsidRPr="2B0917EE">
        <w:rPr>
          <w:rFonts w:ascii="Arial Nova" w:eastAsia="Arial Nova" w:hAnsi="Arial Nova" w:cs="Arial Nova"/>
        </w:rPr>
        <w:t>p</w:t>
      </w:r>
      <w:r w:rsidR="2E45AEFF" w:rsidRPr="2B0917EE">
        <w:rPr>
          <w:rFonts w:ascii="Arial Nova" w:eastAsia="Arial Nova" w:hAnsi="Arial Nova" w:cs="Arial Nova"/>
        </w:rPr>
        <w:t xml:space="preserve">roficiency in both quantitative and qualitative methodologies is essential for researchers conducting mixed methods research, as it demands expertise in handling diverse data types. Additionally, selecting the appropriate mixed method research design presents a challenge, as researchers must decide whether to give equal weight to quantitative and qualitative data or </w:t>
      </w:r>
      <w:r w:rsidR="44DBA469" w:rsidRPr="2B0917EE">
        <w:rPr>
          <w:rFonts w:ascii="Arial Nova" w:eastAsia="Arial Nova" w:hAnsi="Arial Nova" w:cs="Arial Nova"/>
        </w:rPr>
        <w:t>favour</w:t>
      </w:r>
      <w:r w:rsidR="2E45AEFF" w:rsidRPr="2B0917EE">
        <w:rPr>
          <w:rFonts w:ascii="Arial Nova" w:eastAsia="Arial Nova" w:hAnsi="Arial Nova" w:cs="Arial Nova"/>
        </w:rPr>
        <w:t xml:space="preserve"> one approach over the other based on the study's objectives</w:t>
      </w:r>
      <w:r w:rsidR="394C04B5" w:rsidRPr="2B0917EE">
        <w:rPr>
          <w:rFonts w:ascii="Arial Nova" w:eastAsia="Arial Nova" w:hAnsi="Arial Nova" w:cs="Arial Nova"/>
        </w:rPr>
        <w:t xml:space="preserve"> </w:t>
      </w:r>
      <w:r w:rsidR="2E45AEFF" w:rsidRPr="2B0917EE">
        <w:rPr>
          <w:rFonts w:ascii="Arial Nova" w:eastAsia="Arial Nova" w:hAnsi="Arial Nova" w:cs="Arial Nova"/>
        </w:rPr>
        <w:t>(Almalki, 2016).</w:t>
      </w:r>
      <w:r w:rsidR="7B2A9619" w:rsidRPr="2B0917EE">
        <w:rPr>
          <w:rFonts w:ascii="Arial Nova" w:eastAsia="Arial Nova" w:hAnsi="Arial Nova" w:cs="Arial Nova"/>
        </w:rPr>
        <w:t xml:space="preserve"> Whilst still considering these implications, the decision was made to continue with the mixed method approach to gain a broader perspective surrounding the data and the </w:t>
      </w:r>
      <w:r w:rsidR="5DA7CB1B" w:rsidRPr="2B0917EE">
        <w:rPr>
          <w:rFonts w:ascii="Arial Nova" w:eastAsia="Arial Nova" w:hAnsi="Arial Nova" w:cs="Arial Nova"/>
        </w:rPr>
        <w:t>benefits of this approach outweigh the implications; therefore, allowing this approach to take place as the core analysis method.</w:t>
      </w:r>
    </w:p>
    <w:p w14:paraId="78C780B0" w14:textId="1AC8536C" w:rsidR="638B27E0" w:rsidRDefault="638B27E0" w:rsidP="2B0917EE">
      <w:pPr>
        <w:spacing w:line="360" w:lineRule="auto"/>
        <w:jc w:val="both"/>
        <w:rPr>
          <w:rFonts w:ascii="Arial Nova" w:eastAsia="Arial Nova" w:hAnsi="Arial Nova" w:cs="Arial Nova"/>
        </w:rPr>
      </w:pPr>
      <w:r w:rsidRPr="2B0917EE">
        <w:rPr>
          <w:rFonts w:ascii="Arial Nova" w:eastAsia="Arial Nova" w:hAnsi="Arial Nova" w:cs="Arial Nova"/>
        </w:rPr>
        <w:t>By utilizing a mixed-method approach, this study combines quantitative assessment through the Leuven scale with qualitative insights obtained from focus groups to comprehensively explore the perceptions of Year 1 pupils regarding mindfulness sessions. This approach offers a multifaceted understanding, allowing for both numerical analysis of wellbeing and engagement indicators and in-depth exploration of pupils' experiences, thoughts, and feelings. By triangulating data from these diverse sources, the study aims to provide a richer and more nuanced understanding of how mindfulness is perceived and experienced by young children in educational settings.</w:t>
      </w:r>
    </w:p>
    <w:p w14:paraId="39DF78B4" w14:textId="0EA1702E" w:rsidR="289151D7" w:rsidRDefault="6D78962D" w:rsidP="2B0917EE">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Ethical Considerations</w:t>
      </w:r>
    </w:p>
    <w:p w14:paraId="37DEE487" w14:textId="7502BA22" w:rsidR="0067AB32" w:rsidRDefault="0067AB32" w:rsidP="64B43011">
      <w:pPr>
        <w:spacing w:line="360" w:lineRule="auto"/>
        <w:jc w:val="both"/>
        <w:rPr>
          <w:rFonts w:ascii="Arial Nova" w:eastAsia="Arial Nova" w:hAnsi="Arial Nova" w:cs="Arial Nova"/>
        </w:rPr>
      </w:pPr>
      <w:r w:rsidRPr="2B0917EE">
        <w:rPr>
          <w:rFonts w:ascii="Arial Nova" w:eastAsia="Arial Nova" w:hAnsi="Arial Nova" w:cs="Arial Nova"/>
        </w:rPr>
        <w:t>Researchers must adhere to ethical guidelines within a defined framework, prioritizing the well-being of participants and transparently communicating objectives to sponsors, clients, stakeholders, and the educational research community. Ensuring confidentiality and anonymity is crucial to maintaining data integrity</w:t>
      </w:r>
      <w:r w:rsidR="5A417FBE" w:rsidRPr="2B0917EE">
        <w:rPr>
          <w:rFonts w:ascii="Arial Nova" w:eastAsia="Arial Nova" w:hAnsi="Arial Nova" w:cs="Arial Nova"/>
        </w:rPr>
        <w:t xml:space="preserve">, as previously mentioned, this is one of </w:t>
      </w:r>
      <w:r w:rsidR="5A417FBE" w:rsidRPr="2B0917EE">
        <w:rPr>
          <w:rFonts w:ascii="Arial Nova" w:eastAsia="Arial Nova" w:hAnsi="Arial Nova" w:cs="Arial Nova"/>
        </w:rPr>
        <w:lastRenderedPageBreak/>
        <w:t>the core reasons as to why the school at hand will be referred as ‘school X’ throughout</w:t>
      </w:r>
      <w:r w:rsidRPr="2B0917EE">
        <w:rPr>
          <w:rFonts w:ascii="Arial Nova" w:eastAsia="Arial Nova" w:hAnsi="Arial Nova" w:cs="Arial Nova"/>
        </w:rPr>
        <w:t>. Researchers should implement robust measures, communicate these safeguards clearly, and address participant concerns. Upholding honesty, integrity, and accuracy, disclosing conflicts of interest, and providing transparent reporting are essential for ethical research conduct</w:t>
      </w:r>
      <w:r w:rsidR="77E07A1C" w:rsidRPr="2B0917EE">
        <w:rPr>
          <w:rFonts w:ascii="Arial Nova" w:eastAsia="Arial Nova" w:hAnsi="Arial Nova" w:cs="Arial Nova"/>
        </w:rPr>
        <w:t xml:space="preserve"> </w:t>
      </w:r>
      <w:r w:rsidRPr="2B0917EE">
        <w:rPr>
          <w:rFonts w:ascii="Arial Nova" w:eastAsia="Arial Nova" w:hAnsi="Arial Nova" w:cs="Arial Nova"/>
        </w:rPr>
        <w:t>(BERA, 2018).</w:t>
      </w:r>
      <w:r w:rsidR="5924FC8D" w:rsidRPr="2B0917EE">
        <w:rPr>
          <w:rFonts w:ascii="Arial Nova" w:eastAsia="Arial Nova" w:hAnsi="Arial Nova" w:cs="Arial Nova"/>
        </w:rPr>
        <w:t xml:space="preserve"> Moreover, </w:t>
      </w:r>
      <w:r w:rsidR="43C094C0" w:rsidRPr="2B0917EE">
        <w:rPr>
          <w:rFonts w:ascii="Arial Nova" w:eastAsia="Arial Nova" w:hAnsi="Arial Nova" w:cs="Arial Nova"/>
        </w:rPr>
        <w:t>Article 12 of the UNCRC asserts that children should have the right to express their views freely in matters that concern them, with due consideration for their age and maturity. This principle recognizes children as active contributors to decisions affecting them, fostering autonomy, responsibility, and a child-centred approach in various contexts, including education and healthcare. While acknowledging the importance of age-appropriate platforms, informed decision-making, and genuine consideration of their views, implementing Article 12 promotes a culture that values and respects the agency of every child in shaping their own lives and the world they live in (UNCRC</w:t>
      </w:r>
      <w:r w:rsidR="0C7F4837" w:rsidRPr="2B0917EE">
        <w:rPr>
          <w:rFonts w:ascii="Arial Nova" w:eastAsia="Arial Nova" w:hAnsi="Arial Nova" w:cs="Arial Nova"/>
        </w:rPr>
        <w:t xml:space="preserve">, </w:t>
      </w:r>
      <w:r w:rsidR="43C094C0" w:rsidRPr="2B0917EE">
        <w:rPr>
          <w:rFonts w:ascii="Arial Nova" w:eastAsia="Arial Nova" w:hAnsi="Arial Nova" w:cs="Arial Nova"/>
        </w:rPr>
        <w:t>Article 12).</w:t>
      </w:r>
      <w:r w:rsidR="252F5F96" w:rsidRPr="2B0917EE">
        <w:rPr>
          <w:rFonts w:ascii="Arial Nova" w:eastAsia="Arial Nova" w:hAnsi="Arial Nova" w:cs="Arial Nova"/>
        </w:rPr>
        <w:t xml:space="preserve"> Furthermore, the ethical considerations have been referenced to throughout appendix 1, this document considered all aspects of ethical consideration prior to the research pr</w:t>
      </w:r>
      <w:r w:rsidR="2B95F5FA" w:rsidRPr="2B0917EE">
        <w:rPr>
          <w:rFonts w:ascii="Arial Nova" w:eastAsia="Arial Nova" w:hAnsi="Arial Nova" w:cs="Arial Nova"/>
        </w:rPr>
        <w:t xml:space="preserve">oject to ensure that the project was ethically </w:t>
      </w:r>
      <w:r w:rsidR="36DDBCBA" w:rsidRPr="2B0917EE">
        <w:rPr>
          <w:rFonts w:ascii="Arial Nova" w:eastAsia="Arial Nova" w:hAnsi="Arial Nova" w:cs="Arial Nova"/>
        </w:rPr>
        <w:t xml:space="preserve">appraised at the foremost point of the </w:t>
      </w:r>
      <w:r w:rsidR="5AB778C6" w:rsidRPr="2B0917EE">
        <w:rPr>
          <w:rFonts w:ascii="Arial Nova" w:eastAsia="Arial Nova" w:hAnsi="Arial Nova" w:cs="Arial Nova"/>
        </w:rPr>
        <w:t xml:space="preserve">case study; please refer to appendix 1 for an in-depth analysis of the </w:t>
      </w:r>
      <w:r w:rsidR="4652E605" w:rsidRPr="2B0917EE">
        <w:rPr>
          <w:rFonts w:ascii="Arial Nova" w:eastAsia="Arial Nova" w:hAnsi="Arial Nova" w:cs="Arial Nova"/>
        </w:rPr>
        <w:t>ethical</w:t>
      </w:r>
      <w:r w:rsidR="5AB778C6" w:rsidRPr="2B0917EE">
        <w:rPr>
          <w:rFonts w:ascii="Arial Nova" w:eastAsia="Arial Nova" w:hAnsi="Arial Nova" w:cs="Arial Nova"/>
        </w:rPr>
        <w:t xml:space="preserve"> considerations.</w:t>
      </w:r>
      <w:r w:rsidR="36DDBCBA" w:rsidRPr="2B0917EE">
        <w:rPr>
          <w:rFonts w:ascii="Arial Nova" w:eastAsia="Arial Nova" w:hAnsi="Arial Nova" w:cs="Arial Nova"/>
        </w:rPr>
        <w:t xml:space="preserve"> </w:t>
      </w:r>
    </w:p>
    <w:p w14:paraId="35076FA2" w14:textId="0D03A19F" w:rsidR="09832908" w:rsidRDefault="09832908" w:rsidP="2B0917EE">
      <w:pPr>
        <w:spacing w:line="360" w:lineRule="auto"/>
        <w:jc w:val="both"/>
        <w:rPr>
          <w:rFonts w:ascii="Arial Nova" w:eastAsia="Arial Nova" w:hAnsi="Arial Nova" w:cs="Arial Nova"/>
        </w:rPr>
      </w:pPr>
      <w:r w:rsidRPr="2B0917EE">
        <w:rPr>
          <w:rFonts w:ascii="Arial Nova" w:eastAsia="Arial Nova" w:hAnsi="Arial Nova" w:cs="Arial Nova"/>
        </w:rPr>
        <w:t>Additionally, throughout the res</w:t>
      </w:r>
      <w:r w:rsidR="41C177D5" w:rsidRPr="2B0917EE">
        <w:rPr>
          <w:rFonts w:ascii="Arial Nova" w:eastAsia="Arial Nova" w:hAnsi="Arial Nova" w:cs="Arial Nova"/>
        </w:rPr>
        <w:t>earch period, all</w:t>
      </w:r>
      <w:r w:rsidR="00665D07" w:rsidRPr="2B0917EE">
        <w:rPr>
          <w:rFonts w:ascii="Arial Nova" w:eastAsia="Arial Nova" w:hAnsi="Arial Nova" w:cs="Arial Nova"/>
        </w:rPr>
        <w:t xml:space="preserve"> participants and caregivers of the participants were given the right to withdraw at any point, this was achieved through a consent form that gave background information to the research and a</w:t>
      </w:r>
      <w:r w:rsidR="661F6603" w:rsidRPr="2B0917EE">
        <w:rPr>
          <w:rFonts w:ascii="Arial Nova" w:eastAsia="Arial Nova" w:hAnsi="Arial Nova" w:cs="Arial Nova"/>
        </w:rPr>
        <w:t xml:space="preserve"> list of boxes to be ticked as a form of consent and assent to ensure that only individuals that attained approval from caregivers w</w:t>
      </w:r>
      <w:r w:rsidR="1E5DB4D1" w:rsidRPr="2B0917EE">
        <w:rPr>
          <w:rFonts w:ascii="Arial Nova" w:eastAsia="Arial Nova" w:hAnsi="Arial Nova" w:cs="Arial Nova"/>
        </w:rPr>
        <w:t>ere utilised throughout this research project</w:t>
      </w:r>
      <w:r w:rsidR="132C2B59" w:rsidRPr="2B0917EE">
        <w:rPr>
          <w:rFonts w:ascii="Arial Nova" w:eastAsia="Arial Nova" w:hAnsi="Arial Nova" w:cs="Arial Nova"/>
        </w:rPr>
        <w:t xml:space="preserve">. Furthermore, all individuals were anonymised throughout, confidentiality was </w:t>
      </w:r>
      <w:r w:rsidR="3705E765" w:rsidRPr="2B0917EE">
        <w:rPr>
          <w:rFonts w:ascii="Arial Nova" w:eastAsia="Arial Nova" w:hAnsi="Arial Nova" w:cs="Arial Nova"/>
        </w:rPr>
        <w:t>maintained,</w:t>
      </w:r>
      <w:r w:rsidR="132C2B59" w:rsidRPr="2B0917EE">
        <w:rPr>
          <w:rFonts w:ascii="Arial Nova" w:eastAsia="Arial Nova" w:hAnsi="Arial Nova" w:cs="Arial Nova"/>
        </w:rPr>
        <w:t xml:space="preserve"> and a</w:t>
      </w:r>
      <w:r w:rsidR="70242B7E" w:rsidRPr="2B0917EE">
        <w:rPr>
          <w:rFonts w:ascii="Arial Nova" w:eastAsia="Arial Nova" w:hAnsi="Arial Nova" w:cs="Arial Nova"/>
        </w:rPr>
        <w:t xml:space="preserve">ll aspects of personal details </w:t>
      </w:r>
      <w:r w:rsidR="48B3B15B" w:rsidRPr="2B0917EE">
        <w:rPr>
          <w:rFonts w:ascii="Arial Nova" w:eastAsia="Arial Nova" w:hAnsi="Arial Nova" w:cs="Arial Nova"/>
        </w:rPr>
        <w:t>maintained as confidential to ensure that none of the participants were traceable, therefore adhering to the guidelines of Article 7 GDPR (</w:t>
      </w:r>
      <w:proofErr w:type="spellStart"/>
      <w:r w:rsidR="48B3B15B" w:rsidRPr="2B0917EE">
        <w:rPr>
          <w:rFonts w:ascii="Arial Nova" w:eastAsia="Arial Nova" w:hAnsi="Arial Nova" w:cs="Arial Nova"/>
        </w:rPr>
        <w:t>Intersoft</w:t>
      </w:r>
      <w:proofErr w:type="spellEnd"/>
      <w:r w:rsidR="48B3B15B" w:rsidRPr="2B0917EE">
        <w:rPr>
          <w:rFonts w:ascii="Arial Nova" w:eastAsia="Arial Nova" w:hAnsi="Arial Nova" w:cs="Arial Nova"/>
        </w:rPr>
        <w:t xml:space="preserve"> Consulting</w:t>
      </w:r>
      <w:r w:rsidR="2C87F383" w:rsidRPr="2B0917EE">
        <w:rPr>
          <w:rFonts w:ascii="Arial Nova" w:eastAsia="Arial Nova" w:hAnsi="Arial Nova" w:cs="Arial Nova"/>
        </w:rPr>
        <w:t>, 2019</w:t>
      </w:r>
      <w:r w:rsidR="48B3B15B" w:rsidRPr="2B0917EE">
        <w:rPr>
          <w:rFonts w:ascii="Arial Nova" w:eastAsia="Arial Nova" w:hAnsi="Arial Nova" w:cs="Arial Nova"/>
        </w:rPr>
        <w:t>).</w:t>
      </w:r>
    </w:p>
    <w:p w14:paraId="42599DF2" w14:textId="3F966DDA" w:rsidR="279F8B96" w:rsidRDefault="279F8B96" w:rsidP="2B0917EE">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Data Presentation</w:t>
      </w:r>
    </w:p>
    <w:p w14:paraId="338A9BD5" w14:textId="46C7B7D7" w:rsidR="5FDE0D61" w:rsidRDefault="5FDE0D61" w:rsidP="2B0917EE">
      <w:pPr>
        <w:spacing w:line="360" w:lineRule="auto"/>
        <w:jc w:val="both"/>
        <w:rPr>
          <w:rFonts w:ascii="Arial Nova" w:eastAsia="Arial Nova" w:hAnsi="Arial Nova" w:cs="Arial Nova"/>
        </w:rPr>
      </w:pPr>
      <w:r w:rsidRPr="2B0917EE">
        <w:rPr>
          <w:rFonts w:ascii="Arial Nova" w:eastAsia="Arial Nova" w:hAnsi="Arial Nova" w:cs="Arial Nova"/>
        </w:rPr>
        <w:lastRenderedPageBreak/>
        <w:t>The results of the Leuven scale assessment indicate a positive correlation between children's well-being and their engagement in learning activities, this can be seen in the following results table:</w:t>
      </w:r>
    </w:p>
    <w:p w14:paraId="52AFAD9E" w14:textId="12B1FBDB" w:rsidR="07C70B33" w:rsidRDefault="07C70B33" w:rsidP="2B0917EE">
      <w:pPr>
        <w:spacing w:line="276" w:lineRule="auto"/>
        <w:jc w:val="center"/>
      </w:pPr>
      <w:r w:rsidRPr="2B0917EE">
        <w:rPr>
          <w:rFonts w:ascii="Calibri" w:eastAsia="Calibri" w:hAnsi="Calibri" w:cs="Calibri"/>
          <w:b/>
          <w:bCs/>
        </w:rPr>
        <w:t>Before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14:paraId="47AD3EE7"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D52F3C8" w14:textId="59B1B709" w:rsidR="2B0917EE" w:rsidRDefault="2B0917EE" w:rsidP="2B0917EE">
            <w:r w:rsidRPr="2B0917EE">
              <w:rPr>
                <w:rFonts w:ascii="Calibri" w:eastAsia="Calibri" w:hAnsi="Calibri" w:cs="Calibri"/>
              </w:rPr>
              <w:t>Child’s Name (Anonymised)</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4405B0F" w14:textId="65E29B77" w:rsidR="2B0917EE" w:rsidRDefault="2B0917EE" w:rsidP="2B0917EE">
            <w:r w:rsidRPr="2B0917EE">
              <w:rPr>
                <w:rFonts w:ascii="Calibri" w:eastAsia="Calibri" w:hAnsi="Calibri" w:cs="Calibri"/>
              </w:rPr>
              <w:t>Wellbeing</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6D0C8E2C" w14:textId="5E07E56B" w:rsidR="2B0917EE" w:rsidRDefault="2B0917EE" w:rsidP="2B0917EE">
            <w:r w:rsidRPr="2B0917EE">
              <w:rPr>
                <w:rFonts w:ascii="Calibri" w:eastAsia="Calibri" w:hAnsi="Calibri" w:cs="Calibri"/>
              </w:rPr>
              <w:t>Involvement</w:t>
            </w:r>
          </w:p>
        </w:tc>
      </w:tr>
      <w:tr w:rsidR="2B0917EE" w14:paraId="248DC3E9"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8BC92C9" w14:textId="1D702D73" w:rsidR="2B0917EE" w:rsidRDefault="2B0917EE" w:rsidP="2B0917EE">
            <w:r w:rsidRPr="2B0917EE">
              <w:rPr>
                <w:rFonts w:ascii="Calibri" w:eastAsia="Calibri" w:hAnsi="Calibri" w:cs="Calibri"/>
              </w:rPr>
              <w:t>Participant 1</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F95C446" w14:textId="2A6D6068" w:rsidR="2B0917EE" w:rsidRDefault="2B0917EE" w:rsidP="2B0917EE">
            <w:pPr>
              <w:jc w:val="center"/>
            </w:pPr>
            <w:r w:rsidRPr="2B0917EE">
              <w:rPr>
                <w:rFonts w:ascii="Calibri" w:eastAsia="Calibri" w:hAnsi="Calibri" w:cs="Calibri"/>
              </w:rPr>
              <w:t>3</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3191D36F" w14:textId="0D40049A" w:rsidR="2B0917EE" w:rsidRDefault="2B0917EE" w:rsidP="2B0917EE">
            <w:pPr>
              <w:jc w:val="center"/>
            </w:pPr>
            <w:r w:rsidRPr="2B0917EE">
              <w:rPr>
                <w:rFonts w:ascii="Calibri" w:eastAsia="Calibri" w:hAnsi="Calibri" w:cs="Calibri"/>
              </w:rPr>
              <w:t>4</w:t>
            </w:r>
          </w:p>
        </w:tc>
      </w:tr>
      <w:tr w:rsidR="2B0917EE" w14:paraId="079A35A4"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E10AF5D" w14:textId="569C39E9" w:rsidR="2B0917EE" w:rsidRDefault="2B0917EE" w:rsidP="2B0917EE">
            <w:r w:rsidRPr="2B0917EE">
              <w:rPr>
                <w:rFonts w:ascii="Calibri" w:eastAsia="Calibri" w:hAnsi="Calibri" w:cs="Calibri"/>
              </w:rPr>
              <w:t>Participant 2</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2A2C053" w14:textId="7A9650D6" w:rsidR="2B0917EE" w:rsidRDefault="2B0917EE" w:rsidP="2B0917EE">
            <w:pPr>
              <w:jc w:val="center"/>
            </w:pPr>
            <w:r w:rsidRPr="2B0917EE">
              <w:rPr>
                <w:rFonts w:ascii="Calibri" w:eastAsia="Calibri" w:hAnsi="Calibri" w:cs="Calibri"/>
              </w:rPr>
              <w:t>3</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736477D1" w14:textId="1ADAD0B8" w:rsidR="2B0917EE" w:rsidRDefault="2B0917EE" w:rsidP="2B0917EE">
            <w:pPr>
              <w:jc w:val="center"/>
            </w:pPr>
            <w:r w:rsidRPr="2B0917EE">
              <w:rPr>
                <w:rFonts w:ascii="Calibri" w:eastAsia="Calibri" w:hAnsi="Calibri" w:cs="Calibri"/>
              </w:rPr>
              <w:t>3</w:t>
            </w:r>
          </w:p>
        </w:tc>
      </w:tr>
      <w:tr w:rsidR="2B0917EE" w14:paraId="4347C5C2"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444B148" w14:textId="6713F0D8" w:rsidR="2B0917EE" w:rsidRDefault="2B0917EE" w:rsidP="2B0917EE">
            <w:r w:rsidRPr="2B0917EE">
              <w:rPr>
                <w:rFonts w:ascii="Calibri" w:eastAsia="Calibri" w:hAnsi="Calibri" w:cs="Calibri"/>
              </w:rPr>
              <w:t>Participant 3</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5EE54B3" w14:textId="4F554E75" w:rsidR="2B0917EE" w:rsidRDefault="2B0917EE" w:rsidP="2B0917EE">
            <w:pPr>
              <w:jc w:val="center"/>
            </w:pPr>
            <w:r w:rsidRPr="2B0917EE">
              <w:rPr>
                <w:rFonts w:ascii="Calibri" w:eastAsia="Calibri" w:hAnsi="Calibri" w:cs="Calibri"/>
              </w:rPr>
              <w:t>4</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17E78112" w14:textId="7E64AAD5" w:rsidR="2B0917EE" w:rsidRDefault="2B0917EE" w:rsidP="2B0917EE">
            <w:pPr>
              <w:jc w:val="center"/>
            </w:pPr>
            <w:r w:rsidRPr="2B0917EE">
              <w:rPr>
                <w:rFonts w:ascii="Calibri" w:eastAsia="Calibri" w:hAnsi="Calibri" w:cs="Calibri"/>
              </w:rPr>
              <w:t>3</w:t>
            </w:r>
          </w:p>
        </w:tc>
      </w:tr>
      <w:tr w:rsidR="2B0917EE" w14:paraId="4A8EE89A"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1F51601" w14:textId="5C0D57D3" w:rsidR="2B0917EE" w:rsidRDefault="2B0917EE" w:rsidP="2B0917EE">
            <w:r w:rsidRPr="2B0917EE">
              <w:rPr>
                <w:rFonts w:ascii="Calibri" w:eastAsia="Calibri" w:hAnsi="Calibri" w:cs="Calibri"/>
              </w:rPr>
              <w:t>Participant 4</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C976632" w14:textId="0CD782AA" w:rsidR="2B0917EE" w:rsidRDefault="2B0917EE" w:rsidP="2B0917EE">
            <w:pPr>
              <w:jc w:val="center"/>
            </w:pPr>
            <w:r w:rsidRPr="2B0917EE">
              <w:rPr>
                <w:rFonts w:ascii="Calibri" w:eastAsia="Calibri" w:hAnsi="Calibri" w:cs="Calibri"/>
              </w:rPr>
              <w:t>2</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0D042459" w14:textId="085CBFE0" w:rsidR="2B0917EE" w:rsidRDefault="2B0917EE" w:rsidP="2B0917EE">
            <w:pPr>
              <w:jc w:val="center"/>
            </w:pPr>
            <w:r w:rsidRPr="2B0917EE">
              <w:rPr>
                <w:rFonts w:ascii="Calibri" w:eastAsia="Calibri" w:hAnsi="Calibri" w:cs="Calibri"/>
              </w:rPr>
              <w:t>3</w:t>
            </w:r>
          </w:p>
        </w:tc>
      </w:tr>
      <w:tr w:rsidR="2B0917EE" w14:paraId="5DA3337F"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C2E048B" w14:textId="7E53F1C7" w:rsidR="2B0917EE" w:rsidRDefault="2B0917EE" w:rsidP="2B0917EE">
            <w:r w:rsidRPr="2B0917EE">
              <w:rPr>
                <w:rFonts w:ascii="Calibri" w:eastAsia="Calibri" w:hAnsi="Calibri" w:cs="Calibri"/>
              </w:rPr>
              <w:t>Participant 5</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50C43FE" w14:textId="1F0611C9" w:rsidR="2B0917EE" w:rsidRDefault="2B0917EE" w:rsidP="2B0917EE">
            <w:pPr>
              <w:jc w:val="center"/>
            </w:pPr>
            <w:r w:rsidRPr="2B0917EE">
              <w:rPr>
                <w:rFonts w:ascii="Calibri" w:eastAsia="Calibri" w:hAnsi="Calibri" w:cs="Calibri"/>
              </w:rPr>
              <w:t>2</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3658586D" w14:textId="0A61B655" w:rsidR="2B0917EE" w:rsidRDefault="2B0917EE" w:rsidP="2B0917EE">
            <w:pPr>
              <w:jc w:val="center"/>
            </w:pPr>
            <w:r w:rsidRPr="2B0917EE">
              <w:rPr>
                <w:rFonts w:ascii="Calibri" w:eastAsia="Calibri" w:hAnsi="Calibri" w:cs="Calibri"/>
              </w:rPr>
              <w:t>2</w:t>
            </w:r>
          </w:p>
        </w:tc>
      </w:tr>
      <w:tr w:rsidR="2B0917EE" w14:paraId="61B6EE8B"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53E6943" w14:textId="12015E27" w:rsidR="2B0917EE" w:rsidRDefault="2B0917EE" w:rsidP="2B0917EE">
            <w:r w:rsidRPr="2B0917EE">
              <w:rPr>
                <w:rFonts w:ascii="Calibri" w:eastAsia="Calibri" w:hAnsi="Calibri" w:cs="Calibri"/>
              </w:rPr>
              <w:t>Participant 6</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359FB81" w14:textId="05A1BDFA" w:rsidR="2B0917EE" w:rsidRDefault="2B0917EE" w:rsidP="2B0917EE">
            <w:pPr>
              <w:jc w:val="center"/>
            </w:pPr>
            <w:r w:rsidRPr="2B0917EE">
              <w:rPr>
                <w:rFonts w:ascii="Calibri" w:eastAsia="Calibri" w:hAnsi="Calibri" w:cs="Calibri"/>
              </w:rPr>
              <w:t>3</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4BA0FD58" w14:textId="351675B6" w:rsidR="2B0917EE" w:rsidRDefault="2B0917EE" w:rsidP="2B0917EE">
            <w:pPr>
              <w:jc w:val="center"/>
            </w:pPr>
            <w:r w:rsidRPr="2B0917EE">
              <w:rPr>
                <w:rFonts w:ascii="Calibri" w:eastAsia="Calibri" w:hAnsi="Calibri" w:cs="Calibri"/>
              </w:rPr>
              <w:t>2</w:t>
            </w:r>
          </w:p>
        </w:tc>
      </w:tr>
    </w:tbl>
    <w:p w14:paraId="24B97DCC" w14:textId="6F8A2D32" w:rsidR="07C70B33" w:rsidRDefault="07C70B33" w:rsidP="2B0917EE">
      <w:pPr>
        <w:spacing w:line="276" w:lineRule="auto"/>
        <w:jc w:val="center"/>
      </w:pPr>
      <w:r w:rsidRPr="2B0917EE">
        <w:rPr>
          <w:rFonts w:ascii="Calibri" w:eastAsia="Calibri" w:hAnsi="Calibri" w:cs="Calibri"/>
        </w:rPr>
        <w:t xml:space="preserve"> </w:t>
      </w:r>
    </w:p>
    <w:p w14:paraId="63DE2FD5" w14:textId="45467155" w:rsidR="07C70B33" w:rsidRDefault="07C70B33" w:rsidP="2B0917EE">
      <w:pPr>
        <w:spacing w:line="276" w:lineRule="auto"/>
        <w:jc w:val="center"/>
      </w:pPr>
      <w:r w:rsidRPr="2B0917EE">
        <w:rPr>
          <w:rFonts w:ascii="Calibri" w:eastAsia="Calibri" w:hAnsi="Calibri" w:cs="Calibri"/>
          <w:b/>
          <w:bCs/>
        </w:rPr>
        <w:t>After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14:paraId="03B83D30"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FBEB588" w14:textId="52AAEDBC" w:rsidR="2B0917EE" w:rsidRDefault="2B0917EE" w:rsidP="2B0917EE">
            <w:r w:rsidRPr="2B0917EE">
              <w:rPr>
                <w:rFonts w:ascii="Calibri" w:eastAsia="Calibri" w:hAnsi="Calibri" w:cs="Calibri"/>
              </w:rPr>
              <w:t>Child’s Name (Anonymised)</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016E741" w14:textId="6DC881D9" w:rsidR="2B0917EE" w:rsidRDefault="2B0917EE" w:rsidP="2B0917EE">
            <w:r w:rsidRPr="2B0917EE">
              <w:rPr>
                <w:rFonts w:ascii="Calibri" w:eastAsia="Calibri" w:hAnsi="Calibri" w:cs="Calibri"/>
              </w:rPr>
              <w:t>Wellbeing</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3107DD2E" w14:textId="7DD264DB" w:rsidR="2B0917EE" w:rsidRDefault="2B0917EE" w:rsidP="2B0917EE">
            <w:r w:rsidRPr="2B0917EE">
              <w:rPr>
                <w:rFonts w:ascii="Calibri" w:eastAsia="Calibri" w:hAnsi="Calibri" w:cs="Calibri"/>
              </w:rPr>
              <w:t>Involvement</w:t>
            </w:r>
          </w:p>
        </w:tc>
      </w:tr>
      <w:tr w:rsidR="2B0917EE" w14:paraId="6B6DDB5F"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9976461" w14:textId="2280C32A" w:rsidR="2B0917EE" w:rsidRDefault="2B0917EE" w:rsidP="2B0917EE">
            <w:r w:rsidRPr="2B0917EE">
              <w:rPr>
                <w:rFonts w:ascii="Calibri" w:eastAsia="Calibri" w:hAnsi="Calibri" w:cs="Calibri"/>
              </w:rPr>
              <w:t>Participant 1</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5CE0074" w14:textId="08F28107" w:rsidR="2B0917EE" w:rsidRDefault="2B0917EE" w:rsidP="2B0917EE">
            <w:pPr>
              <w:jc w:val="center"/>
            </w:pPr>
            <w:r w:rsidRPr="2B0917EE">
              <w:rPr>
                <w:rFonts w:ascii="Calibri" w:eastAsia="Calibri" w:hAnsi="Calibri" w:cs="Calibri"/>
              </w:rPr>
              <w:t>4</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6DEE8B71" w14:textId="6ECAFAE9" w:rsidR="2B0917EE" w:rsidRDefault="2B0917EE" w:rsidP="2B0917EE">
            <w:pPr>
              <w:jc w:val="center"/>
            </w:pPr>
            <w:r w:rsidRPr="2B0917EE">
              <w:rPr>
                <w:rFonts w:ascii="Calibri" w:eastAsia="Calibri" w:hAnsi="Calibri" w:cs="Calibri"/>
              </w:rPr>
              <w:t>4</w:t>
            </w:r>
          </w:p>
        </w:tc>
      </w:tr>
      <w:tr w:rsidR="2B0917EE" w14:paraId="3FFD1AFC"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73004C7" w14:textId="317CBBA1" w:rsidR="2B0917EE" w:rsidRDefault="2B0917EE" w:rsidP="2B0917EE">
            <w:r w:rsidRPr="2B0917EE">
              <w:rPr>
                <w:rFonts w:ascii="Calibri" w:eastAsia="Calibri" w:hAnsi="Calibri" w:cs="Calibri"/>
              </w:rPr>
              <w:t>Participant 2</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C2E523E" w14:textId="690D4400" w:rsidR="2B0917EE" w:rsidRDefault="2B0917EE" w:rsidP="2B0917EE">
            <w:pPr>
              <w:jc w:val="center"/>
            </w:pPr>
            <w:r w:rsidRPr="2B0917EE">
              <w:rPr>
                <w:rFonts w:ascii="Calibri" w:eastAsia="Calibri" w:hAnsi="Calibri" w:cs="Calibri"/>
              </w:rPr>
              <w:t>3</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03925B5C" w14:textId="0552BD36" w:rsidR="2B0917EE" w:rsidRDefault="2B0917EE" w:rsidP="2B0917EE">
            <w:pPr>
              <w:jc w:val="center"/>
            </w:pPr>
            <w:r w:rsidRPr="2B0917EE">
              <w:rPr>
                <w:rFonts w:ascii="Calibri" w:eastAsia="Calibri" w:hAnsi="Calibri" w:cs="Calibri"/>
              </w:rPr>
              <w:t>4</w:t>
            </w:r>
          </w:p>
        </w:tc>
      </w:tr>
      <w:tr w:rsidR="2B0917EE" w14:paraId="2CEACD9A"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5C0F425" w14:textId="33CFE8D2" w:rsidR="2B0917EE" w:rsidRDefault="2B0917EE" w:rsidP="2B0917EE">
            <w:r w:rsidRPr="2B0917EE">
              <w:rPr>
                <w:rFonts w:ascii="Calibri" w:eastAsia="Calibri" w:hAnsi="Calibri" w:cs="Calibri"/>
              </w:rPr>
              <w:t>Participant 3</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F4AC449" w14:textId="2B425B85" w:rsidR="2B0917EE" w:rsidRDefault="2B0917EE" w:rsidP="2B0917EE">
            <w:pPr>
              <w:jc w:val="center"/>
            </w:pPr>
            <w:r w:rsidRPr="2B0917EE">
              <w:rPr>
                <w:rFonts w:ascii="Calibri" w:eastAsia="Calibri" w:hAnsi="Calibri" w:cs="Calibri"/>
              </w:rPr>
              <w:t>5</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674826C8" w14:textId="633864EE" w:rsidR="2B0917EE" w:rsidRDefault="2B0917EE" w:rsidP="2B0917EE">
            <w:pPr>
              <w:jc w:val="center"/>
            </w:pPr>
            <w:r w:rsidRPr="2B0917EE">
              <w:rPr>
                <w:rFonts w:ascii="Calibri" w:eastAsia="Calibri" w:hAnsi="Calibri" w:cs="Calibri"/>
              </w:rPr>
              <w:t>5</w:t>
            </w:r>
          </w:p>
        </w:tc>
      </w:tr>
      <w:tr w:rsidR="2B0917EE" w14:paraId="209FEEF9"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59F8D1E" w14:textId="722D408B" w:rsidR="2B0917EE" w:rsidRDefault="2B0917EE" w:rsidP="2B0917EE">
            <w:r w:rsidRPr="2B0917EE">
              <w:rPr>
                <w:rFonts w:ascii="Calibri" w:eastAsia="Calibri" w:hAnsi="Calibri" w:cs="Calibri"/>
              </w:rPr>
              <w:t>Participant 4</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D4F5FB6" w14:textId="78BFCBE0" w:rsidR="2B0917EE" w:rsidRDefault="2B0917EE" w:rsidP="2B0917EE">
            <w:pPr>
              <w:jc w:val="center"/>
            </w:pPr>
            <w:r w:rsidRPr="2B0917EE">
              <w:rPr>
                <w:rFonts w:ascii="Calibri" w:eastAsia="Calibri" w:hAnsi="Calibri" w:cs="Calibri"/>
              </w:rPr>
              <w:t>4</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220E3315" w14:textId="69720FB8" w:rsidR="2B0917EE" w:rsidRDefault="2B0917EE" w:rsidP="2B0917EE">
            <w:pPr>
              <w:jc w:val="center"/>
            </w:pPr>
            <w:r w:rsidRPr="2B0917EE">
              <w:rPr>
                <w:rFonts w:ascii="Calibri" w:eastAsia="Calibri" w:hAnsi="Calibri" w:cs="Calibri"/>
              </w:rPr>
              <w:t>5</w:t>
            </w:r>
          </w:p>
        </w:tc>
      </w:tr>
      <w:tr w:rsidR="2B0917EE" w14:paraId="2CE5E9AD"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9B434FE" w14:textId="09BED236" w:rsidR="2B0917EE" w:rsidRDefault="2B0917EE" w:rsidP="2B0917EE">
            <w:r w:rsidRPr="2B0917EE">
              <w:rPr>
                <w:rFonts w:ascii="Calibri" w:eastAsia="Calibri" w:hAnsi="Calibri" w:cs="Calibri"/>
              </w:rPr>
              <w:t>Participant 5</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FE18846" w14:textId="7607E5A3" w:rsidR="2B0917EE" w:rsidRDefault="2B0917EE" w:rsidP="2B0917EE">
            <w:pPr>
              <w:jc w:val="center"/>
            </w:pPr>
            <w:r w:rsidRPr="2B0917EE">
              <w:rPr>
                <w:rFonts w:ascii="Calibri" w:eastAsia="Calibri" w:hAnsi="Calibri" w:cs="Calibri"/>
              </w:rPr>
              <w:t>4</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0A9320B6" w14:textId="1C4A3298" w:rsidR="2B0917EE" w:rsidRDefault="2B0917EE" w:rsidP="2B0917EE">
            <w:pPr>
              <w:jc w:val="center"/>
            </w:pPr>
            <w:r w:rsidRPr="2B0917EE">
              <w:rPr>
                <w:rFonts w:ascii="Calibri" w:eastAsia="Calibri" w:hAnsi="Calibri" w:cs="Calibri"/>
              </w:rPr>
              <w:t>3</w:t>
            </w:r>
          </w:p>
        </w:tc>
      </w:tr>
      <w:tr w:rsidR="2B0917EE" w14:paraId="718D2711" w14:textId="77777777" w:rsidTr="2B0917E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3BDC3BC" w14:textId="420E181A" w:rsidR="2B0917EE" w:rsidRDefault="2B0917EE" w:rsidP="2B0917EE">
            <w:r w:rsidRPr="2B0917EE">
              <w:rPr>
                <w:rFonts w:ascii="Calibri" w:eastAsia="Calibri" w:hAnsi="Calibri" w:cs="Calibri"/>
              </w:rPr>
              <w:t>Participant 6</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CC64798" w14:textId="5E21E780" w:rsidR="2B0917EE" w:rsidRDefault="2B0917EE" w:rsidP="2B0917EE">
            <w:pPr>
              <w:jc w:val="center"/>
            </w:pPr>
            <w:r w:rsidRPr="2B0917EE">
              <w:rPr>
                <w:rFonts w:ascii="Calibri" w:eastAsia="Calibri" w:hAnsi="Calibri" w:cs="Calibri"/>
              </w:rPr>
              <w:t>3</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7A868293" w14:textId="237DA467" w:rsidR="2B0917EE" w:rsidRDefault="2B0917EE" w:rsidP="2B0917EE">
            <w:pPr>
              <w:jc w:val="center"/>
            </w:pPr>
            <w:r w:rsidRPr="2B0917EE">
              <w:rPr>
                <w:rFonts w:ascii="Calibri" w:eastAsia="Calibri" w:hAnsi="Calibri" w:cs="Calibri"/>
              </w:rPr>
              <w:t>3</w:t>
            </w:r>
          </w:p>
        </w:tc>
      </w:tr>
    </w:tbl>
    <w:p w14:paraId="6297927D" w14:textId="19AA4DCA" w:rsidR="2B0917EE" w:rsidRDefault="2B0917EE" w:rsidP="2B0917EE">
      <w:pPr>
        <w:spacing w:line="360" w:lineRule="auto"/>
        <w:jc w:val="both"/>
        <w:rPr>
          <w:rFonts w:ascii="Arial Nova" w:eastAsia="Arial Nova" w:hAnsi="Arial Nova" w:cs="Arial Nova"/>
        </w:rPr>
      </w:pPr>
    </w:p>
    <w:p w14:paraId="1A0DD70E" w14:textId="31520A19" w:rsidR="2C8CF910" w:rsidRDefault="2C8CF910" w:rsidP="2B0917EE">
      <w:pPr>
        <w:spacing w:line="360" w:lineRule="auto"/>
        <w:jc w:val="both"/>
        <w:rPr>
          <w:rFonts w:ascii="Arial Nova" w:eastAsia="Arial Nova" w:hAnsi="Arial Nova" w:cs="Arial Nova"/>
        </w:rPr>
      </w:pPr>
      <w:r w:rsidRPr="2B0917EE">
        <w:rPr>
          <w:rFonts w:ascii="Arial Nova" w:eastAsia="Arial Nova" w:hAnsi="Arial Nova" w:cs="Arial Nova"/>
        </w:rPr>
        <w:t>Transcripts from the focus groups can be found in Appendix 3.</w:t>
      </w:r>
    </w:p>
    <w:p w14:paraId="0A9A5DE0" w14:textId="7F472322" w:rsidR="5788DFB2" w:rsidRDefault="5788DFB2" w:rsidP="2B0917EE">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Results and Discussion</w:t>
      </w:r>
      <w:r w:rsidR="0AEA1304" w:rsidRPr="2B0917EE">
        <w:rPr>
          <w:rFonts w:ascii="Arial Nova" w:eastAsia="Arial Nova" w:hAnsi="Arial Nova" w:cs="Arial Nova"/>
          <w:b/>
          <w:bCs/>
          <w:sz w:val="28"/>
          <w:szCs w:val="28"/>
          <w:u w:val="single"/>
        </w:rPr>
        <w:t xml:space="preserve"> </w:t>
      </w:r>
    </w:p>
    <w:p w14:paraId="29D8EBF6" w14:textId="6D4D822D" w:rsidR="70A3FE75" w:rsidRDefault="70A3FE75" w:rsidP="2B0917EE">
      <w:pPr>
        <w:spacing w:line="360" w:lineRule="auto"/>
        <w:jc w:val="both"/>
      </w:pPr>
      <w:r w:rsidRPr="2B0917EE">
        <w:rPr>
          <w:rFonts w:ascii="Arial Nova" w:eastAsia="Arial Nova" w:hAnsi="Arial Nova" w:cs="Arial Nova"/>
        </w:rPr>
        <w:t xml:space="preserve">The anonymized data table in Appendix 2 illustrates the impact of a mindfulness session on the wellbeing and involvement levels of six participants. A notable trend emerges in the improvement of wellbeing post-session, with participants 1, 3, 4, and 5 displaying increased scores. Particularly, Participant 3 exhibits a significant rise from 4 to 5 in wellbeing. However, involvement levels show mixed responses, with some participants experiencing an increase (1, 2, and 4), while others remain consistent (5) or slightly decrease (3 and 6). Notably, Participants 1 and 4 consistently demonstrate positive changes in both wellbeing and involvement, suggesting a robust response to the </w:t>
      </w:r>
      <w:r w:rsidRPr="2B0917EE">
        <w:rPr>
          <w:rFonts w:ascii="Arial Nova" w:eastAsia="Arial Nova" w:hAnsi="Arial Nova" w:cs="Arial Nova"/>
        </w:rPr>
        <w:lastRenderedPageBreak/>
        <w:t>mindfulness session. Despite minor fluctuations, Participants 2 and 6 also show some positive trends. Overall, the findings indicate a generally positive impact on wellbeing, albeit with variations in involvement levels among participants. Further exploration of individual differences and influencing factors could provide deeper insights into the observed trends.</w:t>
      </w:r>
    </w:p>
    <w:p w14:paraId="1B7FB4A4" w14:textId="7322777E" w:rsidR="73DD296D" w:rsidRDefault="73DD296D" w:rsidP="2B0917EE">
      <w:pPr>
        <w:spacing w:line="360" w:lineRule="auto"/>
        <w:jc w:val="both"/>
      </w:pPr>
      <w:r w:rsidRPr="2B0917EE">
        <w:rPr>
          <w:rFonts w:ascii="Arial Nova" w:eastAsia="Arial Nova" w:hAnsi="Arial Nova" w:cs="Arial Nova"/>
        </w:rPr>
        <w:t>The thematic analysis of the transcripts from two mindfulness focus groups reveals several common themes among the participants' experiences with mindfulness breathing sessions. Participants consistently express feelings of calmness, happiness, and relaxation during and after the mindfulness sessions. They associate the practice with positive emotional states, such as feeling good in their head and heart, and feeling happy and relaxed. Some participants describe physical sensations during the mindfulness breathing, such as feeling calm in their head and heart, experiencing relaxation or tiredness in their bodies, and even experiencing tickling sensations in their noses while breathing out through their nostrils. Moreover, several participants mention feeling happier because they believe they work better after engaging in the mindfulness breathing practice. This suggests a perceived improvement in their ability to concentrate and focus on tasks following the session. Additionally, one participant expresses feeling calmer when it is quiet but experiencing discomfort, such as a headache, when the environment is noisy. This indicates a heightened awareness of and sensitivity to environmental stimuli, suggesting that mindfulness practice may enhance participants' ability to regulate their responses to external factors. Overall, the thematic analysis highlights the positive impact of mindfulness breathing sessions on participants' emotional well-being, physical sensations, focus, and sensitivity to environmental stimuli. These findings underscore the potential benefits of integrating mindfulness practices into educational settings to promote holistic student well-being and academic performance.</w:t>
      </w:r>
    </w:p>
    <w:p w14:paraId="7EF38794" w14:textId="2E71615A" w:rsidR="2AE9644A" w:rsidRDefault="2AE9644A" w:rsidP="2B0917EE">
      <w:pPr>
        <w:spacing w:line="360" w:lineRule="auto"/>
        <w:jc w:val="both"/>
      </w:pPr>
      <w:r w:rsidRPr="2B0917EE">
        <w:rPr>
          <w:rFonts w:ascii="Arial Nova" w:eastAsia="Arial Nova" w:hAnsi="Arial Nova" w:cs="Arial Nova"/>
        </w:rPr>
        <w:t xml:space="preserve">The combined findings from both the quantitative and qualitative aspects suggest a generally positive impact of mindfulness sessions on participants' well-being and emotional experiences. Quantitative data from the anonymized table in Appendix 2 indicate a notable improvement in well-being post-session for several participants, with </w:t>
      </w:r>
      <w:r w:rsidRPr="2B0917EE">
        <w:rPr>
          <w:rFonts w:ascii="Arial Nova" w:eastAsia="Arial Nova" w:hAnsi="Arial Nova" w:cs="Arial Nova"/>
        </w:rPr>
        <w:lastRenderedPageBreak/>
        <w:t>some showing consistent positive changes in both well-being and involvement levels. However, involvement levels exhibit mixed responses among participants, indicating variations in their engagement with the mindfulness sessions. On the qualitative side, thematic analysis of focus group transcripts reveals common themes of calmness, happiness, and relaxation experienced by participants during and after mindfulness breathing sessions. Participants associate the practice with positive emotional states and describe physical sensations indicative of relaxation and heightened awareness. Additionally, some participants report perceived improvements in concentration and task performance following the sessions. Overall, the findings suggest that mindfulness sessions contribute positively to participants' emotional well-being, physical sensations, and focus. While quantitative data indicate variations in involvement levels among participants, qualitative analysis highlights consistent themes of positive emotional experiences and enhanced awareness. These findings underscore the potential benefits of integrating mindfulness practices into educational settings to support students' holistic well-being and academic performance. Further exploration of individual differences and influencing factors could provide deeper insights into the observed trends and inform future mindfulness interventions.</w:t>
      </w:r>
    </w:p>
    <w:p w14:paraId="0F08323E" w14:textId="3FB3DC42" w:rsidR="5788DFB2" w:rsidRDefault="5788DFB2" w:rsidP="64B43011">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Conclusions</w:t>
      </w:r>
    </w:p>
    <w:p w14:paraId="607B91F1" w14:textId="529D9553" w:rsidR="28734B71" w:rsidRDefault="28734B71" w:rsidP="2B0917EE">
      <w:pPr>
        <w:spacing w:line="360" w:lineRule="auto"/>
        <w:jc w:val="both"/>
        <w:rPr>
          <w:rFonts w:ascii="Arial Nova" w:eastAsia="Arial Nova" w:hAnsi="Arial Nova" w:cs="Arial Nova"/>
        </w:rPr>
      </w:pPr>
      <w:r w:rsidRPr="2B0917EE">
        <w:rPr>
          <w:rFonts w:ascii="Arial Nova" w:eastAsia="Arial Nova" w:hAnsi="Arial Nova" w:cs="Arial Nova"/>
        </w:rPr>
        <w:t>To conclude</w:t>
      </w:r>
      <w:r w:rsidR="41404A7E" w:rsidRPr="2B0917EE">
        <w:rPr>
          <w:rFonts w:ascii="Arial Nova" w:eastAsia="Arial Nova" w:hAnsi="Arial Nova" w:cs="Arial Nova"/>
        </w:rPr>
        <w:t>, the findings of this study suggest that the implementation of mindfulness sessions in Year 1 classrooms can have positive effects on pupil relaxation, engagement, and overall wellbeing. The observed improvements align with existing research from Vickery &amp; Dorjee (</w:t>
      </w:r>
      <w:r w:rsidR="2092BD17" w:rsidRPr="2B0917EE">
        <w:rPr>
          <w:rFonts w:ascii="Arial Nova" w:eastAsia="Arial Nova" w:hAnsi="Arial Nova" w:cs="Arial Nova"/>
        </w:rPr>
        <w:t xml:space="preserve">2016) and </w:t>
      </w:r>
      <w:r w:rsidR="74217698" w:rsidRPr="2B0917EE">
        <w:rPr>
          <w:rFonts w:ascii="Arial Nova" w:eastAsia="Arial Nova" w:hAnsi="Arial Nova" w:cs="Arial Nova"/>
        </w:rPr>
        <w:t>Amundsen et al. (2020); i</w:t>
      </w:r>
      <w:r w:rsidR="41404A7E" w:rsidRPr="2B0917EE">
        <w:rPr>
          <w:rFonts w:ascii="Arial Nova" w:eastAsia="Arial Nova" w:hAnsi="Arial Nova" w:cs="Arial Nova"/>
        </w:rPr>
        <w:t xml:space="preserve">ndicating the potential benefits of mindfulness practices for young children. By incorporating mindfulness into their daily routine, Year 1 pupils demonstrated increased relaxation and enhanced engagement with learning activities. Furthermore, the reported improvements in wellbeing indicate that mindfulness may serve as a valuable tool for promoting mental health and emotional regulation among young learners. However, it is essential to acknowledge the limitations of this study, particularly its small-scale nature. The case study design, while providing valuable insights into the perceptions and experiences of Year 1 pupils, may not fully </w:t>
      </w:r>
      <w:r w:rsidR="41404A7E" w:rsidRPr="2B0917EE">
        <w:rPr>
          <w:rFonts w:ascii="Arial Nova" w:eastAsia="Arial Nova" w:hAnsi="Arial Nova" w:cs="Arial Nova"/>
        </w:rPr>
        <w:lastRenderedPageBreak/>
        <w:t>capture the diverse range of factors influencing the effectiveness of mindfulness interventions in school settings. The limited sample size and scope of the study may also impact the generalizability of the findings to broader populations.</w:t>
      </w:r>
      <w:r w:rsidR="0BB237FF" w:rsidRPr="2B0917EE">
        <w:rPr>
          <w:rFonts w:ascii="Arial Nova" w:eastAsia="Arial Nova" w:hAnsi="Arial Nova" w:cs="Arial Nova"/>
        </w:rPr>
        <w:t xml:space="preserve"> Overall, the findings offered a </w:t>
      </w:r>
      <w:r w:rsidR="74133D7E" w:rsidRPr="2B0917EE">
        <w:rPr>
          <w:rFonts w:ascii="Arial Nova" w:eastAsia="Arial Nova" w:hAnsi="Arial Nova" w:cs="Arial Nova"/>
        </w:rPr>
        <w:t>valuable</w:t>
      </w:r>
      <w:r w:rsidR="0BB237FF" w:rsidRPr="2B0917EE">
        <w:rPr>
          <w:rFonts w:ascii="Arial Nova" w:eastAsia="Arial Nova" w:hAnsi="Arial Nova" w:cs="Arial Nova"/>
        </w:rPr>
        <w:t xml:space="preserve"> insight into the perceptions and </w:t>
      </w:r>
      <w:r w:rsidR="44A7CF77" w:rsidRPr="2B0917EE">
        <w:rPr>
          <w:rFonts w:ascii="Arial Nova" w:eastAsia="Arial Nova" w:hAnsi="Arial Nova" w:cs="Arial Nova"/>
        </w:rPr>
        <w:t>behaviour</w:t>
      </w:r>
      <w:r w:rsidR="0BB237FF" w:rsidRPr="2B0917EE">
        <w:rPr>
          <w:rFonts w:ascii="Arial Nova" w:eastAsia="Arial Nova" w:hAnsi="Arial Nova" w:cs="Arial Nova"/>
        </w:rPr>
        <w:t xml:space="preserve"> changes in year 1 pupils after the implementation of mindfulness sessions, however, the </w:t>
      </w:r>
      <w:r w:rsidR="5BE12931" w:rsidRPr="2B0917EE">
        <w:rPr>
          <w:rFonts w:ascii="Arial Nova" w:eastAsia="Arial Nova" w:hAnsi="Arial Nova" w:cs="Arial Nova"/>
        </w:rPr>
        <w:t>reliability</w:t>
      </w:r>
      <w:r w:rsidR="0BB237FF" w:rsidRPr="2B0917EE">
        <w:rPr>
          <w:rFonts w:ascii="Arial Nova" w:eastAsia="Arial Nova" w:hAnsi="Arial Nova" w:cs="Arial Nova"/>
        </w:rPr>
        <w:t xml:space="preserve"> must be considered</w:t>
      </w:r>
      <w:r w:rsidR="774DA53D" w:rsidRPr="2B0917EE">
        <w:rPr>
          <w:rFonts w:ascii="Arial Nova" w:eastAsia="Arial Nova" w:hAnsi="Arial Nova" w:cs="Arial Nova"/>
        </w:rPr>
        <w:t xml:space="preserve">, however, based on the case study at hand it is evident that mindfulness has a positive impact on children, much like suggested by </w:t>
      </w:r>
      <w:r w:rsidR="2A3BB978" w:rsidRPr="2B0917EE">
        <w:rPr>
          <w:rFonts w:ascii="Arial Nova" w:eastAsia="Arial Nova" w:hAnsi="Arial Nova" w:cs="Arial Nova"/>
        </w:rPr>
        <w:t>Vickery &amp; Dorjee (2016) and Amundsen et al. (2020).</w:t>
      </w:r>
    </w:p>
    <w:p w14:paraId="5ACE745D" w14:textId="4CEA7C14" w:rsidR="5788DFB2" w:rsidRDefault="5788DFB2" w:rsidP="64B43011">
      <w:pPr>
        <w:spacing w:line="360" w:lineRule="auto"/>
        <w:jc w:val="center"/>
        <w:rPr>
          <w:rFonts w:ascii="Arial Nova" w:eastAsia="Arial Nova" w:hAnsi="Arial Nova" w:cs="Arial Nova"/>
          <w:b/>
          <w:bCs/>
          <w:sz w:val="28"/>
          <w:szCs w:val="28"/>
          <w:u w:val="single"/>
        </w:rPr>
      </w:pPr>
      <w:r w:rsidRPr="2B0917EE">
        <w:rPr>
          <w:rFonts w:ascii="Arial Nova" w:eastAsia="Arial Nova" w:hAnsi="Arial Nova" w:cs="Arial Nova"/>
          <w:b/>
          <w:bCs/>
          <w:sz w:val="28"/>
          <w:szCs w:val="28"/>
          <w:u w:val="single"/>
        </w:rPr>
        <w:t>Recommendations</w:t>
      </w:r>
    </w:p>
    <w:p w14:paraId="38B76115" w14:textId="5B21E8AD" w:rsidR="0B2DB886" w:rsidRDefault="79F30C00" w:rsidP="2B0917EE">
      <w:pPr>
        <w:spacing w:line="360" w:lineRule="auto"/>
        <w:jc w:val="both"/>
        <w:rPr>
          <w:rFonts w:ascii="Arial Nova" w:eastAsia="Arial Nova" w:hAnsi="Arial Nova" w:cs="Arial Nova"/>
        </w:rPr>
      </w:pPr>
      <w:r w:rsidRPr="2B0917EE">
        <w:rPr>
          <w:rFonts w:ascii="Arial Nova" w:eastAsia="Arial Nova" w:hAnsi="Arial Nova" w:cs="Arial Nova"/>
        </w:rPr>
        <w:t>With reference to the research methods and the lack of consent forms creating a small-scale case study it is worth considering the reliability of the data collected, as there i</w:t>
      </w:r>
      <w:r w:rsidR="32315ACE" w:rsidRPr="2B0917EE">
        <w:rPr>
          <w:rFonts w:ascii="Arial Nova" w:eastAsia="Arial Nova" w:hAnsi="Arial Nova" w:cs="Arial Nova"/>
        </w:rPr>
        <w:t>s a very one-dimensional aspect to the data gathered the reliability must be questioned. A recommendation for this would be to con</w:t>
      </w:r>
      <w:r w:rsidR="17EA63CB" w:rsidRPr="2B0917EE">
        <w:rPr>
          <w:rFonts w:ascii="Arial Nova" w:eastAsia="Arial Nova" w:hAnsi="Arial Nova" w:cs="Arial Nova"/>
        </w:rPr>
        <w:t>sider further research surrounding daily mindfulne</w:t>
      </w:r>
      <w:r w:rsidR="5028B298" w:rsidRPr="2B0917EE">
        <w:rPr>
          <w:rFonts w:ascii="Arial Nova" w:eastAsia="Arial Nova" w:hAnsi="Arial Nova" w:cs="Arial Nova"/>
        </w:rPr>
        <w:t xml:space="preserve">ss sessions and the perceptions of the year 1 pupils, due to the timescale and scale of the school </w:t>
      </w:r>
      <w:r w:rsidR="422AB63B" w:rsidRPr="2B0917EE">
        <w:rPr>
          <w:rFonts w:ascii="Arial Nova" w:eastAsia="Arial Nova" w:hAnsi="Arial Nova" w:cs="Arial Nova"/>
        </w:rPr>
        <w:t>this</w:t>
      </w:r>
      <w:r w:rsidR="5028B298" w:rsidRPr="2B0917EE">
        <w:rPr>
          <w:rFonts w:ascii="Arial Nova" w:eastAsia="Arial Nova" w:hAnsi="Arial Nova" w:cs="Arial Nova"/>
        </w:rPr>
        <w:t xml:space="preserve"> was not possible for the </w:t>
      </w:r>
      <w:r w:rsidR="1D78C57A" w:rsidRPr="2B0917EE">
        <w:rPr>
          <w:rFonts w:ascii="Arial Nova" w:eastAsia="Arial Nova" w:hAnsi="Arial Nova" w:cs="Arial Nova"/>
        </w:rPr>
        <w:t>case</w:t>
      </w:r>
      <w:r w:rsidR="5028B298" w:rsidRPr="2B0917EE">
        <w:rPr>
          <w:rFonts w:ascii="Arial Nova" w:eastAsia="Arial Nova" w:hAnsi="Arial Nova" w:cs="Arial Nova"/>
        </w:rPr>
        <w:t xml:space="preserve"> study at hand, however, if a future </w:t>
      </w:r>
      <w:r w:rsidR="1CB0EF54" w:rsidRPr="2B0917EE">
        <w:rPr>
          <w:rFonts w:ascii="Arial Nova" w:eastAsia="Arial Nova" w:hAnsi="Arial Nova" w:cs="Arial Nova"/>
        </w:rPr>
        <w:t>case study were to be conducted a suggestion of a longer timescale and larger scale investigation may improve the reliability of the results.</w:t>
      </w:r>
    </w:p>
    <w:p w14:paraId="34C03FEB" w14:textId="418D4438" w:rsidR="1CB0EF54" w:rsidRDefault="1CB0EF54"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In addition to this, a suggestion to investigate at more than one school may be a </w:t>
      </w:r>
      <w:r w:rsidR="60220E05" w:rsidRPr="2B0917EE">
        <w:rPr>
          <w:rFonts w:ascii="Arial Nova" w:eastAsia="Arial Nova" w:hAnsi="Arial Nova" w:cs="Arial Nova"/>
        </w:rPr>
        <w:t>constructive</w:t>
      </w:r>
      <w:r w:rsidRPr="2B0917EE">
        <w:rPr>
          <w:rFonts w:ascii="Arial Nova" w:eastAsia="Arial Nova" w:hAnsi="Arial Nova" w:cs="Arial Nova"/>
        </w:rPr>
        <w:t xml:space="preserve"> suggestion for further case studies as this would o</w:t>
      </w:r>
      <w:r w:rsidR="00CF9B6D" w:rsidRPr="2B0917EE">
        <w:rPr>
          <w:rFonts w:ascii="Arial Nova" w:eastAsia="Arial Nova" w:hAnsi="Arial Nova" w:cs="Arial Nova"/>
        </w:rPr>
        <w:t xml:space="preserve">ffer a more diverse yield of data and give the researcher a balanced </w:t>
      </w:r>
      <w:r w:rsidR="65016860" w:rsidRPr="2B0917EE">
        <w:rPr>
          <w:rFonts w:ascii="Arial Nova" w:eastAsia="Arial Nova" w:hAnsi="Arial Nova" w:cs="Arial Nova"/>
        </w:rPr>
        <w:t xml:space="preserve">set of results that would offer more support when attempting to investigate. </w:t>
      </w:r>
    </w:p>
    <w:p w14:paraId="5E706363" w14:textId="7A967770" w:rsidR="65016860" w:rsidRDefault="65016860" w:rsidP="2B0917EE">
      <w:pPr>
        <w:spacing w:line="360" w:lineRule="auto"/>
        <w:jc w:val="both"/>
        <w:rPr>
          <w:rFonts w:ascii="Arial Nova" w:eastAsia="Arial Nova" w:hAnsi="Arial Nova" w:cs="Arial Nova"/>
        </w:rPr>
      </w:pPr>
      <w:r w:rsidRPr="2B0917EE">
        <w:rPr>
          <w:rFonts w:ascii="Arial Nova" w:eastAsia="Arial Nova" w:hAnsi="Arial Nova" w:cs="Arial Nova"/>
        </w:rPr>
        <w:t xml:space="preserve">Overall, there were limitations that occurred </w:t>
      </w:r>
      <w:r w:rsidR="1EC6F337" w:rsidRPr="2B0917EE">
        <w:rPr>
          <w:rFonts w:ascii="Arial Nova" w:eastAsia="Arial Nova" w:hAnsi="Arial Nova" w:cs="Arial Nova"/>
        </w:rPr>
        <w:t>because of</w:t>
      </w:r>
      <w:r w:rsidRPr="2B0917EE">
        <w:rPr>
          <w:rFonts w:ascii="Arial Nova" w:eastAsia="Arial Nova" w:hAnsi="Arial Nova" w:cs="Arial Nova"/>
        </w:rPr>
        <w:t xml:space="preserve"> maintaining ethical </w:t>
      </w:r>
      <w:r w:rsidR="6A072A4F" w:rsidRPr="2B0917EE">
        <w:rPr>
          <w:rFonts w:ascii="Arial Nova" w:eastAsia="Arial Nova" w:hAnsi="Arial Nova" w:cs="Arial Nova"/>
        </w:rPr>
        <w:t>standards and this is an aspect that is non-negotiable for a case study due to the ethical considerations, all p</w:t>
      </w:r>
      <w:r w:rsidR="5122DDC2" w:rsidRPr="2B0917EE">
        <w:rPr>
          <w:rFonts w:ascii="Arial Nova" w:eastAsia="Arial Nova" w:hAnsi="Arial Nova" w:cs="Arial Nova"/>
        </w:rPr>
        <w:t xml:space="preserve">articipants must have consent, however with minimal consent it does not allow for a diverse yield of </w:t>
      </w:r>
      <w:proofErr w:type="gramStart"/>
      <w:r w:rsidR="5122DDC2" w:rsidRPr="2B0917EE">
        <w:rPr>
          <w:rFonts w:ascii="Arial Nova" w:eastAsia="Arial Nova" w:hAnsi="Arial Nova" w:cs="Arial Nova"/>
        </w:rPr>
        <w:t>data</w:t>
      </w:r>
      <w:proofErr w:type="gramEnd"/>
      <w:r w:rsidR="5122DDC2" w:rsidRPr="2B0917EE">
        <w:rPr>
          <w:rFonts w:ascii="Arial Nova" w:eastAsia="Arial Nova" w:hAnsi="Arial Nova" w:cs="Arial Nova"/>
        </w:rPr>
        <w:t xml:space="preserve"> and this is evident within this case study, a larger scale c</w:t>
      </w:r>
      <w:r w:rsidR="0727F8B7" w:rsidRPr="2B0917EE">
        <w:rPr>
          <w:rFonts w:ascii="Arial Nova" w:eastAsia="Arial Nova" w:hAnsi="Arial Nova" w:cs="Arial Nova"/>
        </w:rPr>
        <w:t>ase study may avoid this issue in future.</w:t>
      </w:r>
    </w:p>
    <w:p w14:paraId="3B0AA4F9" w14:textId="12993213" w:rsidR="2B0917EE" w:rsidRDefault="2B0917EE" w:rsidP="2B0917EE">
      <w:pPr>
        <w:spacing w:line="360" w:lineRule="auto"/>
        <w:jc w:val="both"/>
        <w:rPr>
          <w:rFonts w:ascii="Arial Nova" w:eastAsia="Arial Nova" w:hAnsi="Arial Nova" w:cs="Arial Nova"/>
        </w:rPr>
      </w:pPr>
    </w:p>
    <w:p w14:paraId="27F6B394" w14:textId="51F8194C" w:rsidR="2B0917EE" w:rsidRDefault="2B0917EE" w:rsidP="2B0917EE">
      <w:pPr>
        <w:spacing w:line="360" w:lineRule="auto"/>
        <w:jc w:val="both"/>
        <w:rPr>
          <w:rFonts w:ascii="Arial Nova" w:eastAsia="Arial Nova" w:hAnsi="Arial Nova" w:cs="Arial Nova"/>
        </w:rPr>
      </w:pPr>
    </w:p>
    <w:p w14:paraId="5B1BF948" w14:textId="3CA86140" w:rsidR="2B0917EE" w:rsidRDefault="2B0917EE" w:rsidP="2B0917EE">
      <w:pPr>
        <w:spacing w:line="360" w:lineRule="auto"/>
        <w:jc w:val="both"/>
        <w:rPr>
          <w:rFonts w:ascii="Arial Nova" w:eastAsia="Arial Nova" w:hAnsi="Arial Nova" w:cs="Arial Nova"/>
        </w:rPr>
      </w:pPr>
    </w:p>
    <w:p w14:paraId="7D98D8F9" w14:textId="20A486F8" w:rsidR="2B0917EE" w:rsidRDefault="2B0917EE" w:rsidP="2B0917EE">
      <w:pPr>
        <w:spacing w:line="360" w:lineRule="auto"/>
        <w:jc w:val="both"/>
        <w:rPr>
          <w:rFonts w:ascii="Arial Nova" w:eastAsia="Arial Nova" w:hAnsi="Arial Nova" w:cs="Arial Nova"/>
        </w:rPr>
      </w:pPr>
    </w:p>
    <w:p w14:paraId="7EBC7B54" w14:textId="54D4B4D8" w:rsidR="5788DFB2" w:rsidRDefault="5788DFB2" w:rsidP="64B43011">
      <w:pPr>
        <w:spacing w:line="360" w:lineRule="auto"/>
        <w:jc w:val="center"/>
        <w:rPr>
          <w:rFonts w:ascii="Arial Nova" w:eastAsia="Arial Nova" w:hAnsi="Arial Nova" w:cs="Arial Nova"/>
          <w:b/>
          <w:bCs/>
          <w:sz w:val="28"/>
          <w:szCs w:val="28"/>
          <w:u w:val="single"/>
        </w:rPr>
      </w:pPr>
      <w:r w:rsidRPr="330802FE">
        <w:rPr>
          <w:rFonts w:ascii="Arial Nova" w:eastAsia="Arial Nova" w:hAnsi="Arial Nova" w:cs="Arial Nova"/>
          <w:b/>
          <w:bCs/>
          <w:sz w:val="28"/>
          <w:szCs w:val="28"/>
          <w:u w:val="single"/>
        </w:rPr>
        <w:t>Reference List</w:t>
      </w:r>
    </w:p>
    <w:p w14:paraId="03130C06" w14:textId="6DB34D98" w:rsidR="1F0A7D5B" w:rsidRDefault="1F0A7D5B"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 xml:space="preserve">Denscombe, Martyn. (2014) Good Research Guide [electronic resource]: For Small-Scale Social Research Projects. 5th </w:t>
      </w:r>
      <w:r w:rsidR="03D0B32E" w:rsidRPr="2B0917EE">
        <w:rPr>
          <w:rFonts w:ascii="Arial Nova" w:eastAsia="Arial Nova" w:hAnsi="Arial Nova" w:cs="Arial Nova"/>
          <w:i/>
          <w:iCs/>
          <w:color w:val="333333"/>
          <w:sz w:val="20"/>
          <w:szCs w:val="20"/>
        </w:rPr>
        <w:t>ed.:</w:t>
      </w:r>
      <w:r w:rsidRPr="2B0917EE">
        <w:rPr>
          <w:rFonts w:ascii="Arial Nova" w:eastAsia="Arial Nova" w:hAnsi="Arial Nova" w:cs="Arial Nova"/>
          <w:i/>
          <w:iCs/>
          <w:color w:val="333333"/>
          <w:sz w:val="20"/>
          <w:szCs w:val="20"/>
        </w:rPr>
        <w:t xml:space="preserve"> McGraw-Hill Education.</w:t>
      </w:r>
    </w:p>
    <w:p w14:paraId="4AB038D8" w14:textId="42028153" w:rsidR="50367FD2" w:rsidRDefault="50367FD2" w:rsidP="2B0917EE">
      <w:pPr>
        <w:spacing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BERA (2019). Ethical Guidelines for Educational Research, Fourth Edition (2018). [online] Bera.ac.uk. Available at: </w:t>
      </w:r>
      <w:hyperlink r:id="rId7">
        <w:r w:rsidRPr="2B0917EE">
          <w:rPr>
            <w:rStyle w:val="Hyperlink"/>
            <w:rFonts w:ascii="Arial Nova" w:eastAsia="Arial Nova" w:hAnsi="Arial Nova" w:cs="Arial Nova"/>
            <w:i/>
            <w:iCs/>
            <w:sz w:val="20"/>
            <w:szCs w:val="20"/>
          </w:rPr>
          <w:t>https://www.bera.ac.uk/publication/ethical-guidelines-for-educational-research-2018-online</w:t>
        </w:r>
      </w:hyperlink>
      <w:r w:rsidRPr="2B0917EE">
        <w:rPr>
          <w:rFonts w:ascii="Arial Nova" w:eastAsia="Arial Nova" w:hAnsi="Arial Nova" w:cs="Arial Nova"/>
          <w:i/>
          <w:iCs/>
          <w:sz w:val="20"/>
          <w:szCs w:val="20"/>
        </w:rPr>
        <w:t>.</w:t>
      </w:r>
    </w:p>
    <w:p w14:paraId="199E0EC0" w14:textId="1DD472ED" w:rsidR="265A90DE" w:rsidRDefault="265A90DE" w:rsidP="2B0917EE">
      <w:pPr>
        <w:spacing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UNICEF</w:t>
      </w:r>
      <w:r w:rsidR="4B11B69C" w:rsidRPr="2B0917EE">
        <w:rPr>
          <w:rFonts w:ascii="Arial Nova" w:eastAsia="Arial Nova" w:hAnsi="Arial Nova" w:cs="Arial Nova"/>
          <w:i/>
          <w:iCs/>
          <w:sz w:val="20"/>
          <w:szCs w:val="20"/>
        </w:rPr>
        <w:t xml:space="preserve"> (2023). The Right to Participation for Rights Respecting Schools - UNICEF UK. [online] Rights Respecting Schools Award. Available at: </w:t>
      </w:r>
      <w:hyperlink r:id="rId8" w:anchor=":~:text=Article%2012%20says%20that%20every">
        <w:r w:rsidR="4B11B69C" w:rsidRPr="2B0917EE">
          <w:rPr>
            <w:rStyle w:val="Hyperlink"/>
            <w:rFonts w:ascii="Arial Nova" w:eastAsia="Arial Nova" w:hAnsi="Arial Nova" w:cs="Arial Nova"/>
            <w:i/>
            <w:iCs/>
            <w:sz w:val="20"/>
            <w:szCs w:val="20"/>
          </w:rPr>
          <w:t>https://www.unicef.org.uk/rights-respecting-schools/the-right-to-participation/#:~:text=Article%2012%20says%20that%20every</w:t>
        </w:r>
      </w:hyperlink>
      <w:r w:rsidR="4B11B69C" w:rsidRPr="2B0917EE">
        <w:rPr>
          <w:rFonts w:ascii="Arial Nova" w:eastAsia="Arial Nova" w:hAnsi="Arial Nova" w:cs="Arial Nova"/>
          <w:i/>
          <w:iCs/>
          <w:sz w:val="20"/>
          <w:szCs w:val="20"/>
        </w:rPr>
        <w:t>.</w:t>
      </w:r>
    </w:p>
    <w:p w14:paraId="2C8BCD93" w14:textId="53CEF10A" w:rsidR="2BD7186F" w:rsidRDefault="2BD7186F"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S.E. Noffke &amp; Bridget. Somekh (eds.) (2009) The SAGE handbook of educational action research [electronic resource</w:t>
      </w:r>
      <w:r w:rsidR="779940A0" w:rsidRPr="2B0917EE">
        <w:rPr>
          <w:rFonts w:ascii="Arial Nova" w:eastAsia="Arial Nova" w:hAnsi="Arial Nova" w:cs="Arial Nova"/>
          <w:i/>
          <w:iCs/>
          <w:color w:val="333333"/>
          <w:sz w:val="20"/>
          <w:szCs w:val="20"/>
        </w:rPr>
        <w:t>].</w:t>
      </w:r>
      <w:r w:rsidRPr="2B0917EE">
        <w:rPr>
          <w:rFonts w:ascii="Arial Nova" w:eastAsia="Arial Nova" w:hAnsi="Arial Nova" w:cs="Arial Nova"/>
          <w:i/>
          <w:iCs/>
          <w:color w:val="333333"/>
          <w:sz w:val="20"/>
          <w:szCs w:val="20"/>
        </w:rPr>
        <w:t xml:space="preserve"> Los Angeles, [Calif.</w:t>
      </w:r>
      <w:r w:rsidR="7EFE9AB0" w:rsidRPr="2B0917EE">
        <w:rPr>
          <w:rFonts w:ascii="Arial Nova" w:eastAsia="Arial Nova" w:hAnsi="Arial Nova" w:cs="Arial Nova"/>
          <w:i/>
          <w:iCs/>
          <w:color w:val="333333"/>
          <w:sz w:val="20"/>
          <w:szCs w:val="20"/>
        </w:rPr>
        <w:t>];</w:t>
      </w:r>
      <w:r w:rsidRPr="2B0917EE">
        <w:rPr>
          <w:rFonts w:ascii="Arial Nova" w:eastAsia="Arial Nova" w:hAnsi="Arial Nova" w:cs="Arial Nova"/>
          <w:i/>
          <w:iCs/>
          <w:color w:val="333333"/>
          <w:sz w:val="20"/>
          <w:szCs w:val="20"/>
        </w:rPr>
        <w:t xml:space="preserve"> </w:t>
      </w:r>
      <w:r w:rsidR="206F905D" w:rsidRPr="2B0917EE">
        <w:rPr>
          <w:rFonts w:ascii="Arial Nova" w:eastAsia="Arial Nova" w:hAnsi="Arial Nova" w:cs="Arial Nova"/>
          <w:i/>
          <w:iCs/>
          <w:color w:val="333333"/>
          <w:sz w:val="20"/>
          <w:szCs w:val="20"/>
        </w:rPr>
        <w:t>London:</w:t>
      </w:r>
      <w:r w:rsidRPr="2B0917EE">
        <w:rPr>
          <w:rFonts w:ascii="Arial Nova" w:eastAsia="Arial Nova" w:hAnsi="Arial Nova" w:cs="Arial Nova"/>
          <w:i/>
          <w:iCs/>
          <w:color w:val="333333"/>
          <w:sz w:val="20"/>
          <w:szCs w:val="20"/>
        </w:rPr>
        <w:t xml:space="preserve"> SAGE.</w:t>
      </w:r>
    </w:p>
    <w:p w14:paraId="25FC2A4A" w14:textId="3E7FD398" w:rsidR="0AA0F9E5" w:rsidRDefault="0AA0F9E5"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 xml:space="preserve">Cohen, L. (2011) Research methods in </w:t>
      </w:r>
      <w:r w:rsidR="5C0F31C6" w:rsidRPr="2B0917EE">
        <w:rPr>
          <w:rFonts w:ascii="Arial Nova" w:eastAsia="Arial Nova" w:hAnsi="Arial Nova" w:cs="Arial Nova"/>
          <w:i/>
          <w:iCs/>
          <w:color w:val="333333"/>
          <w:sz w:val="20"/>
          <w:szCs w:val="20"/>
        </w:rPr>
        <w:t>education.</w:t>
      </w:r>
      <w:r w:rsidRPr="2B0917EE">
        <w:rPr>
          <w:rFonts w:ascii="Arial Nova" w:eastAsia="Arial Nova" w:hAnsi="Arial Nova" w:cs="Arial Nova"/>
          <w:i/>
          <w:iCs/>
          <w:color w:val="333333"/>
          <w:sz w:val="20"/>
          <w:szCs w:val="20"/>
        </w:rPr>
        <w:t xml:space="preserve"> 7th ed. </w:t>
      </w:r>
      <w:r w:rsidR="4672D324" w:rsidRPr="2B0917EE">
        <w:rPr>
          <w:rFonts w:ascii="Arial Nova" w:eastAsia="Arial Nova" w:hAnsi="Arial Nova" w:cs="Arial Nova"/>
          <w:i/>
          <w:iCs/>
          <w:color w:val="333333"/>
          <w:sz w:val="20"/>
          <w:szCs w:val="20"/>
        </w:rPr>
        <w:t>London;</w:t>
      </w:r>
      <w:r w:rsidRPr="2B0917EE">
        <w:rPr>
          <w:rFonts w:ascii="Arial Nova" w:eastAsia="Arial Nova" w:hAnsi="Arial Nova" w:cs="Arial Nova"/>
          <w:i/>
          <w:iCs/>
          <w:color w:val="333333"/>
          <w:sz w:val="20"/>
          <w:szCs w:val="20"/>
        </w:rPr>
        <w:t xml:space="preserve"> New </w:t>
      </w:r>
      <w:r w:rsidR="5168BAE3" w:rsidRPr="2B0917EE">
        <w:rPr>
          <w:rFonts w:ascii="Arial Nova" w:eastAsia="Arial Nova" w:hAnsi="Arial Nova" w:cs="Arial Nova"/>
          <w:i/>
          <w:iCs/>
          <w:color w:val="333333"/>
          <w:sz w:val="20"/>
          <w:szCs w:val="20"/>
        </w:rPr>
        <w:t>York:</w:t>
      </w:r>
      <w:r w:rsidRPr="2B0917EE">
        <w:rPr>
          <w:rFonts w:ascii="Arial Nova" w:eastAsia="Arial Nova" w:hAnsi="Arial Nova" w:cs="Arial Nova"/>
          <w:i/>
          <w:iCs/>
          <w:color w:val="333333"/>
          <w:sz w:val="20"/>
          <w:szCs w:val="20"/>
        </w:rPr>
        <w:t xml:space="preserve"> </w:t>
      </w:r>
      <w:r w:rsidR="1604977A" w:rsidRPr="2B0917EE">
        <w:rPr>
          <w:rFonts w:ascii="Arial Nova" w:eastAsia="Arial Nova" w:hAnsi="Arial Nova" w:cs="Arial Nova"/>
          <w:i/>
          <w:iCs/>
          <w:color w:val="333333"/>
          <w:sz w:val="20"/>
          <w:szCs w:val="20"/>
        </w:rPr>
        <w:t>London;</w:t>
      </w:r>
      <w:r w:rsidRPr="2B0917EE">
        <w:rPr>
          <w:rFonts w:ascii="Arial Nova" w:eastAsia="Arial Nova" w:hAnsi="Arial Nova" w:cs="Arial Nova"/>
          <w:i/>
          <w:iCs/>
          <w:color w:val="333333"/>
          <w:sz w:val="20"/>
          <w:szCs w:val="20"/>
        </w:rPr>
        <w:t xml:space="preserve"> New </w:t>
      </w:r>
      <w:r w:rsidR="58B3190D" w:rsidRPr="2B0917EE">
        <w:rPr>
          <w:rFonts w:ascii="Arial Nova" w:eastAsia="Arial Nova" w:hAnsi="Arial Nova" w:cs="Arial Nova"/>
          <w:i/>
          <w:iCs/>
          <w:color w:val="333333"/>
          <w:sz w:val="20"/>
          <w:szCs w:val="20"/>
        </w:rPr>
        <w:t>York:</w:t>
      </w:r>
      <w:r w:rsidRPr="2B0917EE">
        <w:rPr>
          <w:rFonts w:ascii="Arial Nova" w:eastAsia="Arial Nova" w:hAnsi="Arial Nova" w:cs="Arial Nova"/>
          <w:i/>
          <w:iCs/>
          <w:color w:val="333333"/>
          <w:sz w:val="20"/>
          <w:szCs w:val="20"/>
        </w:rPr>
        <w:t xml:space="preserve"> Routledge. doi:10.4324/9780203720967.</w:t>
      </w:r>
    </w:p>
    <w:p w14:paraId="2C9937AC" w14:textId="7C45B96C" w:rsidR="0AA0F9E5" w:rsidRDefault="0AA0F9E5"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 xml:space="preserve">Bruce, T. (2015) Observing young </w:t>
      </w:r>
      <w:r w:rsidR="0F8693E1" w:rsidRPr="2B0917EE">
        <w:rPr>
          <w:rFonts w:ascii="Arial Nova" w:eastAsia="Arial Nova" w:hAnsi="Arial Nova" w:cs="Arial Nova"/>
          <w:i/>
          <w:iCs/>
          <w:color w:val="333333"/>
          <w:sz w:val="20"/>
          <w:szCs w:val="20"/>
        </w:rPr>
        <w:t>children.</w:t>
      </w:r>
      <w:r w:rsidRPr="2B0917EE">
        <w:rPr>
          <w:rFonts w:ascii="Arial Nova" w:eastAsia="Arial Nova" w:hAnsi="Arial Nova" w:cs="Arial Nova"/>
          <w:i/>
          <w:iCs/>
          <w:color w:val="333333"/>
          <w:sz w:val="20"/>
          <w:szCs w:val="20"/>
        </w:rPr>
        <w:t xml:space="preserve"> Los </w:t>
      </w:r>
      <w:r w:rsidR="391F5FBB" w:rsidRPr="2B0917EE">
        <w:rPr>
          <w:rFonts w:ascii="Arial Nova" w:eastAsia="Arial Nova" w:hAnsi="Arial Nova" w:cs="Arial Nova"/>
          <w:i/>
          <w:iCs/>
          <w:color w:val="333333"/>
          <w:sz w:val="20"/>
          <w:szCs w:val="20"/>
        </w:rPr>
        <w:t>Angeles:</w:t>
      </w:r>
      <w:r w:rsidRPr="2B0917EE">
        <w:rPr>
          <w:rFonts w:ascii="Arial Nova" w:eastAsia="Arial Nova" w:hAnsi="Arial Nova" w:cs="Arial Nova"/>
          <w:i/>
          <w:iCs/>
          <w:color w:val="333333"/>
          <w:sz w:val="20"/>
          <w:szCs w:val="20"/>
        </w:rPr>
        <w:t xml:space="preserve"> SAGE.</w:t>
      </w:r>
    </w:p>
    <w:p w14:paraId="00DF5776" w14:textId="400A0274" w:rsidR="4F576E76" w:rsidRDefault="4F576E76"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 xml:space="preserve">McNiff, Jean. (2012) Action </w:t>
      </w:r>
      <w:r w:rsidR="7E8E1831" w:rsidRPr="2B0917EE">
        <w:rPr>
          <w:rFonts w:ascii="Arial Nova" w:eastAsia="Arial Nova" w:hAnsi="Arial Nova" w:cs="Arial Nova"/>
          <w:i/>
          <w:iCs/>
          <w:color w:val="333333"/>
          <w:sz w:val="20"/>
          <w:szCs w:val="20"/>
        </w:rPr>
        <w:t>research:</w:t>
      </w:r>
      <w:r w:rsidRPr="2B0917EE">
        <w:rPr>
          <w:rFonts w:ascii="Arial Nova" w:eastAsia="Arial Nova" w:hAnsi="Arial Nova" w:cs="Arial Nova"/>
          <w:i/>
          <w:iCs/>
          <w:color w:val="333333"/>
          <w:sz w:val="20"/>
          <w:szCs w:val="20"/>
        </w:rPr>
        <w:t xml:space="preserve"> principles and practice. 3rd ed. /. </w:t>
      </w:r>
      <w:r w:rsidR="60D53AF8" w:rsidRPr="2B0917EE">
        <w:rPr>
          <w:rFonts w:ascii="Arial Nova" w:eastAsia="Arial Nova" w:hAnsi="Arial Nova" w:cs="Arial Nova"/>
          <w:i/>
          <w:iCs/>
          <w:color w:val="333333"/>
          <w:sz w:val="20"/>
          <w:szCs w:val="20"/>
        </w:rPr>
        <w:t>London:</w:t>
      </w:r>
      <w:r w:rsidRPr="2B0917EE">
        <w:rPr>
          <w:rFonts w:ascii="Arial Nova" w:eastAsia="Arial Nova" w:hAnsi="Arial Nova" w:cs="Arial Nova"/>
          <w:i/>
          <w:iCs/>
          <w:color w:val="333333"/>
          <w:sz w:val="20"/>
          <w:szCs w:val="20"/>
        </w:rPr>
        <w:t xml:space="preserve"> Routledge.</w:t>
      </w:r>
    </w:p>
    <w:p w14:paraId="2D749D74" w14:textId="56FE99D6" w:rsidR="4F576E76" w:rsidRDefault="4F576E76" w:rsidP="2B0917EE">
      <w:pPr>
        <w:spacing w:line="360" w:lineRule="auto"/>
        <w:rPr>
          <w:rFonts w:ascii="Arial Nova" w:eastAsia="Arial Nova" w:hAnsi="Arial Nova" w:cs="Arial Nova"/>
          <w:i/>
          <w:iCs/>
          <w:color w:val="333333"/>
          <w:sz w:val="20"/>
          <w:szCs w:val="20"/>
        </w:rPr>
      </w:pPr>
      <w:r w:rsidRPr="2B0917EE">
        <w:rPr>
          <w:rFonts w:ascii="Arial Nova" w:eastAsia="Arial Nova" w:hAnsi="Arial Nova" w:cs="Arial Nova"/>
          <w:i/>
          <w:iCs/>
          <w:color w:val="333333"/>
          <w:sz w:val="20"/>
          <w:szCs w:val="20"/>
        </w:rPr>
        <w:t xml:space="preserve">May, Tim. (2011) Social research &amp; </w:t>
      </w:r>
      <w:r w:rsidR="27680808" w:rsidRPr="2B0917EE">
        <w:rPr>
          <w:rFonts w:ascii="Arial Nova" w:eastAsia="Arial Nova" w:hAnsi="Arial Nova" w:cs="Arial Nova"/>
          <w:i/>
          <w:iCs/>
          <w:color w:val="333333"/>
          <w:sz w:val="20"/>
          <w:szCs w:val="20"/>
        </w:rPr>
        <w:t>reflexivity:</w:t>
      </w:r>
      <w:r w:rsidRPr="2B0917EE">
        <w:rPr>
          <w:rFonts w:ascii="Arial Nova" w:eastAsia="Arial Nova" w:hAnsi="Arial Nova" w:cs="Arial Nova"/>
          <w:i/>
          <w:iCs/>
          <w:color w:val="333333"/>
          <w:sz w:val="20"/>
          <w:szCs w:val="20"/>
        </w:rPr>
        <w:t xml:space="preserve"> content, </w:t>
      </w:r>
      <w:proofErr w:type="gramStart"/>
      <w:r w:rsidRPr="2B0917EE">
        <w:rPr>
          <w:rFonts w:ascii="Arial Nova" w:eastAsia="Arial Nova" w:hAnsi="Arial Nova" w:cs="Arial Nova"/>
          <w:i/>
          <w:iCs/>
          <w:color w:val="333333"/>
          <w:sz w:val="20"/>
          <w:szCs w:val="20"/>
        </w:rPr>
        <w:t>consequences</w:t>
      </w:r>
      <w:proofErr w:type="gramEnd"/>
      <w:r w:rsidRPr="2B0917EE">
        <w:rPr>
          <w:rFonts w:ascii="Arial Nova" w:eastAsia="Arial Nova" w:hAnsi="Arial Nova" w:cs="Arial Nova"/>
          <w:i/>
          <w:iCs/>
          <w:color w:val="333333"/>
          <w:sz w:val="20"/>
          <w:szCs w:val="20"/>
        </w:rPr>
        <w:t xml:space="preserve"> and </w:t>
      </w:r>
      <w:r w:rsidR="06BDDB07" w:rsidRPr="2B0917EE">
        <w:rPr>
          <w:rFonts w:ascii="Arial Nova" w:eastAsia="Arial Nova" w:hAnsi="Arial Nova" w:cs="Arial Nova"/>
          <w:i/>
          <w:iCs/>
          <w:color w:val="333333"/>
          <w:sz w:val="20"/>
          <w:szCs w:val="20"/>
        </w:rPr>
        <w:t>context.</w:t>
      </w:r>
      <w:r w:rsidRPr="2B0917EE">
        <w:rPr>
          <w:rFonts w:ascii="Arial Nova" w:eastAsia="Arial Nova" w:hAnsi="Arial Nova" w:cs="Arial Nova"/>
          <w:i/>
          <w:iCs/>
          <w:color w:val="333333"/>
          <w:sz w:val="20"/>
          <w:szCs w:val="20"/>
        </w:rPr>
        <w:t xml:space="preserve"> </w:t>
      </w:r>
      <w:r w:rsidR="2CE2BD20" w:rsidRPr="2B0917EE">
        <w:rPr>
          <w:rFonts w:ascii="Arial Nova" w:eastAsia="Arial Nova" w:hAnsi="Arial Nova" w:cs="Arial Nova"/>
          <w:i/>
          <w:iCs/>
          <w:color w:val="333333"/>
          <w:sz w:val="20"/>
          <w:szCs w:val="20"/>
        </w:rPr>
        <w:t>London:</w:t>
      </w:r>
      <w:r w:rsidRPr="2B0917EE">
        <w:rPr>
          <w:rFonts w:ascii="Arial Nova" w:eastAsia="Arial Nova" w:hAnsi="Arial Nova" w:cs="Arial Nova"/>
          <w:i/>
          <w:iCs/>
          <w:color w:val="333333"/>
          <w:sz w:val="20"/>
          <w:szCs w:val="20"/>
        </w:rPr>
        <w:t xml:space="preserve"> SAGE.</w:t>
      </w:r>
    </w:p>
    <w:p w14:paraId="5037D375" w14:textId="6B8B841E" w:rsidR="0B2DB886" w:rsidRDefault="15AF1AAD" w:rsidP="2B0917EE">
      <w:pPr>
        <w:spacing w:line="360" w:lineRule="auto"/>
        <w:ind w:left="-20" w:right="-20"/>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Main, P. (2021). Leuven Scale: A teacher’s guide. [online] </w:t>
      </w:r>
      <w:r w:rsidRPr="2B0917EE">
        <w:rPr>
          <w:rStyle w:val="Hyperlink"/>
          <w:rFonts w:ascii="Arial Nova" w:eastAsia="Arial Nova" w:hAnsi="Arial Nova" w:cs="Arial Nova"/>
          <w:i/>
          <w:iCs/>
          <w:sz w:val="20"/>
          <w:szCs w:val="20"/>
        </w:rPr>
        <w:t>www.structural-learning.com</w:t>
      </w:r>
      <w:r w:rsidRPr="2B0917EE">
        <w:rPr>
          <w:rFonts w:ascii="Arial Nova" w:eastAsia="Arial Nova" w:hAnsi="Arial Nova" w:cs="Arial Nova"/>
          <w:i/>
          <w:iCs/>
          <w:sz w:val="20"/>
          <w:szCs w:val="20"/>
        </w:rPr>
        <w:t xml:space="preserve">. Available at: </w:t>
      </w:r>
      <w:hyperlink r:id="rId9" w:anchor=":~:text=The%20Leuven%20Scale%2C%20is%20a">
        <w:r w:rsidRPr="2B0917EE">
          <w:rPr>
            <w:rStyle w:val="Hyperlink"/>
            <w:rFonts w:ascii="Arial Nova" w:eastAsia="Arial Nova" w:hAnsi="Arial Nova" w:cs="Arial Nova"/>
            <w:i/>
            <w:iCs/>
            <w:sz w:val="20"/>
            <w:szCs w:val="20"/>
          </w:rPr>
          <w:t>https://www.structural-learning.com/post/leuven-scale-a-teachers-guide#:~:text=The%20Leuven%20Scale%2C%20is%20a</w:t>
        </w:r>
      </w:hyperlink>
      <w:r w:rsidRPr="2B0917EE">
        <w:rPr>
          <w:rFonts w:ascii="Arial Nova" w:eastAsia="Arial Nova" w:hAnsi="Arial Nova" w:cs="Arial Nova"/>
          <w:i/>
          <w:iCs/>
          <w:sz w:val="20"/>
          <w:szCs w:val="20"/>
        </w:rPr>
        <w:t>.</w:t>
      </w:r>
    </w:p>
    <w:p w14:paraId="30486697" w14:textId="074F4E5F" w:rsidR="0B2DB886" w:rsidRDefault="142D7CFB" w:rsidP="2B0917EE">
      <w:pPr>
        <w:spacing w:line="360" w:lineRule="auto"/>
        <w:ind w:left="-20" w:right="-20"/>
        <w:rPr>
          <w:rFonts w:ascii="Arial Nova" w:eastAsia="Arial Nova" w:hAnsi="Arial Nova" w:cs="Arial Nova"/>
          <w:i/>
          <w:iCs/>
          <w:sz w:val="20"/>
          <w:szCs w:val="20"/>
        </w:rPr>
      </w:pPr>
      <w:proofErr w:type="spellStart"/>
      <w:r w:rsidRPr="2B0917EE">
        <w:rPr>
          <w:rFonts w:ascii="Arial Nova" w:eastAsia="Arial Nova" w:hAnsi="Arial Nova" w:cs="Arial Nova"/>
          <w:i/>
          <w:iCs/>
          <w:sz w:val="20"/>
          <w:szCs w:val="20"/>
        </w:rPr>
        <w:t>MacRae</w:t>
      </w:r>
      <w:proofErr w:type="spellEnd"/>
      <w:r w:rsidRPr="2B0917EE">
        <w:rPr>
          <w:rFonts w:ascii="Arial Nova" w:eastAsia="Arial Nova" w:hAnsi="Arial Nova" w:cs="Arial Nova"/>
          <w:i/>
          <w:iCs/>
          <w:sz w:val="20"/>
          <w:szCs w:val="20"/>
        </w:rPr>
        <w:t xml:space="preserve">, C. and Jones, L. (2020). A philosophical reflection on the ‘Leuven Scale’ and young children’s expressions of involvement. International Journal of Qualitative Studies in Education, 36(2), pp.1–13.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://doi.org/10.1080/09518398.2020.1828650</w:t>
      </w:r>
      <w:proofErr w:type="gramEnd"/>
      <w:r w:rsidRPr="2B0917EE">
        <w:rPr>
          <w:rFonts w:ascii="Arial Nova" w:eastAsia="Arial Nova" w:hAnsi="Arial Nova" w:cs="Arial Nova"/>
          <w:i/>
          <w:iCs/>
          <w:sz w:val="20"/>
          <w:szCs w:val="20"/>
        </w:rPr>
        <w:t>.</w:t>
      </w:r>
    </w:p>
    <w:p w14:paraId="325089EF" w14:textId="0E039B9C" w:rsidR="4B44A513" w:rsidRDefault="4B44A513"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Barber, J. (2013). Leuven Wellbeing Scales. Early Years Educator, 15(6), pp.32–34.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://doi.org/10.12968/eyed.2013.15.6.32</w:t>
      </w:r>
      <w:proofErr w:type="gramEnd"/>
      <w:r w:rsidRPr="2B0917EE">
        <w:rPr>
          <w:rFonts w:ascii="Arial Nova" w:eastAsia="Arial Nova" w:hAnsi="Arial Nova" w:cs="Arial Nova"/>
          <w:i/>
          <w:iCs/>
          <w:sz w:val="20"/>
          <w:szCs w:val="20"/>
        </w:rPr>
        <w:t>.</w:t>
      </w:r>
    </w:p>
    <w:p w14:paraId="5E26AB6D" w14:textId="36ED0655" w:rsidR="5305F0E1" w:rsidRDefault="5305F0E1" w:rsidP="2B0917EE">
      <w:pPr>
        <w:spacing w:after="240" w:line="360" w:lineRule="auto"/>
        <w:rPr>
          <w:rFonts w:ascii="Arial Nova" w:eastAsia="Arial Nova" w:hAnsi="Arial Nova" w:cs="Arial Nova"/>
          <w:i/>
          <w:iCs/>
          <w:sz w:val="20"/>
          <w:szCs w:val="20"/>
        </w:rPr>
      </w:pPr>
      <w:proofErr w:type="spellStart"/>
      <w:r w:rsidRPr="2B0917EE">
        <w:rPr>
          <w:rFonts w:ascii="Arial Nova" w:eastAsia="Arial Nova" w:hAnsi="Arial Nova" w:cs="Arial Nova"/>
          <w:i/>
          <w:iCs/>
          <w:sz w:val="20"/>
          <w:szCs w:val="20"/>
        </w:rPr>
        <w:t>Intersoft</w:t>
      </w:r>
      <w:proofErr w:type="spellEnd"/>
      <w:r w:rsidRPr="2B0917EE">
        <w:rPr>
          <w:rFonts w:ascii="Arial Nova" w:eastAsia="Arial Nova" w:hAnsi="Arial Nova" w:cs="Arial Nova"/>
          <w:i/>
          <w:iCs/>
          <w:sz w:val="20"/>
          <w:szCs w:val="20"/>
        </w:rPr>
        <w:t xml:space="preserve"> Consulting (2019). Art. 7 GDPR – Conditions for Consent | General Data Protection Regulation (GDPR). [online] General Data Protection Regulation (GDPR). Available at: </w:t>
      </w:r>
      <w:hyperlink r:id="rId10">
        <w:r w:rsidRPr="2B0917EE">
          <w:rPr>
            <w:rStyle w:val="Hyperlink"/>
            <w:rFonts w:ascii="Arial Nova" w:eastAsia="Arial Nova" w:hAnsi="Arial Nova" w:cs="Arial Nova"/>
            <w:i/>
            <w:iCs/>
            <w:sz w:val="20"/>
            <w:szCs w:val="20"/>
          </w:rPr>
          <w:t>https://gdpr-info.eu/art-7-gdpr/</w:t>
        </w:r>
      </w:hyperlink>
      <w:r w:rsidRPr="2B0917EE">
        <w:rPr>
          <w:rFonts w:ascii="Arial Nova" w:eastAsia="Arial Nova" w:hAnsi="Arial Nova" w:cs="Arial Nova"/>
          <w:i/>
          <w:iCs/>
          <w:sz w:val="20"/>
          <w:szCs w:val="20"/>
        </w:rPr>
        <w:t>.</w:t>
      </w:r>
    </w:p>
    <w:p w14:paraId="5F2B7325" w14:textId="03DB5089" w:rsidR="4CED4D19" w:rsidRDefault="4CED4D19"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lastRenderedPageBreak/>
        <w:t xml:space="preserve">Amundsen, R., Riby, L.M., Hamilton, C., Hope, M. and McGann, D. (2020). Mindfulness in primary school children as a route to enhanced life satisfaction, positive </w:t>
      </w:r>
      <w:proofErr w:type="gramStart"/>
      <w:r w:rsidRPr="2B0917EE">
        <w:rPr>
          <w:rFonts w:ascii="Arial Nova" w:eastAsia="Arial Nova" w:hAnsi="Arial Nova" w:cs="Arial Nova"/>
          <w:i/>
          <w:iCs/>
          <w:sz w:val="20"/>
          <w:szCs w:val="20"/>
        </w:rPr>
        <w:t>outlook</w:t>
      </w:r>
      <w:proofErr w:type="gramEnd"/>
      <w:r w:rsidRPr="2B0917EE">
        <w:rPr>
          <w:rFonts w:ascii="Arial Nova" w:eastAsia="Arial Nova" w:hAnsi="Arial Nova" w:cs="Arial Nova"/>
          <w:i/>
          <w:iCs/>
          <w:sz w:val="20"/>
          <w:szCs w:val="20"/>
        </w:rPr>
        <w:t xml:space="preserve"> and effective emotion regulation. BMC Psychology, 8(1).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://doi.org/10.1186/s40359-020-00428-y</w:t>
      </w:r>
      <w:proofErr w:type="gramEnd"/>
      <w:r w:rsidRPr="2B0917EE">
        <w:rPr>
          <w:rFonts w:ascii="Arial Nova" w:eastAsia="Arial Nova" w:hAnsi="Arial Nova" w:cs="Arial Nova"/>
          <w:i/>
          <w:iCs/>
          <w:sz w:val="20"/>
          <w:szCs w:val="20"/>
        </w:rPr>
        <w:t>.</w:t>
      </w:r>
    </w:p>
    <w:p w14:paraId="21750F70" w14:textId="74BDCE47" w:rsidR="4CED4D19" w:rsidRDefault="4CED4D19"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Vickery, C.E. and Dorjee, D. (2016). Mindfulness Training in Primary Schools Decreases Negative Affect and Increases Meta-Cognition in Children. Frontiers in Psychology, 6.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://doi.org/10.3389/fpsyg.2015.02025</w:t>
      </w:r>
      <w:proofErr w:type="gramEnd"/>
      <w:r w:rsidRPr="2B0917EE">
        <w:rPr>
          <w:rFonts w:ascii="Arial Nova" w:eastAsia="Arial Nova" w:hAnsi="Arial Nova" w:cs="Arial Nova"/>
          <w:i/>
          <w:iCs/>
          <w:sz w:val="20"/>
          <w:szCs w:val="20"/>
        </w:rPr>
        <w:t>.</w:t>
      </w:r>
    </w:p>
    <w:p w14:paraId="6A2E4A45" w14:textId="7139F3B1" w:rsidR="4CED4D19" w:rsidRDefault="4CED4D19"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Bostic, J.Q., Nevarez, M.D., Potter, M.P., Prince, J.B., Benningfield, M.M. and Aguirre, B.A. (2015). Being present at school: implementing mindfulness in schools. Child and adolescent psychiatric clinics of North America, [online] 24(2), pp.245–59.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://doi.org/10.1016/j.chc.2014.11.010</w:t>
      </w:r>
      <w:proofErr w:type="gramEnd"/>
      <w:r w:rsidRPr="2B0917EE">
        <w:rPr>
          <w:rFonts w:ascii="Arial Nova" w:eastAsia="Arial Nova" w:hAnsi="Arial Nova" w:cs="Arial Nova"/>
          <w:i/>
          <w:iCs/>
          <w:sz w:val="20"/>
          <w:szCs w:val="20"/>
        </w:rPr>
        <w:t>.</w:t>
      </w:r>
    </w:p>
    <w:p w14:paraId="1020E7BD" w14:textId="259BB533" w:rsidR="6DBE1363" w:rsidRDefault="6DBE1363"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Priya, A. (2020). Case Study Methodology of Qualitative Research: Key Attributes and Navigating the Conundrums in Its Application. Sociological Bulletin, 70(1), pp.94–110.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://doi.org/10.1177/0038022920970318</w:t>
      </w:r>
      <w:proofErr w:type="gramEnd"/>
      <w:r w:rsidRPr="2B0917EE">
        <w:rPr>
          <w:rFonts w:ascii="Arial Nova" w:eastAsia="Arial Nova" w:hAnsi="Arial Nova" w:cs="Arial Nova"/>
          <w:i/>
          <w:iCs/>
          <w:sz w:val="20"/>
          <w:szCs w:val="20"/>
        </w:rPr>
        <w:t>.</w:t>
      </w:r>
    </w:p>
    <w:p w14:paraId="737D38DF" w14:textId="41F638D0" w:rsidR="14F1122B" w:rsidRDefault="14F1122B"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Horton, M. (2022). Simple Random Sample: Advantages and Disadvantages. [online] Investopedia. Available at: </w:t>
      </w:r>
      <w:hyperlink r:id="rId11" w:anchor=":~:text=Researchers%20choose%20simple%20random%20sampling">
        <w:r w:rsidRPr="2B0917EE">
          <w:rPr>
            <w:rStyle w:val="Hyperlink"/>
            <w:rFonts w:ascii="Arial Nova" w:eastAsia="Arial Nova" w:hAnsi="Arial Nova" w:cs="Arial Nova"/>
            <w:i/>
            <w:iCs/>
            <w:sz w:val="20"/>
            <w:szCs w:val="20"/>
          </w:rPr>
          <w:t>https://www.investopedia.com/ask/answers/042815/what-are-disadvantages-using-simple-random-sample-approximate-larger-population.asp#:~:text=Researchers%20choose%20simple%20random%20sampling</w:t>
        </w:r>
      </w:hyperlink>
      <w:r w:rsidRPr="2B0917EE">
        <w:rPr>
          <w:rFonts w:ascii="Arial Nova" w:eastAsia="Arial Nova" w:hAnsi="Arial Nova" w:cs="Arial Nova"/>
          <w:i/>
          <w:iCs/>
          <w:sz w:val="20"/>
          <w:szCs w:val="20"/>
        </w:rPr>
        <w:t>.</w:t>
      </w:r>
    </w:p>
    <w:p w14:paraId="73B28982" w14:textId="6E9BE5DF" w:rsidR="7FF08E79" w:rsidRDefault="7FF08E79"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color w:val="222222"/>
          <w:sz w:val="20"/>
          <w:szCs w:val="20"/>
        </w:rPr>
        <w:t>Clark, A., 2005. Ways of seeing: Using the Mosaic approach to listen to young children’s perspectives. In Beyond listening (pp. 29-50). Policy Press.</w:t>
      </w:r>
    </w:p>
    <w:p w14:paraId="7FDA35F1" w14:textId="12E76D99" w:rsidR="6C5A493B" w:rsidRDefault="6C5A493B" w:rsidP="2B0917EE">
      <w:pPr>
        <w:spacing w:after="240" w:line="360" w:lineRule="auto"/>
        <w:rPr>
          <w:rFonts w:ascii="Arial Nova" w:eastAsia="Arial Nova" w:hAnsi="Arial Nova" w:cs="Arial Nova"/>
          <w:i/>
          <w:iCs/>
          <w:sz w:val="20"/>
          <w:szCs w:val="20"/>
        </w:rPr>
      </w:pPr>
      <w:r w:rsidRPr="2B0917EE">
        <w:rPr>
          <w:rFonts w:ascii="Arial Nova" w:eastAsia="Arial Nova" w:hAnsi="Arial Nova" w:cs="Arial Nova"/>
          <w:i/>
          <w:iCs/>
          <w:sz w:val="20"/>
          <w:szCs w:val="20"/>
        </w:rPr>
        <w:t xml:space="preserve">Roemer, L., Williston, S.K. and Rollins, L.G. (2015). Mindfulness and emotion regulation. Current Opinion in Psychology, 3, pp.52–57. </w:t>
      </w:r>
      <w:proofErr w:type="spellStart"/>
      <w:proofErr w:type="gramStart"/>
      <w:r w:rsidRPr="2B0917EE">
        <w:rPr>
          <w:rFonts w:ascii="Arial Nova" w:eastAsia="Arial Nova" w:hAnsi="Arial Nova" w:cs="Arial Nova"/>
          <w:i/>
          <w:iCs/>
          <w:sz w:val="20"/>
          <w:szCs w:val="20"/>
        </w:rPr>
        <w:t>doi:https</w:t>
      </w:r>
      <w:proofErr w:type="spellEnd"/>
      <w:r w:rsidRPr="2B0917EE">
        <w:rPr>
          <w:rFonts w:ascii="Arial Nova" w:eastAsia="Arial Nova" w:hAnsi="Arial Nova" w:cs="Arial Nova"/>
          <w:i/>
          <w:iCs/>
          <w:sz w:val="20"/>
          <w:szCs w:val="20"/>
        </w:rPr>
        <w:t>://doi.org/10.1016/j.copsyc.2015.02.006</w:t>
      </w:r>
      <w:proofErr w:type="gramEnd"/>
      <w:r w:rsidRPr="2B0917EE">
        <w:rPr>
          <w:rFonts w:ascii="Arial Nova" w:eastAsia="Arial Nova" w:hAnsi="Arial Nova" w:cs="Arial Nova"/>
          <w:i/>
          <w:iCs/>
          <w:sz w:val="20"/>
          <w:szCs w:val="20"/>
        </w:rPr>
        <w:t>.</w:t>
      </w:r>
    </w:p>
    <w:p w14:paraId="34C68493" w14:textId="3BF6769A" w:rsidR="2B0917EE" w:rsidRPr="00600B55" w:rsidRDefault="6F5F4954" w:rsidP="00600B55">
      <w:pPr>
        <w:spacing w:after="240" w:line="360" w:lineRule="auto"/>
        <w:rPr>
          <w:rFonts w:ascii="Arial Nova" w:eastAsia="Arial Nova" w:hAnsi="Arial Nova" w:cs="Arial Nova"/>
          <w:sz w:val="20"/>
          <w:szCs w:val="20"/>
        </w:rPr>
      </w:pPr>
      <w:r w:rsidRPr="2B0917EE">
        <w:rPr>
          <w:rFonts w:ascii="Arial Nova" w:eastAsia="Arial Nova" w:hAnsi="Arial Nova" w:cs="Arial Nova"/>
          <w:sz w:val="20"/>
          <w:szCs w:val="20"/>
        </w:rPr>
        <w:t xml:space="preserve">Almalki, S. (2016). Integrating Quantitative and Qualitative Data in Mixed Methods Research—Challenges and Benefits. </w:t>
      </w:r>
      <w:r w:rsidRPr="2B0917EE">
        <w:rPr>
          <w:rFonts w:ascii="Arial Nova" w:eastAsia="Arial Nova" w:hAnsi="Arial Nova" w:cs="Arial Nova"/>
          <w:i/>
          <w:iCs/>
          <w:sz w:val="20"/>
          <w:szCs w:val="20"/>
        </w:rPr>
        <w:t>Journal of Education and Learning</w:t>
      </w:r>
      <w:r w:rsidRPr="2B0917EE">
        <w:rPr>
          <w:rFonts w:ascii="Arial Nova" w:eastAsia="Arial Nova" w:hAnsi="Arial Nova" w:cs="Arial Nova"/>
          <w:sz w:val="20"/>
          <w:szCs w:val="20"/>
        </w:rPr>
        <w:t xml:space="preserve">, 5(3), p.288. </w:t>
      </w:r>
      <w:proofErr w:type="spellStart"/>
      <w:proofErr w:type="gramStart"/>
      <w:r w:rsidRPr="2B0917EE">
        <w:rPr>
          <w:rFonts w:ascii="Arial Nova" w:eastAsia="Arial Nova" w:hAnsi="Arial Nova" w:cs="Arial Nova"/>
          <w:sz w:val="20"/>
          <w:szCs w:val="20"/>
        </w:rPr>
        <w:t>doi:https</w:t>
      </w:r>
      <w:proofErr w:type="spellEnd"/>
      <w:r w:rsidRPr="2B0917EE">
        <w:rPr>
          <w:rFonts w:ascii="Arial Nova" w:eastAsia="Arial Nova" w:hAnsi="Arial Nova" w:cs="Arial Nova"/>
          <w:sz w:val="20"/>
          <w:szCs w:val="20"/>
        </w:rPr>
        <w:t>://doi.org/10.5539/jel.v5n3p288</w:t>
      </w:r>
      <w:proofErr w:type="gramEnd"/>
      <w:r w:rsidRPr="2B0917EE">
        <w:rPr>
          <w:rFonts w:ascii="Arial Nova" w:eastAsia="Arial Nova" w:hAnsi="Arial Nova" w:cs="Arial Nova"/>
          <w:sz w:val="20"/>
          <w:szCs w:val="20"/>
        </w:rPr>
        <w:t>.</w:t>
      </w:r>
    </w:p>
    <w:sectPr w:rsidR="2B0917EE" w:rsidRPr="00600B5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FB1BCC" w14:textId="77777777" w:rsidR="00EE50DF" w:rsidRDefault="00EE50DF">
      <w:pPr>
        <w:spacing w:after="0" w:line="240" w:lineRule="auto"/>
      </w:pPr>
      <w:r>
        <w:separator/>
      </w:r>
    </w:p>
  </w:endnote>
  <w:endnote w:type="continuationSeparator" w:id="0">
    <w:p w14:paraId="412FB69D" w14:textId="77777777" w:rsidR="00EE50DF" w:rsidRDefault="00EE5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B2DB886" w14:paraId="62517A91" w14:textId="77777777" w:rsidTr="2B0917EE">
      <w:trPr>
        <w:trHeight w:val="300"/>
      </w:trPr>
      <w:tc>
        <w:tcPr>
          <w:tcW w:w="3120" w:type="dxa"/>
        </w:tcPr>
        <w:p w14:paraId="58577561" w14:textId="48167AE4" w:rsidR="0B2DB886" w:rsidRDefault="0B2DB886" w:rsidP="0B2DB886">
          <w:pPr>
            <w:pStyle w:val="Header"/>
            <w:ind w:left="-115"/>
          </w:pPr>
        </w:p>
      </w:tc>
      <w:tc>
        <w:tcPr>
          <w:tcW w:w="3120" w:type="dxa"/>
        </w:tcPr>
        <w:p w14:paraId="16873729" w14:textId="6E7FA3C7" w:rsidR="0B2DB886" w:rsidRDefault="0B2DB886" w:rsidP="0B2DB886">
          <w:pPr>
            <w:pStyle w:val="Header"/>
            <w:jc w:val="center"/>
          </w:pPr>
          <w:r>
            <w:fldChar w:fldCharType="begin"/>
          </w:r>
          <w:r>
            <w:instrText>PAGE</w:instrText>
          </w:r>
          <w:r w:rsidR="00000000">
            <w:fldChar w:fldCharType="separate"/>
          </w:r>
          <w:r w:rsidR="00600B55">
            <w:rPr>
              <w:noProof/>
            </w:rPr>
            <w:t>1</w:t>
          </w:r>
          <w:r>
            <w:fldChar w:fldCharType="end"/>
          </w:r>
        </w:p>
      </w:tc>
      <w:tc>
        <w:tcPr>
          <w:tcW w:w="3120" w:type="dxa"/>
        </w:tcPr>
        <w:p w14:paraId="003107DA" w14:textId="229EE949" w:rsidR="0B2DB886" w:rsidRDefault="0B2DB886" w:rsidP="0B2DB886">
          <w:pPr>
            <w:pStyle w:val="Header"/>
            <w:ind w:right="-115"/>
            <w:jc w:val="right"/>
          </w:pPr>
        </w:p>
      </w:tc>
    </w:tr>
  </w:tbl>
  <w:p w14:paraId="18486074" w14:textId="33719D50" w:rsidR="0B2DB886" w:rsidRDefault="0B2DB886" w:rsidP="0B2DB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8EE7F" w14:textId="77777777" w:rsidR="00EE50DF" w:rsidRDefault="00EE50DF">
      <w:pPr>
        <w:spacing w:after="0" w:line="240" w:lineRule="auto"/>
      </w:pPr>
      <w:r>
        <w:separator/>
      </w:r>
    </w:p>
  </w:footnote>
  <w:footnote w:type="continuationSeparator" w:id="0">
    <w:p w14:paraId="042BBE32" w14:textId="77777777" w:rsidR="00EE50DF" w:rsidRDefault="00EE5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B2DB886" w14:paraId="1016E47A" w14:textId="77777777" w:rsidTr="330802FE">
      <w:trPr>
        <w:trHeight w:val="300"/>
      </w:trPr>
      <w:tc>
        <w:tcPr>
          <w:tcW w:w="3120" w:type="dxa"/>
        </w:tcPr>
        <w:p w14:paraId="0F49147E" w14:textId="071F50C8" w:rsidR="0B2DB886" w:rsidRDefault="0B2DB886" w:rsidP="0B2DB886">
          <w:pPr>
            <w:pStyle w:val="Header"/>
            <w:ind w:left="-115"/>
          </w:pPr>
          <w:r>
            <w:t>Iestyn Roberts</w:t>
          </w:r>
        </w:p>
      </w:tc>
      <w:tc>
        <w:tcPr>
          <w:tcW w:w="3120" w:type="dxa"/>
        </w:tcPr>
        <w:p w14:paraId="67BE6EAC" w14:textId="1904F675" w:rsidR="0B2DB886" w:rsidRDefault="0B2DB886" w:rsidP="0B2DB886">
          <w:pPr>
            <w:pStyle w:val="Header"/>
            <w:jc w:val="center"/>
          </w:pPr>
        </w:p>
      </w:tc>
      <w:tc>
        <w:tcPr>
          <w:tcW w:w="3120" w:type="dxa"/>
        </w:tcPr>
        <w:p w14:paraId="31DCA2D0" w14:textId="0364FC4A" w:rsidR="0B2DB886" w:rsidRDefault="0B2DB886" w:rsidP="0B2DB886">
          <w:pPr>
            <w:pStyle w:val="Header"/>
            <w:ind w:right="-115"/>
            <w:jc w:val="right"/>
          </w:pPr>
          <w:r>
            <w:t>1902890</w:t>
          </w:r>
        </w:p>
      </w:tc>
    </w:tr>
  </w:tbl>
  <w:p w14:paraId="30DF8142" w14:textId="204C8B93" w:rsidR="0B2DB886" w:rsidRDefault="0B2DB886" w:rsidP="0B2DB88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6CCDE"/>
    <w:multiLevelType w:val="hybridMultilevel"/>
    <w:tmpl w:val="8206A908"/>
    <w:lvl w:ilvl="0" w:tplc="41966BEE">
      <w:start w:val="1"/>
      <w:numFmt w:val="bullet"/>
      <w:lvlText w:val=""/>
      <w:lvlJc w:val="left"/>
      <w:pPr>
        <w:ind w:left="720" w:hanging="360"/>
      </w:pPr>
      <w:rPr>
        <w:rFonts w:ascii="Symbol" w:hAnsi="Symbol" w:hint="default"/>
      </w:rPr>
    </w:lvl>
    <w:lvl w:ilvl="1" w:tplc="FD5E8662">
      <w:start w:val="1"/>
      <w:numFmt w:val="bullet"/>
      <w:lvlText w:val="o"/>
      <w:lvlJc w:val="left"/>
      <w:pPr>
        <w:ind w:left="1440" w:hanging="360"/>
      </w:pPr>
      <w:rPr>
        <w:rFonts w:ascii="Courier New" w:hAnsi="Courier New" w:hint="default"/>
      </w:rPr>
    </w:lvl>
    <w:lvl w:ilvl="2" w:tplc="021405EE">
      <w:start w:val="1"/>
      <w:numFmt w:val="bullet"/>
      <w:lvlText w:val=""/>
      <w:lvlJc w:val="left"/>
      <w:pPr>
        <w:ind w:left="2160" w:hanging="360"/>
      </w:pPr>
      <w:rPr>
        <w:rFonts w:ascii="Wingdings" w:hAnsi="Wingdings" w:hint="default"/>
      </w:rPr>
    </w:lvl>
    <w:lvl w:ilvl="3" w:tplc="EA963B30">
      <w:start w:val="1"/>
      <w:numFmt w:val="bullet"/>
      <w:lvlText w:val=""/>
      <w:lvlJc w:val="left"/>
      <w:pPr>
        <w:ind w:left="2880" w:hanging="360"/>
      </w:pPr>
      <w:rPr>
        <w:rFonts w:ascii="Symbol" w:hAnsi="Symbol" w:hint="default"/>
      </w:rPr>
    </w:lvl>
    <w:lvl w:ilvl="4" w:tplc="138A1AC0">
      <w:start w:val="1"/>
      <w:numFmt w:val="bullet"/>
      <w:lvlText w:val="o"/>
      <w:lvlJc w:val="left"/>
      <w:pPr>
        <w:ind w:left="3600" w:hanging="360"/>
      </w:pPr>
      <w:rPr>
        <w:rFonts w:ascii="Courier New" w:hAnsi="Courier New" w:hint="default"/>
      </w:rPr>
    </w:lvl>
    <w:lvl w:ilvl="5" w:tplc="BAC479F2">
      <w:start w:val="1"/>
      <w:numFmt w:val="bullet"/>
      <w:lvlText w:val=""/>
      <w:lvlJc w:val="left"/>
      <w:pPr>
        <w:ind w:left="4320" w:hanging="360"/>
      </w:pPr>
      <w:rPr>
        <w:rFonts w:ascii="Wingdings" w:hAnsi="Wingdings" w:hint="default"/>
      </w:rPr>
    </w:lvl>
    <w:lvl w:ilvl="6" w:tplc="AEAEB718">
      <w:start w:val="1"/>
      <w:numFmt w:val="bullet"/>
      <w:lvlText w:val=""/>
      <w:lvlJc w:val="left"/>
      <w:pPr>
        <w:ind w:left="5040" w:hanging="360"/>
      </w:pPr>
      <w:rPr>
        <w:rFonts w:ascii="Symbol" w:hAnsi="Symbol" w:hint="default"/>
      </w:rPr>
    </w:lvl>
    <w:lvl w:ilvl="7" w:tplc="BAC0F4B6">
      <w:start w:val="1"/>
      <w:numFmt w:val="bullet"/>
      <w:lvlText w:val="o"/>
      <w:lvlJc w:val="left"/>
      <w:pPr>
        <w:ind w:left="5760" w:hanging="360"/>
      </w:pPr>
      <w:rPr>
        <w:rFonts w:ascii="Courier New" w:hAnsi="Courier New" w:hint="default"/>
      </w:rPr>
    </w:lvl>
    <w:lvl w:ilvl="8" w:tplc="6FBE4E6C">
      <w:start w:val="1"/>
      <w:numFmt w:val="bullet"/>
      <w:lvlText w:val=""/>
      <w:lvlJc w:val="left"/>
      <w:pPr>
        <w:ind w:left="6480" w:hanging="360"/>
      </w:pPr>
      <w:rPr>
        <w:rFonts w:ascii="Wingdings" w:hAnsi="Wingdings" w:hint="default"/>
      </w:rPr>
    </w:lvl>
  </w:abstractNum>
  <w:abstractNum w:abstractNumId="1" w15:restartNumberingAfterBreak="0">
    <w:nsid w:val="0B12E16F"/>
    <w:multiLevelType w:val="hybridMultilevel"/>
    <w:tmpl w:val="4FA4D3D4"/>
    <w:lvl w:ilvl="0" w:tplc="17A0BA88">
      <w:start w:val="1"/>
      <w:numFmt w:val="bullet"/>
      <w:lvlText w:val=""/>
      <w:lvlJc w:val="left"/>
      <w:pPr>
        <w:ind w:left="720" w:hanging="360"/>
      </w:pPr>
      <w:rPr>
        <w:rFonts w:ascii="Symbol" w:hAnsi="Symbol" w:hint="default"/>
      </w:rPr>
    </w:lvl>
    <w:lvl w:ilvl="1" w:tplc="7E2248D0">
      <w:start w:val="1"/>
      <w:numFmt w:val="bullet"/>
      <w:lvlText w:val="o"/>
      <w:lvlJc w:val="left"/>
      <w:pPr>
        <w:ind w:left="1440" w:hanging="360"/>
      </w:pPr>
      <w:rPr>
        <w:rFonts w:ascii="Courier New" w:hAnsi="Courier New" w:hint="default"/>
      </w:rPr>
    </w:lvl>
    <w:lvl w:ilvl="2" w:tplc="AC78EDB0">
      <w:start w:val="1"/>
      <w:numFmt w:val="bullet"/>
      <w:lvlText w:val=""/>
      <w:lvlJc w:val="left"/>
      <w:pPr>
        <w:ind w:left="2160" w:hanging="360"/>
      </w:pPr>
      <w:rPr>
        <w:rFonts w:ascii="Wingdings" w:hAnsi="Wingdings" w:hint="default"/>
      </w:rPr>
    </w:lvl>
    <w:lvl w:ilvl="3" w:tplc="2ADEE8D4">
      <w:start w:val="1"/>
      <w:numFmt w:val="bullet"/>
      <w:lvlText w:val=""/>
      <w:lvlJc w:val="left"/>
      <w:pPr>
        <w:ind w:left="2880" w:hanging="360"/>
      </w:pPr>
      <w:rPr>
        <w:rFonts w:ascii="Symbol" w:hAnsi="Symbol" w:hint="default"/>
      </w:rPr>
    </w:lvl>
    <w:lvl w:ilvl="4" w:tplc="972E2828">
      <w:start w:val="1"/>
      <w:numFmt w:val="bullet"/>
      <w:lvlText w:val="o"/>
      <w:lvlJc w:val="left"/>
      <w:pPr>
        <w:ind w:left="3600" w:hanging="360"/>
      </w:pPr>
      <w:rPr>
        <w:rFonts w:ascii="Courier New" w:hAnsi="Courier New" w:hint="default"/>
      </w:rPr>
    </w:lvl>
    <w:lvl w:ilvl="5" w:tplc="DB084D8E">
      <w:start w:val="1"/>
      <w:numFmt w:val="bullet"/>
      <w:lvlText w:val=""/>
      <w:lvlJc w:val="left"/>
      <w:pPr>
        <w:ind w:left="4320" w:hanging="360"/>
      </w:pPr>
      <w:rPr>
        <w:rFonts w:ascii="Wingdings" w:hAnsi="Wingdings" w:hint="default"/>
      </w:rPr>
    </w:lvl>
    <w:lvl w:ilvl="6" w:tplc="C0C27F58">
      <w:start w:val="1"/>
      <w:numFmt w:val="bullet"/>
      <w:lvlText w:val=""/>
      <w:lvlJc w:val="left"/>
      <w:pPr>
        <w:ind w:left="5040" w:hanging="360"/>
      </w:pPr>
      <w:rPr>
        <w:rFonts w:ascii="Symbol" w:hAnsi="Symbol" w:hint="default"/>
      </w:rPr>
    </w:lvl>
    <w:lvl w:ilvl="7" w:tplc="B1B05598">
      <w:start w:val="1"/>
      <w:numFmt w:val="bullet"/>
      <w:lvlText w:val="o"/>
      <w:lvlJc w:val="left"/>
      <w:pPr>
        <w:ind w:left="5760" w:hanging="360"/>
      </w:pPr>
      <w:rPr>
        <w:rFonts w:ascii="Courier New" w:hAnsi="Courier New" w:hint="default"/>
      </w:rPr>
    </w:lvl>
    <w:lvl w:ilvl="8" w:tplc="31A610FA">
      <w:start w:val="1"/>
      <w:numFmt w:val="bullet"/>
      <w:lvlText w:val=""/>
      <w:lvlJc w:val="left"/>
      <w:pPr>
        <w:ind w:left="6480" w:hanging="360"/>
      </w:pPr>
      <w:rPr>
        <w:rFonts w:ascii="Wingdings" w:hAnsi="Wingdings" w:hint="default"/>
      </w:rPr>
    </w:lvl>
  </w:abstractNum>
  <w:abstractNum w:abstractNumId="2" w15:restartNumberingAfterBreak="0">
    <w:nsid w:val="27CBA795"/>
    <w:multiLevelType w:val="hybridMultilevel"/>
    <w:tmpl w:val="FD601996"/>
    <w:lvl w:ilvl="0" w:tplc="0F581598">
      <w:start w:val="1"/>
      <w:numFmt w:val="bullet"/>
      <w:lvlText w:val=""/>
      <w:lvlJc w:val="left"/>
      <w:pPr>
        <w:ind w:left="720" w:hanging="360"/>
      </w:pPr>
      <w:rPr>
        <w:rFonts w:ascii="Symbol" w:hAnsi="Symbol" w:hint="default"/>
      </w:rPr>
    </w:lvl>
    <w:lvl w:ilvl="1" w:tplc="DFF2EE3A">
      <w:start w:val="1"/>
      <w:numFmt w:val="bullet"/>
      <w:lvlText w:val="o"/>
      <w:lvlJc w:val="left"/>
      <w:pPr>
        <w:ind w:left="1440" w:hanging="360"/>
      </w:pPr>
      <w:rPr>
        <w:rFonts w:ascii="Courier New" w:hAnsi="Courier New" w:hint="default"/>
      </w:rPr>
    </w:lvl>
    <w:lvl w:ilvl="2" w:tplc="CCD21D18">
      <w:start w:val="1"/>
      <w:numFmt w:val="bullet"/>
      <w:lvlText w:val=""/>
      <w:lvlJc w:val="left"/>
      <w:pPr>
        <w:ind w:left="2160" w:hanging="360"/>
      </w:pPr>
      <w:rPr>
        <w:rFonts w:ascii="Wingdings" w:hAnsi="Wingdings" w:hint="default"/>
      </w:rPr>
    </w:lvl>
    <w:lvl w:ilvl="3" w:tplc="A8A43DB8">
      <w:start w:val="1"/>
      <w:numFmt w:val="bullet"/>
      <w:lvlText w:val=""/>
      <w:lvlJc w:val="left"/>
      <w:pPr>
        <w:ind w:left="2880" w:hanging="360"/>
      </w:pPr>
      <w:rPr>
        <w:rFonts w:ascii="Symbol" w:hAnsi="Symbol" w:hint="default"/>
      </w:rPr>
    </w:lvl>
    <w:lvl w:ilvl="4" w:tplc="0F8CE996">
      <w:start w:val="1"/>
      <w:numFmt w:val="bullet"/>
      <w:lvlText w:val="o"/>
      <w:lvlJc w:val="left"/>
      <w:pPr>
        <w:ind w:left="3600" w:hanging="360"/>
      </w:pPr>
      <w:rPr>
        <w:rFonts w:ascii="Courier New" w:hAnsi="Courier New" w:hint="default"/>
      </w:rPr>
    </w:lvl>
    <w:lvl w:ilvl="5" w:tplc="D2465C7E">
      <w:start w:val="1"/>
      <w:numFmt w:val="bullet"/>
      <w:lvlText w:val=""/>
      <w:lvlJc w:val="left"/>
      <w:pPr>
        <w:ind w:left="4320" w:hanging="360"/>
      </w:pPr>
      <w:rPr>
        <w:rFonts w:ascii="Wingdings" w:hAnsi="Wingdings" w:hint="default"/>
      </w:rPr>
    </w:lvl>
    <w:lvl w:ilvl="6" w:tplc="A5DA3BD0">
      <w:start w:val="1"/>
      <w:numFmt w:val="bullet"/>
      <w:lvlText w:val=""/>
      <w:lvlJc w:val="left"/>
      <w:pPr>
        <w:ind w:left="5040" w:hanging="360"/>
      </w:pPr>
      <w:rPr>
        <w:rFonts w:ascii="Symbol" w:hAnsi="Symbol" w:hint="default"/>
      </w:rPr>
    </w:lvl>
    <w:lvl w:ilvl="7" w:tplc="F7D41156">
      <w:start w:val="1"/>
      <w:numFmt w:val="bullet"/>
      <w:lvlText w:val="o"/>
      <w:lvlJc w:val="left"/>
      <w:pPr>
        <w:ind w:left="5760" w:hanging="360"/>
      </w:pPr>
      <w:rPr>
        <w:rFonts w:ascii="Courier New" w:hAnsi="Courier New" w:hint="default"/>
      </w:rPr>
    </w:lvl>
    <w:lvl w:ilvl="8" w:tplc="6E56351A">
      <w:start w:val="1"/>
      <w:numFmt w:val="bullet"/>
      <w:lvlText w:val=""/>
      <w:lvlJc w:val="left"/>
      <w:pPr>
        <w:ind w:left="6480" w:hanging="360"/>
      </w:pPr>
      <w:rPr>
        <w:rFonts w:ascii="Wingdings" w:hAnsi="Wingdings" w:hint="default"/>
      </w:rPr>
    </w:lvl>
  </w:abstractNum>
  <w:abstractNum w:abstractNumId="3" w15:restartNumberingAfterBreak="0">
    <w:nsid w:val="356380E4"/>
    <w:multiLevelType w:val="hybridMultilevel"/>
    <w:tmpl w:val="1ECCBE40"/>
    <w:lvl w:ilvl="0" w:tplc="29748D2A">
      <w:start w:val="1"/>
      <w:numFmt w:val="bullet"/>
      <w:lvlText w:val=""/>
      <w:lvlJc w:val="left"/>
      <w:pPr>
        <w:ind w:left="720" w:hanging="360"/>
      </w:pPr>
      <w:rPr>
        <w:rFonts w:ascii="Symbol" w:hAnsi="Symbol" w:hint="default"/>
      </w:rPr>
    </w:lvl>
    <w:lvl w:ilvl="1" w:tplc="EEEC84BA">
      <w:start w:val="1"/>
      <w:numFmt w:val="bullet"/>
      <w:lvlText w:val="o"/>
      <w:lvlJc w:val="left"/>
      <w:pPr>
        <w:ind w:left="1440" w:hanging="360"/>
      </w:pPr>
      <w:rPr>
        <w:rFonts w:ascii="Courier New" w:hAnsi="Courier New" w:hint="default"/>
      </w:rPr>
    </w:lvl>
    <w:lvl w:ilvl="2" w:tplc="416E9820">
      <w:start w:val="1"/>
      <w:numFmt w:val="bullet"/>
      <w:lvlText w:val=""/>
      <w:lvlJc w:val="left"/>
      <w:pPr>
        <w:ind w:left="2160" w:hanging="360"/>
      </w:pPr>
      <w:rPr>
        <w:rFonts w:ascii="Wingdings" w:hAnsi="Wingdings" w:hint="default"/>
      </w:rPr>
    </w:lvl>
    <w:lvl w:ilvl="3" w:tplc="AFEA2C44">
      <w:start w:val="1"/>
      <w:numFmt w:val="bullet"/>
      <w:lvlText w:val=""/>
      <w:lvlJc w:val="left"/>
      <w:pPr>
        <w:ind w:left="2880" w:hanging="360"/>
      </w:pPr>
      <w:rPr>
        <w:rFonts w:ascii="Symbol" w:hAnsi="Symbol" w:hint="default"/>
      </w:rPr>
    </w:lvl>
    <w:lvl w:ilvl="4" w:tplc="953E0450">
      <w:start w:val="1"/>
      <w:numFmt w:val="bullet"/>
      <w:lvlText w:val="o"/>
      <w:lvlJc w:val="left"/>
      <w:pPr>
        <w:ind w:left="3600" w:hanging="360"/>
      </w:pPr>
      <w:rPr>
        <w:rFonts w:ascii="Courier New" w:hAnsi="Courier New" w:hint="default"/>
      </w:rPr>
    </w:lvl>
    <w:lvl w:ilvl="5" w:tplc="E9AC1244">
      <w:start w:val="1"/>
      <w:numFmt w:val="bullet"/>
      <w:lvlText w:val=""/>
      <w:lvlJc w:val="left"/>
      <w:pPr>
        <w:ind w:left="4320" w:hanging="360"/>
      </w:pPr>
      <w:rPr>
        <w:rFonts w:ascii="Wingdings" w:hAnsi="Wingdings" w:hint="default"/>
      </w:rPr>
    </w:lvl>
    <w:lvl w:ilvl="6" w:tplc="38243B82">
      <w:start w:val="1"/>
      <w:numFmt w:val="bullet"/>
      <w:lvlText w:val=""/>
      <w:lvlJc w:val="left"/>
      <w:pPr>
        <w:ind w:left="5040" w:hanging="360"/>
      </w:pPr>
      <w:rPr>
        <w:rFonts w:ascii="Symbol" w:hAnsi="Symbol" w:hint="default"/>
      </w:rPr>
    </w:lvl>
    <w:lvl w:ilvl="7" w:tplc="40BE2834">
      <w:start w:val="1"/>
      <w:numFmt w:val="bullet"/>
      <w:lvlText w:val="o"/>
      <w:lvlJc w:val="left"/>
      <w:pPr>
        <w:ind w:left="5760" w:hanging="360"/>
      </w:pPr>
      <w:rPr>
        <w:rFonts w:ascii="Courier New" w:hAnsi="Courier New" w:hint="default"/>
      </w:rPr>
    </w:lvl>
    <w:lvl w:ilvl="8" w:tplc="A98879DC">
      <w:start w:val="1"/>
      <w:numFmt w:val="bullet"/>
      <w:lvlText w:val=""/>
      <w:lvlJc w:val="left"/>
      <w:pPr>
        <w:ind w:left="6480" w:hanging="360"/>
      </w:pPr>
      <w:rPr>
        <w:rFonts w:ascii="Wingdings" w:hAnsi="Wingdings" w:hint="default"/>
      </w:rPr>
    </w:lvl>
  </w:abstractNum>
  <w:abstractNum w:abstractNumId="4" w15:restartNumberingAfterBreak="0">
    <w:nsid w:val="55D1FEC1"/>
    <w:multiLevelType w:val="hybridMultilevel"/>
    <w:tmpl w:val="43347478"/>
    <w:lvl w:ilvl="0" w:tplc="7A76696E">
      <w:start w:val="1"/>
      <w:numFmt w:val="bullet"/>
      <w:lvlText w:val=""/>
      <w:lvlJc w:val="left"/>
      <w:pPr>
        <w:ind w:left="720" w:hanging="360"/>
      </w:pPr>
      <w:rPr>
        <w:rFonts w:ascii="Symbol" w:hAnsi="Symbol" w:hint="default"/>
      </w:rPr>
    </w:lvl>
    <w:lvl w:ilvl="1" w:tplc="32A404DE">
      <w:start w:val="1"/>
      <w:numFmt w:val="bullet"/>
      <w:lvlText w:val="o"/>
      <w:lvlJc w:val="left"/>
      <w:pPr>
        <w:ind w:left="1440" w:hanging="360"/>
      </w:pPr>
      <w:rPr>
        <w:rFonts w:ascii="Courier New" w:hAnsi="Courier New" w:hint="default"/>
      </w:rPr>
    </w:lvl>
    <w:lvl w:ilvl="2" w:tplc="F71CB1F6">
      <w:start w:val="1"/>
      <w:numFmt w:val="bullet"/>
      <w:lvlText w:val=""/>
      <w:lvlJc w:val="left"/>
      <w:pPr>
        <w:ind w:left="2160" w:hanging="360"/>
      </w:pPr>
      <w:rPr>
        <w:rFonts w:ascii="Wingdings" w:hAnsi="Wingdings" w:hint="default"/>
      </w:rPr>
    </w:lvl>
    <w:lvl w:ilvl="3" w:tplc="C71C0E9C">
      <w:start w:val="1"/>
      <w:numFmt w:val="bullet"/>
      <w:lvlText w:val=""/>
      <w:lvlJc w:val="left"/>
      <w:pPr>
        <w:ind w:left="2880" w:hanging="360"/>
      </w:pPr>
      <w:rPr>
        <w:rFonts w:ascii="Symbol" w:hAnsi="Symbol" w:hint="default"/>
      </w:rPr>
    </w:lvl>
    <w:lvl w:ilvl="4" w:tplc="CDE41D90">
      <w:start w:val="1"/>
      <w:numFmt w:val="bullet"/>
      <w:lvlText w:val="o"/>
      <w:lvlJc w:val="left"/>
      <w:pPr>
        <w:ind w:left="3600" w:hanging="360"/>
      </w:pPr>
      <w:rPr>
        <w:rFonts w:ascii="Courier New" w:hAnsi="Courier New" w:hint="default"/>
      </w:rPr>
    </w:lvl>
    <w:lvl w:ilvl="5" w:tplc="6E0E677C">
      <w:start w:val="1"/>
      <w:numFmt w:val="bullet"/>
      <w:lvlText w:val=""/>
      <w:lvlJc w:val="left"/>
      <w:pPr>
        <w:ind w:left="4320" w:hanging="360"/>
      </w:pPr>
      <w:rPr>
        <w:rFonts w:ascii="Wingdings" w:hAnsi="Wingdings" w:hint="default"/>
      </w:rPr>
    </w:lvl>
    <w:lvl w:ilvl="6" w:tplc="6BA2C884">
      <w:start w:val="1"/>
      <w:numFmt w:val="bullet"/>
      <w:lvlText w:val=""/>
      <w:lvlJc w:val="left"/>
      <w:pPr>
        <w:ind w:left="5040" w:hanging="360"/>
      </w:pPr>
      <w:rPr>
        <w:rFonts w:ascii="Symbol" w:hAnsi="Symbol" w:hint="default"/>
      </w:rPr>
    </w:lvl>
    <w:lvl w:ilvl="7" w:tplc="0676571A">
      <w:start w:val="1"/>
      <w:numFmt w:val="bullet"/>
      <w:lvlText w:val="o"/>
      <w:lvlJc w:val="left"/>
      <w:pPr>
        <w:ind w:left="5760" w:hanging="360"/>
      </w:pPr>
      <w:rPr>
        <w:rFonts w:ascii="Courier New" w:hAnsi="Courier New" w:hint="default"/>
      </w:rPr>
    </w:lvl>
    <w:lvl w:ilvl="8" w:tplc="1A1E547A">
      <w:start w:val="1"/>
      <w:numFmt w:val="bullet"/>
      <w:lvlText w:val=""/>
      <w:lvlJc w:val="left"/>
      <w:pPr>
        <w:ind w:left="6480" w:hanging="360"/>
      </w:pPr>
      <w:rPr>
        <w:rFonts w:ascii="Wingdings" w:hAnsi="Wingdings" w:hint="default"/>
      </w:rPr>
    </w:lvl>
  </w:abstractNum>
  <w:abstractNum w:abstractNumId="5" w15:restartNumberingAfterBreak="0">
    <w:nsid w:val="7846D322"/>
    <w:multiLevelType w:val="hybridMultilevel"/>
    <w:tmpl w:val="01F468DC"/>
    <w:lvl w:ilvl="0" w:tplc="32148634">
      <w:start w:val="1"/>
      <w:numFmt w:val="bullet"/>
      <w:lvlText w:val=""/>
      <w:lvlJc w:val="left"/>
      <w:pPr>
        <w:ind w:left="720" w:hanging="360"/>
      </w:pPr>
      <w:rPr>
        <w:rFonts w:ascii="Symbol" w:hAnsi="Symbol" w:hint="default"/>
      </w:rPr>
    </w:lvl>
    <w:lvl w:ilvl="1" w:tplc="13587CA4">
      <w:start w:val="1"/>
      <w:numFmt w:val="bullet"/>
      <w:lvlText w:val="o"/>
      <w:lvlJc w:val="left"/>
      <w:pPr>
        <w:ind w:left="1440" w:hanging="360"/>
      </w:pPr>
      <w:rPr>
        <w:rFonts w:ascii="Courier New" w:hAnsi="Courier New" w:hint="default"/>
      </w:rPr>
    </w:lvl>
    <w:lvl w:ilvl="2" w:tplc="31643FD0">
      <w:start w:val="1"/>
      <w:numFmt w:val="bullet"/>
      <w:lvlText w:val=""/>
      <w:lvlJc w:val="left"/>
      <w:pPr>
        <w:ind w:left="2160" w:hanging="360"/>
      </w:pPr>
      <w:rPr>
        <w:rFonts w:ascii="Wingdings" w:hAnsi="Wingdings" w:hint="default"/>
      </w:rPr>
    </w:lvl>
    <w:lvl w:ilvl="3" w:tplc="7AC8D49A">
      <w:start w:val="1"/>
      <w:numFmt w:val="bullet"/>
      <w:lvlText w:val=""/>
      <w:lvlJc w:val="left"/>
      <w:pPr>
        <w:ind w:left="2880" w:hanging="360"/>
      </w:pPr>
      <w:rPr>
        <w:rFonts w:ascii="Symbol" w:hAnsi="Symbol" w:hint="default"/>
      </w:rPr>
    </w:lvl>
    <w:lvl w:ilvl="4" w:tplc="C1AA19FA">
      <w:start w:val="1"/>
      <w:numFmt w:val="bullet"/>
      <w:lvlText w:val="o"/>
      <w:lvlJc w:val="left"/>
      <w:pPr>
        <w:ind w:left="3600" w:hanging="360"/>
      </w:pPr>
      <w:rPr>
        <w:rFonts w:ascii="Courier New" w:hAnsi="Courier New" w:hint="default"/>
      </w:rPr>
    </w:lvl>
    <w:lvl w:ilvl="5" w:tplc="DE8EAD4E">
      <w:start w:val="1"/>
      <w:numFmt w:val="bullet"/>
      <w:lvlText w:val=""/>
      <w:lvlJc w:val="left"/>
      <w:pPr>
        <w:ind w:left="4320" w:hanging="360"/>
      </w:pPr>
      <w:rPr>
        <w:rFonts w:ascii="Wingdings" w:hAnsi="Wingdings" w:hint="default"/>
      </w:rPr>
    </w:lvl>
    <w:lvl w:ilvl="6" w:tplc="0BB6972E">
      <w:start w:val="1"/>
      <w:numFmt w:val="bullet"/>
      <w:lvlText w:val=""/>
      <w:lvlJc w:val="left"/>
      <w:pPr>
        <w:ind w:left="5040" w:hanging="360"/>
      </w:pPr>
      <w:rPr>
        <w:rFonts w:ascii="Symbol" w:hAnsi="Symbol" w:hint="default"/>
      </w:rPr>
    </w:lvl>
    <w:lvl w:ilvl="7" w:tplc="498C03FA">
      <w:start w:val="1"/>
      <w:numFmt w:val="bullet"/>
      <w:lvlText w:val="o"/>
      <w:lvlJc w:val="left"/>
      <w:pPr>
        <w:ind w:left="5760" w:hanging="360"/>
      </w:pPr>
      <w:rPr>
        <w:rFonts w:ascii="Courier New" w:hAnsi="Courier New" w:hint="default"/>
      </w:rPr>
    </w:lvl>
    <w:lvl w:ilvl="8" w:tplc="E1D679E2">
      <w:start w:val="1"/>
      <w:numFmt w:val="bullet"/>
      <w:lvlText w:val=""/>
      <w:lvlJc w:val="left"/>
      <w:pPr>
        <w:ind w:left="6480" w:hanging="360"/>
      </w:pPr>
      <w:rPr>
        <w:rFonts w:ascii="Wingdings" w:hAnsi="Wingdings" w:hint="default"/>
      </w:rPr>
    </w:lvl>
  </w:abstractNum>
  <w:num w:numId="1" w16cid:durableId="1111818964">
    <w:abstractNumId w:val="3"/>
  </w:num>
  <w:num w:numId="2" w16cid:durableId="1973442751">
    <w:abstractNumId w:val="0"/>
  </w:num>
  <w:num w:numId="3" w16cid:durableId="809831938">
    <w:abstractNumId w:val="5"/>
  </w:num>
  <w:num w:numId="4" w16cid:durableId="1418670358">
    <w:abstractNumId w:val="4"/>
  </w:num>
  <w:num w:numId="5" w16cid:durableId="747768192">
    <w:abstractNumId w:val="2"/>
  </w:num>
  <w:num w:numId="6" w16cid:durableId="1476603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CFFA8"/>
    <w:rsid w:val="002C4EEB"/>
    <w:rsid w:val="00600B55"/>
    <w:rsid w:val="00665D07"/>
    <w:rsid w:val="0067AB32"/>
    <w:rsid w:val="007C526C"/>
    <w:rsid w:val="00A79456"/>
    <w:rsid w:val="00CF9B6D"/>
    <w:rsid w:val="00EE50DF"/>
    <w:rsid w:val="00FCA9E0"/>
    <w:rsid w:val="013546D1"/>
    <w:rsid w:val="0138E803"/>
    <w:rsid w:val="01594F48"/>
    <w:rsid w:val="0179ABA4"/>
    <w:rsid w:val="025EBE42"/>
    <w:rsid w:val="02FDCB39"/>
    <w:rsid w:val="03015F13"/>
    <w:rsid w:val="03336C6E"/>
    <w:rsid w:val="035EBDBF"/>
    <w:rsid w:val="0372025E"/>
    <w:rsid w:val="037304B6"/>
    <w:rsid w:val="03D0B32E"/>
    <w:rsid w:val="03DCD9CB"/>
    <w:rsid w:val="03ED0FEA"/>
    <w:rsid w:val="04254205"/>
    <w:rsid w:val="042F5796"/>
    <w:rsid w:val="049D5D4C"/>
    <w:rsid w:val="04D3F5C2"/>
    <w:rsid w:val="050ED517"/>
    <w:rsid w:val="0578AA2C"/>
    <w:rsid w:val="059F3149"/>
    <w:rsid w:val="05B4FEAA"/>
    <w:rsid w:val="05FC0960"/>
    <w:rsid w:val="063ADA7E"/>
    <w:rsid w:val="065A4763"/>
    <w:rsid w:val="067066BB"/>
    <w:rsid w:val="06BDDB07"/>
    <w:rsid w:val="06E87527"/>
    <w:rsid w:val="06EFEA3F"/>
    <w:rsid w:val="07144373"/>
    <w:rsid w:val="0727F8B7"/>
    <w:rsid w:val="07322F65"/>
    <w:rsid w:val="07B300D2"/>
    <w:rsid w:val="07C70B33"/>
    <w:rsid w:val="084675D9"/>
    <w:rsid w:val="086A40F8"/>
    <w:rsid w:val="08AD6B78"/>
    <w:rsid w:val="0950AC7C"/>
    <w:rsid w:val="097EE45A"/>
    <w:rsid w:val="09832908"/>
    <w:rsid w:val="09D70065"/>
    <w:rsid w:val="09E2463A"/>
    <w:rsid w:val="0A472D46"/>
    <w:rsid w:val="0A5C516E"/>
    <w:rsid w:val="0AA0F9E5"/>
    <w:rsid w:val="0AB74C0F"/>
    <w:rsid w:val="0ABF8D53"/>
    <w:rsid w:val="0AEA1304"/>
    <w:rsid w:val="0B2DB886"/>
    <w:rsid w:val="0B3D89F5"/>
    <w:rsid w:val="0B4D71F1"/>
    <w:rsid w:val="0B944DF0"/>
    <w:rsid w:val="0BA33010"/>
    <w:rsid w:val="0BB237FF"/>
    <w:rsid w:val="0BB96006"/>
    <w:rsid w:val="0BE00932"/>
    <w:rsid w:val="0BF821CF"/>
    <w:rsid w:val="0C1E544B"/>
    <w:rsid w:val="0C3F2D8D"/>
    <w:rsid w:val="0C4C4DEC"/>
    <w:rsid w:val="0C7F4837"/>
    <w:rsid w:val="0CC594F5"/>
    <w:rsid w:val="0CC5C36A"/>
    <w:rsid w:val="0CEC77A8"/>
    <w:rsid w:val="0D33EDE8"/>
    <w:rsid w:val="0D7E9B1B"/>
    <w:rsid w:val="0D88F989"/>
    <w:rsid w:val="0DA1A8D0"/>
    <w:rsid w:val="0DBBC116"/>
    <w:rsid w:val="0E157E9F"/>
    <w:rsid w:val="0E250B9E"/>
    <w:rsid w:val="0EC6A6B7"/>
    <w:rsid w:val="0EE1EA96"/>
    <w:rsid w:val="0F1F9368"/>
    <w:rsid w:val="0F21ACEC"/>
    <w:rsid w:val="0F278BBB"/>
    <w:rsid w:val="0F8693E1"/>
    <w:rsid w:val="0FD14834"/>
    <w:rsid w:val="10058050"/>
    <w:rsid w:val="101EA7B2"/>
    <w:rsid w:val="10461346"/>
    <w:rsid w:val="107291C8"/>
    <w:rsid w:val="10D94992"/>
    <w:rsid w:val="116C21DD"/>
    <w:rsid w:val="11E23D9F"/>
    <w:rsid w:val="125F3F63"/>
    <w:rsid w:val="127CCF92"/>
    <w:rsid w:val="12A38483"/>
    <w:rsid w:val="12F025BF"/>
    <w:rsid w:val="12F87CC1"/>
    <w:rsid w:val="1316B44E"/>
    <w:rsid w:val="132C2B59"/>
    <w:rsid w:val="135CA93D"/>
    <w:rsid w:val="136A0F83"/>
    <w:rsid w:val="13AA328A"/>
    <w:rsid w:val="13F3D02F"/>
    <w:rsid w:val="142D7CFB"/>
    <w:rsid w:val="14320051"/>
    <w:rsid w:val="14331424"/>
    <w:rsid w:val="143F54E4"/>
    <w:rsid w:val="149A67CC"/>
    <w:rsid w:val="14C56DF1"/>
    <w:rsid w:val="14F1122B"/>
    <w:rsid w:val="152042C5"/>
    <w:rsid w:val="1542FBDE"/>
    <w:rsid w:val="1548E07F"/>
    <w:rsid w:val="1564968C"/>
    <w:rsid w:val="15895BAB"/>
    <w:rsid w:val="159D7AC4"/>
    <w:rsid w:val="15ACBAB5"/>
    <w:rsid w:val="15AF1AAD"/>
    <w:rsid w:val="15BFEF75"/>
    <w:rsid w:val="15CD12A1"/>
    <w:rsid w:val="15DB2545"/>
    <w:rsid w:val="1604977A"/>
    <w:rsid w:val="16219368"/>
    <w:rsid w:val="1696A00D"/>
    <w:rsid w:val="16DECC3F"/>
    <w:rsid w:val="175BC200"/>
    <w:rsid w:val="1776F5A6"/>
    <w:rsid w:val="17AA9F5A"/>
    <w:rsid w:val="17C6739B"/>
    <w:rsid w:val="17D87908"/>
    <w:rsid w:val="17EA63CB"/>
    <w:rsid w:val="1809877F"/>
    <w:rsid w:val="18142914"/>
    <w:rsid w:val="18A7D410"/>
    <w:rsid w:val="1931071D"/>
    <w:rsid w:val="19A000FF"/>
    <w:rsid w:val="19AFF975"/>
    <w:rsid w:val="19D35DE8"/>
    <w:rsid w:val="1A307352"/>
    <w:rsid w:val="1AF57532"/>
    <w:rsid w:val="1BDB8322"/>
    <w:rsid w:val="1BEAF19D"/>
    <w:rsid w:val="1C03EB65"/>
    <w:rsid w:val="1C277270"/>
    <w:rsid w:val="1C27ECF9"/>
    <w:rsid w:val="1C2B7308"/>
    <w:rsid w:val="1C4A66C9"/>
    <w:rsid w:val="1C914593"/>
    <w:rsid w:val="1C99D892"/>
    <w:rsid w:val="1CB0EF54"/>
    <w:rsid w:val="1D4F9CBC"/>
    <w:rsid w:val="1D5EAB15"/>
    <w:rsid w:val="1D78C57A"/>
    <w:rsid w:val="1D7B4533"/>
    <w:rsid w:val="1DC5712B"/>
    <w:rsid w:val="1DC6381D"/>
    <w:rsid w:val="1E08B2FF"/>
    <w:rsid w:val="1E13D619"/>
    <w:rsid w:val="1E3981F3"/>
    <w:rsid w:val="1E5DB4D1"/>
    <w:rsid w:val="1E84B090"/>
    <w:rsid w:val="1EC6F337"/>
    <w:rsid w:val="1EE7D673"/>
    <w:rsid w:val="1EEFE6A9"/>
    <w:rsid w:val="1F0A7D5B"/>
    <w:rsid w:val="1F1CB3DC"/>
    <w:rsid w:val="1F2EF25B"/>
    <w:rsid w:val="1F528C61"/>
    <w:rsid w:val="1F6EAAA0"/>
    <w:rsid w:val="1FDBFF5D"/>
    <w:rsid w:val="202080F1"/>
    <w:rsid w:val="206F905D"/>
    <w:rsid w:val="2092BD17"/>
    <w:rsid w:val="20AA07E3"/>
    <w:rsid w:val="2164B6B6"/>
    <w:rsid w:val="21695A28"/>
    <w:rsid w:val="216FF181"/>
    <w:rsid w:val="21AC1B33"/>
    <w:rsid w:val="21DA245D"/>
    <w:rsid w:val="22379CA8"/>
    <w:rsid w:val="224AA178"/>
    <w:rsid w:val="227104C6"/>
    <w:rsid w:val="22B9A84D"/>
    <w:rsid w:val="22E20261"/>
    <w:rsid w:val="22E588ED"/>
    <w:rsid w:val="230CE48E"/>
    <w:rsid w:val="230EA08B"/>
    <w:rsid w:val="237459C4"/>
    <w:rsid w:val="239EC919"/>
    <w:rsid w:val="23B8693B"/>
    <w:rsid w:val="23E1A8A5"/>
    <w:rsid w:val="23EA86B7"/>
    <w:rsid w:val="2460F940"/>
    <w:rsid w:val="246A16C5"/>
    <w:rsid w:val="247A6C7D"/>
    <w:rsid w:val="248A9E4B"/>
    <w:rsid w:val="24FA93AA"/>
    <w:rsid w:val="24FFD198"/>
    <w:rsid w:val="2519BAEF"/>
    <w:rsid w:val="252F5F96"/>
    <w:rsid w:val="25567D0D"/>
    <w:rsid w:val="256F3D6A"/>
    <w:rsid w:val="25AC6EFF"/>
    <w:rsid w:val="25B4A3EC"/>
    <w:rsid w:val="25CF43DB"/>
    <w:rsid w:val="25F93695"/>
    <w:rsid w:val="265A90DE"/>
    <w:rsid w:val="266E951D"/>
    <w:rsid w:val="26E7CFC8"/>
    <w:rsid w:val="270B0DCB"/>
    <w:rsid w:val="27479427"/>
    <w:rsid w:val="275D9E46"/>
    <w:rsid w:val="27680808"/>
    <w:rsid w:val="278D1970"/>
    <w:rsid w:val="279F8B96"/>
    <w:rsid w:val="28734B71"/>
    <w:rsid w:val="289151D7"/>
    <w:rsid w:val="28DA861C"/>
    <w:rsid w:val="290E38CE"/>
    <w:rsid w:val="2918CD82"/>
    <w:rsid w:val="298A596E"/>
    <w:rsid w:val="29A1B41E"/>
    <w:rsid w:val="29AA59B5"/>
    <w:rsid w:val="29BF2C61"/>
    <w:rsid w:val="29EE54F2"/>
    <w:rsid w:val="2A0B2775"/>
    <w:rsid w:val="2A3BB978"/>
    <w:rsid w:val="2A50D766"/>
    <w:rsid w:val="2AB49DE3"/>
    <w:rsid w:val="2AC1805F"/>
    <w:rsid w:val="2AC4BA32"/>
    <w:rsid w:val="2AE9644A"/>
    <w:rsid w:val="2AEAECFD"/>
    <w:rsid w:val="2B0917EE"/>
    <w:rsid w:val="2B1E99EC"/>
    <w:rsid w:val="2B36DCAA"/>
    <w:rsid w:val="2B56A6A9"/>
    <w:rsid w:val="2B9260A2"/>
    <w:rsid w:val="2B95F5FA"/>
    <w:rsid w:val="2BD7186F"/>
    <w:rsid w:val="2BECA7C7"/>
    <w:rsid w:val="2C1B167E"/>
    <w:rsid w:val="2C5BAF0B"/>
    <w:rsid w:val="2C6C3B1C"/>
    <w:rsid w:val="2C87F383"/>
    <w:rsid w:val="2C8CF910"/>
    <w:rsid w:val="2CC15D12"/>
    <w:rsid w:val="2CCA9714"/>
    <w:rsid w:val="2CE2BD20"/>
    <w:rsid w:val="2D95A028"/>
    <w:rsid w:val="2DD4C1B8"/>
    <w:rsid w:val="2E29CF2B"/>
    <w:rsid w:val="2E45AEFF"/>
    <w:rsid w:val="2E694E7D"/>
    <w:rsid w:val="2E825434"/>
    <w:rsid w:val="2E84BCAC"/>
    <w:rsid w:val="2EA461AB"/>
    <w:rsid w:val="2EB04099"/>
    <w:rsid w:val="2F12D863"/>
    <w:rsid w:val="2F5610D7"/>
    <w:rsid w:val="2FD2650B"/>
    <w:rsid w:val="2FE471C7"/>
    <w:rsid w:val="2FFB3208"/>
    <w:rsid w:val="3083A312"/>
    <w:rsid w:val="30C7BE29"/>
    <w:rsid w:val="3133FBB6"/>
    <w:rsid w:val="3137E667"/>
    <w:rsid w:val="31657A6B"/>
    <w:rsid w:val="317973F2"/>
    <w:rsid w:val="31CCFFA8"/>
    <w:rsid w:val="31D173AD"/>
    <w:rsid w:val="31E7E15B"/>
    <w:rsid w:val="3219AF44"/>
    <w:rsid w:val="32315ACE"/>
    <w:rsid w:val="323FF934"/>
    <w:rsid w:val="32638E8A"/>
    <w:rsid w:val="3287B56B"/>
    <w:rsid w:val="329AA764"/>
    <w:rsid w:val="32A65616"/>
    <w:rsid w:val="330802FE"/>
    <w:rsid w:val="33135070"/>
    <w:rsid w:val="33139A33"/>
    <w:rsid w:val="3340663D"/>
    <w:rsid w:val="334795F8"/>
    <w:rsid w:val="334FBF01"/>
    <w:rsid w:val="3383B1BC"/>
    <w:rsid w:val="33A2F22A"/>
    <w:rsid w:val="33C46A6B"/>
    <w:rsid w:val="33DF9C82"/>
    <w:rsid w:val="33FF5EEB"/>
    <w:rsid w:val="341D2C6D"/>
    <w:rsid w:val="342385CC"/>
    <w:rsid w:val="343D248D"/>
    <w:rsid w:val="347389FE"/>
    <w:rsid w:val="3482B9FE"/>
    <w:rsid w:val="3487B722"/>
    <w:rsid w:val="34A1B78D"/>
    <w:rsid w:val="34B70993"/>
    <w:rsid w:val="34DB4517"/>
    <w:rsid w:val="34DC369E"/>
    <w:rsid w:val="352E9E77"/>
    <w:rsid w:val="35706C9A"/>
    <w:rsid w:val="359B2F4C"/>
    <w:rsid w:val="35BEC952"/>
    <w:rsid w:val="35E5F006"/>
    <w:rsid w:val="360F5A5F"/>
    <w:rsid w:val="36DDBCBA"/>
    <w:rsid w:val="3705E765"/>
    <w:rsid w:val="378C532A"/>
    <w:rsid w:val="379CB8E6"/>
    <w:rsid w:val="37BC778E"/>
    <w:rsid w:val="3812E5D9"/>
    <w:rsid w:val="3855D10F"/>
    <w:rsid w:val="38722F48"/>
    <w:rsid w:val="38C58847"/>
    <w:rsid w:val="38D2D00E"/>
    <w:rsid w:val="38E0F830"/>
    <w:rsid w:val="390B238D"/>
    <w:rsid w:val="391F5FBB"/>
    <w:rsid w:val="3946FB21"/>
    <w:rsid w:val="394C04B5"/>
    <w:rsid w:val="39896C50"/>
    <w:rsid w:val="399B8F01"/>
    <w:rsid w:val="39D104AA"/>
    <w:rsid w:val="39D1FA0A"/>
    <w:rsid w:val="39D852A0"/>
    <w:rsid w:val="3AB33202"/>
    <w:rsid w:val="3AB39776"/>
    <w:rsid w:val="3ABF9277"/>
    <w:rsid w:val="3B045E8C"/>
    <w:rsid w:val="3B084F5E"/>
    <w:rsid w:val="3B104D01"/>
    <w:rsid w:val="3B253CB1"/>
    <w:rsid w:val="3B2B10DD"/>
    <w:rsid w:val="3B41A889"/>
    <w:rsid w:val="3B4A869B"/>
    <w:rsid w:val="3CBCE392"/>
    <w:rsid w:val="3CC10D12"/>
    <w:rsid w:val="3CC6E13E"/>
    <w:rsid w:val="3D08A56C"/>
    <w:rsid w:val="3D2ACBE9"/>
    <w:rsid w:val="3D7EFF60"/>
    <w:rsid w:val="3DAE2EB7"/>
    <w:rsid w:val="3DF25910"/>
    <w:rsid w:val="3E081EFE"/>
    <w:rsid w:val="3E5CDD73"/>
    <w:rsid w:val="3E663D77"/>
    <w:rsid w:val="3EB46B24"/>
    <w:rsid w:val="3EBB5C78"/>
    <w:rsid w:val="3EC16380"/>
    <w:rsid w:val="3FB20920"/>
    <w:rsid w:val="3FCBD04D"/>
    <w:rsid w:val="3FDDCD34"/>
    <w:rsid w:val="3FF8ADD4"/>
    <w:rsid w:val="3FFBB4E1"/>
    <w:rsid w:val="40180E76"/>
    <w:rsid w:val="4041094C"/>
    <w:rsid w:val="40626CAB"/>
    <w:rsid w:val="4075487E"/>
    <w:rsid w:val="40801B64"/>
    <w:rsid w:val="410E3FEF"/>
    <w:rsid w:val="41227386"/>
    <w:rsid w:val="41404A7E"/>
    <w:rsid w:val="41671238"/>
    <w:rsid w:val="416AEB32"/>
    <w:rsid w:val="41947E35"/>
    <w:rsid w:val="4196C18E"/>
    <w:rsid w:val="41A0EE87"/>
    <w:rsid w:val="41AE0399"/>
    <w:rsid w:val="41C177D5"/>
    <w:rsid w:val="41C1B5A5"/>
    <w:rsid w:val="422AB63B"/>
    <w:rsid w:val="42819FDA"/>
    <w:rsid w:val="42AACB29"/>
    <w:rsid w:val="42E55F19"/>
    <w:rsid w:val="42F350D4"/>
    <w:rsid w:val="4302E299"/>
    <w:rsid w:val="432C514D"/>
    <w:rsid w:val="433355A3"/>
    <w:rsid w:val="437E585A"/>
    <w:rsid w:val="43A5D974"/>
    <w:rsid w:val="43C094C0"/>
    <w:rsid w:val="43DC9B2C"/>
    <w:rsid w:val="44251B5F"/>
    <w:rsid w:val="442C3216"/>
    <w:rsid w:val="443FF6C3"/>
    <w:rsid w:val="444DBC96"/>
    <w:rsid w:val="4475185F"/>
    <w:rsid w:val="4484D240"/>
    <w:rsid w:val="4493727F"/>
    <w:rsid w:val="44A7CF77"/>
    <w:rsid w:val="44B48B3E"/>
    <w:rsid w:val="44CF2604"/>
    <w:rsid w:val="44DBA469"/>
    <w:rsid w:val="44F95667"/>
    <w:rsid w:val="4513B751"/>
    <w:rsid w:val="45245373"/>
    <w:rsid w:val="4535DDCE"/>
    <w:rsid w:val="455180D8"/>
    <w:rsid w:val="4559F394"/>
    <w:rsid w:val="455E7B3E"/>
    <w:rsid w:val="4583316F"/>
    <w:rsid w:val="459BD397"/>
    <w:rsid w:val="4652E605"/>
    <w:rsid w:val="4653CD6C"/>
    <w:rsid w:val="4672D324"/>
    <w:rsid w:val="46CB61A5"/>
    <w:rsid w:val="46D1AE2F"/>
    <w:rsid w:val="470ACF42"/>
    <w:rsid w:val="476266C9"/>
    <w:rsid w:val="47955D2F"/>
    <w:rsid w:val="47C5393B"/>
    <w:rsid w:val="47D653BC"/>
    <w:rsid w:val="480AA613"/>
    <w:rsid w:val="4830F729"/>
    <w:rsid w:val="48442F43"/>
    <w:rsid w:val="4849B0E6"/>
    <w:rsid w:val="48794A97"/>
    <w:rsid w:val="4880BF0A"/>
    <w:rsid w:val="48B3B15B"/>
    <w:rsid w:val="48BF9381"/>
    <w:rsid w:val="48C533D3"/>
    <w:rsid w:val="490495C0"/>
    <w:rsid w:val="49432B84"/>
    <w:rsid w:val="49550631"/>
    <w:rsid w:val="4996F441"/>
    <w:rsid w:val="49E72874"/>
    <w:rsid w:val="4AABC74A"/>
    <w:rsid w:val="4B0B5ED6"/>
    <w:rsid w:val="4B11B69C"/>
    <w:rsid w:val="4B13D529"/>
    <w:rsid w:val="4B44A513"/>
    <w:rsid w:val="4B78872C"/>
    <w:rsid w:val="4B9B77AC"/>
    <w:rsid w:val="4BBADA36"/>
    <w:rsid w:val="4BE13F5A"/>
    <w:rsid w:val="4C167BBF"/>
    <w:rsid w:val="4C60A647"/>
    <w:rsid w:val="4C6F0180"/>
    <w:rsid w:val="4C936C87"/>
    <w:rsid w:val="4CE9ADF8"/>
    <w:rsid w:val="4CED4D19"/>
    <w:rsid w:val="4D2D8967"/>
    <w:rsid w:val="4D4E673C"/>
    <w:rsid w:val="4D637DCD"/>
    <w:rsid w:val="4D87250D"/>
    <w:rsid w:val="4DA62041"/>
    <w:rsid w:val="4DCDD770"/>
    <w:rsid w:val="4E128C29"/>
    <w:rsid w:val="4E1FA28F"/>
    <w:rsid w:val="4E20DE38"/>
    <w:rsid w:val="4EA961BE"/>
    <w:rsid w:val="4EBB2672"/>
    <w:rsid w:val="4F16DBE4"/>
    <w:rsid w:val="4F576E76"/>
    <w:rsid w:val="4F6022E2"/>
    <w:rsid w:val="4F70996D"/>
    <w:rsid w:val="4F73D744"/>
    <w:rsid w:val="4F931CAA"/>
    <w:rsid w:val="4FE41170"/>
    <w:rsid w:val="5028B298"/>
    <w:rsid w:val="50367FD2"/>
    <w:rsid w:val="503AA1C1"/>
    <w:rsid w:val="505367E0"/>
    <w:rsid w:val="5056F6D3"/>
    <w:rsid w:val="508382CE"/>
    <w:rsid w:val="50FBBEBA"/>
    <w:rsid w:val="5105D80C"/>
    <w:rsid w:val="5122DDC2"/>
    <w:rsid w:val="5133CA04"/>
    <w:rsid w:val="5168BAE3"/>
    <w:rsid w:val="5239CA44"/>
    <w:rsid w:val="52FCD2A9"/>
    <w:rsid w:val="5305F0E1"/>
    <w:rsid w:val="5345913C"/>
    <w:rsid w:val="53D029ED"/>
    <w:rsid w:val="53DE9BC7"/>
    <w:rsid w:val="54339405"/>
    <w:rsid w:val="5459DFA1"/>
    <w:rsid w:val="5462CB45"/>
    <w:rsid w:val="54D27004"/>
    <w:rsid w:val="54F14ECA"/>
    <w:rsid w:val="550344AD"/>
    <w:rsid w:val="5552FDAF"/>
    <w:rsid w:val="555FBB25"/>
    <w:rsid w:val="556B298F"/>
    <w:rsid w:val="55BFE464"/>
    <w:rsid w:val="55CC0FC3"/>
    <w:rsid w:val="56007B9C"/>
    <w:rsid w:val="560A191A"/>
    <w:rsid w:val="5615F89E"/>
    <w:rsid w:val="5618E58E"/>
    <w:rsid w:val="568C6BD3"/>
    <w:rsid w:val="57044977"/>
    <w:rsid w:val="570A867A"/>
    <w:rsid w:val="57163C89"/>
    <w:rsid w:val="574C9B3D"/>
    <w:rsid w:val="574F82EA"/>
    <w:rsid w:val="577A7513"/>
    <w:rsid w:val="5788DFB2"/>
    <w:rsid w:val="578EB89C"/>
    <w:rsid w:val="57A82900"/>
    <w:rsid w:val="57EB5FC7"/>
    <w:rsid w:val="5821432E"/>
    <w:rsid w:val="5882736A"/>
    <w:rsid w:val="588DFF83"/>
    <w:rsid w:val="58A019D8"/>
    <w:rsid w:val="58B3190D"/>
    <w:rsid w:val="58C6668F"/>
    <w:rsid w:val="5924FC8D"/>
    <w:rsid w:val="59BFB18E"/>
    <w:rsid w:val="59F78A34"/>
    <w:rsid w:val="5A332C48"/>
    <w:rsid w:val="5A417FBE"/>
    <w:rsid w:val="5AA1D41F"/>
    <w:rsid w:val="5AB215D5"/>
    <w:rsid w:val="5AB778C6"/>
    <w:rsid w:val="5ADFC9C2"/>
    <w:rsid w:val="5BA10A25"/>
    <w:rsid w:val="5BBA142C"/>
    <w:rsid w:val="5BCD7F65"/>
    <w:rsid w:val="5BCEFCA9"/>
    <w:rsid w:val="5BE12931"/>
    <w:rsid w:val="5C0F31C6"/>
    <w:rsid w:val="5C12F67E"/>
    <w:rsid w:val="5C89CEFE"/>
    <w:rsid w:val="5D194080"/>
    <w:rsid w:val="5D495BB3"/>
    <w:rsid w:val="5D857E0D"/>
    <w:rsid w:val="5D8968BE"/>
    <w:rsid w:val="5D91B67D"/>
    <w:rsid w:val="5D9D60EE"/>
    <w:rsid w:val="5DA7C3B6"/>
    <w:rsid w:val="5DA7CB1B"/>
    <w:rsid w:val="5DBB3691"/>
    <w:rsid w:val="5DEA2C89"/>
    <w:rsid w:val="5E1C44D3"/>
    <w:rsid w:val="5E6A80A2"/>
    <w:rsid w:val="5E82B43D"/>
    <w:rsid w:val="5EA7898A"/>
    <w:rsid w:val="5EB02A00"/>
    <w:rsid w:val="5EF129BE"/>
    <w:rsid w:val="5F069D6B"/>
    <w:rsid w:val="5F1D479D"/>
    <w:rsid w:val="5F2266C7"/>
    <w:rsid w:val="5F27D15B"/>
    <w:rsid w:val="5F91E894"/>
    <w:rsid w:val="5F9E68A1"/>
    <w:rsid w:val="5FDE0D61"/>
    <w:rsid w:val="60156193"/>
    <w:rsid w:val="6016CD80"/>
    <w:rsid w:val="60220E05"/>
    <w:rsid w:val="603581EC"/>
    <w:rsid w:val="60A42596"/>
    <w:rsid w:val="60D53AF8"/>
    <w:rsid w:val="60DEE354"/>
    <w:rsid w:val="60F852C9"/>
    <w:rsid w:val="61086A83"/>
    <w:rsid w:val="6139F66D"/>
    <w:rsid w:val="617ECF9F"/>
    <w:rsid w:val="6197B965"/>
    <w:rsid w:val="61C66007"/>
    <w:rsid w:val="62419819"/>
    <w:rsid w:val="626A5E22"/>
    <w:rsid w:val="62BD2706"/>
    <w:rsid w:val="62D5C6CE"/>
    <w:rsid w:val="6350AE0F"/>
    <w:rsid w:val="63623068"/>
    <w:rsid w:val="638B27E0"/>
    <w:rsid w:val="63B3FDF8"/>
    <w:rsid w:val="63BEA020"/>
    <w:rsid w:val="63E23574"/>
    <w:rsid w:val="641FE407"/>
    <w:rsid w:val="64758757"/>
    <w:rsid w:val="6498101C"/>
    <w:rsid w:val="64B164B1"/>
    <w:rsid w:val="64B43011"/>
    <w:rsid w:val="64CFAAF6"/>
    <w:rsid w:val="64D6D0ED"/>
    <w:rsid w:val="65016860"/>
    <w:rsid w:val="65245265"/>
    <w:rsid w:val="65A2FF7C"/>
    <w:rsid w:val="65FD60D5"/>
    <w:rsid w:val="66012A18"/>
    <w:rsid w:val="661F6603"/>
    <w:rsid w:val="6629D4F7"/>
    <w:rsid w:val="66BBB778"/>
    <w:rsid w:val="66DDDB76"/>
    <w:rsid w:val="66F5556F"/>
    <w:rsid w:val="6704B459"/>
    <w:rsid w:val="673ECFDD"/>
    <w:rsid w:val="67405DB1"/>
    <w:rsid w:val="675EA493"/>
    <w:rsid w:val="6782E095"/>
    <w:rsid w:val="679CDD45"/>
    <w:rsid w:val="679CFA79"/>
    <w:rsid w:val="67A937F1"/>
    <w:rsid w:val="68001BFD"/>
    <w:rsid w:val="6824DCA2"/>
    <w:rsid w:val="685787D9"/>
    <w:rsid w:val="68A5DCC1"/>
    <w:rsid w:val="68F73E4D"/>
    <w:rsid w:val="6909EE5F"/>
    <w:rsid w:val="6911131E"/>
    <w:rsid w:val="693BFCDD"/>
    <w:rsid w:val="69450852"/>
    <w:rsid w:val="6947DD7E"/>
    <w:rsid w:val="69D081B7"/>
    <w:rsid w:val="6A072A4F"/>
    <w:rsid w:val="6A3C551B"/>
    <w:rsid w:val="6A4D008D"/>
    <w:rsid w:val="6A5D4B59"/>
    <w:rsid w:val="6AAE242B"/>
    <w:rsid w:val="6AE4A4E3"/>
    <w:rsid w:val="6AFFDDE8"/>
    <w:rsid w:val="6B7B84BE"/>
    <w:rsid w:val="6B97326D"/>
    <w:rsid w:val="6BE539D2"/>
    <w:rsid w:val="6BE7C104"/>
    <w:rsid w:val="6C42D412"/>
    <w:rsid w:val="6C5A493B"/>
    <w:rsid w:val="6C68679D"/>
    <w:rsid w:val="6D0ADDC2"/>
    <w:rsid w:val="6D3308E5"/>
    <w:rsid w:val="6D4F86F6"/>
    <w:rsid w:val="6D5FBD15"/>
    <w:rsid w:val="6D78962D"/>
    <w:rsid w:val="6DA287A6"/>
    <w:rsid w:val="6DBE1363"/>
    <w:rsid w:val="6E0504B1"/>
    <w:rsid w:val="6E593437"/>
    <w:rsid w:val="6E92698D"/>
    <w:rsid w:val="6EABF841"/>
    <w:rsid w:val="6ECE6B9F"/>
    <w:rsid w:val="6ED14AF7"/>
    <w:rsid w:val="6EFB8C33"/>
    <w:rsid w:val="6F5F4954"/>
    <w:rsid w:val="6F699820"/>
    <w:rsid w:val="6F851468"/>
    <w:rsid w:val="6FEB8FC4"/>
    <w:rsid w:val="70242B7E"/>
    <w:rsid w:val="703FC33B"/>
    <w:rsid w:val="7069E8BA"/>
    <w:rsid w:val="70A3FE75"/>
    <w:rsid w:val="70B08634"/>
    <w:rsid w:val="70B2C929"/>
    <w:rsid w:val="70C16D29"/>
    <w:rsid w:val="70FB1EE5"/>
    <w:rsid w:val="712A55C8"/>
    <w:rsid w:val="713F76A1"/>
    <w:rsid w:val="713F8C95"/>
    <w:rsid w:val="714B3B47"/>
    <w:rsid w:val="71B92304"/>
    <w:rsid w:val="71DB939C"/>
    <w:rsid w:val="71DC89AA"/>
    <w:rsid w:val="7222F819"/>
    <w:rsid w:val="7247D75B"/>
    <w:rsid w:val="724FF64E"/>
    <w:rsid w:val="728C05B2"/>
    <w:rsid w:val="72AE798E"/>
    <w:rsid w:val="7311F640"/>
    <w:rsid w:val="734B3A4F"/>
    <w:rsid w:val="73CEFE99"/>
    <w:rsid w:val="73DD296D"/>
    <w:rsid w:val="74133D7E"/>
    <w:rsid w:val="74217698"/>
    <w:rsid w:val="7460AE45"/>
    <w:rsid w:val="7491ADF6"/>
    <w:rsid w:val="74DDF075"/>
    <w:rsid w:val="74EC4E07"/>
    <w:rsid w:val="74ED6B77"/>
    <w:rsid w:val="74F77C6E"/>
    <w:rsid w:val="7513345E"/>
    <w:rsid w:val="7593C3FD"/>
    <w:rsid w:val="75AB073A"/>
    <w:rsid w:val="75C1001D"/>
    <w:rsid w:val="75CEBBF0"/>
    <w:rsid w:val="7610BCBF"/>
    <w:rsid w:val="7638AACB"/>
    <w:rsid w:val="763BB023"/>
    <w:rsid w:val="764D3788"/>
    <w:rsid w:val="76AD8DEE"/>
    <w:rsid w:val="76CCC421"/>
    <w:rsid w:val="7739F93A"/>
    <w:rsid w:val="773B4536"/>
    <w:rsid w:val="774356EA"/>
    <w:rsid w:val="774DA53D"/>
    <w:rsid w:val="779940A0"/>
    <w:rsid w:val="77AC8D20"/>
    <w:rsid w:val="77CBDA38"/>
    <w:rsid w:val="77E048A7"/>
    <w:rsid w:val="77E07A1C"/>
    <w:rsid w:val="77EDEB85"/>
    <w:rsid w:val="7885B87F"/>
    <w:rsid w:val="78A26FBC"/>
    <w:rsid w:val="78EAB2F9"/>
    <w:rsid w:val="794CC82F"/>
    <w:rsid w:val="796319A2"/>
    <w:rsid w:val="797C0142"/>
    <w:rsid w:val="79B67EAD"/>
    <w:rsid w:val="79C0DC9A"/>
    <w:rsid w:val="79F30C00"/>
    <w:rsid w:val="79FD4073"/>
    <w:rsid w:val="7A4150CC"/>
    <w:rsid w:val="7A5BCFCB"/>
    <w:rsid w:val="7AC75AAC"/>
    <w:rsid w:val="7AD9687E"/>
    <w:rsid w:val="7AFEEA03"/>
    <w:rsid w:val="7B2A9619"/>
    <w:rsid w:val="7B3EB785"/>
    <w:rsid w:val="7BA51994"/>
    <w:rsid w:val="7C56E423"/>
    <w:rsid w:val="7C636A2C"/>
    <w:rsid w:val="7CAEE980"/>
    <w:rsid w:val="7CCC8D79"/>
    <w:rsid w:val="7D3B3DFF"/>
    <w:rsid w:val="7D40E9F5"/>
    <w:rsid w:val="7D78F18E"/>
    <w:rsid w:val="7D7DAADD"/>
    <w:rsid w:val="7D9805EB"/>
    <w:rsid w:val="7DD5B13C"/>
    <w:rsid w:val="7DF01B0D"/>
    <w:rsid w:val="7DF55FF8"/>
    <w:rsid w:val="7E8E1831"/>
    <w:rsid w:val="7EBA1F16"/>
    <w:rsid w:val="7EFE9AB0"/>
    <w:rsid w:val="7F271D7F"/>
    <w:rsid w:val="7FD25B26"/>
    <w:rsid w:val="7FDF7B84"/>
    <w:rsid w:val="7FF08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FFA8"/>
  <w15:chartTrackingRefBased/>
  <w15:docId w15:val="{50925BA6-8CD7-48C1-9560-BD132D2E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30802FE"/>
    <w:rPr>
      <w:lang w:val="en-GB"/>
    </w:rPr>
  </w:style>
  <w:style w:type="paragraph" w:styleId="Heading1">
    <w:name w:val="heading 1"/>
    <w:basedOn w:val="Normal"/>
    <w:next w:val="Normal"/>
    <w:link w:val="Heading1Char"/>
    <w:uiPriority w:val="9"/>
    <w:qFormat/>
    <w:rsid w:val="330802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30802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30802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30802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30802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30802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30802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30802F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30802F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30802F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30802F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30802FE"/>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30802F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330802FE"/>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330802FE"/>
    <w:pPr>
      <w:tabs>
        <w:tab w:val="center" w:pos="4680"/>
        <w:tab w:val="right" w:pos="9360"/>
      </w:tabs>
      <w:spacing w:after="0" w:line="240" w:lineRule="auto"/>
    </w:pPr>
  </w:style>
  <w:style w:type="paragraph" w:styleId="ListParagraph">
    <w:name w:val="List Paragraph"/>
    <w:basedOn w:val="Normal"/>
    <w:uiPriority w:val="34"/>
    <w:qFormat/>
    <w:rsid w:val="330802FE"/>
    <w:pPr>
      <w:ind w:left="720"/>
      <w:contextualSpacing/>
    </w:pPr>
  </w:style>
  <w:style w:type="paragraph" w:styleId="TOC1">
    <w:name w:val="toc 1"/>
    <w:basedOn w:val="Normal"/>
    <w:next w:val="Normal"/>
    <w:uiPriority w:val="39"/>
    <w:unhideWhenUsed/>
    <w:rsid w:val="330802FE"/>
    <w:pPr>
      <w:spacing w:after="100"/>
    </w:pPr>
  </w:style>
  <w:style w:type="paragraph" w:styleId="TOC2">
    <w:name w:val="toc 2"/>
    <w:basedOn w:val="Normal"/>
    <w:next w:val="Normal"/>
    <w:uiPriority w:val="39"/>
    <w:unhideWhenUsed/>
    <w:rsid w:val="330802FE"/>
    <w:pPr>
      <w:spacing w:after="100"/>
      <w:ind w:left="220"/>
    </w:pPr>
  </w:style>
  <w:style w:type="paragraph" w:styleId="TOC3">
    <w:name w:val="toc 3"/>
    <w:basedOn w:val="Normal"/>
    <w:next w:val="Normal"/>
    <w:uiPriority w:val="39"/>
    <w:unhideWhenUsed/>
    <w:rsid w:val="330802FE"/>
    <w:pPr>
      <w:spacing w:after="100"/>
      <w:ind w:left="440"/>
    </w:pPr>
  </w:style>
  <w:style w:type="paragraph" w:styleId="TOC4">
    <w:name w:val="toc 4"/>
    <w:basedOn w:val="Normal"/>
    <w:next w:val="Normal"/>
    <w:uiPriority w:val="39"/>
    <w:unhideWhenUsed/>
    <w:rsid w:val="330802FE"/>
    <w:pPr>
      <w:spacing w:after="100"/>
      <w:ind w:left="660"/>
    </w:pPr>
  </w:style>
  <w:style w:type="paragraph" w:styleId="TOC5">
    <w:name w:val="toc 5"/>
    <w:basedOn w:val="Normal"/>
    <w:next w:val="Normal"/>
    <w:uiPriority w:val="39"/>
    <w:unhideWhenUsed/>
    <w:rsid w:val="330802FE"/>
    <w:pPr>
      <w:spacing w:after="100"/>
      <w:ind w:left="880"/>
    </w:pPr>
  </w:style>
  <w:style w:type="paragraph" w:styleId="TOC6">
    <w:name w:val="toc 6"/>
    <w:basedOn w:val="Normal"/>
    <w:next w:val="Normal"/>
    <w:uiPriority w:val="39"/>
    <w:unhideWhenUsed/>
    <w:rsid w:val="330802FE"/>
    <w:pPr>
      <w:spacing w:after="100"/>
      <w:ind w:left="1100"/>
    </w:pPr>
  </w:style>
  <w:style w:type="paragraph" w:styleId="TOC7">
    <w:name w:val="toc 7"/>
    <w:basedOn w:val="Normal"/>
    <w:next w:val="Normal"/>
    <w:uiPriority w:val="39"/>
    <w:unhideWhenUsed/>
    <w:rsid w:val="330802FE"/>
    <w:pPr>
      <w:spacing w:after="100"/>
      <w:ind w:left="1320"/>
    </w:pPr>
  </w:style>
  <w:style w:type="paragraph" w:styleId="TOC8">
    <w:name w:val="toc 8"/>
    <w:basedOn w:val="Normal"/>
    <w:next w:val="Normal"/>
    <w:uiPriority w:val="39"/>
    <w:unhideWhenUsed/>
    <w:rsid w:val="330802FE"/>
    <w:pPr>
      <w:spacing w:after="100"/>
      <w:ind w:left="1540"/>
    </w:pPr>
  </w:style>
  <w:style w:type="paragraph" w:styleId="TOC9">
    <w:name w:val="toc 9"/>
    <w:basedOn w:val="Normal"/>
    <w:next w:val="Normal"/>
    <w:uiPriority w:val="39"/>
    <w:unhideWhenUsed/>
    <w:rsid w:val="330802FE"/>
    <w:pPr>
      <w:spacing w:after="100"/>
      <w:ind w:left="1760"/>
    </w:pPr>
  </w:style>
  <w:style w:type="paragraph" w:styleId="EndnoteText">
    <w:name w:val="endnote text"/>
    <w:basedOn w:val="Normal"/>
    <w:uiPriority w:val="99"/>
    <w:semiHidden/>
    <w:unhideWhenUsed/>
    <w:rsid w:val="330802FE"/>
    <w:pPr>
      <w:spacing w:after="0" w:line="240" w:lineRule="auto"/>
    </w:pPr>
    <w:rPr>
      <w:sz w:val="20"/>
      <w:szCs w:val="20"/>
    </w:rPr>
  </w:style>
  <w:style w:type="paragraph" w:styleId="FootnoteText">
    <w:name w:val="footnote text"/>
    <w:basedOn w:val="Normal"/>
    <w:uiPriority w:val="99"/>
    <w:semiHidden/>
    <w:unhideWhenUsed/>
    <w:rsid w:val="330802FE"/>
    <w:pPr>
      <w:spacing w:after="0" w:line="240" w:lineRule="auto"/>
    </w:pPr>
    <w:rPr>
      <w:sz w:val="20"/>
      <w:szCs w:val="20"/>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rights-respecting-schools/the-right-to-particip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ask/answers/042815/what-are-disadvantages-using-simple-random-sample-approximate-larger-population.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dpr-info.eu/art-7-gdpr/" TargetMode="External"/><Relationship Id="rId4" Type="http://schemas.openxmlformats.org/officeDocument/2006/relationships/webSettings" Target="webSettings.xml"/><Relationship Id="rId9" Type="http://schemas.openxmlformats.org/officeDocument/2006/relationships/hyperlink" Target="https://www.structural-learning.com/post/leuven-scale-a-teachers-gui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5459</Words>
  <Characters>31119</Characters>
  <Application>Microsoft Office Word</Application>
  <DocSecurity>0</DocSecurity>
  <Lines>259</Lines>
  <Paragraphs>73</Paragraphs>
  <ScaleCrop>false</ScaleCrop>
  <Company/>
  <LinksUpToDate>false</LinksUpToDate>
  <CharactersWithSpaces>36505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Roberts (1902890)</dc:creator>
  <cp:keywords/>
  <dc:description/>
  <cp:lastModifiedBy>Iestyn Roberts (1902890)</cp:lastModifiedBy>
  <cp:revision>2</cp:revision>
  <dcterms:created xsi:type="dcterms:W3CDTF">2024-03-05T10:40:00Z</dcterms:created>
  <dcterms:modified xsi:type="dcterms:W3CDTF">2024-05-07T17:37:00Z</dcterms:modified>
</cp:coreProperties>
</file>