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DF2AE" w14:textId="77777777" w:rsidR="00F952A0" w:rsidRPr="00F952A0" w:rsidRDefault="00F952A0" w:rsidP="006F2BBA">
      <w:pPr>
        <w:pStyle w:val="Title"/>
      </w:pPr>
    </w:p>
    <w:p w14:paraId="3853DA7F" w14:textId="77777777" w:rsidR="00F952A0" w:rsidRPr="00F952A0" w:rsidRDefault="00F952A0" w:rsidP="006F2BBA">
      <w:pPr>
        <w:pStyle w:val="Title"/>
      </w:pPr>
    </w:p>
    <w:p w14:paraId="03F21973" w14:textId="77777777" w:rsidR="00F952A0" w:rsidRPr="00F952A0" w:rsidRDefault="00F952A0" w:rsidP="006F2BBA">
      <w:pPr>
        <w:pStyle w:val="Title"/>
      </w:pPr>
    </w:p>
    <w:p w14:paraId="79C7060C" w14:textId="77777777" w:rsidR="00F952A0" w:rsidRPr="00F952A0" w:rsidRDefault="00F952A0" w:rsidP="006F2BBA">
      <w:pPr>
        <w:pStyle w:val="Title"/>
      </w:pPr>
    </w:p>
    <w:p w14:paraId="6340002E" w14:textId="77777777" w:rsidR="00F952A0" w:rsidRPr="00F952A0" w:rsidRDefault="00F952A0" w:rsidP="006F2BBA">
      <w:pPr>
        <w:pStyle w:val="Title"/>
      </w:pPr>
    </w:p>
    <w:p w14:paraId="2953CE70" w14:textId="77777777" w:rsidR="00F952A0" w:rsidRPr="00F952A0" w:rsidRDefault="00F952A0" w:rsidP="006F2BBA">
      <w:pPr>
        <w:pStyle w:val="Title"/>
      </w:pPr>
    </w:p>
    <w:p w14:paraId="0F235D7B" w14:textId="77777777" w:rsidR="00F952A0" w:rsidRPr="00F952A0" w:rsidRDefault="00F952A0" w:rsidP="006F2BBA">
      <w:pPr>
        <w:pStyle w:val="Title"/>
      </w:pPr>
    </w:p>
    <w:p w14:paraId="5AC5F366" w14:textId="77777777" w:rsidR="00F952A0" w:rsidRPr="00F952A0" w:rsidRDefault="00F952A0" w:rsidP="006F2BBA">
      <w:pPr>
        <w:pStyle w:val="Title"/>
      </w:pPr>
    </w:p>
    <w:p w14:paraId="77178756" w14:textId="77777777" w:rsidR="006F2BBA" w:rsidRPr="00F952A0" w:rsidRDefault="00000000" w:rsidP="006F2BBA">
      <w:pPr>
        <w:pStyle w:val="Title"/>
      </w:pPr>
      <w:r w:rsidRPr="00F952A0">
        <w:t>CRIMINAL JUSTICE</w:t>
      </w:r>
    </w:p>
    <w:p w14:paraId="5CAFF509" w14:textId="77777777" w:rsidR="006F2BBA" w:rsidRPr="00F952A0" w:rsidRDefault="00000000" w:rsidP="006F2BBA">
      <w:pPr>
        <w:jc w:val="center"/>
        <w:rPr>
          <w:b/>
          <w:bCs/>
          <w:i/>
          <w:iCs/>
        </w:rPr>
      </w:pPr>
      <w:r w:rsidRPr="00F952A0">
        <w:rPr>
          <w:b/>
          <w:bCs/>
          <w:i/>
          <w:iCs/>
        </w:rPr>
        <w:t>Student Name:</w:t>
      </w:r>
    </w:p>
    <w:p w14:paraId="655851C7" w14:textId="77777777" w:rsidR="006F2BBA" w:rsidRPr="00F952A0" w:rsidRDefault="00000000" w:rsidP="006F2BBA">
      <w:pPr>
        <w:jc w:val="center"/>
        <w:rPr>
          <w:b/>
          <w:bCs/>
          <w:i/>
          <w:iCs/>
        </w:rPr>
      </w:pPr>
      <w:r w:rsidRPr="00F952A0">
        <w:rPr>
          <w:b/>
          <w:bCs/>
          <w:i/>
          <w:iCs/>
        </w:rPr>
        <w:t>Student ID:</w:t>
      </w:r>
    </w:p>
    <w:p w14:paraId="084634A2" w14:textId="77777777" w:rsidR="006F2BBA" w:rsidRPr="00F952A0" w:rsidRDefault="00000000" w:rsidP="006F2BBA">
      <w:pPr>
        <w:jc w:val="center"/>
        <w:rPr>
          <w:b/>
          <w:bCs/>
          <w:i/>
          <w:iCs/>
        </w:rPr>
      </w:pPr>
      <w:r w:rsidRPr="00F952A0">
        <w:rPr>
          <w:b/>
          <w:bCs/>
          <w:i/>
          <w:iCs/>
        </w:rPr>
        <w:t>Subject Name:</w:t>
      </w:r>
    </w:p>
    <w:p w14:paraId="085DEF91" w14:textId="77777777" w:rsidR="006F2BBA" w:rsidRPr="00F952A0" w:rsidRDefault="00000000" w:rsidP="006F2BBA">
      <w:pPr>
        <w:jc w:val="center"/>
      </w:pPr>
      <w:r w:rsidRPr="00F952A0">
        <w:rPr>
          <w:b/>
          <w:bCs/>
          <w:i/>
          <w:iCs/>
        </w:rPr>
        <w:t>Course Name:</w:t>
      </w:r>
      <w:r w:rsidRPr="00F952A0">
        <w:t xml:space="preserve"> </w:t>
      </w:r>
      <w:r w:rsidRPr="00F952A0">
        <w:br w:type="page"/>
      </w:r>
    </w:p>
    <w:p w14:paraId="16BC3072" w14:textId="77777777" w:rsidR="00F952A0" w:rsidRDefault="00000000" w:rsidP="00F952A0">
      <w:pPr>
        <w:spacing w:line="259" w:lineRule="auto"/>
        <w:jc w:val="center"/>
        <w:rPr>
          <w:b/>
        </w:rPr>
      </w:pPr>
      <w:r w:rsidRPr="00F952A0">
        <w:rPr>
          <w:b/>
          <w:bCs/>
        </w:rPr>
        <w:lastRenderedPageBreak/>
        <w:t>Table of Contents</w:t>
      </w:r>
    </w:p>
    <w:p w14:paraId="4C9B43AE" w14:textId="77777777" w:rsidR="00F952A0" w:rsidRDefault="00000000">
      <w:pPr>
        <w:pStyle w:val="TableofFigures"/>
        <w:tabs>
          <w:tab w:val="right" w:leader="dot" w:pos="9016"/>
        </w:tabs>
        <w:rPr>
          <w:noProof/>
        </w:rPr>
      </w:pPr>
      <w:r>
        <w:rPr>
          <w:b/>
        </w:rPr>
        <w:fldChar w:fldCharType="begin"/>
      </w:r>
      <w:r>
        <w:rPr>
          <w:b/>
        </w:rPr>
        <w:instrText xml:space="preserve"> TOC \h \z \t "Heading 1" \c </w:instrText>
      </w:r>
      <w:r>
        <w:rPr>
          <w:b/>
        </w:rPr>
        <w:fldChar w:fldCharType="separate"/>
      </w:r>
      <w:hyperlink w:anchor="_Toc124354955" w:history="1">
        <w:r w:rsidRPr="00681294">
          <w:rPr>
            <w:rStyle w:val="Hyperlink"/>
            <w:noProof/>
          </w:rPr>
          <w:t>Introduction</w:t>
        </w:r>
        <w:r>
          <w:rPr>
            <w:noProof/>
            <w:webHidden/>
          </w:rPr>
          <w:tab/>
        </w:r>
        <w:r>
          <w:rPr>
            <w:noProof/>
            <w:webHidden/>
          </w:rPr>
          <w:fldChar w:fldCharType="begin"/>
        </w:r>
        <w:r>
          <w:rPr>
            <w:noProof/>
            <w:webHidden/>
          </w:rPr>
          <w:instrText xml:space="preserve"> PAGEREF _Toc124354955 \h </w:instrText>
        </w:r>
        <w:r>
          <w:rPr>
            <w:noProof/>
            <w:webHidden/>
          </w:rPr>
        </w:r>
        <w:r>
          <w:rPr>
            <w:noProof/>
            <w:webHidden/>
          </w:rPr>
          <w:fldChar w:fldCharType="separate"/>
        </w:r>
        <w:r>
          <w:rPr>
            <w:noProof/>
            <w:webHidden/>
          </w:rPr>
          <w:t>3</w:t>
        </w:r>
        <w:r>
          <w:rPr>
            <w:noProof/>
            <w:webHidden/>
          </w:rPr>
          <w:fldChar w:fldCharType="end"/>
        </w:r>
      </w:hyperlink>
    </w:p>
    <w:p w14:paraId="7B8041E0" w14:textId="77777777" w:rsidR="00F952A0" w:rsidRDefault="00000000">
      <w:pPr>
        <w:pStyle w:val="TableofFigures"/>
        <w:tabs>
          <w:tab w:val="right" w:leader="dot" w:pos="9016"/>
        </w:tabs>
        <w:rPr>
          <w:noProof/>
        </w:rPr>
      </w:pPr>
      <w:hyperlink w:anchor="_Toc124354956" w:history="1">
        <w:r w:rsidRPr="00681294">
          <w:rPr>
            <w:rStyle w:val="Hyperlink"/>
            <w:noProof/>
          </w:rPr>
          <w:t>Task a) Explain to Hadley what crimes he may be held legally accountable for</w:t>
        </w:r>
        <w:r>
          <w:rPr>
            <w:noProof/>
            <w:webHidden/>
          </w:rPr>
          <w:tab/>
        </w:r>
        <w:r>
          <w:rPr>
            <w:noProof/>
            <w:webHidden/>
          </w:rPr>
          <w:fldChar w:fldCharType="begin"/>
        </w:r>
        <w:r>
          <w:rPr>
            <w:noProof/>
            <w:webHidden/>
          </w:rPr>
          <w:instrText xml:space="preserve"> PAGEREF _Toc124354956 \h </w:instrText>
        </w:r>
        <w:r>
          <w:rPr>
            <w:noProof/>
            <w:webHidden/>
          </w:rPr>
        </w:r>
        <w:r>
          <w:rPr>
            <w:noProof/>
            <w:webHidden/>
          </w:rPr>
          <w:fldChar w:fldCharType="separate"/>
        </w:r>
        <w:r>
          <w:rPr>
            <w:noProof/>
            <w:webHidden/>
          </w:rPr>
          <w:t>3</w:t>
        </w:r>
        <w:r>
          <w:rPr>
            <w:noProof/>
            <w:webHidden/>
          </w:rPr>
          <w:fldChar w:fldCharType="end"/>
        </w:r>
      </w:hyperlink>
    </w:p>
    <w:p w14:paraId="026C1C26" w14:textId="77777777" w:rsidR="00F952A0" w:rsidRDefault="00000000">
      <w:pPr>
        <w:pStyle w:val="TableofFigures"/>
        <w:tabs>
          <w:tab w:val="right" w:leader="dot" w:pos="9016"/>
        </w:tabs>
        <w:rPr>
          <w:noProof/>
        </w:rPr>
      </w:pPr>
      <w:hyperlink w:anchor="_Toc124354957" w:history="1">
        <w:r w:rsidRPr="00681294">
          <w:rPr>
            <w:rStyle w:val="Hyperlink"/>
            <w:noProof/>
          </w:rPr>
          <w:t>Task b) Advising her whether or not she could trust her abstraction and drunkenness as defences.</w:t>
        </w:r>
        <w:r>
          <w:rPr>
            <w:noProof/>
            <w:webHidden/>
          </w:rPr>
          <w:tab/>
        </w:r>
        <w:r>
          <w:rPr>
            <w:noProof/>
            <w:webHidden/>
          </w:rPr>
          <w:fldChar w:fldCharType="begin"/>
        </w:r>
        <w:r>
          <w:rPr>
            <w:noProof/>
            <w:webHidden/>
          </w:rPr>
          <w:instrText xml:space="preserve"> PAGEREF _Toc124354957 \h </w:instrText>
        </w:r>
        <w:r>
          <w:rPr>
            <w:noProof/>
            <w:webHidden/>
          </w:rPr>
        </w:r>
        <w:r>
          <w:rPr>
            <w:noProof/>
            <w:webHidden/>
          </w:rPr>
          <w:fldChar w:fldCharType="separate"/>
        </w:r>
        <w:r>
          <w:rPr>
            <w:noProof/>
            <w:webHidden/>
          </w:rPr>
          <w:t>4</w:t>
        </w:r>
        <w:r>
          <w:rPr>
            <w:noProof/>
            <w:webHidden/>
          </w:rPr>
          <w:fldChar w:fldCharType="end"/>
        </w:r>
      </w:hyperlink>
    </w:p>
    <w:p w14:paraId="08809555" w14:textId="77777777" w:rsidR="00F952A0" w:rsidRDefault="00000000">
      <w:pPr>
        <w:pStyle w:val="TableofFigures"/>
        <w:tabs>
          <w:tab w:val="right" w:leader="dot" w:pos="9016"/>
        </w:tabs>
        <w:rPr>
          <w:noProof/>
        </w:rPr>
      </w:pPr>
      <w:hyperlink w:anchor="_Toc124354958" w:history="1">
        <w:r w:rsidRPr="00681294">
          <w:rPr>
            <w:rStyle w:val="Hyperlink"/>
            <w:noProof/>
          </w:rPr>
          <w:t>Conclusion</w:t>
        </w:r>
        <w:r>
          <w:rPr>
            <w:noProof/>
            <w:webHidden/>
          </w:rPr>
          <w:tab/>
        </w:r>
        <w:r>
          <w:rPr>
            <w:noProof/>
            <w:webHidden/>
          </w:rPr>
          <w:fldChar w:fldCharType="begin"/>
        </w:r>
        <w:r>
          <w:rPr>
            <w:noProof/>
            <w:webHidden/>
          </w:rPr>
          <w:instrText xml:space="preserve"> PAGEREF _Toc124354958 \h </w:instrText>
        </w:r>
        <w:r>
          <w:rPr>
            <w:noProof/>
            <w:webHidden/>
          </w:rPr>
        </w:r>
        <w:r>
          <w:rPr>
            <w:noProof/>
            <w:webHidden/>
          </w:rPr>
          <w:fldChar w:fldCharType="separate"/>
        </w:r>
        <w:r>
          <w:rPr>
            <w:noProof/>
            <w:webHidden/>
          </w:rPr>
          <w:t>6</w:t>
        </w:r>
        <w:r>
          <w:rPr>
            <w:noProof/>
            <w:webHidden/>
          </w:rPr>
          <w:fldChar w:fldCharType="end"/>
        </w:r>
      </w:hyperlink>
    </w:p>
    <w:p w14:paraId="47ED81D9" w14:textId="77777777" w:rsidR="00F952A0" w:rsidRDefault="00000000">
      <w:pPr>
        <w:pStyle w:val="TableofFigures"/>
        <w:tabs>
          <w:tab w:val="right" w:leader="dot" w:pos="9016"/>
        </w:tabs>
        <w:rPr>
          <w:noProof/>
        </w:rPr>
      </w:pPr>
      <w:hyperlink w:anchor="_Toc124354959" w:history="1">
        <w:r w:rsidRPr="00681294">
          <w:rPr>
            <w:rStyle w:val="Hyperlink"/>
            <w:noProof/>
          </w:rPr>
          <w:t>References</w:t>
        </w:r>
        <w:r>
          <w:rPr>
            <w:noProof/>
            <w:webHidden/>
          </w:rPr>
          <w:tab/>
        </w:r>
        <w:r>
          <w:rPr>
            <w:noProof/>
            <w:webHidden/>
          </w:rPr>
          <w:fldChar w:fldCharType="begin"/>
        </w:r>
        <w:r>
          <w:rPr>
            <w:noProof/>
            <w:webHidden/>
          </w:rPr>
          <w:instrText xml:space="preserve"> PAGEREF _Toc124354959 \h </w:instrText>
        </w:r>
        <w:r>
          <w:rPr>
            <w:noProof/>
            <w:webHidden/>
          </w:rPr>
        </w:r>
        <w:r>
          <w:rPr>
            <w:noProof/>
            <w:webHidden/>
          </w:rPr>
          <w:fldChar w:fldCharType="separate"/>
        </w:r>
        <w:r>
          <w:rPr>
            <w:noProof/>
            <w:webHidden/>
          </w:rPr>
          <w:t>7</w:t>
        </w:r>
        <w:r>
          <w:rPr>
            <w:noProof/>
            <w:webHidden/>
          </w:rPr>
          <w:fldChar w:fldCharType="end"/>
        </w:r>
      </w:hyperlink>
    </w:p>
    <w:p w14:paraId="7D9B337E" w14:textId="77777777" w:rsidR="00F952A0" w:rsidRPr="00F952A0" w:rsidRDefault="00000000" w:rsidP="00F952A0">
      <w:pPr>
        <w:spacing w:line="259" w:lineRule="auto"/>
        <w:rPr>
          <w:b/>
        </w:rPr>
      </w:pPr>
      <w:r>
        <w:rPr>
          <w:b/>
        </w:rPr>
        <w:fldChar w:fldCharType="end"/>
      </w:r>
      <w:r w:rsidRPr="00F952A0">
        <w:rPr>
          <w:b/>
        </w:rPr>
        <w:br w:type="page"/>
      </w:r>
    </w:p>
    <w:p w14:paraId="4613593E" w14:textId="77777777" w:rsidR="006F2BBA" w:rsidRPr="00F952A0" w:rsidRDefault="00000000" w:rsidP="006F2BBA">
      <w:pPr>
        <w:pStyle w:val="Heading1"/>
      </w:pPr>
      <w:bookmarkStart w:id="0" w:name="_Toc124354955"/>
      <w:r w:rsidRPr="00F952A0">
        <w:lastRenderedPageBreak/>
        <w:t>Introduction</w:t>
      </w:r>
      <w:bookmarkEnd w:id="0"/>
    </w:p>
    <w:p w14:paraId="6F536BB9" w14:textId="77777777" w:rsidR="006F2BBA" w:rsidRPr="006F2BBA" w:rsidRDefault="00000000" w:rsidP="006F2BBA">
      <w:r w:rsidRPr="006F2BBA">
        <w:t>Reviewing two distinct case histories involving criminal offences, invasion, property destruction, and drunkenness is the current task. The present task gives claimants guidance on how to comprehend the legal environment and assess potential defences against outcomes. The first case focuses on outlining the defendant's criminal violations, whereas the second investigation is concerned with finding solutions to the problem. </w:t>
      </w:r>
    </w:p>
    <w:p w14:paraId="6E588DFE" w14:textId="77777777" w:rsidR="006F2BBA" w:rsidRPr="00F952A0" w:rsidRDefault="00000000" w:rsidP="006F2BBA">
      <w:pPr>
        <w:pStyle w:val="Heading1"/>
      </w:pPr>
      <w:bookmarkStart w:id="1" w:name="_Toc124354956"/>
      <w:r w:rsidRPr="00F952A0">
        <w:t>Task a) Explain to Hadley what crimes he may be held legally accountable for</w:t>
      </w:r>
      <w:bookmarkEnd w:id="1"/>
    </w:p>
    <w:p w14:paraId="564C37CB" w14:textId="77777777" w:rsidR="006F2BBA" w:rsidRPr="006F2BBA" w:rsidRDefault="00000000" w:rsidP="006F2BBA">
      <w:r w:rsidRPr="006F2BBA">
        <w:t xml:space="preserve">According to the research study, Ronan has been identified as </w:t>
      </w:r>
      <w:proofErr w:type="spellStart"/>
      <w:r w:rsidRPr="006F2BBA">
        <w:t>Hadly's</w:t>
      </w:r>
      <w:proofErr w:type="spellEnd"/>
      <w:r w:rsidRPr="006F2BBA">
        <w:t xml:space="preserve"> target for several crimes that he committed with Ronan. As the study indicated, it can be assessed that Ronan had purchased a Bucci instructor, which he showed to his buddy at the neighbourhood club, and that they were preparing to travel to the Maldives for holiday. Hadley had intended to rob Ronan of his Bucci sneakers, but when he got home on Saturday, he undoubtedly discovered that they were gone. Hadley smashed a seat in the yard before going into the house. When he got to Ronan's bedroom and noticed a </w:t>
      </w:r>
      <w:r w:rsidR="005450AA">
        <w:t>R</w:t>
      </w:r>
      <w:r w:rsidRPr="006F2BBA">
        <w:t>olex watch, he decided to steal the timepiece rather than the trainers. However, after swiping, he decided to set flame to scent in the trash can adjacent to Ronan's wardrobe and changing area when he returned. It is clear from the entire circumstance that Hadley committed several crimes.</w:t>
      </w:r>
    </w:p>
    <w:p w14:paraId="45053D97" w14:textId="77777777" w:rsidR="006F2BBA" w:rsidRPr="006F2BBA" w:rsidRDefault="00000000" w:rsidP="006F2BBA">
      <w:r w:rsidRPr="006F2BBA">
        <w:t>He initially enters Ronan's home despite his knowledge or consent, which is against UK trespasser regulations. The breach is an important aspect of UK tort law that is roughly separated into three categories: trespass to persons, trespass to property, and trespass to land. Additionally, there are three important subtypes of trespass against the individual unlawful imprisonment, which relates to denying someone of their freedom, and harassment, which involves using physical force on the sufferer.</w:t>
      </w:r>
    </w:p>
    <w:p w14:paraId="75189156" w14:textId="77777777" w:rsidR="006F2BBA" w:rsidRPr="006F2BBA" w:rsidRDefault="00000000" w:rsidP="006F2BBA">
      <w:r w:rsidRPr="006F2BBA">
        <w:t>Trespassing on products, on the other hand, is defined as improper physical intrusion with things that are in the path of another person. According to Gray, (O2022, p. 105), the Tort Act of 1977, which is frequently used to interfere with products, covers it. Hadley has interfered with Ronan's commodities and accessed his private possessions, which means that Hadley is legally responsible under UK Tort Law 1977 for interfering with another person's property.</w:t>
      </w:r>
    </w:p>
    <w:p w14:paraId="4A8C7505" w14:textId="77777777" w:rsidR="006F2BBA" w:rsidRPr="006F2BBA" w:rsidRDefault="00000000" w:rsidP="006F2BBA">
      <w:r w:rsidRPr="006F2BBA">
        <w:t xml:space="preserve">Intrusion to the land is the illegal taking of someone else's land that they have sole custody of. Although it is also governed by the UK's Tort Act 1977, this behaviour is an offence that is covered under the UK's Public Order and Criminal Justice Act 1994. It is not necessary to </w:t>
      </w:r>
      <w:r w:rsidRPr="006F2BBA">
        <w:lastRenderedPageBreak/>
        <w:t>demonstrate that the calumet was harmed to violate this statute because English law considers intruding on someone else's property without authorization to be a violation. The law of England Although trespassing on another person's property is an unreasonable felony act, the League Against Cruel Sports v. Scott case law explains the context of such behaviour. In this instance, the court found that although carelessness was a factor in the breaching that took place, the petitioner was not necessarily entitled to injury as a result of the intrusion. Hadley may also be held accountable under the Tort and Criminal justice Acts for invading Ronan's land even if she did not suffer any physical damage. However, it is clear from the case analysis that Hadley is also guilty of violating the Criminal Justice and Public Order Act of 1994 since he invaded Ronan's home and caused property destruction (Leeming, 2022, p. 98).</w:t>
      </w:r>
    </w:p>
    <w:p w14:paraId="0972267F" w14:textId="77777777" w:rsidR="006F2BBA" w:rsidRPr="006F2BBA" w:rsidRDefault="00000000" w:rsidP="006F2BBA">
      <w:r w:rsidRPr="006F2BBA">
        <w:t xml:space="preserve">In addition to invading, Hadley also took items from Ronan, a crime covered by the UK government's Theft Act 1968. Hadley is covered by Section 5 of the Theft Act of 1968, which deals with the ownership or control of someone else's property by the beneficiaries of the trust to which the asset is a fundamental subject. Hadley committed the theft of a Rolex wristwatch Ronan in this instance, which violates another part of the law, and she will suffer serious repercussions as a result. Additionally, he lit the trash can in Ronan's changing room in flames, which was declared a crime by the UK government in 1971 under the Criminal Damage Act. According to section 1 of the Criminal Damage Act of 1971, it is illegal for a person to harm or damage another person's assets without a valid legal justification or to have the intention to do so. </w:t>
      </w:r>
    </w:p>
    <w:p w14:paraId="7B3B9C44" w14:textId="77777777" w:rsidR="006F2BBA" w:rsidRPr="006F2BBA" w:rsidRDefault="00000000" w:rsidP="006F2BBA">
      <w:r w:rsidRPr="006F2BBA">
        <w:t>This conduct also includes careless monitoring of property that could be harmed or destroyed, which is considered a crime. Hadley committed several illegal behaviours in Ronan's home, including intruding on his assets and trying to steal his products. As a result, he was charged under the Tort Act of 1977 for trespassing commodities, the Criminal Justice and Public Order Act of 1994 for trespassing on private property, Section 5 of the Theft Act for pilfering other people's property, and the Criminal Damage Act of 1971 for damaging other people's property (</w:t>
      </w:r>
      <w:proofErr w:type="spellStart"/>
      <w:r w:rsidRPr="006F2BBA">
        <w:t>Hornbostel</w:t>
      </w:r>
      <w:proofErr w:type="spellEnd"/>
      <w:r w:rsidRPr="006F2BBA">
        <w:t>, 2022, p. 607). </w:t>
      </w:r>
    </w:p>
    <w:p w14:paraId="38E6DD81" w14:textId="77777777" w:rsidR="006F2BBA" w:rsidRPr="00F952A0" w:rsidRDefault="00000000" w:rsidP="006F2BBA">
      <w:pPr>
        <w:pStyle w:val="Heading1"/>
      </w:pPr>
      <w:bookmarkStart w:id="2" w:name="_Toc124354957"/>
      <w:r w:rsidRPr="00F952A0">
        <w:t>Task b) Advising her whether or not she could trust her abstraction and drunkenness as defences.</w:t>
      </w:r>
      <w:bookmarkEnd w:id="2"/>
    </w:p>
    <w:p w14:paraId="0BCC80FF" w14:textId="77777777" w:rsidR="006F2BBA" w:rsidRPr="006F2BBA" w:rsidRDefault="00000000" w:rsidP="006F2BBA">
      <w:r w:rsidRPr="006F2BBA">
        <w:t xml:space="preserve">According to the possible scenario, it is clear that Freya and Nicky visit the nightclub and drink a pint of gin on the way there. Additionally, they each had six gin cocktails and tonics at the nightclub, which led to drunkenness and the development of automatism as a result of </w:t>
      </w:r>
      <w:r w:rsidRPr="006F2BBA">
        <w:lastRenderedPageBreak/>
        <w:t xml:space="preserve">unconscious thoughts. Freya has </w:t>
      </w:r>
      <w:r w:rsidR="005450AA" w:rsidRPr="006F2BBA">
        <w:t>epilepsy;</w:t>
      </w:r>
      <w:r w:rsidRPr="006F2BBA">
        <w:t xml:space="preserve"> </w:t>
      </w:r>
      <w:r w:rsidR="005450AA" w:rsidRPr="006F2BBA">
        <w:t>however,</w:t>
      </w:r>
      <w:r w:rsidRPr="006F2BBA">
        <w:t xml:space="preserve"> she has not had a serious seizure in the previous ten years, which indicates that her medicine has stopped working. Nevertheless, after ingesting a lot of alcohol, she immediately begins having seizures. Nicky contacted Mike, who lived next to their room since she was unsure about her actions. </w:t>
      </w:r>
    </w:p>
    <w:p w14:paraId="3F7D7607" w14:textId="77777777" w:rsidR="006F2BBA" w:rsidRPr="006F2BBA" w:rsidRDefault="00000000" w:rsidP="006F2BBA">
      <w:r w:rsidRPr="006F2BBA">
        <w:t>Additionally, when Mike arrived at the location and attempted to approach Freya, she hit him in the head unconsciously, leaving him with a black eye. Nevertheless, because Freya hit Mike and he sustained physical harm as a result, she is now being held accountable underneath the UK's Offence against the Person Act 1871. The UK and Ireland's governments passed the Offences against by the Person Act 1861, which includes articles 24 and 25, to unify the laws in the two countries covering violations against people, including expressions of aggression or offensiveness. According to the act's draughtsman, these regulations are designated in the majority of the sections with little to no phraseological change. This measure was carried out following the UK's Crime Act Consolidation Legislation 1861, which primarily addresses offences involving speech or other violent outbursts. But during the case, it has been clear that Freya's only option is to submit due to her drunkenness and involuntary reflex because, at the time of the incident, she remained unconscious and therefore created problems for Mike. She could also assert that she suffers from epilepsy, a disease that can be unpredictable and lead to violence on occasion.</w:t>
      </w:r>
    </w:p>
    <w:p w14:paraId="4B25B7A5" w14:textId="77777777" w:rsidR="006F2BBA" w:rsidRPr="006F2BBA" w:rsidRDefault="00000000" w:rsidP="006F2BBA">
      <w:r w:rsidRPr="006F2BBA">
        <w:t xml:space="preserve">According to </w:t>
      </w:r>
      <w:proofErr w:type="spellStart"/>
      <w:r w:rsidRPr="006F2BBA">
        <w:t>Lightowlers</w:t>
      </w:r>
      <w:proofErr w:type="spellEnd"/>
      <w:r w:rsidRPr="006F2BBA">
        <w:t xml:space="preserve"> (2019, p. 700), drunkenness throughout the UK is not regarded as a defence action since, when someone is under the influence of alcohol or narcotics and engages in a crime, their level of intoxication may impede them from taking the necessary steps to complete the crime. As stated by Robinson (2018, p. 386), intoxication situations have an impact on the neurons and cause some physical changes, which might cause a person to give up control of their body. However, drunkenness is seen differently in the UK depending on whether it is </w:t>
      </w:r>
      <w:proofErr w:type="spellStart"/>
      <w:r w:rsidR="005450AA" w:rsidRPr="006F2BBA">
        <w:t>willful</w:t>
      </w:r>
      <w:proofErr w:type="spellEnd"/>
      <w:r w:rsidRPr="006F2BBA">
        <w:t xml:space="preserve"> or unintentional. Freya chooses to drink gin and mixed drinks, indicating that the scenario is one of </w:t>
      </w:r>
      <w:r w:rsidR="005450AA" w:rsidRPr="006F2BBA">
        <w:t>wilful</w:t>
      </w:r>
      <w:r w:rsidRPr="006F2BBA">
        <w:t xml:space="preserve"> toxication. In theory, errors made while under the influence of alcohol are not regarded as crimes, but under specific circumstances, they are covered by the Criminal Damage Act of 1971. (cps.gov.uk, 2022).</w:t>
      </w:r>
    </w:p>
    <w:p w14:paraId="01030B43" w14:textId="77777777" w:rsidR="006F2BBA" w:rsidRPr="006F2BBA" w:rsidRDefault="00000000" w:rsidP="006F2BBA">
      <w:r w:rsidRPr="006F2BBA">
        <w:t xml:space="preserve">Even if the error was brought on by intentional drunkenness, a provision like section 5(2) (a) of said UK's Criminal damage act of 1971 provides a restricted defence in light of the actual circumstances that the misconception may have relied on. According to the 1981 legal precedent </w:t>
      </w:r>
      <w:proofErr w:type="spellStart"/>
      <w:r w:rsidRPr="006F2BBA">
        <w:t>Jaggard</w:t>
      </w:r>
      <w:proofErr w:type="spellEnd"/>
      <w:r w:rsidRPr="006F2BBA">
        <w:t xml:space="preserve"> v. Dickinson, it is obvious that the petitioner was intoxicated when she </w:t>
      </w:r>
      <w:r w:rsidRPr="006F2BBA">
        <w:lastRenderedPageBreak/>
        <w:t xml:space="preserve">arrived at her friend's residence without paying. The apartment was not belonging to her partner at all, but even though she knocked and assumed her friend had permitted her to enter, her friend seemed to be not home at the time. But according to the standard established in DPP v. Claimant, an individual cannot depend on an error caused by </w:t>
      </w:r>
      <w:r w:rsidR="005450AA" w:rsidRPr="006F2BBA">
        <w:t>wilful</w:t>
      </w:r>
      <w:r w:rsidRPr="006F2BBA">
        <w:t xml:space="preserve"> drunkenness when the punishable offence constitutes one of the fundamental elements (E-lawresources.co.uk, 2022). Similarly, Freya can defeat the accusation through unique defences following section 5(2)(a) of the Criminal Damage Act of 1971 since it is necessary to demonstrate true trust in the bigger picture.</w:t>
      </w:r>
    </w:p>
    <w:p w14:paraId="6CD3C667" w14:textId="77777777" w:rsidR="006F2BBA" w:rsidRPr="00F952A0" w:rsidRDefault="00000000" w:rsidP="006F2BBA">
      <w:pPr>
        <w:pStyle w:val="Heading1"/>
      </w:pPr>
      <w:bookmarkStart w:id="3" w:name="_Toc124354958"/>
      <w:r w:rsidRPr="00F952A0">
        <w:t>Conclusion</w:t>
      </w:r>
      <w:bookmarkEnd w:id="3"/>
      <w:r w:rsidRPr="00F952A0">
        <w:t> </w:t>
      </w:r>
    </w:p>
    <w:p w14:paraId="136F5F0C" w14:textId="77777777" w:rsidR="006F2BBA" w:rsidRPr="006F2BBA" w:rsidRDefault="00000000" w:rsidP="006F2BBA">
      <w:r w:rsidRPr="006F2BBA">
        <w:t>Finally, it could be said that the present assignment offers proper insights about Hadley in the initial case research to comprehend his crimes and potential charges. In contrast, concerning the second example, the present assignment gives Freya precise insights on how to resolve the matter favourably with the aid of legal frameworks.</w:t>
      </w:r>
    </w:p>
    <w:p w14:paraId="329E1784" w14:textId="77777777" w:rsidR="006F2BBA" w:rsidRPr="00F952A0" w:rsidRDefault="00000000">
      <w:pPr>
        <w:spacing w:line="259" w:lineRule="auto"/>
        <w:jc w:val="left"/>
        <w:rPr>
          <w:b/>
          <w:bCs/>
        </w:rPr>
      </w:pPr>
      <w:r w:rsidRPr="00F952A0">
        <w:rPr>
          <w:b/>
          <w:bCs/>
        </w:rPr>
        <w:br w:type="page"/>
      </w:r>
    </w:p>
    <w:p w14:paraId="75F8F9B8" w14:textId="77777777" w:rsidR="006F2BBA" w:rsidRPr="00F952A0" w:rsidRDefault="00000000" w:rsidP="006F2BBA">
      <w:pPr>
        <w:pStyle w:val="Heading1"/>
      </w:pPr>
      <w:bookmarkStart w:id="4" w:name="_Toc124354959"/>
      <w:r w:rsidRPr="00F952A0">
        <w:lastRenderedPageBreak/>
        <w:t>References</w:t>
      </w:r>
      <w:bookmarkEnd w:id="4"/>
    </w:p>
    <w:p w14:paraId="6B90EEB8" w14:textId="77777777" w:rsidR="005450AA" w:rsidRPr="006F2BBA" w:rsidRDefault="00000000" w:rsidP="006F2BBA">
      <w:r w:rsidRPr="006F2BBA">
        <w:t xml:space="preserve">cps.gov.uk (2022). </w:t>
      </w:r>
      <w:r w:rsidRPr="006F2BBA">
        <w:rPr>
          <w:i/>
          <w:iCs/>
        </w:rPr>
        <w:t>Intoxication | The Crown Prosecution Service</w:t>
      </w:r>
      <w:r w:rsidRPr="006F2BBA">
        <w:t>.  www.cps.gov.uk. Available at: https://www.cps.gov.uk/legal-guidance/intoxication#:~:text=Intoxication%2C%20whether%20voluntary%20or%20involuntary [Accessed 14 Dec. 2022]. </w:t>
      </w:r>
    </w:p>
    <w:p w14:paraId="3222F1D2" w14:textId="77777777" w:rsidR="005450AA" w:rsidRPr="006F2BBA" w:rsidRDefault="00000000" w:rsidP="006F2BBA">
      <w:r w:rsidRPr="006F2BBA">
        <w:t xml:space="preserve">E-lawresources.co.uk. (2022). </w:t>
      </w:r>
      <w:proofErr w:type="spellStart"/>
      <w:r w:rsidRPr="006F2BBA">
        <w:rPr>
          <w:i/>
          <w:iCs/>
        </w:rPr>
        <w:t>Jaggard</w:t>
      </w:r>
      <w:proofErr w:type="spellEnd"/>
      <w:r w:rsidRPr="006F2BBA">
        <w:rPr>
          <w:i/>
          <w:iCs/>
        </w:rPr>
        <w:t xml:space="preserve"> v Dickinson</w:t>
      </w:r>
      <w:r w:rsidRPr="006F2BBA">
        <w:t>.  Available at: http://www.e-lawresources.co.uk/Jaggard-v-Dickinson.php [Accessed 14 Dec. 2022].</w:t>
      </w:r>
    </w:p>
    <w:p w14:paraId="01A3CB34" w14:textId="77777777" w:rsidR="005450AA" w:rsidRPr="006F2BBA" w:rsidRDefault="00000000" w:rsidP="006F2BBA">
      <w:r w:rsidRPr="006F2BBA">
        <w:t xml:space="preserve">Gray, A., 2022. The Historical Development of the Fault Basis of Liability in the Law of Torts. In The Impact of Law's History (pp. 105-130). Palgrave Macmillan, Cham. </w:t>
      </w:r>
      <w:hyperlink r:id="rId7" w:history="1">
        <w:r w:rsidRPr="006F2BBA">
          <w:rPr>
            <w:rStyle w:val="Hyperlink"/>
          </w:rPr>
          <w:t>https://link.springer.com/chapter/10.1007/978-3-030-90068-7_7</w:t>
        </w:r>
      </w:hyperlink>
    </w:p>
    <w:p w14:paraId="03B72911" w14:textId="77777777" w:rsidR="005450AA" w:rsidRPr="006F2BBA" w:rsidRDefault="00000000" w:rsidP="006F2BBA">
      <w:proofErr w:type="spellStart"/>
      <w:r w:rsidRPr="006F2BBA">
        <w:t>Hornbostel</w:t>
      </w:r>
      <w:proofErr w:type="spellEnd"/>
      <w:r w:rsidRPr="006F2BBA">
        <w:t xml:space="preserve">, B., 2022. 'Public order is the first business of government': The Law Enforcement Assistance Administration and the making of a liberal counterinsurgent police-industrial complex. Small Wars &amp; Insurgencies, 33(4-5), pp.607-632. </w:t>
      </w:r>
      <w:hyperlink r:id="rId8" w:history="1">
        <w:r w:rsidRPr="006F2BBA">
          <w:rPr>
            <w:rStyle w:val="Hyperlink"/>
          </w:rPr>
          <w:t>https://www.tandfonline.com/doi/abs/10.1080/09592318.2021.1956108</w:t>
        </w:r>
      </w:hyperlink>
    </w:p>
    <w:p w14:paraId="24AF13DF" w14:textId="77777777" w:rsidR="005450AA" w:rsidRPr="006F2BBA" w:rsidRDefault="00000000" w:rsidP="006F2BBA">
      <w:r w:rsidRPr="006F2BBA">
        <w:t xml:space="preserve">Leeming, M., 2022. Justice </w:t>
      </w:r>
      <w:proofErr w:type="spellStart"/>
      <w:r w:rsidRPr="006F2BBA">
        <w:t>Basten</w:t>
      </w:r>
      <w:proofErr w:type="spellEnd"/>
      <w:r w:rsidRPr="006F2BBA">
        <w:t xml:space="preserve"> and the new frontiers of administrative law: crime, tort and contract. Australian journal of administrative law, 29(2), pp.92-98. </w:t>
      </w:r>
      <w:hyperlink r:id="rId9" w:history="1">
        <w:r w:rsidRPr="006F2BBA">
          <w:rPr>
            <w:rStyle w:val="Hyperlink"/>
          </w:rPr>
          <w:t>https://nswca.judcom.nsw.gov.au/wp-content/uploads/2022/08/justice_basten_and_new_frontiers_of_administrative_law_29_AJAL_92.pdf</w:t>
        </w:r>
      </w:hyperlink>
    </w:p>
    <w:p w14:paraId="6B9A14CE" w14:textId="77777777" w:rsidR="005450AA" w:rsidRPr="006F2BBA" w:rsidRDefault="00000000" w:rsidP="006F2BBA">
      <w:proofErr w:type="spellStart"/>
      <w:r w:rsidRPr="006F2BBA">
        <w:t>Lightowlers</w:t>
      </w:r>
      <w:proofErr w:type="spellEnd"/>
      <w:r w:rsidRPr="006F2BBA">
        <w:t xml:space="preserve">, C., 2019. Drunk and doubly deviant? The role of gender and intoxication in sentencing assault offences. </w:t>
      </w:r>
      <w:r w:rsidRPr="006F2BBA">
        <w:rPr>
          <w:i/>
          <w:iCs/>
        </w:rPr>
        <w:t>The British Journal of Criminology</w:t>
      </w:r>
      <w:r w:rsidRPr="006F2BBA">
        <w:t xml:space="preserve">, </w:t>
      </w:r>
      <w:r w:rsidRPr="006F2BBA">
        <w:rPr>
          <w:i/>
          <w:iCs/>
        </w:rPr>
        <w:t>59</w:t>
      </w:r>
      <w:r w:rsidRPr="006F2BBA">
        <w:t xml:space="preserve">(3), pp.693-717. </w:t>
      </w:r>
      <w:hyperlink r:id="rId10" w:history="1">
        <w:r w:rsidRPr="006F2BBA">
          <w:rPr>
            <w:rStyle w:val="Hyperlink"/>
          </w:rPr>
          <w:t>https://academic.oup.com/bjc/article-abstract/59/3/693/5136478</w:t>
        </w:r>
      </w:hyperlink>
    </w:p>
    <w:p w14:paraId="111D05A2" w14:textId="77777777" w:rsidR="005450AA" w:rsidRPr="006F2BBA" w:rsidRDefault="00000000" w:rsidP="006F2BBA">
      <w:r w:rsidRPr="006F2BBA">
        <w:t xml:space="preserve">Robinson, P.H., 2018. A summary and critique of criminal liability rules for intoxicated conduct. </w:t>
      </w:r>
      <w:r w:rsidRPr="006F2BBA">
        <w:rPr>
          <w:i/>
          <w:iCs/>
        </w:rPr>
        <w:t>The Journal of Criminal Law</w:t>
      </w:r>
      <w:r w:rsidRPr="006F2BBA">
        <w:t xml:space="preserve">, </w:t>
      </w:r>
      <w:r w:rsidRPr="006F2BBA">
        <w:rPr>
          <w:i/>
          <w:iCs/>
        </w:rPr>
        <w:t>82</w:t>
      </w:r>
      <w:r w:rsidRPr="006F2BBA">
        <w:t xml:space="preserve">(5), pp.381-387. </w:t>
      </w:r>
      <w:hyperlink r:id="rId11" w:history="1">
        <w:r w:rsidRPr="006F2BBA">
          <w:rPr>
            <w:rStyle w:val="Hyperlink"/>
          </w:rPr>
          <w:t>https://journals.sagepub.com/doi/abs/10.1177/0022018318787390</w:t>
        </w:r>
      </w:hyperlink>
    </w:p>
    <w:p w14:paraId="216DCB2E" w14:textId="77777777" w:rsidR="00736957" w:rsidRPr="00F952A0" w:rsidRDefault="00736957" w:rsidP="006F2BBA"/>
    <w:p w14:paraId="0C186773" w14:textId="77777777" w:rsidR="00736957" w:rsidRPr="00F952A0" w:rsidRDefault="00736957" w:rsidP="006F2BBA"/>
    <w:sectPr w:rsidR="00736957" w:rsidRPr="00F952A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B2E77" w14:textId="77777777" w:rsidR="00AB7E7D" w:rsidRDefault="00AB7E7D">
      <w:pPr>
        <w:spacing w:after="0" w:line="240" w:lineRule="auto"/>
      </w:pPr>
      <w:r>
        <w:separator/>
      </w:r>
    </w:p>
  </w:endnote>
  <w:endnote w:type="continuationSeparator" w:id="0">
    <w:p w14:paraId="352B2BE7" w14:textId="77777777" w:rsidR="00AB7E7D" w:rsidRDefault="00AB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4403"/>
      <w:docPartObj>
        <w:docPartGallery w:val="Page Numbers (Bottom of Page)"/>
        <w:docPartUnique/>
      </w:docPartObj>
    </w:sdtPr>
    <w:sdtEndPr>
      <w:rPr>
        <w:color w:val="7F7F7F" w:themeColor="background1" w:themeShade="7F"/>
        <w:spacing w:val="60"/>
      </w:rPr>
    </w:sdtEndPr>
    <w:sdtContent>
      <w:p w14:paraId="4225C5BE" w14:textId="77777777" w:rsidR="003075AF"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E1FDC12" w14:textId="77777777" w:rsidR="003075AF" w:rsidRDefault="00307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FF73" w14:textId="77777777" w:rsidR="00AB7E7D" w:rsidRDefault="00AB7E7D">
      <w:pPr>
        <w:spacing w:after="0" w:line="240" w:lineRule="auto"/>
      </w:pPr>
      <w:r>
        <w:separator/>
      </w:r>
    </w:p>
  </w:footnote>
  <w:footnote w:type="continuationSeparator" w:id="0">
    <w:p w14:paraId="150EE94B" w14:textId="77777777" w:rsidR="00AB7E7D" w:rsidRDefault="00AB7E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6A3"/>
    <w:rsid w:val="001B5E7E"/>
    <w:rsid w:val="0029059B"/>
    <w:rsid w:val="003075AF"/>
    <w:rsid w:val="005450AA"/>
    <w:rsid w:val="00681294"/>
    <w:rsid w:val="006F2BBA"/>
    <w:rsid w:val="00736957"/>
    <w:rsid w:val="008A789E"/>
    <w:rsid w:val="009E4153"/>
    <w:rsid w:val="00AB7E7D"/>
    <w:rsid w:val="00B426A3"/>
    <w:rsid w:val="00F952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3C2C0"/>
  <w15:chartTrackingRefBased/>
  <w15:docId w15:val="{83C382AF-8001-42C7-B665-FD0D6ED4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A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75AF"/>
    <w:pPr>
      <w:outlineLvl w:val="0"/>
    </w:pPr>
    <w:rPr>
      <w:b/>
    </w:rPr>
  </w:style>
  <w:style w:type="paragraph" w:styleId="Heading2">
    <w:name w:val="heading 2"/>
    <w:basedOn w:val="Heading1"/>
    <w:next w:val="Normal"/>
    <w:link w:val="Heading2Char"/>
    <w:uiPriority w:val="9"/>
    <w:unhideWhenUsed/>
    <w:qFormat/>
    <w:rsid w:val="003075AF"/>
    <w:pPr>
      <w:jc w:val="center"/>
      <w:outlineLvl w:val="1"/>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5AF"/>
    <w:rPr>
      <w:lang w:val="en-GB"/>
    </w:rPr>
  </w:style>
  <w:style w:type="paragraph" w:styleId="Footer">
    <w:name w:val="footer"/>
    <w:basedOn w:val="Normal"/>
    <w:link w:val="FooterChar"/>
    <w:uiPriority w:val="99"/>
    <w:unhideWhenUsed/>
    <w:rsid w:val="00307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5AF"/>
    <w:rPr>
      <w:lang w:val="en-GB"/>
    </w:rPr>
  </w:style>
  <w:style w:type="character" w:customStyle="1" w:styleId="Heading1Char">
    <w:name w:val="Heading 1 Char"/>
    <w:basedOn w:val="DefaultParagraphFont"/>
    <w:link w:val="Heading1"/>
    <w:uiPriority w:val="9"/>
    <w:rsid w:val="003075AF"/>
    <w:rPr>
      <w:rFonts w:ascii="Times New Roman" w:hAnsi="Times New Roman"/>
      <w:b/>
      <w:sz w:val="24"/>
      <w:lang w:val="en-GB"/>
    </w:rPr>
  </w:style>
  <w:style w:type="character" w:customStyle="1" w:styleId="Heading2Char">
    <w:name w:val="Heading 2 Char"/>
    <w:basedOn w:val="DefaultParagraphFont"/>
    <w:link w:val="Heading2"/>
    <w:uiPriority w:val="9"/>
    <w:rsid w:val="003075AF"/>
    <w:rPr>
      <w:rFonts w:ascii="Times New Roman" w:hAnsi="Times New Roman"/>
      <w:b/>
      <w:sz w:val="20"/>
      <w:lang w:val="en-GB"/>
    </w:rPr>
  </w:style>
  <w:style w:type="paragraph" w:styleId="Title">
    <w:name w:val="Title"/>
    <w:basedOn w:val="Heading2"/>
    <w:next w:val="Normal"/>
    <w:link w:val="TitleChar"/>
    <w:uiPriority w:val="10"/>
    <w:qFormat/>
    <w:rsid w:val="003075AF"/>
    <w:rPr>
      <w:sz w:val="36"/>
    </w:rPr>
  </w:style>
  <w:style w:type="character" w:customStyle="1" w:styleId="TitleChar">
    <w:name w:val="Title Char"/>
    <w:basedOn w:val="DefaultParagraphFont"/>
    <w:link w:val="Title"/>
    <w:uiPriority w:val="10"/>
    <w:rsid w:val="003075AF"/>
    <w:rPr>
      <w:rFonts w:ascii="Times New Roman" w:hAnsi="Times New Roman"/>
      <w:b/>
      <w:sz w:val="36"/>
      <w:lang w:val="en-GB"/>
    </w:rPr>
  </w:style>
  <w:style w:type="character" w:styleId="Hyperlink">
    <w:name w:val="Hyperlink"/>
    <w:basedOn w:val="DefaultParagraphFont"/>
    <w:uiPriority w:val="99"/>
    <w:unhideWhenUsed/>
    <w:rsid w:val="006F2BBA"/>
    <w:rPr>
      <w:color w:val="0563C1" w:themeColor="hyperlink"/>
      <w:u w:val="single"/>
    </w:rPr>
  </w:style>
  <w:style w:type="character" w:styleId="UnresolvedMention">
    <w:name w:val="Unresolved Mention"/>
    <w:basedOn w:val="DefaultParagraphFont"/>
    <w:uiPriority w:val="99"/>
    <w:semiHidden/>
    <w:unhideWhenUsed/>
    <w:rsid w:val="006F2BBA"/>
    <w:rPr>
      <w:color w:val="605E5C"/>
      <w:shd w:val="clear" w:color="auto" w:fill="E1DFDD"/>
    </w:rPr>
  </w:style>
  <w:style w:type="paragraph" w:styleId="TableofFigures">
    <w:name w:val="table of figures"/>
    <w:basedOn w:val="Normal"/>
    <w:next w:val="Normal"/>
    <w:uiPriority w:val="99"/>
    <w:unhideWhenUsed/>
    <w:rsid w:val="00F952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9592318.2021.19561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chapter/10.1007/978-3-030-90068-7_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abs/10.1177/0022018318787390" TargetMode="External"/><Relationship Id="rId5" Type="http://schemas.openxmlformats.org/officeDocument/2006/relationships/footnotes" Target="footnotes.xml"/><Relationship Id="rId10" Type="http://schemas.openxmlformats.org/officeDocument/2006/relationships/hyperlink" Target="https://academic.oup.com/bjc/article-abstract/59/3/693/5136478" TargetMode="External"/><Relationship Id="rId4" Type="http://schemas.openxmlformats.org/officeDocument/2006/relationships/webSettings" Target="webSettings.xml"/><Relationship Id="rId9" Type="http://schemas.openxmlformats.org/officeDocument/2006/relationships/hyperlink" Target="https://nswca.judcom.nsw.gov.au/wp-content/uploads/2022/08/justice_basten_and_new_frontiers_of_administrative_law_29_AJAL_9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E35D9-5627-4148-8663-62E825004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1792</Words>
  <Characters>10217</Characters>
  <Application>Microsoft Office Word</Application>
  <DocSecurity>0</DocSecurity>
  <Lines>85</Lines>
  <Paragraphs>23</Paragraphs>
  <ScaleCrop>false</ScaleCrop>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ARPITA</dc:creator>
  <cp:lastModifiedBy>ARPITA</cp:lastModifiedBy>
  <cp:revision>3</cp:revision>
  <dcterms:created xsi:type="dcterms:W3CDTF">2023-01-11T13:15:00Z</dcterms:created>
  <dcterms:modified xsi:type="dcterms:W3CDTF">2023-01-11T13:15:00Z</dcterms:modified>
</cp:coreProperties>
</file>