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75AFBF8">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28D020BC">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60BC5BBC">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7554224C">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1B0892BF">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30A01109">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7B2D9648">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29FF3A96">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An Exploration of the Philosophical Foundations and Ethical Practices in Modern Business</w:t>
      </w:r>
    </w:p>
    <w:p w14:paraId="7207008A">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634A61E7">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4C82BB8F">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2A1292D7">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744EFA1D">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52927A93">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790B6F75">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Student Name</w:t>
      </w:r>
      <w:r>
        <w:rPr>
          <w:rFonts w:hint="eastAsia" w:ascii="Times New Roman" w:hAnsi="Times New Roman" w:eastAsia="宋体" w:cs="Times New Roman"/>
          <w:b/>
          <w:bCs/>
          <w:sz w:val="24"/>
          <w:szCs w:val="24"/>
          <w:lang w:val="en-US" w:eastAsia="zh-CN"/>
        </w:rPr>
        <w:t>:MingYang Zhang</w:t>
      </w:r>
    </w:p>
    <w:p w14:paraId="74560792">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 xml:space="preserve">Student </w:t>
      </w:r>
      <w:r>
        <w:rPr>
          <w:rFonts w:hint="eastAsia" w:ascii="Times New Roman" w:hAnsi="Times New Roman" w:eastAsia="宋体" w:cs="Times New Roman"/>
          <w:b/>
          <w:bCs/>
          <w:sz w:val="24"/>
          <w:szCs w:val="24"/>
          <w:lang w:val="en-US" w:eastAsia="zh-CN"/>
        </w:rPr>
        <w:t>ID:2405456</w:t>
      </w:r>
    </w:p>
    <w:p w14:paraId="524808F7">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i w:val="0"/>
          <w:iCs w:val="0"/>
          <w:caps w:val="0"/>
          <w:color w:val="1D2125"/>
          <w:spacing w:val="0"/>
          <w:sz w:val="24"/>
          <w:szCs w:val="24"/>
          <w:shd w:val="clear" w:fill="FFFFFF"/>
          <w:lang w:val="en-US" w:eastAsia="zh-CN"/>
        </w:rPr>
        <w:t>M</w:t>
      </w:r>
      <w:r>
        <w:rPr>
          <w:rFonts w:hint="default" w:ascii="Times New Roman" w:hAnsi="Times New Roman" w:eastAsia="Segoe UI" w:cs="Times New Roman"/>
          <w:b/>
          <w:bCs/>
          <w:i w:val="0"/>
          <w:iCs w:val="0"/>
          <w:caps w:val="0"/>
          <w:color w:val="1D2125"/>
          <w:spacing w:val="0"/>
          <w:sz w:val="24"/>
          <w:szCs w:val="24"/>
          <w:shd w:val="clear" w:fill="FFFFFF"/>
        </w:rPr>
        <w:t xml:space="preserve">odule </w:t>
      </w:r>
      <w:r>
        <w:rPr>
          <w:rFonts w:hint="eastAsia" w:ascii="Times New Roman" w:hAnsi="Times New Roman" w:eastAsia="宋体" w:cs="Times New Roman"/>
          <w:b/>
          <w:bCs/>
          <w:i w:val="0"/>
          <w:iCs w:val="0"/>
          <w:caps w:val="0"/>
          <w:color w:val="1D2125"/>
          <w:spacing w:val="0"/>
          <w:sz w:val="24"/>
          <w:szCs w:val="24"/>
          <w:shd w:val="clear" w:fill="FFFFFF"/>
          <w:lang w:val="en-US" w:eastAsia="zh-CN"/>
        </w:rPr>
        <w:t>C</w:t>
      </w:r>
      <w:r>
        <w:rPr>
          <w:rFonts w:hint="default" w:ascii="Times New Roman" w:hAnsi="Times New Roman" w:eastAsia="Segoe UI" w:cs="Times New Roman"/>
          <w:b/>
          <w:bCs/>
          <w:i w:val="0"/>
          <w:iCs w:val="0"/>
          <w:caps w:val="0"/>
          <w:color w:val="1D2125"/>
          <w:spacing w:val="0"/>
          <w:sz w:val="24"/>
          <w:szCs w:val="24"/>
          <w:shd w:val="clear" w:fill="FFFFFF"/>
        </w:rPr>
        <w:t>ode</w:t>
      </w:r>
      <w:r>
        <w:rPr>
          <w:rFonts w:hint="eastAsia" w:ascii="Times New Roman" w:hAnsi="Times New Roman" w:eastAsia="宋体" w:cs="Times New Roman"/>
          <w:b/>
          <w:bCs/>
          <w:i w:val="0"/>
          <w:iCs w:val="0"/>
          <w:caps w:val="0"/>
          <w:color w:val="1D2125"/>
          <w:spacing w:val="0"/>
          <w:sz w:val="24"/>
          <w:szCs w:val="24"/>
          <w:shd w:val="clear" w:fill="FFFFFF"/>
          <w:lang w:val="en-US" w:eastAsia="zh-CN"/>
        </w:rPr>
        <w:t>:</w:t>
      </w:r>
      <w:r>
        <w:rPr>
          <w:rFonts w:hint="default" w:ascii="Times New Roman" w:hAnsi="Times New Roman" w:eastAsia="Segoe UI" w:cs="Times New Roman"/>
          <w:b/>
          <w:bCs/>
          <w:i w:val="0"/>
          <w:iCs w:val="0"/>
          <w:caps w:val="0"/>
          <w:color w:val="1D2125"/>
          <w:spacing w:val="0"/>
          <w:sz w:val="24"/>
          <w:szCs w:val="24"/>
          <w:shd w:val="clear" w:fill="FFFFFF"/>
        </w:rPr>
        <w:t>Globa</w:t>
      </w:r>
      <w:bookmarkStart w:id="7" w:name="_GoBack"/>
      <w:bookmarkEnd w:id="7"/>
      <w:r>
        <w:rPr>
          <w:rFonts w:hint="default" w:ascii="Times New Roman" w:hAnsi="Times New Roman" w:eastAsia="Segoe UI" w:cs="Times New Roman"/>
          <w:b/>
          <w:bCs/>
          <w:i w:val="0"/>
          <w:iCs w:val="0"/>
          <w:caps w:val="0"/>
          <w:color w:val="1D2125"/>
          <w:spacing w:val="0"/>
          <w:sz w:val="24"/>
          <w:szCs w:val="24"/>
          <w:shd w:val="clear" w:fill="FFFFFF"/>
        </w:rPr>
        <w:t>l Ethics</w:t>
      </w:r>
      <w:r>
        <w:rPr>
          <w:rFonts w:hint="default" w:ascii="Times New Roman" w:hAnsi="Times New Roman" w:eastAsia="宋体" w:cs="Times New Roman"/>
          <w:b/>
          <w:bCs/>
          <w:i w:val="0"/>
          <w:iCs w:val="0"/>
          <w:caps w:val="0"/>
          <w:color w:val="1D2125"/>
          <w:spacing w:val="0"/>
          <w:sz w:val="24"/>
          <w:szCs w:val="24"/>
          <w:shd w:val="clear" w:fill="FFFFFF"/>
          <w:lang w:eastAsia="zh-CN"/>
        </w:rPr>
        <w:t>（</w:t>
      </w:r>
      <w:r>
        <w:rPr>
          <w:rFonts w:hint="default" w:ascii="Times New Roman" w:hAnsi="Times New Roman" w:eastAsia="宋体" w:cs="Times New Roman"/>
          <w:b/>
          <w:bCs/>
          <w:i w:val="0"/>
          <w:iCs w:val="0"/>
          <w:caps w:val="0"/>
          <w:color w:val="1D2125"/>
          <w:spacing w:val="0"/>
          <w:sz w:val="24"/>
          <w:szCs w:val="24"/>
          <w:shd w:val="clear" w:fill="FFFFFF"/>
          <w:lang w:val="en-US" w:eastAsia="zh-CN"/>
        </w:rPr>
        <w:t>BMBM6008)</w:t>
      </w:r>
    </w:p>
    <w:p w14:paraId="434CEC2B">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eastAsia="宋体" w:cs="Times New Roman"/>
          <w:b/>
          <w:bCs/>
          <w:sz w:val="24"/>
          <w:szCs w:val="24"/>
        </w:rPr>
      </w:pPr>
      <w:r>
        <w:rPr>
          <w:rFonts w:hint="eastAsia" w:ascii="Times New Roman" w:hAnsi="Times New Roman" w:eastAsia="宋体" w:cs="Times New Roman"/>
          <w:b/>
          <w:bCs/>
          <w:i w:val="0"/>
          <w:iCs w:val="0"/>
          <w:caps w:val="0"/>
          <w:color w:val="1D2125"/>
          <w:spacing w:val="0"/>
          <w:sz w:val="24"/>
          <w:szCs w:val="24"/>
          <w:shd w:val="clear" w:fill="FFFFFF"/>
          <w:lang w:val="en-US" w:eastAsia="zh-CN"/>
        </w:rPr>
        <w:t>L</w:t>
      </w:r>
      <w:r>
        <w:rPr>
          <w:rFonts w:hint="default" w:ascii="Times New Roman" w:hAnsi="Times New Roman" w:eastAsia="Segoe UI" w:cs="Times New Roman"/>
          <w:b/>
          <w:bCs/>
          <w:i w:val="0"/>
          <w:iCs w:val="0"/>
          <w:caps w:val="0"/>
          <w:color w:val="1D2125"/>
          <w:spacing w:val="0"/>
          <w:sz w:val="24"/>
          <w:szCs w:val="24"/>
          <w:shd w:val="clear" w:fill="FFFFFF"/>
        </w:rPr>
        <w:t xml:space="preserve">ecturer </w:t>
      </w:r>
      <w:r>
        <w:rPr>
          <w:rFonts w:hint="eastAsia" w:ascii="Times New Roman" w:hAnsi="Times New Roman" w:eastAsia="宋体" w:cs="Times New Roman"/>
          <w:b/>
          <w:bCs/>
          <w:i w:val="0"/>
          <w:iCs w:val="0"/>
          <w:caps w:val="0"/>
          <w:color w:val="1D2125"/>
          <w:spacing w:val="0"/>
          <w:sz w:val="24"/>
          <w:szCs w:val="24"/>
          <w:shd w:val="clear" w:fill="FFFFFF"/>
          <w:lang w:val="en-US" w:eastAsia="zh-CN"/>
        </w:rPr>
        <w:t>N</w:t>
      </w:r>
      <w:r>
        <w:rPr>
          <w:rFonts w:hint="default" w:ascii="Times New Roman" w:hAnsi="Times New Roman" w:eastAsia="Segoe UI" w:cs="Times New Roman"/>
          <w:b/>
          <w:bCs/>
          <w:i w:val="0"/>
          <w:iCs w:val="0"/>
          <w:caps w:val="0"/>
          <w:color w:val="1D2125"/>
          <w:spacing w:val="0"/>
          <w:sz w:val="24"/>
          <w:szCs w:val="24"/>
          <w:shd w:val="clear" w:fill="FFFFFF"/>
        </w:rPr>
        <w:t>ame</w:t>
      </w:r>
      <w:r>
        <w:rPr>
          <w:rFonts w:hint="eastAsia" w:ascii="Times New Roman" w:hAnsi="Times New Roman" w:eastAsia="宋体" w:cs="Times New Roman"/>
          <w:b/>
          <w:bCs/>
          <w:i w:val="0"/>
          <w:iCs w:val="0"/>
          <w:caps w:val="0"/>
          <w:color w:val="1D2125"/>
          <w:spacing w:val="0"/>
          <w:sz w:val="24"/>
          <w:szCs w:val="24"/>
          <w:shd w:val="clear" w:fill="FFFFFF"/>
          <w:lang w:val="en-US" w:eastAsia="zh-CN"/>
        </w:rPr>
        <w:t>:</w:t>
      </w:r>
      <w:r>
        <w:rPr>
          <w:rFonts w:hint="default" w:ascii="Times New Roman" w:hAnsi="Times New Roman" w:eastAsia="Segoe UI" w:cs="Times New Roman"/>
          <w:b/>
          <w:bCs/>
          <w:i w:val="0"/>
          <w:iCs w:val="0"/>
          <w:caps w:val="0"/>
          <w:color w:val="1D2125"/>
          <w:spacing w:val="0"/>
          <w:sz w:val="24"/>
          <w:szCs w:val="24"/>
          <w:shd w:val="clear" w:fill="FFFFFF"/>
        </w:rPr>
        <w:t>Arpu Kumar</w:t>
      </w:r>
    </w:p>
    <w:p w14:paraId="43B3E20F">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19405F54">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1B9BD516">
      <w:pPr>
        <w:keepNext w:val="0"/>
        <w:keepLines w:val="0"/>
        <w:pageBreakBefore w:val="0"/>
        <w:widowControl w:val="0"/>
        <w:kinsoku/>
        <w:wordWrap/>
        <w:overflowPunct/>
        <w:topLinePunct w:val="0"/>
        <w:autoSpaceDE/>
        <w:autoSpaceDN/>
        <w:bidi w:val="0"/>
        <w:adjustRightInd/>
        <w:snapToGrid/>
        <w:ind w:firstLine="643" w:firstLineChars="200"/>
        <w:textAlignment w:val="auto"/>
        <w:rPr>
          <w:rFonts w:hint="default" w:ascii="Times New Roman" w:hAnsi="Times New Roman" w:eastAsia="宋体" w:cs="Times New Roman"/>
          <w:b/>
          <w:bCs/>
          <w:sz w:val="32"/>
          <w:szCs w:val="32"/>
        </w:rPr>
      </w:pPr>
    </w:p>
    <w:p w14:paraId="6B9575A0">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z w:val="24"/>
          <w:szCs w:val="24"/>
        </w:rPr>
      </w:pPr>
    </w:p>
    <w:p w14:paraId="46F21AFD">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z w:val="24"/>
          <w:szCs w:val="24"/>
        </w:rPr>
      </w:pPr>
    </w:p>
    <w:p w14:paraId="325D8291">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z w:val="24"/>
          <w:szCs w:val="24"/>
        </w:rPr>
      </w:pPr>
    </w:p>
    <w:p w14:paraId="6C13C246">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z w:val="24"/>
          <w:szCs w:val="24"/>
        </w:rPr>
      </w:pPr>
    </w:p>
    <w:p w14:paraId="61760A8D">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b/>
          <w:bCs/>
          <w:sz w:val="24"/>
          <w:szCs w:val="24"/>
        </w:rPr>
      </w:pPr>
    </w:p>
    <w:p w14:paraId="29DD1324">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b/>
          <w:bCs/>
          <w:sz w:val="24"/>
          <w:szCs w:val="24"/>
        </w:rPr>
      </w:pPr>
    </w:p>
    <w:p w14:paraId="5B7B7229">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eastAsia="宋体" w:cs="Times New Roman"/>
          <w:b/>
          <w:bCs/>
          <w:sz w:val="24"/>
          <w:szCs w:val="24"/>
        </w:rPr>
      </w:pPr>
      <w:r>
        <w:rPr>
          <w:rFonts w:hint="default" w:ascii="Times New Roman" w:hAnsi="Times New Roman" w:cs="Times New Roman"/>
          <w:b/>
          <w:bCs/>
          <w:sz w:val="24"/>
          <w:szCs w:val="24"/>
        </w:rPr>
        <w:t>Executive Summary</w:t>
      </w:r>
    </w:p>
    <w:p w14:paraId="506C9D10">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This report examines the ethical foundations and real-world impacts of modern business behavior by comparing Friedman's profit centered perspective with Freeman's stakeholder theory. Analyze three recent cases: Starbucks' union dispute, Coca Cola's plastic pollution, and Amazon's EU regulatory intervention. The results indicate that maximizing profits often conflicts with labor rights, environmental responsibility, and market fairness. This report argues that ethical governance and stakeholder value creation are crucial for long-term corporate legitimacy. So the ultimate conclusion drawn is that companies must combine profits with responsibility to achieve sustainable and socially beneficial outcomes.</w:t>
      </w:r>
    </w:p>
    <w:p w14:paraId="1B885A88">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7C1CA5A5">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095256B9">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404658E0">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08F6C2AC">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20D652ED">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46E989FE">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669B7CB5">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41E27A71">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55CC4DA1">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00BAC0E4">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653E84C9">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2C0BEEE4">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2E527B0B">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27E1B711">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34E08C39">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31F9224A">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0BA27302">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4950AA6A">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4F65755D">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024DBCCA">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64FAB91D">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71CB553A">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13353F5A">
      <w:pPr>
        <w:keepNext w:val="0"/>
        <w:keepLines w:val="0"/>
        <w:pageBreakBefore w:val="0"/>
        <w:widowControl w:val="0"/>
        <w:kinsoku/>
        <w:wordWrap/>
        <w:overflowPunct/>
        <w:topLinePunct w:val="0"/>
        <w:autoSpaceDE/>
        <w:autoSpaceDN/>
        <w:bidi w:val="0"/>
        <w:adjustRightInd/>
        <w:snapToGrid/>
        <w:textAlignment w:val="auto"/>
        <w:rPr>
          <w:rFonts w:ascii="宋体" w:hAnsi="宋体" w:eastAsia="宋体" w:cs="宋体"/>
          <w:sz w:val="24"/>
          <w:szCs w:val="24"/>
        </w:rPr>
      </w:pPr>
    </w:p>
    <w:p w14:paraId="53028CCC">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54E7E310">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Contents</w:t>
      </w:r>
    </w:p>
    <w:p w14:paraId="22B1F1B2">
      <w:pPr>
        <w:pStyle w:val="4"/>
        <w:tabs>
          <w:tab w:val="right" w:leader="dot" w:pos="8306"/>
        </w:tabs>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\t "1,1" \h</w:instrText>
      </w:r>
      <w:r>
        <w:rPr>
          <w:rFonts w:hint="default" w:ascii="Times New Roman" w:hAnsi="Times New Roman" w:cs="Times New Roman"/>
          <w:b/>
          <w:bCs/>
          <w:sz w:val="24"/>
          <w:szCs w:val="24"/>
        </w:rPr>
        <w:fldChar w:fldCharType="separate"/>
      </w: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_Toc25699 </w:instrText>
      </w:r>
      <w:r>
        <w:rPr>
          <w:rFonts w:hint="default" w:ascii="Times New Roman" w:hAnsi="Times New Roman" w:cs="Times New Roman"/>
          <w:bCs/>
          <w:szCs w:val="24"/>
        </w:rPr>
        <w:fldChar w:fldCharType="separate"/>
      </w:r>
      <w:r>
        <w:rPr>
          <w:rFonts w:hint="default"/>
        </w:rPr>
        <w:t>Introduction</w:t>
      </w:r>
      <w:r>
        <w:tab/>
      </w:r>
      <w:r>
        <w:fldChar w:fldCharType="begin"/>
      </w:r>
      <w:r>
        <w:instrText xml:space="preserve"> PAGEREF _Toc25699 \h </w:instrText>
      </w:r>
      <w:r>
        <w:fldChar w:fldCharType="separate"/>
      </w:r>
      <w:r>
        <w:t>1</w:t>
      </w:r>
      <w:r>
        <w:fldChar w:fldCharType="end"/>
      </w:r>
      <w:r>
        <w:rPr>
          <w:rFonts w:hint="default" w:ascii="Times New Roman" w:hAnsi="Times New Roman" w:cs="Times New Roman"/>
          <w:bCs/>
          <w:szCs w:val="24"/>
        </w:rPr>
        <w:fldChar w:fldCharType="end"/>
      </w:r>
    </w:p>
    <w:p w14:paraId="3EF2B38A">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_Toc335 </w:instrText>
      </w:r>
      <w:r>
        <w:rPr>
          <w:rFonts w:hint="default" w:ascii="Times New Roman" w:hAnsi="Times New Roman" w:cs="Times New Roman"/>
          <w:bCs/>
          <w:szCs w:val="24"/>
        </w:rPr>
        <w:fldChar w:fldCharType="separate"/>
      </w:r>
      <w:r>
        <w:rPr>
          <w:rFonts w:hint="eastAsia"/>
          <w:lang w:val="en-US" w:eastAsia="zh-CN"/>
        </w:rPr>
        <w:t>1.</w:t>
      </w:r>
      <w:r>
        <w:rPr>
          <w:rFonts w:hint="default"/>
        </w:rPr>
        <w:t>Philosophical Basis of Business Ethics</w:t>
      </w:r>
      <w:r>
        <w:tab/>
      </w:r>
      <w:r>
        <w:fldChar w:fldCharType="begin"/>
      </w:r>
      <w:r>
        <w:instrText xml:space="preserve"> PAGEREF _Toc335 \h </w:instrText>
      </w:r>
      <w:r>
        <w:fldChar w:fldCharType="separate"/>
      </w:r>
      <w:r>
        <w:t>2</w:t>
      </w:r>
      <w:r>
        <w:fldChar w:fldCharType="end"/>
      </w:r>
      <w:r>
        <w:rPr>
          <w:rFonts w:hint="default" w:ascii="Times New Roman" w:hAnsi="Times New Roman" w:cs="Times New Roman"/>
          <w:bCs/>
          <w:szCs w:val="24"/>
        </w:rPr>
        <w:fldChar w:fldCharType="end"/>
      </w:r>
    </w:p>
    <w:p w14:paraId="72900F8B">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_Toc20482 </w:instrText>
      </w:r>
      <w:r>
        <w:rPr>
          <w:rFonts w:hint="default" w:ascii="Times New Roman" w:hAnsi="Times New Roman" w:cs="Times New Roman"/>
          <w:bCs/>
          <w:szCs w:val="24"/>
        </w:rPr>
        <w:fldChar w:fldCharType="separate"/>
      </w:r>
      <w:r>
        <w:rPr>
          <w:rFonts w:hint="eastAsia"/>
          <w:lang w:val="en-US" w:eastAsia="zh-CN"/>
        </w:rPr>
        <w:t>2.Case Study: Starbucks Union Controversy and Ethical Measurement of Corporate Objectives</w:t>
      </w:r>
      <w:r>
        <w:tab/>
      </w:r>
      <w:r>
        <w:fldChar w:fldCharType="begin"/>
      </w:r>
      <w:r>
        <w:instrText xml:space="preserve"> PAGEREF _Toc20482 \h </w:instrText>
      </w:r>
      <w:r>
        <w:fldChar w:fldCharType="separate"/>
      </w:r>
      <w:r>
        <w:t>3</w:t>
      </w:r>
      <w:r>
        <w:fldChar w:fldCharType="end"/>
      </w:r>
      <w:r>
        <w:rPr>
          <w:rFonts w:hint="default" w:ascii="Times New Roman" w:hAnsi="Times New Roman" w:cs="Times New Roman"/>
          <w:bCs/>
          <w:szCs w:val="24"/>
        </w:rPr>
        <w:fldChar w:fldCharType="end"/>
      </w:r>
    </w:p>
    <w:p w14:paraId="09F590DD">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_Toc7289 </w:instrText>
      </w:r>
      <w:r>
        <w:rPr>
          <w:rFonts w:hint="default" w:ascii="Times New Roman" w:hAnsi="Times New Roman" w:cs="Times New Roman"/>
          <w:bCs/>
          <w:szCs w:val="24"/>
        </w:rPr>
        <w:fldChar w:fldCharType="separate"/>
      </w:r>
      <w:r>
        <w:rPr>
          <w:rFonts w:hint="eastAsia"/>
          <w:lang w:val="en-US" w:eastAsia="zh-CN"/>
        </w:rPr>
        <w:t>3.Case Study : Coca Cola Plastic Pollution and Social Impact</w:t>
      </w:r>
      <w:r>
        <w:tab/>
      </w:r>
      <w:r>
        <w:fldChar w:fldCharType="begin"/>
      </w:r>
      <w:r>
        <w:instrText xml:space="preserve"> PAGEREF _Toc7289 \h </w:instrText>
      </w:r>
      <w:r>
        <w:fldChar w:fldCharType="separate"/>
      </w:r>
      <w:r>
        <w:t>7</w:t>
      </w:r>
      <w:r>
        <w:fldChar w:fldCharType="end"/>
      </w:r>
      <w:r>
        <w:rPr>
          <w:rFonts w:hint="default" w:ascii="Times New Roman" w:hAnsi="Times New Roman" w:cs="Times New Roman"/>
          <w:bCs/>
          <w:szCs w:val="24"/>
        </w:rPr>
        <w:fldChar w:fldCharType="end"/>
      </w:r>
    </w:p>
    <w:p w14:paraId="12D855F5">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_Toc21141 </w:instrText>
      </w:r>
      <w:r>
        <w:rPr>
          <w:rFonts w:hint="default" w:ascii="Times New Roman" w:hAnsi="Times New Roman" w:cs="Times New Roman"/>
          <w:bCs/>
          <w:szCs w:val="24"/>
        </w:rPr>
        <w:fldChar w:fldCharType="separate"/>
      </w:r>
      <w:r>
        <w:rPr>
          <w:rFonts w:hint="eastAsia"/>
          <w:lang w:val="en-US" w:eastAsia="zh-CN"/>
        </w:rPr>
        <w:t>4.Case study : Amazon and EU regulation - should the government intervene in corporate behavior?</w:t>
      </w:r>
      <w:r>
        <w:tab/>
      </w:r>
      <w:r>
        <w:fldChar w:fldCharType="begin"/>
      </w:r>
      <w:r>
        <w:instrText xml:space="preserve"> PAGEREF _Toc21141 \h </w:instrText>
      </w:r>
      <w:r>
        <w:fldChar w:fldCharType="separate"/>
      </w:r>
      <w:r>
        <w:t>10</w:t>
      </w:r>
      <w:r>
        <w:fldChar w:fldCharType="end"/>
      </w:r>
      <w:r>
        <w:rPr>
          <w:rFonts w:hint="default" w:ascii="Times New Roman" w:hAnsi="Times New Roman" w:cs="Times New Roman"/>
          <w:bCs/>
          <w:szCs w:val="24"/>
        </w:rPr>
        <w:fldChar w:fldCharType="end"/>
      </w:r>
    </w:p>
    <w:p w14:paraId="3C324C79">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_Toc20011 </w:instrText>
      </w:r>
      <w:r>
        <w:rPr>
          <w:rFonts w:hint="default" w:ascii="Times New Roman" w:hAnsi="Times New Roman" w:cs="Times New Roman"/>
          <w:bCs/>
          <w:szCs w:val="24"/>
        </w:rPr>
        <w:fldChar w:fldCharType="separate"/>
      </w:r>
      <w:r>
        <w:t>Conclusion</w:t>
      </w:r>
      <w:r>
        <w:tab/>
      </w:r>
      <w:r>
        <w:fldChar w:fldCharType="begin"/>
      </w:r>
      <w:r>
        <w:instrText xml:space="preserve"> PAGEREF _Toc20011 \h </w:instrText>
      </w:r>
      <w:r>
        <w:fldChar w:fldCharType="separate"/>
      </w:r>
      <w:r>
        <w:t>13</w:t>
      </w:r>
      <w:r>
        <w:fldChar w:fldCharType="end"/>
      </w:r>
      <w:r>
        <w:rPr>
          <w:rFonts w:hint="default" w:ascii="Times New Roman" w:hAnsi="Times New Roman" w:cs="Times New Roman"/>
          <w:bCs/>
          <w:szCs w:val="24"/>
        </w:rPr>
        <w:fldChar w:fldCharType="end"/>
      </w:r>
    </w:p>
    <w:p w14:paraId="6AF0B276">
      <w:pPr>
        <w:pStyle w:val="4"/>
        <w:tabs>
          <w:tab w:val="right" w:leader="dot" w:pos="8306"/>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_Toc28759 </w:instrText>
      </w:r>
      <w:r>
        <w:rPr>
          <w:rFonts w:hint="default" w:ascii="Times New Roman" w:hAnsi="Times New Roman" w:cs="Times New Roman"/>
          <w:bCs/>
          <w:szCs w:val="24"/>
        </w:rPr>
        <w:fldChar w:fldCharType="separate"/>
      </w:r>
      <w:r>
        <w:t>Reference</w:t>
      </w:r>
      <w:r>
        <w:tab/>
      </w:r>
      <w:r>
        <w:fldChar w:fldCharType="begin"/>
      </w:r>
      <w:r>
        <w:instrText xml:space="preserve"> PAGEREF _Toc28759 \h </w:instrText>
      </w:r>
      <w:r>
        <w:fldChar w:fldCharType="separate"/>
      </w:r>
      <w:r>
        <w:t>14</w:t>
      </w:r>
      <w:r>
        <w:fldChar w:fldCharType="end"/>
      </w:r>
      <w:r>
        <w:rPr>
          <w:rFonts w:hint="default" w:ascii="Times New Roman" w:hAnsi="Times New Roman" w:cs="Times New Roman"/>
          <w:bCs/>
          <w:szCs w:val="24"/>
        </w:rPr>
        <w:fldChar w:fldCharType="end"/>
      </w:r>
    </w:p>
    <w:p w14:paraId="57408AB2">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sz w:val="24"/>
          <w:szCs w:val="24"/>
        </w:rPr>
      </w:pPr>
      <w:r>
        <w:rPr>
          <w:rFonts w:hint="default" w:ascii="Times New Roman" w:hAnsi="Times New Roman" w:cs="Times New Roman"/>
          <w:bCs/>
          <w:szCs w:val="24"/>
        </w:rPr>
        <w:fldChar w:fldCharType="end"/>
      </w:r>
    </w:p>
    <w:p w14:paraId="1D666D40">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388D3012">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4FB1DF6A">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2EA8B0B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AA915B2">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22AA7CC">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3F9E0E48">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246A95E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D69882F">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70815250">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53E3BAB2">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31FF681C">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4B0C28F">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A30E577">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69A7294D">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02057F3">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04BB4890">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02EE90AA">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761FA35C">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1C4664A">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60FC3649">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5E5AC3A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64407243">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596288AE">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7B073B57">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725B2CB8">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5F682D7C">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6390F887">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6C181F00">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7FC0B997">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4B1BC357">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0CC27BD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809C25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1B2F39D5">
      <w:pPr>
        <w:keepNext w:val="0"/>
        <w:keepLines w:val="0"/>
        <w:pageBreakBefore w:val="0"/>
        <w:widowControl w:val="0"/>
        <w:kinsoku/>
        <w:wordWrap/>
        <w:overflowPunct/>
        <w:topLinePunct w:val="0"/>
        <w:autoSpaceDE/>
        <w:autoSpaceDN/>
        <w:bidi w:val="0"/>
        <w:adjustRightInd/>
        <w:snapToGrid/>
        <w:textAlignment w:val="auto"/>
        <w:rPr>
          <w:rFonts w:ascii="Arial" w:hAnsi="Arial" w:cs="Arial"/>
          <w:sz w:val="24"/>
          <w:szCs w:val="24"/>
        </w:rPr>
      </w:pPr>
    </w:p>
    <w:p w14:paraId="360950F6">
      <w:pPr>
        <w:pStyle w:val="9"/>
        <w:bidi w:val="0"/>
        <w:rPr>
          <w:rFonts w:hint="default"/>
        </w:rPr>
        <w:sectPr>
          <w:pgSz w:w="11906" w:h="16838"/>
          <w:pgMar w:top="1440" w:right="1800" w:bottom="1440" w:left="1800" w:header="851" w:footer="992" w:gutter="0"/>
          <w:cols w:space="425" w:num="1"/>
          <w:docGrid w:type="lines" w:linePitch="312" w:charSpace="0"/>
        </w:sectPr>
      </w:pPr>
      <w:bookmarkStart w:id="0" w:name="_Toc25699"/>
    </w:p>
    <w:p w14:paraId="35416181">
      <w:pPr>
        <w:pStyle w:val="9"/>
        <w:bidi w:val="0"/>
        <w:rPr>
          <w:rFonts w:hint="default"/>
        </w:rPr>
      </w:pPr>
      <w:r>
        <w:rPr>
          <w:rFonts w:hint="default"/>
        </w:rPr>
        <w:t>Introduction</w:t>
      </w:r>
      <w:bookmarkEnd w:id="0"/>
    </w:p>
    <w:p w14:paraId="48105CAB">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Firstly, business ethics is an interdisciplinary field that studies ethical relationships and their laws in business activities, with the aim of regulating interest relationships through moral norms and establishing a coordinated order between economy and justice. Its research covers the behavioral principles, norms, and ethical issues that business entities should follow, involving core areas such as corporate social responsibility, ethical reasoning, and ethical decision-making. In today's highly globalized and information-based business environment, business ethics is no longer a secondary content attached to corporate governance, but an important component of corporate strategy and organizational identity. Ethical misconduct can seriously damage a company's reputation, stakeholder trust, and long-term viability . Therefore, I believe that modern enterprises must strike a balance between profit and responsibility, guided by reliable philosophical and ethical principles.</w:t>
      </w:r>
    </w:p>
    <w:p w14:paraId="76956AD4">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Secondly, this report will revolve around two core objectives: firstly, to elucidate the main philosophical foundations behind business ethics; Secondly, evaluate how these philosophical principles are specifically reflected in the decision-making, governance, and strategic layout of modern enterprises. To provide a practical basis for the discussion, the report will select several recent cases as references. Through theoretical analysis and case studies, this report will answer three key ethical questions: Is the purpose of business to maximize profits or to meet social needs? Should companies pay attention to their impact on the broader social environment? Should religious organizations and governments intervene and regulate corporate behavior?</w:t>
      </w:r>
    </w:p>
    <w:p w14:paraId="46FD09CE">
      <w:pPr>
        <w:pStyle w:val="9"/>
        <w:bidi w:val="0"/>
        <w:rPr>
          <w:rFonts w:hint="default"/>
        </w:rPr>
      </w:pPr>
      <w:bookmarkStart w:id="1" w:name="_Toc335"/>
      <w:r>
        <w:rPr>
          <w:rFonts w:hint="eastAsia"/>
          <w:lang w:val="en-US" w:eastAsia="zh-CN"/>
        </w:rPr>
        <w:t>1.</w:t>
      </w:r>
      <w:r>
        <w:rPr>
          <w:rFonts w:hint="default"/>
        </w:rPr>
        <w:t>Philosophical Basis of Business Ethics</w:t>
      </w:r>
      <w:bookmarkEnd w:id="1"/>
    </w:p>
    <w:p w14:paraId="16A6F64A">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philosophical discussion of business ethics should begin with the fundamental proposition of 'what is the purpose of business'. In the philosophical debate surrounding business objectives, the two most influential theories come from the shareholder primacy principle of Nobel laureate Milton Friedman and the stakeholder theory of R. Edward Freeman, one of the most influential scholars in contemporary business ethics. Friedman (1970) believed that the only social responsibility of a company is to maximize shareholder profits. In his neoliberal framework, managers should not use company resources for "non-commercial affairs", as that amounts to unauthorized use of shareholder wealth. This viewpoint emphasizes market efficiency, clear property rights, and minimal regulation, assuming that maximizing profits will naturally bring social welfare. However, Freeman (1984) criticized this hypothesis, arguing that businesses are not isolated economic entities, but are embedded in social networks, forming a value ecosystem with employees, suppliers, customers, communities, and the environment. If the needs of these stakeholders are ignored, the enterprise will not only cause negative externalities, but also undermine trust and long-term competitive advantage.</w:t>
      </w:r>
    </w:p>
    <w:p w14:paraId="701A6786">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Utilitarianism focuses on maximizing overall happiness, therefore corporate behavior must evaluate its overall benefits to society. Kant's theory of obligation emphasizes respecting individuals and not treating them as tools - this constitutes a direct criticism of enterprises that exploit labor or harm consumer interests. From an ethical perspective, I believe Friedman's theory is closer to the utilitarian economic version, which views profit as a measure of efficiency; Freeman's viewpoint combines the characteristics of Kantian deontology and virtue ethics, emphasizing respect, responsibility, and long-term relationship quality. The difference between the two constitutes the core tension of modern business ethics: is the enterprise a profit machine that only serves shareholders, or an organization that undertakes social co creation value? This philosophical opposition not only forms the foundation of business ethics research, but also provides the necessary theoretical framework for understanding the cases analyzed in this article. It is through the comparison of these two ethical concepts that we can more clearly judge the ethical rationality of corporate behavior and its role positioning in society.</w:t>
      </w:r>
    </w:p>
    <w:p w14:paraId="552A5B9A">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56E77842">
      <w:pPr>
        <w:pStyle w:val="9"/>
        <w:bidi w:val="0"/>
        <w:rPr>
          <w:rFonts w:hint="eastAsia"/>
          <w:lang w:val="en-US" w:eastAsia="zh-CN"/>
        </w:rPr>
      </w:pPr>
      <w:bookmarkStart w:id="2" w:name="_Toc20482"/>
      <w:r>
        <w:rPr>
          <w:rFonts w:hint="eastAsia"/>
          <w:lang w:val="en-US" w:eastAsia="zh-CN"/>
        </w:rPr>
        <w:t>2.Case Study: Starbucks Union Controversy and Ethical Measurement of Corporate Objectives</w:t>
      </w:r>
      <w:bookmarkEnd w:id="2"/>
    </w:p>
    <w:p w14:paraId="1BD9C40D">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At present, Starbucks in the United States is facing a thorny labor management confrontation, with the focus of the conflict revolving around employee demands and corporate responses. The outbreak of this dispute happens to be closely related to the brand's important promotional nodes. The union leading this action is fully prepared, and the store employees represented by it are highly united in their willingness to strike, which adds fuel to the already tense relationship between the two sides. The company insists that the benefits it provides are competitive within the industry, attempting to demonstrate that the current conditions are already very favorable. However, this argument has not won the recognition of the employee group, highlighting the cognitive differences between the two sides. Both sides hold their own opinions, and the differences accumulated from the negotiation stage are gradually pushing towards more intense confrontation. The direction of the entire event still depends on whether both sides are willing to make concessions in the future. This year, the strike plan of Starbucks employees in the United States was coincidentally scheduled to start on November 13th, which coincided with the highly anticipated "Red Cup Day". The Associated Press reported that if the strike continues, the holiday sales season may be severely affected. Looking back at last year, a five-day similar strike caused about 60 stores to be forced to close, indicating that the impact of this event may not be underestimated. Thousands of baristas participated in the strike voting, with as many as 92% of voters expressing support. Union members are gearing up and even preparing for the largest strike in history, and an industry storm may strike.</w:t>
      </w:r>
    </w:p>
    <w:p w14:paraId="59ADAF64">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57922250">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unionization controversy at Starbucks is one of the most representative business ethics cases in recent years. This incident not only reveals the tension between profit pursuit and social responsibility of enterprises, but also vividly reflects the theoretical question of "what is the business purpose" in the real context. Since 2021, Starbucks employees in multiple locations in the United States have been advocating for the establishment of unions to fight for higher wages, stable schedules, and a safer working environment. However, Starbucks has been repeatedly accused of taking anti union measures, including management pressure, closing stores attempting to organize unions, and punishing employees involved in union activities (Kelly, 2023). These actions have led to multiple investigations and rulings by the National Labor Relations Board (NLRB) of the United States into the company for illegal behavior (NLRB, 2022).</w:t>
      </w:r>
    </w:p>
    <w:p w14:paraId="28AA909E">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19E1AAB1">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this case, we can clearly see the ethical conflict of business objectives: Starbucks continues to make profits financially, while labor costs and management at the store level directly affect its operational efficiency. Many scholars have pointed out that anti union strategies are often closely related to the goal of companies to "reduce labor costs and increase profits" (Rosenblat, 2021). From this perspective, Starbucks' behavior seems to conform to traditional economic logic, which regards maximizing profits as its core goal. However, this also exposes significant ethical risks: sacrificing employee well-being, weakening labor rights, and damaging public trust. Putting this into the framework of modern business ethics, it can be found that Starbucks' behavior is in stark contrast to the "value oriented culture" that its brand has long shaped. Starbucks has always emphasized its "caring culture," "community values," and "employee partnerships" through marketing, and used them as important image assets that distinguish it from other fast food chains (Henderson&amp;Boyle, 2021). When the actual business behavior is highly inconsistent with the brand narrative, the legitimacy and social trust of the enterprise are easily undermined. In other words, Starbucks attempts to strike a balance between maintaining its profit structure and practicing social values, but the union incident indicates that its business decisions lean towards the former, which has led to ethical controversies.</w:t>
      </w:r>
    </w:p>
    <w:p w14:paraId="5BCDE4ED">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0741D84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the perspective of business purposes, this case illustrates two key points. Firstly, the pursuit of profit still has a strong structural force in the actual operation of enterprises. Even multinational corporations with mature brands like Starbucks may choose to prioritize maintaining profit margins when facing rising labor costs, economic uncertainty, and investor pressure. Secondly, this case demonstrates that social values such as labor rights, organizational freedom, and fair treatment are not abstract concepts, but rather practical factors that directly affect a company's reputation, market performance, and long-term competitiveness. Between 2022 and 2024, multiple consumer surveys have shown that young people (especially those aged 18-35) place greater emphasis on their treatment of employees and social responsibility performance when choosing brands (Deloitte, 2023). Therefore, ignoring social value may protect profits in the short term but weaken the survival foundation of enterprises in the long term.</w:t>
      </w:r>
    </w:p>
    <w:p w14:paraId="1E8271C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283E8748">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the Starbucks case also reflects the changing expectations of modern society for corporate purposes. Starting from the business philosophy framework mentioned earlier, Starbucks' behavior reflects more traditional shareholder oriented logic, while employees and public opinion call for the company to adopt more stakeholder oriented values. Therefore, union disputes are not only labor issues, but also a practical manifestation of conflicting corporate goals - should companies primarily respond to shareholders, or should they take on broader responsibilities towards employees, communities, and society?</w:t>
      </w:r>
    </w:p>
    <w:p w14:paraId="60B6297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630BB5F3">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summary, the Starbucks union incident highlights the real contradiction between profit goals and social value goals in modern business. This case demonstrates that the purpose of a business is not a single dimension, but a process of constantly redefining between complex external pressures, internal resource allocation, ethical responsibilities, and public expectations. The controversy surrounding Starbucks reminds us that neglecting social responsibility may temporarily guarantee profits, but it may undermine the social trust foundation that businesses rely on for survival at a deeper level.</w:t>
      </w:r>
    </w:p>
    <w:p w14:paraId="38477EEA">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4A773F19">
      <w:pPr>
        <w:pStyle w:val="9"/>
        <w:bidi w:val="0"/>
        <w:rPr>
          <w:rFonts w:hint="eastAsia"/>
          <w:lang w:val="en-US" w:eastAsia="zh-CN"/>
        </w:rPr>
      </w:pPr>
      <w:bookmarkStart w:id="3" w:name="_Toc7289"/>
      <w:r>
        <w:rPr>
          <w:rFonts w:hint="eastAsia"/>
          <w:lang w:val="en-US" w:eastAsia="zh-CN"/>
        </w:rPr>
        <w:t>3.Case Study : Coca Cola Plastic Pollution and Social Impact</w:t>
      </w:r>
      <w:bookmarkEnd w:id="3"/>
    </w:p>
    <w:p w14:paraId="6ECAB330">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Although companies from various industries contribute to global plastic waste, food and beverage producers are often the biggest culprits. We can observe a clear trend: companies that produce large quantities of disposable packaging and instant consumer products have a significantly higher proportion of brand pollution data than companies that sell durable packaged goods. Simply put, plastic bottles or packaging bags that you throw away after using them up in a short period of time pose a much higher risk of plastic pollution than laundry detergent bottles that you may use for weeks or months.</w:t>
      </w:r>
    </w:p>
    <w:p w14:paraId="6FFA1BFD">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one of the world's largest beverage companies, Coca Cola's production, packaging of plastics, and waste management have had a profound impact on the environment. In recent years, environmental organizations have frequently accused Coca Cola of not meeting its commitments and actual performance in plastic use and recycling targets. According to multiple international environmental reports, the company still produces a large number of disposable plastic bottles, and its "reusable" packaging plan is more conservative than advertised (Oceana, 2025). At the same time, the infrastructure construction for plastic recycling or recovery in some regions of Coca Cola is very lagging behind, resulting in a high proportion of bottles ultimately flowing into the natural environment. Meanwhile, Coca Cola recently announced its latest packaging sustainability goal, which has been revised from the original plan of achieving a 50% recycled material ratio in packaging by 2030 to only 35% -40% by 2035. At the same time, its recycling rate target has been revised from the previous claim of "recycling plastic bottles equivalent to the amount invested in the global market" to "striving to ensure the recycling of 70% -75% of the bottles and cans put into the market", without specifying a specific deadline for achievement. This move has sparked strong condemnation from some environmental groups and raised doubts among the public about the credibility of corporate environmental commitments.</w:t>
      </w:r>
    </w:p>
    <w:p w14:paraId="22905AF7">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16D58B39">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So we can think from an ethical perspective, and this approach undoubtedly reflects the company's choice between profit and environmental responsibility. The production and sales of plastics have brought low-cost and efficient packaging solutions to Coca Cola, helping to maintain its global supply chain and profit model. However, at the same time, the company transfers the environmental costs of plastic waste to society: ocean pollution, microplastic dispersion, and waste disposal costs have become public burdens. This kind of structural externality problem is precisely the ethical dilemma that enterprises are prone to when they only focus on profits and ignore social impact.</w:t>
      </w:r>
    </w:p>
    <w:p w14:paraId="54CDF7C0">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2794C75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Considering the stakeholder theory, Coca Cola must face not only shareholder profits, but also consumers (especially environmentally conscious groups), communities (waste management, environmental quality affected), governments (need to regulate waste), and future generations (environmental legacy issues). If a company ignores these stakeholders, minimizes their environmental impact, and only focuses on costs and profits, it is difficult to maintain long-term legitimacy and social trust.</w:t>
      </w:r>
    </w:p>
    <w:p w14:paraId="57E6E964">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05684AA3">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Furthermore, from the perspective of justice theory, plastic pollution often disproportionately affects vulnerable groups. Poor countries or regions are more likely to become victims of plastic waste dumping, while inadequate local infrastructure exacerbates environmental and public health risks. This unfair distribution is an important issue that should be given attention. If a company only considers economic benefits but neglects the impact on environmentally disadvantaged communities, it violates its fair responsibility.</w:t>
      </w:r>
    </w:p>
    <w:p w14:paraId="5B599817">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79871A46">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the perspective of moral ethics, Coca Cola's environmental strategy appears to lack genuine moral responsibility. Honesty and responsibility are the qualities that a company should have, but when a company discounts or slows down its commitment to recycling targets, it may damage its integrity and reputation established with a "green" image. A truly ethical enterprise should have a vision that goes beyond profit and regards environmental protection as a long-term mission, not just a public relations strategy.</w:t>
      </w:r>
    </w:p>
    <w:p w14:paraId="0C32827D">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575D062C">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short, Coca Cola's actions on plastic pollution remind us that companies cannot simply view environmental impact as a peripheral matter. Ethically, businesses have a profound responsibility towards the social environment. Modern business objectives should include taking care of the environment; Sustainable value is not only a burden for businesses, but also an important source of brand competitiveness and social trust. It is easy to overlook these deeper ethical obligations when driving a company solely through profit maximization thinking.</w:t>
      </w:r>
    </w:p>
    <w:p w14:paraId="0CAD187A">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2A4362FB">
      <w:pPr>
        <w:pStyle w:val="9"/>
        <w:bidi w:val="0"/>
        <w:rPr>
          <w:rFonts w:hint="eastAsia"/>
          <w:lang w:val="en-US" w:eastAsia="zh-CN"/>
        </w:rPr>
      </w:pPr>
      <w:bookmarkStart w:id="4" w:name="_Toc21141"/>
      <w:r>
        <w:rPr>
          <w:rFonts w:hint="eastAsia"/>
          <w:lang w:val="en-US" w:eastAsia="zh-CN"/>
        </w:rPr>
        <w:t>4.Case study : Amazon and EU regulation - should the government intervene in corporate behavior?</w:t>
      </w:r>
      <w:bookmarkEnd w:id="4"/>
    </w:p>
    <w:p w14:paraId="402F55E4">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Recently, EU antitrust regulators are preparing to investigate market forces in cloud computing platforms. Amazon Web Services, Microsoft Azure, and Google Cloud may be included in the regulatory scope of the EU's Digital Markets Act (DMA), facing a new round of crackdown on "large technology companies". And among them, Amazon has long had an antitrust agreement with the European Commission, which is a milestone in global technology regulation. According to an investigation by the European Union in 2022, Amazon was accused of abusing its platform position by using non-public data from third-party sellers on its platform to provide unfair competitive advantages to its retail business (European Commission, 2022). In addition, Amazon's "Buy Box" algorithm is considered biased towards its own products and unfairly affects other sellers. In response to these allegations, Amazon has agreed to make multiple commitments, including no longer using non-public data from third-party merchants, ensuring more sellers have access to Buy Box opportunities, and allowing Prime sellers to choose independent logistics service providers (TechCrunch, 2022; VBB, 2023). These commitments are legally binding and will last for several years (European Commission, 2022).</w:t>
      </w:r>
    </w:p>
    <w:p w14:paraId="17F77B3E">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5AF4422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ethical analysis, we should pay attention to the issue of market failure. As a company that operates a marketplace platform and directly participates in retail competition, Amazon's structural advantages enable it to use platform data to suppress other sellers. This dual role not only undermines fair competition, but also weakens the survival space of other businesses. In the absence of effective regulation, large platforms have the potential for excessive centralization, and market self-regulation mechanisms are difficult to limit their abuse of power.</w:t>
      </w:r>
    </w:p>
    <w:p w14:paraId="24099E4E">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7C5694D7">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the perspective of deontology, Amazon has a moral obligation to third-party sellers: it should not simply treat its platform role as a tool for maximizing profits. A reasonable data usage strategy should respect the rights and fairness of sellers, rather than treating them as data providers and oppressed objects. The EU's regulation aims to safeguard the dignity and fair status of these sellers, and this regulation itself has ethical legitimacy.</w:t>
      </w:r>
    </w:p>
    <w:p w14:paraId="271C3CD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1CA5EC3B">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the perspective of justice theory, Amazon's behavior challenges the principle of fairness. Its use of low transparency or asymmetric data advantages undermines market fairness and deprives small or emerging sellers of fair competition opportunities. The EU's measures to redistribute market power from an institutional structure, attempting to establish a fairer competitive environment, undoubtedly provide better conditions for platform sellers.</w:t>
      </w:r>
    </w:p>
    <w:p w14:paraId="76097A75">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53FBD1CF">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From the perspective of virtue ethics, the compromise agreed upon by Amazon can be seen as both a sense of responsibility and a manifestation of humility. However, this compromise is driven by external coercion rather than a moral consciousness of voluntary introspection by the company, which exposes the limitations of the company in terms of moral self-discipline. A truly virtuous enterprise needs to go beyond legal constraints and embed fairness, transparency, and community responsibility into its long-term governance culture.</w:t>
      </w:r>
    </w:p>
    <w:p w14:paraId="090D9479">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14:paraId="42878BE5">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Therefore, this case strongly demonstrates the indispensable role of government or similar power institutions in modern business ethics. Without external regulation, relying solely on self-restraint by enterprises is difficult to ensure fair competition and public interests. Amazon's regulatory agreement is not only a policy victory, but also a necessary ethical measure: it sets behavioral boundaries for large digital platforms, prevents abuse of power, and protects weaker participants in the market.</w:t>
      </w:r>
    </w:p>
    <w:p w14:paraId="6E1156B4">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55273938">
      <w:pPr>
        <w:pStyle w:val="9"/>
        <w:bidi w:val="0"/>
        <w:rPr>
          <w:rFonts w:hint="default"/>
        </w:rPr>
      </w:pPr>
      <w:bookmarkStart w:id="5" w:name="_Toc20011"/>
      <w:r>
        <w:t>Conclusion</w:t>
      </w:r>
      <w:bookmarkEnd w:id="5"/>
    </w:p>
    <w:p w14:paraId="0BDD668C">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draws the following ethical conclusions through the analysis of three cases: Starbucks union dispute, Coca Cola plastic pollution, and Amazon EU regulation: firstly, commercial purposes should not be simplified as maximizing profits; Truly responsible enterprises should take into account social value, environmental impact, and the interests of stakeholders. Secondly, enterprises must bear the social and environmental impacts of their business activities and cannot pass on these external costs to the public. Moreover, it can be seen that external regulation has ethical necessity in modern business, as it can not only protect market fairness but also safeguard public interests.</w:t>
      </w:r>
    </w:p>
    <w:p w14:paraId="78BC7FBC">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 believe that in order for modern enterprises to achieve a sustainable and ethical business future, they should strengthen ethical governance within the organization and incorporate benefit sharing into long-term strategies. Therefore, if enterprises want to truly become a positive force in society, they need to integrate profits with ethics, create value for all stakeholders through responsible actions, and achieve deeper legitimacy and sustainability.</w:t>
      </w:r>
    </w:p>
    <w:p w14:paraId="77E862A9">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717D3B84">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56A0CFDE">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40B51F36">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68917F68">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7FCC6B99">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20225EB3">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14:paraId="5C65994A">
      <w:pPr>
        <w:pStyle w:val="9"/>
        <w:bidi w:val="0"/>
        <w:rPr>
          <w:rFonts w:hint="default"/>
        </w:rPr>
      </w:pPr>
      <w:bookmarkStart w:id="6" w:name="_Toc28759"/>
      <w:r>
        <w:t>Reference</w:t>
      </w:r>
      <w:bookmarkEnd w:id="6"/>
    </w:p>
    <w:p w14:paraId="13F6A8D1">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Style w:val="7"/>
          <w:rFonts w:hint="default" w:ascii="Times New Roman" w:hAnsi="Times New Roman" w:eastAsia="宋体" w:cs="Times New Roman"/>
          <w:sz w:val="24"/>
          <w:szCs w:val="24"/>
        </w:rPr>
        <w:t>Friedman, M. (1970)</w:t>
      </w:r>
      <w:r>
        <w:rPr>
          <w:rFonts w:hint="default" w:ascii="Times New Roman" w:hAnsi="Times New Roman" w:eastAsia="宋体" w:cs="Times New Roman"/>
          <w:sz w:val="24"/>
          <w:szCs w:val="24"/>
        </w:rPr>
        <w:t xml:space="preserve"> ‘The social responsibility of business is to increase its profits’, </w:t>
      </w:r>
      <w:r>
        <w:rPr>
          <w:rStyle w:val="8"/>
          <w:rFonts w:hint="default" w:ascii="Times New Roman" w:hAnsi="Times New Roman" w:eastAsia="宋体" w:cs="Times New Roman"/>
          <w:sz w:val="24"/>
          <w:szCs w:val="24"/>
        </w:rPr>
        <w:t>The New York Times Magazine</w:t>
      </w:r>
      <w:r>
        <w:rPr>
          <w:rFonts w:hint="default" w:ascii="Times New Roman" w:hAnsi="Times New Roman" w:eastAsia="宋体" w:cs="Times New Roman"/>
          <w:sz w:val="24"/>
          <w:szCs w:val="24"/>
        </w:rPr>
        <w:t>, 13 September, pp. 32–33.</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Freeman, R. E. (1984)</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Strategic Management: A Stakeholder Approach</w:t>
      </w:r>
      <w:r>
        <w:rPr>
          <w:rFonts w:hint="default" w:ascii="Times New Roman" w:hAnsi="Times New Roman" w:eastAsia="宋体" w:cs="Times New Roman"/>
          <w:sz w:val="24"/>
          <w:szCs w:val="24"/>
        </w:rPr>
        <w:t>. Boston: Pitman.</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Kelly, J. (2023)</w:t>
      </w:r>
      <w:r>
        <w:rPr>
          <w:rFonts w:hint="default" w:ascii="Times New Roman" w:hAnsi="Times New Roman" w:eastAsia="宋体" w:cs="Times New Roman"/>
          <w:sz w:val="24"/>
          <w:szCs w:val="24"/>
        </w:rPr>
        <w:t xml:space="preserve"> ‘Starbucks faces new allegations of anti-union practices’, </w:t>
      </w:r>
      <w:r>
        <w:rPr>
          <w:rStyle w:val="8"/>
          <w:rFonts w:hint="default" w:ascii="Times New Roman" w:hAnsi="Times New Roman" w:eastAsia="宋体" w:cs="Times New Roman"/>
          <w:sz w:val="24"/>
          <w:szCs w:val="24"/>
        </w:rPr>
        <w:t>The Guardian</w:t>
      </w:r>
      <w:r>
        <w:rPr>
          <w:rFonts w:hint="default" w:ascii="Times New Roman" w:hAnsi="Times New Roman" w:eastAsia="宋体" w:cs="Times New Roman"/>
          <w:sz w:val="24"/>
          <w:szCs w:val="24"/>
        </w:rPr>
        <w:t>, 12 May.</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National Labor Relations Board (NLRB) (2022)</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Starbucks case rulings and administrative decisions</w:t>
      </w:r>
      <w:r>
        <w:rPr>
          <w:rFonts w:hint="default" w:ascii="Times New Roman" w:hAnsi="Times New Roman" w:eastAsia="宋体" w:cs="Times New Roman"/>
          <w:sz w:val="24"/>
          <w:szCs w:val="24"/>
        </w:rPr>
        <w:t>. Washington, DC.</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Rosenblat, A. (2021)</w:t>
      </w:r>
      <w:r>
        <w:rPr>
          <w:rFonts w:hint="default" w:ascii="Times New Roman" w:hAnsi="Times New Roman" w:eastAsia="宋体" w:cs="Times New Roman"/>
          <w:sz w:val="24"/>
          <w:szCs w:val="24"/>
        </w:rPr>
        <w:t xml:space="preserve"> ‘Labour precarity and corporate resistance in service industries’, </w:t>
      </w:r>
      <w:r>
        <w:rPr>
          <w:rStyle w:val="8"/>
          <w:rFonts w:hint="default" w:ascii="Times New Roman" w:hAnsi="Times New Roman" w:eastAsia="宋体" w:cs="Times New Roman"/>
          <w:sz w:val="24"/>
          <w:szCs w:val="24"/>
        </w:rPr>
        <w:t>Journal of Labor and Society</w:t>
      </w:r>
      <w:r>
        <w:rPr>
          <w:rFonts w:hint="default" w:ascii="Times New Roman" w:hAnsi="Times New Roman" w:eastAsia="宋体" w:cs="Times New Roman"/>
          <w:sz w:val="24"/>
          <w:szCs w:val="24"/>
        </w:rPr>
        <w:t>, 24(4), pp. 455–472.</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Henderson, J. &amp; Boyle, M. (2021)</w:t>
      </w:r>
      <w:r>
        <w:rPr>
          <w:rFonts w:hint="default" w:ascii="Times New Roman" w:hAnsi="Times New Roman" w:eastAsia="宋体" w:cs="Times New Roman"/>
          <w:sz w:val="24"/>
          <w:szCs w:val="24"/>
        </w:rPr>
        <w:t xml:space="preserve"> ‘Brand activism and the limits of corporate moral positioning’, </w:t>
      </w:r>
      <w:r>
        <w:rPr>
          <w:rStyle w:val="8"/>
          <w:rFonts w:hint="default" w:ascii="Times New Roman" w:hAnsi="Times New Roman" w:eastAsia="宋体" w:cs="Times New Roman"/>
          <w:sz w:val="24"/>
          <w:szCs w:val="24"/>
        </w:rPr>
        <w:t>Business &amp; Society Review</w:t>
      </w:r>
      <w:r>
        <w:rPr>
          <w:rFonts w:hint="default" w:ascii="Times New Roman" w:hAnsi="Times New Roman" w:eastAsia="宋体" w:cs="Times New Roman"/>
          <w:sz w:val="24"/>
          <w:szCs w:val="24"/>
        </w:rPr>
        <w:t>, 126(3), pp. 317–336.</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Deloitte (2023)</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Global Gen Z and Millennial Survey 2023</w:t>
      </w:r>
      <w:r>
        <w:rPr>
          <w:rFonts w:hint="default" w:ascii="Times New Roman" w:hAnsi="Times New Roman" w:eastAsia="宋体" w:cs="Times New Roman"/>
          <w:sz w:val="24"/>
          <w:szCs w:val="24"/>
        </w:rPr>
        <w:t>. London: Deloitte Insights.</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Oceana (2025)</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Plastic Pollution Global Report 2025</w:t>
      </w:r>
      <w:r>
        <w:rPr>
          <w:rFonts w:hint="default" w:ascii="Times New Roman" w:hAnsi="Times New Roman" w:eastAsia="宋体" w:cs="Times New Roman"/>
          <w:sz w:val="24"/>
          <w:szCs w:val="24"/>
        </w:rPr>
        <w:t>. Washington, DC.</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European Commission (2022)</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Antitrust: Amazon marketplace commitments</w:t>
      </w:r>
      <w:r>
        <w:rPr>
          <w:rFonts w:hint="default" w:ascii="Times New Roman" w:hAnsi="Times New Roman" w:eastAsia="宋体" w:cs="Times New Roman"/>
          <w:sz w:val="24"/>
          <w:szCs w:val="24"/>
        </w:rPr>
        <w:t>. Brussels.</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TechCrunch (2022)</w:t>
      </w:r>
      <w:r>
        <w:rPr>
          <w:rFonts w:hint="default" w:ascii="Times New Roman" w:hAnsi="Times New Roman" w:eastAsia="宋体" w:cs="Times New Roman"/>
          <w:sz w:val="24"/>
          <w:szCs w:val="24"/>
        </w:rPr>
        <w:t xml:space="preserve"> ‘Amazon agrees to EU antitrust concessions over Buy Box practices’, 20 December.</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Van Bael &amp; Bellis (2023)</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EU Competition Law Newsletter – Amazon Commitments</w:t>
      </w:r>
      <w:r>
        <w:rPr>
          <w:rFonts w:hint="default" w:ascii="Times New Roman" w:hAnsi="Times New Roman" w:eastAsia="宋体" w:cs="Times New Roman"/>
          <w:sz w:val="24"/>
          <w:szCs w:val="24"/>
        </w:rPr>
        <w:t>. Brussels.</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Crane, A. and Matten, D. (2021)</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Business Ethics: Managing Corporate Citizenship and Sustainability in the Age of Globalization</w:t>
      </w:r>
      <w:r>
        <w:rPr>
          <w:rFonts w:hint="default" w:ascii="Times New Roman" w:hAnsi="Times New Roman" w:eastAsia="宋体" w:cs="Times New Roman"/>
          <w:sz w:val="24"/>
          <w:szCs w:val="24"/>
        </w:rPr>
        <w:t>. Oxford University Press.</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Wang, Y. &amp; Li, X. (2024)</w:t>
      </w:r>
      <w:r>
        <w:rPr>
          <w:rFonts w:hint="default" w:ascii="Times New Roman" w:hAnsi="Times New Roman" w:eastAsia="宋体" w:cs="Times New Roman"/>
          <w:sz w:val="24"/>
          <w:szCs w:val="24"/>
        </w:rPr>
        <w:t xml:space="preserve"> ‘Community displacement and urban homogenization’, </w:t>
      </w:r>
      <w:r>
        <w:rPr>
          <w:rStyle w:val="8"/>
          <w:rFonts w:hint="default" w:ascii="Times New Roman" w:hAnsi="Times New Roman" w:eastAsia="宋体" w:cs="Times New Roman"/>
          <w:sz w:val="24"/>
          <w:szCs w:val="24"/>
        </w:rPr>
        <w:t>Journal of Urban Studies</w:t>
      </w:r>
      <w:r>
        <w:rPr>
          <w:rFonts w:hint="default" w:ascii="Times New Roman" w:hAnsi="Times New Roman" w:eastAsia="宋体" w:cs="Times New Roman"/>
          <w:sz w:val="24"/>
          <w:szCs w:val="24"/>
        </w:rPr>
        <w:t>, 61(2), pp. 240–258.</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Rahman, M. (2023)</w:t>
      </w:r>
      <w:r>
        <w:rPr>
          <w:rFonts w:hint="default" w:ascii="Times New Roman" w:hAnsi="Times New Roman" w:eastAsia="宋体" w:cs="Times New Roman"/>
          <w:sz w:val="24"/>
          <w:szCs w:val="24"/>
        </w:rPr>
        <w:t xml:space="preserve"> ‘CSR and long-term value creation’, </w:t>
      </w:r>
      <w:r>
        <w:rPr>
          <w:rStyle w:val="8"/>
          <w:rFonts w:hint="default" w:ascii="Times New Roman" w:hAnsi="Times New Roman" w:eastAsia="宋体" w:cs="Times New Roman"/>
          <w:sz w:val="24"/>
          <w:szCs w:val="24"/>
        </w:rPr>
        <w:t>Journal of Business Ethics</w:t>
      </w:r>
      <w:r>
        <w:rPr>
          <w:rFonts w:hint="default" w:ascii="Times New Roman" w:hAnsi="Times New Roman" w:eastAsia="宋体" w:cs="Times New Roman"/>
          <w:sz w:val="24"/>
          <w:szCs w:val="24"/>
        </w:rPr>
        <w:t>, 189(4), pp. 1221–1239.</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Gillespie, T. (2022)</w:t>
      </w:r>
      <w:r>
        <w:rPr>
          <w:rFonts w:hint="default" w:ascii="Times New Roman" w:hAnsi="Times New Roman" w:eastAsia="宋体" w:cs="Times New Roman"/>
          <w:sz w:val="24"/>
          <w:szCs w:val="24"/>
        </w:rPr>
        <w:t xml:space="preserve"> ‘Regulating platforms’, </w:t>
      </w:r>
      <w:r>
        <w:rPr>
          <w:rStyle w:val="8"/>
          <w:rFonts w:hint="default" w:ascii="Times New Roman" w:hAnsi="Times New Roman" w:eastAsia="宋体" w:cs="Times New Roman"/>
          <w:sz w:val="24"/>
          <w:szCs w:val="24"/>
        </w:rPr>
        <w:t>Information, Communication &amp; Society</w:t>
      </w:r>
      <w:r>
        <w:rPr>
          <w:rFonts w:hint="default" w:ascii="Times New Roman" w:hAnsi="Times New Roman" w:eastAsia="宋体" w:cs="Times New Roman"/>
          <w:sz w:val="24"/>
          <w:szCs w:val="24"/>
        </w:rPr>
        <w:t>, 25(3), pp. 343–359.</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Floridi, L. (2023)</w:t>
      </w:r>
      <w:r>
        <w:rPr>
          <w:rFonts w:hint="default" w:ascii="Times New Roman" w:hAnsi="Times New Roman" w:eastAsia="宋体" w:cs="Times New Roman"/>
          <w:sz w:val="24"/>
          <w:szCs w:val="24"/>
        </w:rPr>
        <w:t xml:space="preserve"> ‘Ethics and governance of digital tech’, </w:t>
      </w:r>
      <w:r>
        <w:rPr>
          <w:rStyle w:val="8"/>
          <w:rFonts w:hint="default" w:ascii="Times New Roman" w:hAnsi="Times New Roman" w:eastAsia="宋体" w:cs="Times New Roman"/>
          <w:sz w:val="24"/>
          <w:szCs w:val="24"/>
        </w:rPr>
        <w:t>AI &amp; Society</w:t>
      </w:r>
      <w:r>
        <w:rPr>
          <w:rFonts w:hint="default" w:ascii="Times New Roman" w:hAnsi="Times New Roman" w:eastAsia="宋体" w:cs="Times New Roman"/>
          <w:sz w:val="24"/>
          <w:szCs w:val="24"/>
        </w:rPr>
        <w:t>, 38(1), pp. 11–22.</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UNESCO (2023)</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Recommendation on the Ethics of Artificial Intelligence</w:t>
      </w:r>
      <w:r>
        <w:rPr>
          <w:rFonts w:hint="default" w:ascii="Times New Roman" w:hAnsi="Times New Roman" w:eastAsia="宋体" w:cs="Times New Roman"/>
          <w:sz w:val="24"/>
          <w:szCs w:val="24"/>
        </w:rPr>
        <w:t>. Paris.</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Harvard Business Review (2024)</w:t>
      </w:r>
      <w:r>
        <w:rPr>
          <w:rFonts w:hint="default" w:ascii="Times New Roman" w:hAnsi="Times New Roman" w:eastAsia="宋体" w:cs="Times New Roman"/>
          <w:sz w:val="24"/>
          <w:szCs w:val="24"/>
        </w:rPr>
        <w:t xml:space="preserve"> ‘ESG performance and financial resilience’.</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Khan, Z. &amp; Bloom, D. (2024)</w:t>
      </w:r>
      <w:r>
        <w:rPr>
          <w:rFonts w:hint="default" w:ascii="Times New Roman" w:hAnsi="Times New Roman" w:eastAsia="宋体" w:cs="Times New Roman"/>
          <w:sz w:val="24"/>
          <w:szCs w:val="24"/>
        </w:rPr>
        <w:t xml:space="preserve"> ‘Big Tech, privacy, and the public good’, </w:t>
      </w:r>
      <w:r>
        <w:rPr>
          <w:rStyle w:val="8"/>
          <w:rFonts w:hint="default" w:ascii="Times New Roman" w:hAnsi="Times New Roman" w:eastAsia="宋体" w:cs="Times New Roman"/>
          <w:sz w:val="24"/>
          <w:szCs w:val="24"/>
        </w:rPr>
        <w:t>Journal of Information Policy</w:t>
      </w:r>
      <w:r>
        <w:rPr>
          <w:rFonts w:hint="default" w:ascii="Times New Roman" w:hAnsi="Times New Roman" w:eastAsia="宋体" w:cs="Times New Roman"/>
          <w:sz w:val="24"/>
          <w:szCs w:val="24"/>
        </w:rPr>
        <w:t>, 14(1), pp. 88–112.</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Wójcik, D. (2022)</w:t>
      </w:r>
      <w:r>
        <w:rPr>
          <w:rFonts w:hint="default" w:ascii="Times New Roman" w:hAnsi="Times New Roman" w:eastAsia="宋体" w:cs="Times New Roman"/>
          <w:sz w:val="24"/>
          <w:szCs w:val="24"/>
        </w:rPr>
        <w:t xml:space="preserve"> ‘Stakeholder capitalism in practice’, </w:t>
      </w:r>
      <w:r>
        <w:rPr>
          <w:rStyle w:val="8"/>
          <w:rFonts w:hint="default" w:ascii="Times New Roman" w:hAnsi="Times New Roman" w:eastAsia="宋体" w:cs="Times New Roman"/>
          <w:sz w:val="24"/>
          <w:szCs w:val="24"/>
        </w:rPr>
        <w:t>Business &amp; Society</w:t>
      </w:r>
      <w:r>
        <w:rPr>
          <w:rFonts w:hint="default" w:ascii="Times New Roman" w:hAnsi="Times New Roman" w:eastAsia="宋体" w:cs="Times New Roman"/>
          <w:sz w:val="24"/>
          <w:szCs w:val="24"/>
        </w:rPr>
        <w:t>, 61(6), pp. 1432–1456.</w:t>
      </w:r>
      <w:r>
        <w:rPr>
          <w:rFonts w:hint="default" w:ascii="Times New Roman" w:hAnsi="Times New Roman" w:eastAsia="宋体" w:cs="Times New Roman"/>
          <w:sz w:val="24"/>
          <w:szCs w:val="24"/>
        </w:rPr>
        <w:br w:type="textWrapping"/>
      </w:r>
      <w:r>
        <w:rPr>
          <w:rStyle w:val="7"/>
          <w:rFonts w:hint="default" w:ascii="Times New Roman" w:hAnsi="Times New Roman" w:eastAsia="宋体" w:cs="Times New Roman"/>
          <w:sz w:val="24"/>
          <w:szCs w:val="24"/>
        </w:rPr>
        <w:t>UK AI Safety Summit (2023)</w:t>
      </w:r>
      <w:r>
        <w:rPr>
          <w:rFonts w:hint="default" w:ascii="Times New Roman" w:hAnsi="Times New Roman" w:eastAsia="宋体" w:cs="Times New Roman"/>
          <w:sz w:val="24"/>
          <w:szCs w:val="24"/>
        </w:rPr>
        <w:t xml:space="preserve"> </w:t>
      </w:r>
      <w:r>
        <w:rPr>
          <w:rStyle w:val="8"/>
          <w:rFonts w:hint="default" w:ascii="Times New Roman" w:hAnsi="Times New Roman" w:eastAsia="宋体" w:cs="Times New Roman"/>
          <w:sz w:val="24"/>
          <w:szCs w:val="24"/>
        </w:rPr>
        <w:t>Frontier AI Safety Commitment Document</w:t>
      </w:r>
      <w:r>
        <w:rPr>
          <w:rFonts w:hint="default" w:ascii="Times New Roman" w:hAnsi="Times New Roman" w:eastAsia="宋体" w:cs="Times New Roman"/>
          <w:sz w:val="24"/>
          <w:szCs w:val="24"/>
        </w:rPr>
        <w:t>. London.</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12FD5C7">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79A0D59">
                          <w:pPr>
                            <w:pStyle w:val="2"/>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779A0D59">
                    <w:pPr>
                      <w:pStyle w:val="2"/>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1E436E6"/>
    <w:rsid w:val="036B0211"/>
    <w:rsid w:val="06C87452"/>
    <w:rsid w:val="072A7BE5"/>
    <w:rsid w:val="0ED96FBA"/>
    <w:rsid w:val="13955D7C"/>
    <w:rsid w:val="18151F12"/>
    <w:rsid w:val="220448E5"/>
    <w:rsid w:val="23352DB5"/>
    <w:rsid w:val="270E4483"/>
    <w:rsid w:val="28B126F6"/>
    <w:rsid w:val="2A8F5EDF"/>
    <w:rsid w:val="2BDF1CEC"/>
    <w:rsid w:val="39495F16"/>
    <w:rsid w:val="3A7F4B06"/>
    <w:rsid w:val="3B9E5B3B"/>
    <w:rsid w:val="3E0A2E58"/>
    <w:rsid w:val="3F712AE7"/>
    <w:rsid w:val="3FCC0881"/>
    <w:rsid w:val="426C20C0"/>
    <w:rsid w:val="46E2782A"/>
    <w:rsid w:val="494277FE"/>
    <w:rsid w:val="4B3E0902"/>
    <w:rsid w:val="52C319D8"/>
    <w:rsid w:val="532603F8"/>
    <w:rsid w:val="54C67711"/>
    <w:rsid w:val="593C7FF3"/>
    <w:rsid w:val="5E9268B6"/>
    <w:rsid w:val="61E436E6"/>
    <w:rsid w:val="668F6351"/>
    <w:rsid w:val="6A531ADF"/>
    <w:rsid w:val="6B2E3475"/>
    <w:rsid w:val="6CF85E8F"/>
    <w:rsid w:val="70DB1F43"/>
    <w:rsid w:val="730C516A"/>
    <w:rsid w:val="75032589"/>
    <w:rsid w:val="751616AF"/>
    <w:rsid w:val="77F96D63"/>
    <w:rsid w:val="786B044B"/>
    <w:rsid w:val="7A443C04"/>
    <w:rsid w:val="7E9401E1"/>
    <w:rsid w:val="7EB46AD4"/>
    <w:rsid w:val="7EF96D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iPriority w:val="0"/>
  </w:style>
  <w:style w:type="character" w:styleId="7">
    <w:name w:val="Strong"/>
    <w:basedOn w:val="6"/>
    <w:qFormat/>
    <w:uiPriority w:val="0"/>
    <w:rPr>
      <w:b/>
    </w:rPr>
  </w:style>
  <w:style w:type="character" w:styleId="8">
    <w:name w:val="Emphasis"/>
    <w:basedOn w:val="6"/>
    <w:qFormat/>
    <w:uiPriority w:val="0"/>
    <w:rPr>
      <w:i/>
    </w:rPr>
  </w:style>
  <w:style w:type="paragraph" w:customStyle="1" w:styleId="9">
    <w:name w:val="1"/>
    <w:basedOn w:val="1"/>
    <w:qFormat/>
    <w:uiPriority w:val="0"/>
    <w:rPr>
      <w:rFonts w:hint="eastAsia" w:ascii="Times New Roman" w:hAnsi="Times New Roman" w:eastAsia="Times New Roman" w:cs="Times New Roman"/>
      <w:b/>
      <w:bCs/>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3449</Words>
  <Characters>20753</Characters>
  <Lines>0</Lines>
  <Paragraphs>0</Paragraphs>
  <TotalTime>0</TotalTime>
  <ScaleCrop>false</ScaleCrop>
  <LinksUpToDate>false</LinksUpToDate>
  <CharactersWithSpaces>24136</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2025-11-17T15:31:00Z</dcterms:created>
  <dc:creator>。。。</dc:creator>
  <cp:lastModifiedBy>。。。</cp:lastModifiedBy>
  <dcterms:modified xsi:type="dcterms:W3CDTF">2025-11-20T23:17:16Z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2052-12.1.0.23542</vt:lpwstr>
  </property>
  <property fmtid="{D5CDD505-2E9C-101B-9397-08002B2CF9AE}" pid="3" name="ICV">
    <vt:lpwstr>A3CA9207310D4D0494D9FB7CCD65F44B_11</vt:lpwstr>
  </property>
  <property fmtid="{D5CDD505-2E9C-101B-9397-08002B2CF9AE}" pid="4" name="KSOTemplateDocerSaveRecord">
    <vt:lpwstr>eyJoZGlkIjoiNzM1NzU0MDllM2FjZWZjNWViNzk5YTZmYTA4MjQ0YjciLCJ1c2VySWQiOiI0MTIwMDU2NzQifQ==</vt:lpwstr>
  </property>
</Properties>
</file>