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jc w:val="center"/>
        <w:rPr>
          <w:rFonts w:ascii="Arial" w:cs="Arial" w:hAnsi="Arial" w:eastAsia="Arial"/>
          <w:u w:val="single"/>
        </w:rPr>
      </w:pPr>
    </w:p>
    <w:p>
      <w:pPr>
        <w:pStyle w:val="Body A"/>
        <w:jc w:val="center"/>
        <w:rPr>
          <w:rFonts w:ascii="Arial" w:cs="Arial" w:hAnsi="Arial" w:eastAsia="Arial"/>
          <w:u w:val="single"/>
        </w:rPr>
      </w:pPr>
      <w:r>
        <w:rPr>
          <w:rFonts w:ascii="Arial" w:cs="Arial" w:hAnsi="Arial" w:eastAsia="Arial"/>
          <w:u w:val="single"/>
        </w:rPr>
        <w:drawing>
          <wp:anchor distT="0" distB="0" distL="0" distR="0" simplePos="0" relativeHeight="251659264" behindDoc="0" locked="0" layoutInCell="1" allowOverlap="1">
            <wp:simplePos x="0" y="0"/>
            <wp:positionH relativeFrom="page">
              <wp:posOffset>720090</wp:posOffset>
            </wp:positionH>
            <wp:positionV relativeFrom="line">
              <wp:posOffset>4761</wp:posOffset>
            </wp:positionV>
            <wp:extent cx="1908050" cy="635662"/>
            <wp:effectExtent l="0" t="0" r="0" b="0"/>
            <wp:wrapTopAndBottom distT="0" distB="0"/>
            <wp:docPr id="1073741825" name="officeArt object" descr="TSD_logo2010.png"/>
            <wp:cNvGraphicFramePr/>
            <a:graphic xmlns:a="http://schemas.openxmlformats.org/drawingml/2006/main">
              <a:graphicData uri="http://schemas.openxmlformats.org/drawingml/2006/picture">
                <pic:pic xmlns:pic="http://schemas.openxmlformats.org/drawingml/2006/picture">
                  <pic:nvPicPr>
                    <pic:cNvPr id="1073741825" name="TSD_logo2010.png" descr="TSD_logo2010.png"/>
                    <pic:cNvPicPr>
                      <a:picLocks noChangeAspect="1"/>
                    </pic:cNvPicPr>
                  </pic:nvPicPr>
                  <pic:blipFill>
                    <a:blip r:embed="rId4">
                      <a:extLst/>
                    </a:blip>
                    <a:stretch>
                      <a:fillRect/>
                    </a:stretch>
                  </pic:blipFill>
                  <pic:spPr>
                    <a:xfrm>
                      <a:off x="0" y="0"/>
                      <a:ext cx="1908050" cy="635662"/>
                    </a:xfrm>
                    <a:prstGeom prst="rect">
                      <a:avLst/>
                    </a:prstGeom>
                    <a:ln w="9525" cap="flat">
                      <a:solidFill>
                        <a:srgbClr val="7E786C"/>
                      </a:solidFill>
                      <a:prstDash val="solid"/>
                      <a:miter lim="400000"/>
                    </a:ln>
                    <a:effectLst>
                      <a:outerShdw sx="100000" sy="100000" kx="0" ky="0" algn="b" rotWithShape="0" blurRad="25400" dist="12700" dir="4080000">
                        <a:srgbClr val="000000">
                          <a:alpha val="50000"/>
                        </a:srgbClr>
                      </a:outerShdw>
                    </a:effectLst>
                  </pic:spPr>
                </pic:pic>
              </a:graphicData>
            </a:graphic>
          </wp:anchor>
        </w:drawing>
      </w:r>
    </w:p>
    <w:p>
      <w:pPr>
        <w:pStyle w:val="Body A"/>
        <w:jc w:val="center"/>
        <w:rPr>
          <w:rFonts w:ascii="Arial" w:cs="Arial" w:hAnsi="Arial" w:eastAsia="Arial"/>
          <w:u w:val="single"/>
        </w:rPr>
      </w:pPr>
    </w:p>
    <w:p>
      <w:pPr>
        <w:pStyle w:val="Body A"/>
        <w:jc w:val="center"/>
        <w:rPr>
          <w:rFonts w:ascii="Arial" w:cs="Arial" w:hAnsi="Arial" w:eastAsia="Arial"/>
          <w:u w:val="single"/>
        </w:rPr>
      </w:pPr>
    </w:p>
    <w:p>
      <w:pPr>
        <w:pStyle w:val="Body A"/>
        <w:jc w:val="center"/>
        <w:rPr>
          <w:rFonts w:ascii="Arial" w:cs="Arial" w:hAnsi="Arial" w:eastAsia="Arial"/>
          <w:u w:val="single"/>
        </w:rPr>
      </w:pPr>
    </w:p>
    <w:p>
      <w:pPr>
        <w:pStyle w:val="Body A"/>
        <w:jc w:val="center"/>
        <w:rPr>
          <w:rFonts w:ascii="Arial" w:cs="Arial" w:hAnsi="Arial" w:eastAsia="Arial"/>
          <w:u w:val="single"/>
        </w:rPr>
      </w:pPr>
    </w:p>
    <w:p>
      <w:pPr>
        <w:pStyle w:val="Body"/>
        <w:jc w:val="center"/>
        <w:rPr>
          <w:rFonts w:ascii="Arial" w:cs="Arial" w:hAnsi="Arial" w:eastAsia="Arial"/>
          <w:b w:val="1"/>
          <w:bCs w:val="1"/>
          <w:caps w:val="0"/>
          <w:smallCaps w:val="0"/>
          <w:strike w:val="0"/>
          <w:dstrike w:val="0"/>
          <w:outline w:val="0"/>
          <w:color w:val="000000"/>
          <w:spacing w:val="0"/>
          <w:kern w:val="0"/>
          <w:position w:val="0"/>
          <w:sz w:val="28"/>
          <w:szCs w:val="28"/>
          <w:u w:val="none" w:color="000000"/>
          <w:vertAlign w:val="baseline"/>
          <w14:textOutline w14:w="12700" w14:cap="flat">
            <w14:noFill/>
            <w14:miter w14:lim="400000"/>
          </w14:textOutline>
          <w14:textFill>
            <w14:solidFill>
              <w14:srgbClr w14:val="000000"/>
            </w14:solidFill>
          </w14:textFill>
        </w:rPr>
      </w:pPr>
      <w:r>
        <w:rPr>
          <w:rFonts w:ascii="Arial" w:hAnsi="Arial"/>
          <w:b w:val="1"/>
          <w:bCs w:val="1"/>
          <w:caps w:val="0"/>
          <w:smallCaps w:val="0"/>
          <w:strike w:val="0"/>
          <w:dstrike w:val="0"/>
          <w:outline w:val="0"/>
          <w:color w:val="000000"/>
          <w:spacing w:val="0"/>
          <w:kern w:val="0"/>
          <w:position w:val="0"/>
          <w:sz w:val="28"/>
          <w:szCs w:val="28"/>
          <w:u w:val="none" w:color="000000"/>
          <w:vertAlign w:val="baseline"/>
          <w:rtl w:val="0"/>
          <w:lang w:val="en-US"/>
          <w14:textOutline w14:w="12700" w14:cap="flat">
            <w14:noFill/>
            <w14:miter w14:lim="400000"/>
          </w14:textOutline>
          <w14:textFill>
            <w14:solidFill>
              <w14:srgbClr w14:val="000000"/>
            </w14:solidFill>
          </w14:textFill>
        </w:rPr>
        <w:t xml:space="preserve">Distance Learning </w:t>
      </w:r>
    </w:p>
    <w:p>
      <w:pPr>
        <w:pStyle w:val="Body"/>
        <w:jc w:val="center"/>
        <w:rPr>
          <w:rFonts w:ascii="Arial" w:cs="Arial" w:hAnsi="Arial" w:eastAsia="Arial"/>
          <w:b w:val="1"/>
          <w:bCs w:val="1"/>
          <w:caps w:val="0"/>
          <w:smallCaps w:val="0"/>
          <w:strike w:val="0"/>
          <w:dstrike w:val="0"/>
          <w:outline w:val="0"/>
          <w:color w:val="000000"/>
          <w:spacing w:val="0"/>
          <w:kern w:val="0"/>
          <w:position w:val="0"/>
          <w:sz w:val="28"/>
          <w:szCs w:val="28"/>
          <w:u w:val="none" w:color="000000"/>
          <w:vertAlign w:val="baseline"/>
          <w14:textOutline w14:w="12700" w14:cap="flat">
            <w14:noFill/>
            <w14:miter w14:lim="400000"/>
          </w14:textOutline>
          <w14:textFill>
            <w14:solidFill>
              <w14:srgbClr w14:val="000000"/>
            </w14:solidFill>
          </w14:textFill>
        </w:rPr>
      </w:pPr>
      <w:r>
        <w:rPr>
          <w:rFonts w:ascii="Arial" w:hAnsi="Arial"/>
          <w:b w:val="1"/>
          <w:bCs w:val="1"/>
          <w:caps w:val="0"/>
          <w:smallCaps w:val="0"/>
          <w:strike w:val="0"/>
          <w:dstrike w:val="0"/>
          <w:outline w:val="0"/>
          <w:color w:val="000000"/>
          <w:spacing w:val="0"/>
          <w:kern w:val="0"/>
          <w:position w:val="0"/>
          <w:sz w:val="28"/>
          <w:szCs w:val="28"/>
          <w:u w:val="none" w:color="000000"/>
          <w:vertAlign w:val="baseline"/>
          <w:rtl w:val="0"/>
          <w:lang w:val="en-US"/>
          <w14:textOutline w14:w="12700" w14:cap="flat">
            <w14:noFill/>
            <w14:miter w14:lim="400000"/>
          </w14:textOutline>
          <w14:textFill>
            <w14:solidFill>
              <w14:srgbClr w14:val="000000"/>
            </w14:solidFill>
          </w14:textFill>
        </w:rPr>
        <w:t>Assignment coversheet &amp; feedback form</w:t>
      </w:r>
    </w:p>
    <w:p>
      <w:pPr>
        <w:pStyle w:val="Heading 3"/>
        <w:pBdr>
          <w:top w:val="nil"/>
          <w:left w:val="nil"/>
          <w:bottom w:val="nil"/>
          <w:right w:val="nil"/>
        </w:pBdr>
        <w:spacing w:before="0" w:after="0" w:line="240" w:lineRule="auto"/>
        <w:ind w:left="720" w:firstLine="0"/>
        <w:jc w:val="center"/>
        <w:outlineLvl w:val="2"/>
        <w:rPr>
          <w:rFonts w:ascii="Tahoma" w:cs="Tahoma" w:hAnsi="Tahoma" w:eastAsia="Tahoma"/>
          <w:b w:val="1"/>
          <w:bCs w:val="1"/>
          <w:spacing w:val="0"/>
          <w:sz w:val="20"/>
          <w:szCs w:val="20"/>
          <w:u w:color="000000"/>
        </w:rPr>
      </w:pPr>
      <w:r>
        <w:rPr>
          <w:rFonts w:ascii="Tahoma" w:hAnsi="Tahoma"/>
          <w:b w:val="1"/>
          <w:bCs w:val="1"/>
          <w:spacing w:val="0"/>
          <w:sz w:val="20"/>
          <w:szCs w:val="20"/>
          <w:u w:color="000000"/>
          <w:rtl w:val="0"/>
          <w:lang w:val="en-US"/>
        </w:rPr>
        <w:t>THIS SHEET MUST BE THE FIRST PAGE OF THE ASSIGNMENT YOU ARE SUBMITTING  (DO NOT SEND AS A SEPARATE FILE)</w:t>
      </w:r>
    </w:p>
    <w:p>
      <w:pPr>
        <w:pStyle w:val="Heading 3"/>
        <w:pBdr>
          <w:top w:val="nil"/>
          <w:left w:val="nil"/>
          <w:bottom w:val="nil"/>
          <w:right w:val="nil"/>
        </w:pBdr>
        <w:spacing w:before="0" w:after="0" w:line="240" w:lineRule="auto"/>
        <w:ind w:left="720" w:firstLine="0"/>
        <w:jc w:val="center"/>
        <w:outlineLvl w:val="2"/>
        <w:rPr>
          <w:rFonts w:ascii="Trebuchet MS" w:cs="Trebuchet MS" w:hAnsi="Trebuchet MS" w:eastAsia="Trebuchet MS"/>
          <w:b w:val="1"/>
          <w:bCs w:val="1"/>
          <w:spacing w:val="0"/>
          <w:sz w:val="20"/>
          <w:szCs w:val="20"/>
          <w:u w:color="000000"/>
          <w:lang w:val="en-US"/>
        </w:rPr>
      </w:pPr>
    </w:p>
    <w:tbl>
      <w:tblPr>
        <w:tblW w:w="8856" w:type="dxa"/>
        <w:jc w:val="center"/>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fff"/>
        <w:tblLayout w:type="fixed"/>
      </w:tblPr>
      <w:tblGrid>
        <w:gridCol w:w="4788"/>
        <w:gridCol w:w="423"/>
        <w:gridCol w:w="1557"/>
        <w:gridCol w:w="285"/>
        <w:gridCol w:w="1803"/>
      </w:tblGrid>
      <w:tr>
        <w:tblPrEx>
          <w:shd w:val="clear" w:color="auto" w:fill="cadfff"/>
        </w:tblPrEx>
        <w:trPr>
          <w:trHeight w:val="464"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Body"/>
              <w:ind w:right="34"/>
            </w:pPr>
            <w:r>
              <w:rPr>
                <w:rFonts w:ascii="Arial" w:hAnsi="Arial"/>
                <w:b w:val="1"/>
                <w:bCs w:val="1"/>
                <w:sz w:val="22"/>
                <w:szCs w:val="22"/>
                <w:rtl w:val="0"/>
                <w:lang w:val="en-US"/>
                <w14:textOutline w14:w="12700" w14:cap="flat">
                  <w14:noFill/>
                  <w14:miter w14:lim="400000"/>
                </w14:textOutline>
              </w:rPr>
              <w:t>For completion by the student</w:t>
            </w:r>
            <w:r>
              <w:rPr>
                <w:rFonts w:ascii="Arial" w:hAnsi="Arial"/>
                <w:sz w:val="22"/>
                <w:szCs w:val="22"/>
                <w:rtl w:val="0"/>
                <w:lang w:val="en-US"/>
                <w14:textOutline w14:w="12700" w14:cap="flat">
                  <w14:noFill/>
                  <w14:miter w14:lim="400000"/>
                </w14:textOutline>
              </w:rPr>
              <w:t>:</w:t>
            </w:r>
          </w:p>
        </w:tc>
      </w:tr>
      <w:tr>
        <w:tblPrEx>
          <w:shd w:val="clear" w:color="auto" w:fill="cadfff"/>
        </w:tblPrEx>
        <w:trPr>
          <w:trHeight w:val="73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Body"/>
              <w:ind w:right="34"/>
              <w:rPr>
                <w:rFonts w:ascii="Arial" w:cs="Arial" w:hAnsi="Arial" w:eastAsia="Arial"/>
                <w:sz w:val="22"/>
                <w:szCs w:val="22"/>
                <w14:textOutline w14:w="12700" w14:cap="flat">
                  <w14:noFill/>
                  <w14:miter w14:lim="400000"/>
                </w14:textOutline>
              </w:rPr>
            </w:pPr>
            <w:r>
              <w:rPr>
                <w:rFonts w:ascii="Arial" w:hAnsi="Arial"/>
                <w:sz w:val="22"/>
                <w:szCs w:val="22"/>
                <w:rtl w:val="0"/>
                <w:lang w:val="en-US"/>
                <w14:textOutline w14:w="12700" w14:cap="flat">
                  <w14:noFill/>
                  <w14:miter w14:lim="400000"/>
                </w14:textOutline>
              </w:rPr>
              <w:t>Student Name: Kerry Cross</w:t>
            </w:r>
          </w:p>
          <w:p>
            <w:pPr>
              <w:pStyle w:val="Body"/>
              <w:ind w:right="34"/>
              <w:rPr>
                <w:rFonts w:ascii="Arial" w:cs="Arial" w:hAnsi="Arial" w:eastAsia="Arial"/>
                <w:sz w:val="22"/>
                <w:szCs w:val="22"/>
                <w:lang w:val="en-US"/>
                <w14:textOutline w14:w="12700" w14:cap="flat">
                  <w14:noFill/>
                  <w14:miter w14:lim="400000"/>
                </w14:textOutline>
              </w:rPr>
            </w:pPr>
          </w:p>
          <w:p>
            <w:pPr>
              <w:pStyle w:val="Body"/>
              <w:bidi w:val="0"/>
              <w:ind w:left="0" w:right="34" w:firstLine="0"/>
              <w:jc w:val="left"/>
              <w:rPr>
                <w:rtl w:val="0"/>
              </w:rPr>
            </w:pPr>
            <w:r>
              <w:rPr>
                <w:rFonts w:ascii="Arial" w:hAnsi="Arial"/>
                <w:sz w:val="22"/>
                <w:szCs w:val="22"/>
                <w:rtl w:val="0"/>
                <w:lang w:val="en-US"/>
                <w14:textOutline w14:w="12700" w14:cap="flat">
                  <w14:noFill/>
                  <w14:miter w14:lim="400000"/>
                </w14:textOutline>
              </w:rPr>
              <w:t xml:space="preserve">Student </w:t>
            </w:r>
            <w:r>
              <w:rPr>
                <w:rFonts w:ascii="Arial" w:hAnsi="Arial"/>
                <w:b w:val="1"/>
                <w:bCs w:val="1"/>
                <w:sz w:val="22"/>
                <w:szCs w:val="22"/>
                <w:u w:val="single"/>
                <w:rtl w:val="0"/>
                <w:lang w:val="en-US"/>
                <w14:textOutline w14:w="12700" w14:cap="flat">
                  <w14:noFill/>
                  <w14:miter w14:lim="400000"/>
                </w14:textOutline>
              </w:rPr>
              <w:t>University</w:t>
            </w:r>
            <w:r>
              <w:rPr>
                <w:rFonts w:ascii="Arial" w:hAnsi="Arial"/>
                <w:sz w:val="22"/>
                <w:szCs w:val="22"/>
                <w:u w:val="single"/>
                <w:rtl w:val="0"/>
                <w:lang w:val="en-US"/>
                <w14:textOutline w14:w="12700" w14:cap="flat">
                  <w14:noFill/>
                  <w14:miter w14:lim="400000"/>
                </w14:textOutline>
              </w:rPr>
              <w:t xml:space="preserve"> </w:t>
            </w:r>
            <w:r>
              <w:rPr>
                <w:rFonts w:ascii="Arial" w:hAnsi="Arial"/>
                <w:sz w:val="22"/>
                <w:szCs w:val="22"/>
                <w:rtl w:val="0"/>
                <w:lang w:val="en-US"/>
                <w14:textOutline w14:w="12700" w14:cap="flat">
                  <w14:noFill/>
                  <w14:miter w14:lim="400000"/>
                </w14:textOutline>
              </w:rPr>
              <w:t xml:space="preserve">Email: </w:t>
            </w:r>
            <w:r>
              <w:rPr>
                <w:rStyle w:val="Hyperlink.0"/>
              </w:rPr>
              <w:fldChar w:fldCharType="begin" w:fldLock="0"/>
            </w:r>
            <w:r>
              <w:rPr>
                <w:rStyle w:val="Hyperlink.0"/>
              </w:rPr>
              <w:instrText xml:space="preserve"> HYPERLINK "mailto:1911472@student.uwtsd.ac.uk"</w:instrText>
            </w:r>
            <w:r>
              <w:rPr>
                <w:rStyle w:val="Hyperlink.0"/>
              </w:rPr>
              <w:fldChar w:fldCharType="separate" w:fldLock="0"/>
            </w:r>
            <w:r>
              <w:rPr>
                <w:rStyle w:val="Hyperlink.0"/>
                <w:rtl w:val="0"/>
                <w:lang w:val="en-US"/>
              </w:rPr>
              <w:t>1911472@student.uwtsd.ac.uk</w:t>
            </w:r>
            <w:r>
              <w:rPr/>
              <w:fldChar w:fldCharType="end" w:fldLock="0"/>
            </w:r>
          </w:p>
        </w:tc>
      </w:tr>
      <w:tr>
        <w:tblPrEx>
          <w:shd w:val="clear" w:color="auto" w:fill="cadfff"/>
        </w:tblPrEx>
        <w:trPr>
          <w:trHeight w:val="1453" w:hRule="atLeast"/>
        </w:trPr>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Body"/>
              <w:ind w:right="34"/>
              <w:rPr>
                <w:rStyle w:val="None"/>
                <w:rFonts w:ascii="Arial" w:cs="Arial" w:hAnsi="Arial" w:eastAsia="Arial"/>
                <w:sz w:val="22"/>
                <w:szCs w:val="22"/>
                <w14:textOutline w14:w="12700" w14:cap="flat">
                  <w14:noFill/>
                  <w14:miter w14:lim="400000"/>
                </w14:textOutline>
              </w:rPr>
            </w:pPr>
            <w:r>
              <w:rPr>
                <w:rStyle w:val="None"/>
                <w:rFonts w:ascii="Arial" w:hAnsi="Arial"/>
                <w:sz w:val="22"/>
                <w:szCs w:val="22"/>
                <w:rtl w:val="0"/>
                <w:lang w:val="en-US"/>
                <w14:textOutline w14:w="12700" w14:cap="flat">
                  <w14:noFill/>
                  <w14:miter w14:lim="400000"/>
                </w14:textOutline>
              </w:rPr>
              <w:t>Module code: HPCA700</w:t>
            </w:r>
            <w:r>
              <w:rPr>
                <w:rStyle w:val="None"/>
                <w:rFonts w:ascii="Arial" w:hAnsi="Arial"/>
                <w:sz w:val="22"/>
                <w:szCs w:val="22"/>
                <w:rtl w:val="0"/>
                <w:lang w:val="en-US"/>
                <w14:textOutline w14:w="12700" w14:cap="flat">
                  <w14:noFill/>
                  <w14:miter w14:lim="400000"/>
                </w14:textOutline>
              </w:rPr>
              <w:t>9</w:t>
            </w:r>
          </w:p>
          <w:p>
            <w:pPr>
              <w:pStyle w:val="Body"/>
              <w:ind w:right="34"/>
              <w:rPr>
                <w:rStyle w:val="None"/>
                <w:rFonts w:ascii="Arial" w:cs="Arial" w:hAnsi="Arial" w:eastAsia="Arial"/>
                <w:sz w:val="22"/>
                <w:szCs w:val="22"/>
                <w:lang w:val="en-US"/>
                <w14:textOutline w14:w="12700" w14:cap="flat">
                  <w14:noFill/>
                  <w14:miter w14:lim="400000"/>
                </w14:textOutline>
              </w:rPr>
            </w:pPr>
          </w:p>
          <w:p>
            <w:pPr>
              <w:pStyle w:val="Body"/>
              <w:bidi w:val="0"/>
              <w:ind w:left="0" w:right="34" w:firstLine="0"/>
              <w:jc w:val="left"/>
              <w:rPr>
                <w:rtl w:val="0"/>
              </w:rPr>
            </w:pPr>
            <w:r>
              <w:rPr>
                <w:rStyle w:val="None"/>
                <w:rFonts w:ascii="Arial" w:hAnsi="Arial"/>
                <w:sz w:val="22"/>
                <w:szCs w:val="22"/>
                <w:rtl w:val="0"/>
                <w:lang w:val="en-US"/>
                <w14:textOutline w14:w="12700" w14:cap="flat">
                  <w14:noFill/>
                  <w14:miter w14:lim="400000"/>
                </w14:textOutline>
              </w:rPr>
              <w:t xml:space="preserve">Module title: </w:t>
            </w:r>
            <w:r>
              <w:rPr>
                <w:rStyle w:val="None"/>
                <w:rFonts w:ascii="Arial" w:hAnsi="Arial"/>
                <w:sz w:val="22"/>
                <w:szCs w:val="22"/>
                <w:rtl w:val="0"/>
                <w:lang w:val="en-US"/>
                <w14:textOutline w14:w="12700" w14:cap="flat">
                  <w14:noFill/>
                  <w14:miter w14:lim="400000"/>
                </w14:textOutline>
              </w:rPr>
              <w:t xml:space="preserve">Skyscapes, Cosmology and Archaeology </w:t>
            </w:r>
            <w:r>
              <w:rPr>
                <w:rStyle w:val="None"/>
                <w:rFonts w:ascii="Arial" w:cs="Arial" w:hAnsi="Arial" w:eastAsia="Arial"/>
                <w:sz w:val="22"/>
                <w:szCs w:val="22"/>
                <w14:textOutline w14:w="12700" w14:cap="flat">
                  <w14:noFill/>
                  <w14:miter w14:lim="400000"/>
                </w14:textOutline>
              </w:rPr>
            </w:r>
          </w:p>
        </w:tc>
        <w:tc>
          <w:tcPr>
            <w:tcW w:type="dxa" w:w="226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Body"/>
              <w:ind w:right="34"/>
            </w:pPr>
            <w:r>
              <w:rPr>
                <w:rStyle w:val="None"/>
                <w:rFonts w:ascii="Arial" w:hAnsi="Arial"/>
                <w:sz w:val="22"/>
                <w:szCs w:val="22"/>
                <w:rtl w:val="0"/>
                <w:lang w:val="en-US"/>
                <w14:textOutline w14:w="12700" w14:cap="flat">
                  <w14:noFill/>
                  <w14:miter w14:lim="400000"/>
                </w14:textOutline>
              </w:rPr>
              <w:t>Student ID number: 1911472</w:t>
            </w:r>
          </w:p>
        </w:tc>
        <w:tc>
          <w:tcPr>
            <w:tcW w:type="dxa" w:w="18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Body"/>
              <w:ind w:right="34"/>
              <w:rPr>
                <w:rStyle w:val="None"/>
                <w:rFonts w:ascii="Arial" w:cs="Arial" w:hAnsi="Arial" w:eastAsia="Arial"/>
                <w:sz w:val="22"/>
                <w:szCs w:val="22"/>
                <w14:textOutline w14:w="12700" w14:cap="flat">
                  <w14:noFill/>
                  <w14:miter w14:lim="400000"/>
                </w14:textOutline>
              </w:rPr>
            </w:pPr>
            <w:r>
              <w:rPr>
                <w:rStyle w:val="None"/>
                <w:rFonts w:ascii="Arial" w:hAnsi="Arial"/>
                <w:sz w:val="22"/>
                <w:szCs w:val="22"/>
                <w:rtl w:val="0"/>
                <w:lang w:val="en-US"/>
                <w14:textOutline w14:w="12700" w14:cap="flat">
                  <w14:noFill/>
                  <w14:miter w14:lim="400000"/>
                </w14:textOutline>
              </w:rPr>
              <w:t>Educational support needs:</w:t>
            </w:r>
          </w:p>
          <w:p>
            <w:pPr>
              <w:pStyle w:val="Body"/>
              <w:bidi w:val="0"/>
              <w:ind w:left="0" w:right="34" w:firstLine="0"/>
              <w:jc w:val="left"/>
              <w:rPr>
                <w:rtl w:val="0"/>
              </w:rPr>
            </w:pPr>
            <w:r>
              <w:rPr>
                <w:rStyle w:val="None"/>
                <w:rFonts w:ascii="Arial" w:hAnsi="Arial"/>
                <w:sz w:val="22"/>
                <w:szCs w:val="22"/>
                <w:rtl w:val="0"/>
                <w:lang w:val="en-US"/>
                <w14:textOutline w14:w="12700" w14:cap="flat">
                  <w14:noFill/>
                  <w14:miter w14:lim="400000"/>
                </w14:textOutline>
              </w:rPr>
              <w:t>No</w:t>
            </w:r>
          </w:p>
        </w:tc>
      </w:tr>
      <w:tr>
        <w:tblPrEx>
          <w:shd w:val="clear" w:color="auto" w:fill="cadfff"/>
        </w:tblPrEx>
        <w:trPr>
          <w:trHeight w:val="989"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Body"/>
              <w:ind w:right="34"/>
              <w:rPr>
                <w:rStyle w:val="None"/>
                <w:rFonts w:ascii="Arial" w:cs="Arial" w:hAnsi="Arial" w:eastAsia="Arial"/>
                <w:sz w:val="22"/>
                <w:szCs w:val="22"/>
                <w14:textOutline w14:w="12700" w14:cap="flat">
                  <w14:noFill/>
                  <w14:miter w14:lim="400000"/>
                </w14:textOutline>
              </w:rPr>
            </w:pPr>
            <w:r>
              <w:rPr>
                <w:rStyle w:val="None"/>
                <w:rFonts w:ascii="Arial" w:hAnsi="Arial"/>
                <w:sz w:val="22"/>
                <w:szCs w:val="22"/>
                <w:rtl w:val="0"/>
                <w:lang w:val="en-US"/>
                <w14:textOutline w14:w="12700" w14:cap="flat">
                  <w14:noFill/>
                  <w14:miter w14:lim="400000"/>
                </w14:textOutline>
              </w:rPr>
              <w:t>Assignment title: A Critical Comparison of Two JSTOR Papers</w:t>
            </w:r>
          </w:p>
          <w:p>
            <w:pPr>
              <w:pStyle w:val="Body"/>
              <w:ind w:right="34"/>
              <w:rPr>
                <w:rStyle w:val="None"/>
                <w:rFonts w:ascii="Arial" w:cs="Arial" w:hAnsi="Arial" w:eastAsia="Arial"/>
                <w:sz w:val="22"/>
                <w:szCs w:val="22"/>
                <w:lang w:val="en-US"/>
                <w14:textOutline w14:w="12700" w14:cap="flat">
                  <w14:noFill/>
                  <w14:miter w14:lim="400000"/>
                </w14:textOutline>
              </w:rPr>
            </w:pPr>
          </w:p>
          <w:p>
            <w:pPr>
              <w:pStyle w:val="Body"/>
              <w:ind w:right="34"/>
              <w:rPr>
                <w:rStyle w:val="None"/>
                <w:rFonts w:ascii="Arial" w:cs="Arial" w:hAnsi="Arial" w:eastAsia="Arial"/>
                <w:sz w:val="22"/>
                <w:szCs w:val="22"/>
                <w:lang w:val="en-US"/>
                <w14:textOutline w14:w="12700" w14:cap="flat">
                  <w14:noFill/>
                  <w14:miter w14:lim="400000"/>
                </w14:textOutline>
              </w:rPr>
            </w:pPr>
          </w:p>
          <w:p>
            <w:pPr>
              <w:pStyle w:val="Body"/>
              <w:bidi w:val="0"/>
              <w:ind w:left="0" w:right="34" w:firstLine="0"/>
              <w:jc w:val="left"/>
              <w:rPr>
                <w:rtl w:val="0"/>
              </w:rPr>
            </w:pPr>
            <w:r>
              <w:rPr>
                <w:rStyle w:val="None"/>
                <w:rFonts w:ascii="Arial" w:hAnsi="Arial"/>
                <w:sz w:val="22"/>
                <w:szCs w:val="22"/>
                <w:rtl w:val="0"/>
                <w:lang w:val="en-US"/>
                <w14:textOutline w14:w="12700" w14:cap="flat">
                  <w14:noFill/>
                  <w14:miter w14:lim="400000"/>
                </w14:textOutline>
              </w:rPr>
              <w:t>Assignment due date: 30/03/2020</w:t>
            </w:r>
          </w:p>
        </w:tc>
      </w:tr>
      <w:tr>
        <w:tblPrEx>
          <w:shd w:val="clear" w:color="auto" w:fill="cadfff"/>
        </w:tblPrEx>
        <w:trPr>
          <w:trHeight w:val="828"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rtl w:val="0"/>
                <w:lang w:val="en-US"/>
              </w:rPr>
              <w:t>This assignment is for the       1</w:t>
            </w:r>
            <w:r>
              <w:rPr>
                <w:rStyle w:val="None"/>
                <w:rFonts w:ascii="Arial" w:hAnsi="Arial"/>
                <w:vertAlign w:val="superscript"/>
                <w:rtl w:val="0"/>
                <w:lang w:val="en-US"/>
              </w:rPr>
              <w:t xml:space="preserve">st </w:t>
            </w:r>
            <w:r>
              <w:rPr>
                <w:rStyle w:val="None"/>
                <w:rFonts w:ascii="Arial" w:hAnsi="Arial"/>
                <w:rtl w:val="0"/>
                <w:lang w:val="en-US"/>
              </w:rPr>
              <w:t xml:space="preserve">   </w:t>
            </w:r>
            <w:r>
              <w:rPr>
                <w:rStyle w:val="None"/>
                <w:rFonts w:ascii="Arial" w:hAnsi="Arial"/>
                <w:b w:val="1"/>
                <w:bCs w:val="1"/>
                <w:rtl w:val="0"/>
                <w:lang w:val="en-US"/>
              </w:rPr>
              <w:t xml:space="preserve">   </w:t>
            </w:r>
            <w:r>
              <w:rPr>
                <w:rStyle w:val="None"/>
                <w:rFonts w:ascii="Arial" w:hAnsi="Arial"/>
                <w:rtl w:val="0"/>
                <w:lang w:val="en-US"/>
              </w:rPr>
              <w:t>module of the degree</w:t>
            </w:r>
          </w:p>
        </w:tc>
      </w:tr>
      <w:tr>
        <w:tblPrEx>
          <w:shd w:val="clear" w:color="auto" w:fill="cadfff"/>
        </w:tblPrEx>
        <w:trPr>
          <w:trHeight w:val="2100"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114"/>
            </w:tcMar>
            <w:vAlign w:val="top"/>
          </w:tcPr>
          <w:p>
            <w:pPr>
              <w:pStyle w:val="Body"/>
              <w:ind w:right="34"/>
              <w:rPr>
                <w:rStyle w:val="None"/>
                <w:rFonts w:ascii="Arial" w:cs="Arial" w:hAnsi="Arial" w:eastAsia="Arial"/>
                <w:sz w:val="22"/>
                <w:szCs w:val="22"/>
                <w14:textOutline w14:w="12700" w14:cap="flat">
                  <w14:noFill/>
                  <w14:miter w14:lim="400000"/>
                </w14:textOutline>
              </w:rPr>
            </w:pPr>
            <w:r>
              <w:rPr>
                <w:rStyle w:val="None"/>
                <w:rFonts w:ascii="Arial" w:hAnsi="Arial"/>
                <w:sz w:val="22"/>
                <w:szCs w:val="22"/>
                <w:rtl w:val="0"/>
                <w:lang w:val="en-US"/>
                <w14:textOutline w14:w="12700" w14:cap="flat">
                  <w14:noFill/>
                  <w14:miter w14:lim="400000"/>
                </w14:textOutline>
              </w:rPr>
              <w:t>I confirm that this is my original work and that I have adhered to the University policy on plagiarism.</w:t>
            </w:r>
          </w:p>
          <w:p>
            <w:pPr>
              <w:pStyle w:val="Body"/>
              <w:bidi w:val="0"/>
              <w:ind w:left="0" w:right="34" w:firstLine="0"/>
              <w:jc w:val="left"/>
              <w:rPr>
                <w:rStyle w:val="None"/>
                <w:rFonts w:ascii="Arial" w:cs="Arial" w:hAnsi="Arial" w:eastAsia="Arial"/>
                <w:sz w:val="22"/>
                <w:szCs w:val="22"/>
                <w:rtl w:val="0"/>
                <w14:textOutline w14:w="12700" w14:cap="flat">
                  <w14:noFill/>
                  <w14:miter w14:lim="400000"/>
                </w14:textOutline>
              </w:rPr>
            </w:pPr>
            <w:r>
              <w:rPr>
                <w:rStyle w:val="None"/>
                <w:rFonts w:ascii="Arial" w:hAnsi="Arial"/>
                <w:sz w:val="22"/>
                <w:szCs w:val="22"/>
                <w:rtl w:val="0"/>
                <w:lang w:val="en-US"/>
                <w14:textOutline w14:w="12700" w14:cap="flat">
                  <w14:noFill/>
                  <w14:miter w14:lim="400000"/>
                </w14:textOutline>
              </w:rPr>
              <w:t>Signed KERRY CROSS</w:t>
            </w:r>
          </w:p>
          <w:p>
            <w:pPr>
              <w:pStyle w:val="Body"/>
              <w:bidi w:val="0"/>
              <w:ind w:left="0" w:right="34" w:firstLine="0"/>
              <w:jc w:val="left"/>
              <w:rPr>
                <w:rStyle w:val="None"/>
                <w:rFonts w:ascii="Calibri" w:cs="Calibri" w:hAnsi="Calibri" w:eastAsia="Calibri"/>
                <w:b w:val="1"/>
                <w:bCs w:val="1"/>
                <w:sz w:val="44"/>
                <w:szCs w:val="44"/>
                <w:rtl w:val="0"/>
                <w14:textOutline w14:w="12700" w14:cap="flat">
                  <w14:noFill/>
                  <w14:miter w14:lim="400000"/>
                </w14:textOutline>
              </w:rPr>
            </w:pPr>
            <w:r>
              <w:rPr>
                <w:rStyle w:val="None"/>
                <w:rFonts w:ascii="Calibri" w:cs="Calibri" w:hAnsi="Calibri" w:eastAsia="Calibri"/>
                <w:b w:val="1"/>
                <w:bCs w:val="1"/>
                <w:sz w:val="24"/>
                <w:szCs w:val="24"/>
                <w:rtl w:val="0"/>
                <w:lang w:val="en-US"/>
                <w14:textOutline w14:w="12700" w14:cap="flat">
                  <w14:noFill/>
                  <w14:miter w14:lim="400000"/>
                </w14:textOutline>
              </w:rPr>
              <w:t xml:space="preserve">Email submission:if you are submitting this form via email, please tick this box </w:t>
            </w:r>
            <w:r>
              <w:rPr>
                <w:rStyle w:val="None"/>
                <w:rFonts w:ascii="Calibri" w:cs="Calibri" w:hAnsi="Calibri" w:eastAsia="Calibri"/>
                <w:b w:val="1"/>
                <w:bCs w:val="1"/>
                <w:sz w:val="44"/>
                <w:szCs w:val="44"/>
                <w:rtl w:val="0"/>
                <w:lang w:val="en-US"/>
                <w14:textOutline w14:w="12700" w14:cap="flat">
                  <w14:noFill/>
                  <w14:miter w14:lim="400000"/>
                </w14:textOutline>
              </w:rPr>
              <w:t>□</w:t>
            </w:r>
          </w:p>
          <w:p>
            <w:pPr>
              <w:pStyle w:val="Body"/>
              <w:bidi w:val="0"/>
              <w:ind w:left="0" w:right="34" w:firstLine="0"/>
              <w:jc w:val="left"/>
              <w:rPr>
                <w:rtl w:val="0"/>
              </w:rPr>
            </w:pPr>
            <w:r>
              <w:rPr>
                <w:rStyle w:val="None"/>
                <w:rFonts w:ascii="Calibri" w:cs="Calibri" w:hAnsi="Calibri" w:eastAsia="Calibri"/>
                <w:b w:val="1"/>
                <w:bCs w:val="1"/>
                <w:rtl w:val="0"/>
                <w:lang w:val="en-US"/>
                <w14:textOutline w14:w="12700" w14:cap="flat">
                  <w14:noFill/>
                  <w14:miter w14:lim="400000"/>
                </w14:textOutline>
              </w:rPr>
              <w:t>(as a substitute for your signature) to confirm that you agree to the above declaration.</w:t>
            </w:r>
          </w:p>
        </w:tc>
      </w:tr>
      <w:tr>
        <w:tblPrEx>
          <w:shd w:val="clear" w:color="auto" w:fill="cadfff"/>
        </w:tblPrEx>
        <w:trPr>
          <w:trHeight w:val="623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b w:val="1"/>
                <w:bCs w:val="1"/>
                <w:sz w:val="24"/>
                <w:szCs w:val="24"/>
                <w:lang w:val="en-US"/>
              </w:rPr>
            </w:pPr>
          </w:p>
          <w:p>
            <w:pPr>
              <w:pStyle w:val="Body A"/>
              <w:bidi w:val="0"/>
              <w:ind w:left="0" w:right="0" w:firstLine="0"/>
              <w:jc w:val="left"/>
              <w:rPr>
                <w:rStyle w:val="None"/>
                <w:rFonts w:ascii="Arial" w:cs="Arial" w:hAnsi="Arial" w:eastAsia="Arial"/>
                <w:sz w:val="24"/>
                <w:szCs w:val="24"/>
                <w:rtl w:val="0"/>
              </w:rPr>
            </w:pPr>
            <w:r>
              <w:rPr>
                <w:rStyle w:val="None"/>
                <w:rFonts w:ascii="Arial" w:hAnsi="Arial"/>
                <w:b w:val="1"/>
                <w:bCs w:val="1"/>
                <w:sz w:val="24"/>
                <w:szCs w:val="24"/>
                <w:rtl w:val="0"/>
                <w:lang w:val="en-US"/>
              </w:rPr>
              <w:t>Assignment Mark</w:t>
            </w:r>
          </w:p>
          <w:p>
            <w:pPr>
              <w:pStyle w:val="Body A"/>
              <w:rPr>
                <w:rStyle w:val="None"/>
                <w:rFonts w:ascii="Arial" w:cs="Arial" w:hAnsi="Arial" w:eastAsia="Arial"/>
                <w:sz w:val="20"/>
                <w:szCs w:val="20"/>
                <w:lang w:val="en-US"/>
              </w:rPr>
            </w:pPr>
          </w:p>
          <w:p>
            <w:pPr>
              <w:pStyle w:val="Body A"/>
              <w:bidi w:val="0"/>
              <w:ind w:left="0" w:right="0" w:firstLine="0"/>
              <w:jc w:val="left"/>
              <w:rPr>
                <w:rStyle w:val="None"/>
                <w:rFonts w:ascii="Arial" w:cs="Arial" w:hAnsi="Arial" w:eastAsia="Arial"/>
                <w:sz w:val="20"/>
                <w:szCs w:val="20"/>
                <w:rtl w:val="0"/>
              </w:rPr>
            </w:pPr>
            <w:r>
              <w:rPr>
                <w:rStyle w:val="None"/>
                <w:rFonts w:ascii="Arial" w:hAnsi="Arial"/>
                <w:sz w:val="20"/>
                <w:szCs w:val="20"/>
                <w:rtl w:val="0"/>
                <w:lang w:val="en-US"/>
              </w:rPr>
              <w:t>1</w:t>
            </w:r>
            <w:r>
              <w:rPr>
                <w:rStyle w:val="None"/>
                <w:rFonts w:ascii="Arial" w:hAnsi="Arial"/>
                <w:sz w:val="20"/>
                <w:szCs w:val="20"/>
                <w:vertAlign w:val="superscript"/>
                <w:rtl w:val="0"/>
                <w:lang w:val="en-US"/>
              </w:rPr>
              <w:t>st</w:t>
            </w:r>
            <w:r>
              <w:rPr>
                <w:rStyle w:val="None"/>
                <w:rFonts w:ascii="Arial" w:hAnsi="Arial"/>
                <w:sz w:val="20"/>
                <w:szCs w:val="20"/>
                <w:rtl w:val="0"/>
                <w:lang w:val="en-US"/>
              </w:rPr>
              <w:t xml:space="preserve"> Marker</w:t>
            </w:r>
            <w:r>
              <w:rPr>
                <w:rStyle w:val="None"/>
                <w:rFonts w:ascii="Arial" w:hAnsi="Arial" w:hint="default"/>
                <w:sz w:val="20"/>
                <w:szCs w:val="20"/>
                <w:rtl w:val="0"/>
                <w:lang w:val="en-US"/>
              </w:rPr>
              <w:t>’</w:t>
            </w:r>
            <w:r>
              <w:rPr>
                <w:rStyle w:val="None"/>
                <w:rFonts w:ascii="Arial" w:hAnsi="Arial"/>
                <w:sz w:val="20"/>
                <w:szCs w:val="20"/>
                <w:rtl w:val="0"/>
                <w:lang w:val="en-US"/>
              </w:rPr>
              <w:t>s Provisional mark</w:t>
              <w:tab/>
            </w:r>
          </w:p>
          <w:p>
            <w:pPr>
              <w:pStyle w:val="Body A"/>
              <w:rPr>
                <w:rStyle w:val="None"/>
                <w:rFonts w:ascii="Arial" w:cs="Arial" w:hAnsi="Arial" w:eastAsia="Arial"/>
                <w:sz w:val="20"/>
                <w:szCs w:val="20"/>
                <w:lang w:val="en-US"/>
              </w:rPr>
            </w:pPr>
          </w:p>
          <w:p>
            <w:pPr>
              <w:pStyle w:val="Body A"/>
              <w:bidi w:val="0"/>
              <w:ind w:left="0" w:right="0" w:firstLine="0"/>
              <w:jc w:val="left"/>
              <w:rPr>
                <w:rStyle w:val="None"/>
                <w:rFonts w:ascii="Arial" w:cs="Arial" w:hAnsi="Arial" w:eastAsia="Arial"/>
                <w:sz w:val="20"/>
                <w:szCs w:val="20"/>
                <w:rtl w:val="0"/>
              </w:rPr>
            </w:pPr>
            <w:r>
              <w:rPr>
                <w:rStyle w:val="None"/>
                <w:rFonts w:ascii="Arial" w:hAnsi="Arial"/>
                <w:sz w:val="20"/>
                <w:szCs w:val="20"/>
                <w:rtl w:val="0"/>
                <w:lang w:val="en-US"/>
              </w:rPr>
              <w:t>2</w:t>
            </w:r>
            <w:r>
              <w:rPr>
                <w:rStyle w:val="None"/>
                <w:rFonts w:ascii="Arial" w:hAnsi="Arial"/>
                <w:sz w:val="20"/>
                <w:szCs w:val="20"/>
                <w:vertAlign w:val="superscript"/>
                <w:rtl w:val="0"/>
                <w:lang w:val="en-US"/>
              </w:rPr>
              <w:t>nd</w:t>
            </w:r>
            <w:r>
              <w:rPr>
                <w:rStyle w:val="None"/>
                <w:rFonts w:ascii="Arial" w:hAnsi="Arial"/>
                <w:sz w:val="20"/>
                <w:szCs w:val="20"/>
                <w:rtl w:val="0"/>
                <w:lang w:val="en-US"/>
              </w:rPr>
              <w:t xml:space="preserve"> Marker</w:t>
            </w:r>
            <w:r>
              <w:rPr>
                <w:rStyle w:val="None"/>
                <w:rFonts w:ascii="Arial" w:hAnsi="Arial" w:hint="default"/>
                <w:sz w:val="20"/>
                <w:szCs w:val="20"/>
                <w:rtl w:val="0"/>
                <w:lang w:val="en-US"/>
              </w:rPr>
              <w:t>’</w:t>
            </w:r>
            <w:r>
              <w:rPr>
                <w:rStyle w:val="None"/>
                <w:rFonts w:ascii="Arial" w:hAnsi="Arial"/>
                <w:sz w:val="20"/>
                <w:szCs w:val="20"/>
                <w:rtl w:val="0"/>
                <w:lang w:val="en-US"/>
              </w:rPr>
              <w:t>s/Moderator</w:t>
            </w:r>
            <w:r>
              <w:rPr>
                <w:rStyle w:val="None"/>
                <w:rFonts w:ascii="Arial" w:hAnsi="Arial" w:hint="default"/>
                <w:sz w:val="20"/>
                <w:szCs w:val="20"/>
                <w:rtl w:val="0"/>
                <w:lang w:val="en-US"/>
              </w:rPr>
              <w:t>’</w:t>
            </w:r>
            <w:r>
              <w:rPr>
                <w:rStyle w:val="None"/>
                <w:rFonts w:ascii="Arial" w:hAnsi="Arial"/>
                <w:sz w:val="20"/>
                <w:szCs w:val="20"/>
                <w:rtl w:val="0"/>
                <w:lang w:val="en-US"/>
              </w:rPr>
              <w:t>s provisional mark</w:t>
              <w:tab/>
            </w:r>
          </w:p>
          <w:p>
            <w:pPr>
              <w:pStyle w:val="Body A"/>
              <w:rPr>
                <w:rStyle w:val="None"/>
                <w:rFonts w:ascii="Arial" w:cs="Arial" w:hAnsi="Arial" w:eastAsia="Arial"/>
                <w:sz w:val="20"/>
                <w:szCs w:val="20"/>
                <w:lang w:val="en-US"/>
              </w:rPr>
            </w:pPr>
          </w:p>
          <w:p>
            <w:pPr>
              <w:pStyle w:val="Body A"/>
              <w:bidi w:val="0"/>
              <w:ind w:left="0" w:right="0" w:firstLine="0"/>
              <w:jc w:val="left"/>
              <w:rPr>
                <w:rStyle w:val="None"/>
                <w:rFonts w:ascii="Arial" w:cs="Arial" w:hAnsi="Arial" w:eastAsia="Arial"/>
                <w:sz w:val="20"/>
                <w:szCs w:val="20"/>
                <w:rtl w:val="0"/>
              </w:rPr>
            </w:pPr>
            <w:r>
              <w:rPr>
                <w:rStyle w:val="None"/>
                <w:rFonts w:ascii="Arial" w:hAnsi="Arial"/>
                <w:sz w:val="20"/>
                <w:szCs w:val="20"/>
                <w:rtl w:val="0"/>
                <w:lang w:val="en-US"/>
              </w:rPr>
              <w:t>External Examiner</w:t>
            </w:r>
            <w:r>
              <w:rPr>
                <w:rStyle w:val="None"/>
                <w:rFonts w:ascii="Arial" w:hAnsi="Arial" w:hint="default"/>
                <w:sz w:val="20"/>
                <w:szCs w:val="20"/>
                <w:rtl w:val="0"/>
                <w:lang w:val="en-US"/>
              </w:rPr>
              <w:t>’</w:t>
            </w:r>
            <w:r>
              <w:rPr>
                <w:rStyle w:val="None"/>
                <w:rFonts w:ascii="Arial" w:hAnsi="Arial"/>
                <w:sz w:val="20"/>
                <w:szCs w:val="20"/>
                <w:rtl w:val="0"/>
                <w:lang w:val="en-US"/>
              </w:rPr>
              <w:t>s mark (if relevant)</w:t>
              <w:tab/>
            </w:r>
          </w:p>
          <w:p>
            <w:pPr>
              <w:pStyle w:val="Body A"/>
              <w:rPr>
                <w:rStyle w:val="None"/>
                <w:rFonts w:ascii="Arial" w:cs="Arial" w:hAnsi="Arial" w:eastAsia="Arial"/>
                <w:sz w:val="20"/>
                <w:szCs w:val="20"/>
                <w:lang w:val="en-US"/>
              </w:rPr>
            </w:pPr>
          </w:p>
          <w:p>
            <w:pPr>
              <w:pStyle w:val="Body A"/>
              <w:bidi w:val="0"/>
              <w:ind w:left="0" w:right="0" w:firstLine="0"/>
              <w:jc w:val="left"/>
              <w:rPr>
                <w:rStyle w:val="None"/>
                <w:rFonts w:ascii="Arial" w:cs="Arial" w:hAnsi="Arial" w:eastAsia="Arial"/>
                <w:b w:val="1"/>
                <w:bCs w:val="1"/>
                <w:sz w:val="20"/>
                <w:szCs w:val="20"/>
                <w:rtl w:val="0"/>
              </w:rPr>
            </w:pPr>
            <w:r>
              <w:rPr>
                <w:rStyle w:val="None"/>
                <w:rFonts w:ascii="Arial" w:hAnsi="Arial"/>
                <w:b w:val="1"/>
                <w:bCs w:val="1"/>
                <w:sz w:val="20"/>
                <w:szCs w:val="20"/>
                <w:rtl w:val="0"/>
                <w:lang w:val="en-US"/>
              </w:rPr>
              <w:t>Final Mark</w:t>
            </w:r>
          </w:p>
          <w:p>
            <w:pPr>
              <w:pStyle w:val="Body A"/>
              <w:bidi w:val="0"/>
              <w:ind w:left="0" w:right="0" w:firstLine="0"/>
              <w:jc w:val="left"/>
              <w:rPr>
                <w:rStyle w:val="None"/>
                <w:rFonts w:ascii="Arial" w:cs="Arial" w:hAnsi="Arial" w:eastAsia="Arial"/>
                <w:b w:val="1"/>
                <w:bCs w:val="1"/>
                <w:sz w:val="20"/>
                <w:szCs w:val="20"/>
                <w:rtl w:val="0"/>
              </w:rPr>
            </w:pPr>
            <w:r>
              <w:rPr>
                <w:rStyle w:val="None"/>
                <w:rFonts w:ascii="Arial" w:cs="Arial" w:hAnsi="Arial" w:eastAsia="Arial"/>
                <w:b w:val="1"/>
                <w:bCs w:val="1"/>
                <w:sz w:val="20"/>
                <w:szCs w:val="20"/>
              </w:rPr>
              <w:tab/>
            </w:r>
          </w:p>
          <w:p>
            <w:pPr>
              <w:pStyle w:val="Body"/>
              <w:ind w:left="142" w:right="34" w:firstLine="0"/>
              <w:rPr>
                <w:rStyle w:val="None"/>
                <w:rFonts w:ascii="Arial" w:cs="Arial" w:hAnsi="Arial" w:eastAsia="Arial"/>
                <w:b w:val="1"/>
                <w:bCs w:val="1"/>
                <w:sz w:val="22"/>
                <w:szCs w:val="22"/>
                <w:lang w:val="en-US"/>
                <w14:textOutline w14:w="12700" w14:cap="flat">
                  <w14:noFill/>
                  <w14:miter w14:lim="400000"/>
                </w14:textOutline>
              </w:rPr>
            </w:pPr>
          </w:p>
          <w:p>
            <w:pPr>
              <w:pStyle w:val="Body"/>
              <w:bidi w:val="0"/>
              <w:ind w:left="142" w:right="34" w:firstLine="0"/>
              <w:jc w:val="left"/>
              <w:rPr>
                <w:rStyle w:val="None"/>
                <w:rFonts w:ascii="Arial" w:cs="Arial" w:hAnsi="Arial" w:eastAsia="Arial"/>
                <w:sz w:val="22"/>
                <w:szCs w:val="22"/>
                <w:rtl w:val="0"/>
                <w14:textOutline w14:w="12700" w14:cap="flat">
                  <w14:noFill/>
                  <w14:miter w14:lim="400000"/>
                </w14:textOutline>
              </w:rPr>
            </w:pPr>
            <w:r>
              <w:rPr>
                <w:rStyle w:val="None"/>
                <w:rFonts w:ascii="Arial" w:hAnsi="Arial"/>
                <w:b w:val="1"/>
                <w:bCs w:val="1"/>
                <w:sz w:val="22"/>
                <w:szCs w:val="22"/>
                <w:rtl w:val="0"/>
                <w:lang w:val="en-US"/>
                <w14:textOutline w14:w="12700" w14:cap="flat">
                  <w14:noFill/>
                  <w14:miter w14:lim="400000"/>
                </w14:textOutline>
              </w:rPr>
              <w:t>NB.</w:t>
            </w:r>
            <w:r>
              <w:rPr>
                <w:rStyle w:val="None"/>
                <w:rFonts w:ascii="Arial" w:hAnsi="Arial"/>
                <w:sz w:val="22"/>
                <w:szCs w:val="22"/>
                <w:rtl w:val="0"/>
                <w:lang w:val="en-US"/>
                <w14:textOutline w14:w="12700" w14:cap="flat">
                  <w14:noFill/>
                  <w14:miter w14:lim="400000"/>
                </w14:textOutline>
              </w:rPr>
              <w:t xml:space="preserve">  All marks are provisional until confirmed by the Final Examination Board.</w:t>
            </w:r>
          </w:p>
          <w:p>
            <w:pPr>
              <w:pStyle w:val="Body"/>
              <w:rPr>
                <w:rStyle w:val="None"/>
                <w:rFonts w:ascii="Arial" w:cs="Arial" w:hAnsi="Arial" w:eastAsia="Arial"/>
                <w:b w:val="1"/>
                <w:bCs w:val="1"/>
                <w:sz w:val="22"/>
                <w:szCs w:val="22"/>
                <w:lang w:val="en-US"/>
                <w14:textOutline w14:w="12700" w14:cap="flat">
                  <w14:noFill/>
                  <w14:miter w14:lim="400000"/>
                </w14:textOutline>
              </w:rPr>
            </w:pPr>
          </w:p>
          <w:p>
            <w:pPr>
              <w:pStyle w:val="Body"/>
              <w:bidi w:val="0"/>
              <w:ind w:left="0" w:right="0" w:firstLine="0"/>
              <w:jc w:val="left"/>
              <w:rPr>
                <w:rStyle w:val="None"/>
                <w:rFonts w:ascii="Arial" w:cs="Arial" w:hAnsi="Arial" w:eastAsia="Arial"/>
                <w:b w:val="1"/>
                <w:bCs w:val="1"/>
                <w:sz w:val="22"/>
                <w:szCs w:val="22"/>
                <w:rtl w:val="0"/>
                <w14:textOutline w14:w="12700" w14:cap="flat">
                  <w14:noFill/>
                  <w14:miter w14:lim="400000"/>
                </w14:textOutline>
              </w:rPr>
            </w:pPr>
            <w:r>
              <w:rPr>
                <w:rStyle w:val="None"/>
                <w:rFonts w:ascii="Arial" w:hAnsi="Arial"/>
                <w:b w:val="1"/>
                <w:bCs w:val="1"/>
                <w:sz w:val="22"/>
                <w:szCs w:val="22"/>
                <w:rtl w:val="0"/>
                <w:lang w:val="en-US"/>
                <w14:textOutline w14:w="12700" w14:cap="flat">
                  <w14:noFill/>
                  <w14:miter w14:lim="400000"/>
                </w14:textOutline>
              </w:rPr>
              <w:t>For completion by Marker 1 :</w:t>
            </w:r>
          </w:p>
          <w:p>
            <w:pPr>
              <w:pStyle w:val="Body"/>
              <w:bidi w:val="0"/>
              <w:spacing w:before="100" w:after="100"/>
              <w:ind w:left="0" w:right="0" w:firstLine="0"/>
              <w:jc w:val="left"/>
              <w:rPr>
                <w:rStyle w:val="None"/>
                <w:rFonts w:ascii="Arial" w:cs="Arial" w:hAnsi="Arial" w:eastAsia="Arial"/>
                <w:sz w:val="22"/>
                <w:szCs w:val="22"/>
                <w:rtl w:val="0"/>
                <w14:textOutline w14:w="12700" w14:cap="flat">
                  <w14:noFill/>
                  <w14:miter w14:lim="400000"/>
                </w14:textOutline>
              </w:rPr>
            </w:pPr>
            <w:r>
              <w:rPr>
                <w:rStyle w:val="None"/>
                <w:rFonts w:ascii="Arial" w:hAnsi="Arial"/>
                <w:sz w:val="22"/>
                <w:szCs w:val="22"/>
                <w:rtl w:val="0"/>
                <w:lang w:val="en-US"/>
                <w14:textOutline w14:w="12700" w14:cap="flat">
                  <w14:noFill/>
                  <w14:miter w14:lim="400000"/>
                </w14:textOutline>
              </w:rPr>
              <w:t>Comments:</w:t>
            </w:r>
          </w:p>
          <w:p>
            <w:pPr>
              <w:pStyle w:val="Body"/>
              <w:spacing w:before="100" w:after="100"/>
              <w:rPr>
                <w:rStyle w:val="None"/>
                <w:rFonts w:ascii="Arial" w:cs="Arial" w:hAnsi="Arial" w:eastAsia="Arial"/>
                <w:sz w:val="22"/>
                <w:szCs w:val="22"/>
                <w:lang w:val="en-US"/>
                <w14:textOutline w14:w="12700" w14:cap="flat">
                  <w14:noFill/>
                  <w14:miter w14:lim="400000"/>
                </w14:textOutline>
              </w:rPr>
            </w:pPr>
          </w:p>
          <w:p>
            <w:pPr>
              <w:pStyle w:val="Body"/>
              <w:spacing w:before="100" w:after="100"/>
              <w:rPr>
                <w:rStyle w:val="None"/>
                <w:rFonts w:ascii="Arial" w:cs="Arial" w:hAnsi="Arial" w:eastAsia="Arial"/>
                <w:sz w:val="22"/>
                <w:szCs w:val="22"/>
                <w:lang w:val="en-US"/>
                <w14:textOutline w14:w="12700" w14:cap="flat">
                  <w14:noFill/>
                  <w14:miter w14:lim="400000"/>
                </w14:textOutline>
              </w:rPr>
            </w:pPr>
          </w:p>
          <w:p>
            <w:pPr>
              <w:pStyle w:val="Body"/>
              <w:spacing w:before="100" w:after="100"/>
              <w:rPr>
                <w:rStyle w:val="None"/>
                <w:rFonts w:ascii="Arial" w:cs="Arial" w:hAnsi="Arial" w:eastAsia="Arial"/>
                <w:sz w:val="22"/>
                <w:szCs w:val="22"/>
                <w:lang w:val="en-US"/>
                <w14:textOutline w14:w="12700" w14:cap="flat">
                  <w14:noFill/>
                  <w14:miter w14:lim="400000"/>
                </w14:textOutline>
              </w:rPr>
            </w:pPr>
          </w:p>
          <w:p>
            <w:pPr>
              <w:pStyle w:val="Body"/>
              <w:spacing w:before="100" w:after="100"/>
              <w:rPr>
                <w:rStyle w:val="None"/>
                <w:rFonts w:ascii="Arial" w:cs="Arial" w:hAnsi="Arial" w:eastAsia="Arial"/>
                <w:sz w:val="22"/>
                <w:szCs w:val="22"/>
                <w:lang w:val="en-US"/>
                <w14:textOutline w14:w="12700" w14:cap="flat">
                  <w14:noFill/>
                  <w14:miter w14:lim="400000"/>
                </w14:textOutline>
              </w:rPr>
            </w:pPr>
          </w:p>
          <w:p>
            <w:pPr>
              <w:pStyle w:val="Body"/>
              <w:spacing w:before="100" w:after="100"/>
            </w:pPr>
            <w:r>
              <w:rPr>
                <w:rStyle w:val="None"/>
                <w:rFonts w:ascii="Arial" w:cs="Arial" w:hAnsi="Arial" w:eastAsia="Arial"/>
                <w:sz w:val="22"/>
                <w:szCs w:val="22"/>
                <w:lang w:val="en-US"/>
                <w14:textOutline w14:w="12700" w14:cap="flat">
                  <w14:noFill/>
                  <w14:miter w14:lim="400000"/>
                </w14:textOutline>
              </w:rPr>
            </w:r>
          </w:p>
        </w:tc>
      </w:tr>
      <w:tr>
        <w:tblPrEx>
          <w:shd w:val="clear" w:color="auto" w:fill="cadfff"/>
        </w:tblPrEx>
        <w:trPr>
          <w:trHeight w:val="342" w:hRule="atLeast"/>
        </w:trPr>
        <w:tc>
          <w:tcPr>
            <w:tcW w:type="dxa" w:w="6768"/>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pStyle w:val="Body"/>
              <w:spacing w:before="100" w:after="100"/>
              <w:ind w:left="142" w:right="34" w:firstLine="0"/>
            </w:pPr>
            <w:r>
              <w:rPr>
                <w:rStyle w:val="None"/>
                <w:rFonts w:ascii="Arial" w:hAnsi="Arial"/>
                <w:sz w:val="22"/>
                <w:szCs w:val="22"/>
                <w:rtl w:val="0"/>
                <w:lang w:val="en-US"/>
                <w14:textOutline w14:w="12700" w14:cap="flat">
                  <w14:noFill/>
                  <w14:miter w14:lim="400000"/>
                </w14:textOutline>
              </w:rPr>
              <w:t>Marker</w:t>
            </w:r>
            <w:r>
              <w:rPr>
                <w:rStyle w:val="None"/>
                <w:rFonts w:ascii="Arial" w:hAnsi="Arial" w:hint="default"/>
                <w:sz w:val="22"/>
                <w:szCs w:val="22"/>
                <w:rtl w:val="0"/>
                <w:lang w:val="en-US"/>
                <w14:textOutline w14:w="12700" w14:cap="flat">
                  <w14:noFill/>
                  <w14:miter w14:lim="400000"/>
                </w14:textOutline>
              </w:rPr>
              <w:t>’</w:t>
            </w:r>
            <w:r>
              <w:rPr>
                <w:rStyle w:val="None"/>
                <w:rFonts w:ascii="Arial" w:hAnsi="Arial"/>
                <w:sz w:val="22"/>
                <w:szCs w:val="22"/>
                <w:rtl w:val="0"/>
                <w:lang w:val="en-US"/>
                <w14:textOutline w14:w="12700" w14:cap="flat">
                  <w14:noFill/>
                  <w14:miter w14:lim="400000"/>
                </w14:textOutline>
              </w:rPr>
              <w:t>s signature:</w:t>
            </w:r>
          </w:p>
        </w:tc>
        <w:tc>
          <w:tcPr>
            <w:tcW w:type="dxa" w:w="208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pStyle w:val="Body"/>
              <w:spacing w:before="100" w:after="100"/>
              <w:ind w:left="142" w:right="34" w:firstLine="0"/>
            </w:pPr>
            <w:r>
              <w:rPr>
                <w:rStyle w:val="None"/>
                <w:rFonts w:ascii="Arial" w:hAnsi="Arial"/>
                <w:sz w:val="22"/>
                <w:szCs w:val="22"/>
                <w:rtl w:val="0"/>
                <w:lang w:val="en-US"/>
                <w14:textOutline w14:w="12700" w14:cap="flat">
                  <w14:noFill/>
                  <w14:miter w14:lim="400000"/>
                </w14:textOutline>
              </w:rPr>
              <w:t>Date:</w:t>
            </w:r>
          </w:p>
        </w:tc>
      </w:tr>
      <w:tr>
        <w:tblPrEx>
          <w:shd w:val="clear" w:color="auto" w:fill="cadfff"/>
        </w:tblPrEx>
        <w:trPr>
          <w:trHeight w:val="385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Style w:val="None"/>
                <w:rFonts w:ascii="Arial" w:cs="Arial" w:hAnsi="Arial" w:eastAsia="Arial"/>
                <w:i w:val="1"/>
                <w:iCs w:val="1"/>
                <w:sz w:val="22"/>
                <w:szCs w:val="22"/>
                <w:lang w:val="en-US"/>
                <w14:textOutline w14:w="12700" w14:cap="flat">
                  <w14:noFill/>
                  <w14:miter w14:lim="400000"/>
                </w14:textOutline>
              </w:rPr>
            </w:pPr>
          </w:p>
          <w:p>
            <w:pPr>
              <w:pStyle w:val="Body"/>
              <w:bidi w:val="0"/>
              <w:ind w:left="0" w:right="0" w:firstLine="0"/>
              <w:jc w:val="left"/>
              <w:rPr>
                <w:rStyle w:val="None"/>
                <w:rFonts w:ascii="Arial" w:cs="Arial" w:hAnsi="Arial" w:eastAsia="Arial"/>
                <w:b w:val="1"/>
                <w:bCs w:val="1"/>
                <w:sz w:val="22"/>
                <w:szCs w:val="22"/>
                <w:rtl w:val="0"/>
                <w14:textOutline w14:w="12700" w14:cap="flat">
                  <w14:noFill/>
                  <w14:miter w14:lim="400000"/>
                </w14:textOutline>
              </w:rPr>
            </w:pPr>
            <w:r>
              <w:rPr>
                <w:rStyle w:val="None"/>
                <w:rFonts w:ascii="Arial" w:hAnsi="Arial"/>
                <w:b w:val="1"/>
                <w:bCs w:val="1"/>
                <w:sz w:val="22"/>
                <w:szCs w:val="22"/>
                <w:rtl w:val="0"/>
                <w:lang w:val="en-US"/>
                <w14:textOutline w14:w="12700" w14:cap="flat">
                  <w14:noFill/>
                  <w14:miter w14:lim="400000"/>
                </w14:textOutline>
              </w:rPr>
              <w:t>For completion by Marker 2/Moderator:</w:t>
            </w:r>
          </w:p>
          <w:p>
            <w:pPr>
              <w:pStyle w:val="Body"/>
              <w:rPr>
                <w:rStyle w:val="None"/>
                <w:rFonts w:ascii="Arial" w:cs="Arial" w:hAnsi="Arial" w:eastAsia="Arial"/>
                <w:b w:val="1"/>
                <w:bCs w:val="1"/>
                <w:sz w:val="22"/>
                <w:szCs w:val="22"/>
                <w:lang w:val="en-US"/>
                <w14:textOutline w14:w="12700" w14:cap="flat">
                  <w14:noFill/>
                  <w14:miter w14:lim="400000"/>
                </w14:textOutline>
              </w:rPr>
            </w:pPr>
          </w:p>
          <w:p>
            <w:pPr>
              <w:pStyle w:val="Body"/>
              <w:bidi w:val="0"/>
              <w:ind w:left="0" w:right="0" w:firstLine="0"/>
              <w:jc w:val="left"/>
              <w:rPr>
                <w:rStyle w:val="None"/>
                <w:rFonts w:ascii="Arial" w:cs="Arial" w:hAnsi="Arial" w:eastAsia="Arial"/>
                <w:sz w:val="22"/>
                <w:szCs w:val="22"/>
                <w:rtl w:val="0"/>
                <w14:textOutline w14:w="12700" w14:cap="flat">
                  <w14:noFill/>
                  <w14:miter w14:lim="400000"/>
                </w14:textOutline>
              </w:rPr>
            </w:pPr>
            <w:r>
              <w:rPr>
                <w:rStyle w:val="None"/>
                <w:rFonts w:ascii="Arial" w:hAnsi="Arial"/>
                <w:sz w:val="22"/>
                <w:szCs w:val="22"/>
                <w:rtl w:val="0"/>
                <w:lang w:val="en-US"/>
                <w14:textOutline w14:w="12700" w14:cap="flat">
                  <w14:noFill/>
                  <w14:miter w14:lim="400000"/>
                </w14:textOutline>
              </w:rPr>
              <w:t>Comments:</w:t>
            </w:r>
          </w:p>
          <w:p>
            <w:pPr>
              <w:pStyle w:val="Body"/>
              <w:rPr>
                <w:rStyle w:val="None"/>
                <w:rFonts w:ascii="Arial" w:cs="Arial" w:hAnsi="Arial" w:eastAsia="Arial"/>
                <w:sz w:val="22"/>
                <w:szCs w:val="22"/>
                <w:lang w:val="en-US"/>
                <w14:textOutline w14:w="12700" w14:cap="flat">
                  <w14:noFill/>
                  <w14:miter w14:lim="400000"/>
                </w14:textOutline>
              </w:rPr>
            </w:pPr>
          </w:p>
          <w:p>
            <w:pPr>
              <w:pStyle w:val="Body"/>
              <w:rPr>
                <w:rStyle w:val="None"/>
                <w:rFonts w:ascii="Arial" w:cs="Arial" w:hAnsi="Arial" w:eastAsia="Arial"/>
                <w:sz w:val="22"/>
                <w:szCs w:val="22"/>
                <w:lang w:val="en-US"/>
                <w14:textOutline w14:w="12700" w14:cap="flat">
                  <w14:noFill/>
                  <w14:miter w14:lim="400000"/>
                </w14:textOutline>
              </w:rPr>
            </w:pPr>
          </w:p>
          <w:p>
            <w:pPr>
              <w:pStyle w:val="Body"/>
              <w:rPr>
                <w:rStyle w:val="None"/>
                <w:rFonts w:ascii="Arial" w:cs="Arial" w:hAnsi="Arial" w:eastAsia="Arial"/>
                <w:sz w:val="22"/>
                <w:szCs w:val="22"/>
                <w:lang w:val="en-US"/>
                <w14:textOutline w14:w="12700" w14:cap="flat">
                  <w14:noFill/>
                  <w14:miter w14:lim="400000"/>
                </w14:textOutline>
              </w:rPr>
            </w:pPr>
          </w:p>
          <w:p>
            <w:pPr>
              <w:pStyle w:val="Body"/>
              <w:rPr>
                <w:rStyle w:val="None"/>
                <w:rFonts w:ascii="Arial" w:cs="Arial" w:hAnsi="Arial" w:eastAsia="Arial"/>
                <w:sz w:val="22"/>
                <w:szCs w:val="22"/>
                <w:lang w:val="en-US"/>
                <w14:textOutline w14:w="12700" w14:cap="flat">
                  <w14:noFill/>
                  <w14:miter w14:lim="400000"/>
                </w14:textOutline>
              </w:rPr>
            </w:pPr>
          </w:p>
          <w:p>
            <w:pPr>
              <w:pStyle w:val="Body"/>
              <w:rPr>
                <w:rStyle w:val="None"/>
                <w:rFonts w:ascii="Arial" w:cs="Arial" w:hAnsi="Arial" w:eastAsia="Arial"/>
                <w:sz w:val="22"/>
                <w:szCs w:val="22"/>
                <w:lang w:val="en-US"/>
                <w14:textOutline w14:w="12700" w14:cap="flat">
                  <w14:noFill/>
                  <w14:miter w14:lim="400000"/>
                </w14:textOutline>
              </w:rPr>
            </w:pPr>
          </w:p>
          <w:p>
            <w:pPr>
              <w:pStyle w:val="Body"/>
              <w:rPr>
                <w:rStyle w:val="None"/>
                <w:rFonts w:ascii="Arial" w:cs="Arial" w:hAnsi="Arial" w:eastAsia="Arial"/>
                <w:sz w:val="22"/>
                <w:szCs w:val="22"/>
                <w:lang w:val="en-US"/>
                <w14:textOutline w14:w="12700" w14:cap="flat">
                  <w14:noFill/>
                  <w14:miter w14:lim="400000"/>
                </w14:textOutline>
              </w:rPr>
            </w:pPr>
          </w:p>
          <w:p>
            <w:pPr>
              <w:pStyle w:val="Body"/>
              <w:rPr>
                <w:rStyle w:val="None"/>
                <w:rFonts w:ascii="Arial" w:cs="Arial" w:hAnsi="Arial" w:eastAsia="Arial"/>
                <w:sz w:val="22"/>
                <w:szCs w:val="22"/>
                <w:lang w:val="en-US"/>
                <w14:textOutline w14:w="12700" w14:cap="flat">
                  <w14:noFill/>
                  <w14:miter w14:lim="400000"/>
                </w14:textOutline>
              </w:rPr>
            </w:pPr>
          </w:p>
          <w:p>
            <w:pPr>
              <w:pStyle w:val="Body"/>
              <w:rPr>
                <w:rStyle w:val="None"/>
                <w:rFonts w:ascii="Arial" w:cs="Arial" w:hAnsi="Arial" w:eastAsia="Arial"/>
                <w:sz w:val="22"/>
                <w:szCs w:val="22"/>
                <w:lang w:val="en-US"/>
                <w14:textOutline w14:w="12700" w14:cap="flat">
                  <w14:noFill/>
                  <w14:miter w14:lim="400000"/>
                </w14:textOutline>
              </w:rPr>
            </w:pPr>
          </w:p>
          <w:p>
            <w:pPr>
              <w:pStyle w:val="Body"/>
              <w:rPr>
                <w:rStyle w:val="None"/>
                <w:rFonts w:ascii="Arial" w:cs="Arial" w:hAnsi="Arial" w:eastAsia="Arial"/>
                <w:sz w:val="22"/>
                <w:szCs w:val="22"/>
                <w:lang w:val="en-US"/>
                <w14:textOutline w14:w="12700" w14:cap="flat">
                  <w14:noFill/>
                  <w14:miter w14:lim="400000"/>
                </w14:textOutline>
              </w:rPr>
            </w:pPr>
          </w:p>
          <w:p>
            <w:pPr>
              <w:pStyle w:val="Body"/>
            </w:pPr>
            <w:r>
              <w:rPr>
                <w:rStyle w:val="None"/>
                <w:rFonts w:ascii="Arial" w:cs="Arial" w:hAnsi="Arial" w:eastAsia="Arial"/>
                <w:sz w:val="22"/>
                <w:szCs w:val="22"/>
                <w:lang w:val="en-US"/>
                <w14:textOutline w14:w="12700" w14:cap="flat">
                  <w14:noFill/>
                  <w14:miter w14:lim="400000"/>
                </w14:textOutline>
              </w:rPr>
            </w:r>
          </w:p>
        </w:tc>
      </w:tr>
      <w:tr>
        <w:tblPrEx>
          <w:shd w:val="clear" w:color="auto" w:fill="cadfff"/>
        </w:tblPrEx>
        <w:trPr>
          <w:trHeight w:val="570"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Fonts w:ascii="Arial" w:hAnsi="Arial"/>
                <w:sz w:val="22"/>
                <w:szCs w:val="22"/>
                <w:rtl w:val="0"/>
                <w:lang w:val="en-US"/>
                <w14:textOutline w14:w="12700" w14:cap="flat">
                  <w14:noFill/>
                  <w14:miter w14:lim="400000"/>
                </w14:textOutline>
              </w:rPr>
              <w:t>Marker</w:t>
            </w:r>
            <w:r>
              <w:rPr>
                <w:rStyle w:val="None"/>
                <w:rFonts w:ascii="Arial" w:hAnsi="Arial" w:hint="default"/>
                <w:sz w:val="22"/>
                <w:szCs w:val="22"/>
                <w:rtl w:val="0"/>
                <w:lang w:val="en-US"/>
                <w14:textOutline w14:w="12700" w14:cap="flat">
                  <w14:noFill/>
                  <w14:miter w14:lim="400000"/>
                </w14:textOutline>
              </w:rPr>
              <w:t>’</w:t>
            </w:r>
            <w:r>
              <w:rPr>
                <w:rStyle w:val="None"/>
                <w:rFonts w:ascii="Arial" w:hAnsi="Arial"/>
                <w:sz w:val="22"/>
                <w:szCs w:val="22"/>
                <w:rtl w:val="0"/>
                <w:lang w:val="en-US"/>
                <w14:textOutline w14:w="12700" w14:cap="flat">
                  <w14:noFill/>
                  <w14:miter w14:lim="400000"/>
                </w14:textOutline>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Fonts w:ascii="Arial" w:hAnsi="Arial"/>
                <w:sz w:val="22"/>
                <w:szCs w:val="22"/>
                <w:rtl w:val="0"/>
                <w:lang w:val="en-US"/>
                <w14:textOutline w14:w="12700" w14:cap="flat">
                  <w14:noFill/>
                  <w14:miter w14:lim="400000"/>
                </w14:textOutline>
              </w:rPr>
              <w:t>Date:</w:t>
            </w:r>
          </w:p>
        </w:tc>
      </w:tr>
      <w:tr>
        <w:tblPrEx>
          <w:shd w:val="clear" w:color="auto" w:fill="cadfff"/>
        </w:tblPrEx>
        <w:trPr>
          <w:trHeight w:val="289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b w:val="1"/>
                <w:bCs w:val="1"/>
              </w:rPr>
            </w:pPr>
            <w:r>
              <w:rPr>
                <w:rStyle w:val="None"/>
                <w:rFonts w:ascii="Arial" w:hAnsi="Arial"/>
                <w:b w:val="1"/>
                <w:bCs w:val="1"/>
                <w:rtl w:val="0"/>
                <w:lang w:val="en-US"/>
              </w:rPr>
              <w:t>External Examiner</w:t>
            </w:r>
            <w:r>
              <w:rPr>
                <w:rStyle w:val="None"/>
                <w:rFonts w:ascii="Arial" w:hAnsi="Arial" w:hint="default"/>
                <w:b w:val="1"/>
                <w:bCs w:val="1"/>
                <w:rtl w:val="0"/>
                <w:lang w:val="en-US"/>
              </w:rPr>
              <w:t>’</w:t>
            </w:r>
            <w:r>
              <w:rPr>
                <w:rStyle w:val="None"/>
                <w:rFonts w:ascii="Arial" w:hAnsi="Arial"/>
                <w:b w:val="1"/>
                <w:bCs w:val="1"/>
                <w:rtl w:val="0"/>
                <w:lang w:val="en-US"/>
              </w:rPr>
              <w:t>s comments (if relevant)</w:t>
            </w:r>
          </w:p>
          <w:p>
            <w:pPr>
              <w:pStyle w:val="Body"/>
              <w:rPr>
                <w:rStyle w:val="None"/>
                <w:rFonts w:ascii="Arial" w:cs="Arial" w:hAnsi="Arial" w:eastAsia="Arial"/>
                <w:sz w:val="22"/>
                <w:szCs w:val="22"/>
                <w:lang w:val="en-US"/>
                <w14:textOutline w14:w="12700" w14:cap="flat">
                  <w14:noFill/>
                  <w14:miter w14:lim="400000"/>
                </w14:textOutline>
              </w:rPr>
            </w:pPr>
          </w:p>
          <w:p>
            <w:pPr>
              <w:pStyle w:val="Body"/>
              <w:rPr>
                <w:rStyle w:val="None"/>
                <w:rFonts w:ascii="Arial" w:cs="Arial" w:hAnsi="Arial" w:eastAsia="Arial"/>
                <w:sz w:val="22"/>
                <w:szCs w:val="22"/>
                <w:lang w:val="en-US"/>
                <w14:textOutline w14:w="12700" w14:cap="flat">
                  <w14:noFill/>
                  <w14:miter w14:lim="400000"/>
                </w14:textOutline>
              </w:rPr>
            </w:pPr>
          </w:p>
          <w:p>
            <w:pPr>
              <w:pStyle w:val="Body"/>
              <w:rPr>
                <w:rStyle w:val="None"/>
                <w:rFonts w:ascii="Arial" w:cs="Arial" w:hAnsi="Arial" w:eastAsia="Arial"/>
                <w:sz w:val="22"/>
                <w:szCs w:val="22"/>
                <w:lang w:val="en-US"/>
                <w14:textOutline w14:w="12700" w14:cap="flat">
                  <w14:noFill/>
                  <w14:miter w14:lim="400000"/>
                </w14:textOutline>
              </w:rPr>
            </w:pPr>
          </w:p>
          <w:p>
            <w:pPr>
              <w:pStyle w:val="Body"/>
              <w:rPr>
                <w:rStyle w:val="None"/>
                <w:rFonts w:ascii="Arial" w:cs="Arial" w:hAnsi="Arial" w:eastAsia="Arial"/>
                <w:sz w:val="22"/>
                <w:szCs w:val="22"/>
                <w:lang w:val="en-US"/>
                <w14:textOutline w14:w="12700" w14:cap="flat">
                  <w14:noFill/>
                  <w14:miter w14:lim="400000"/>
                </w14:textOutline>
              </w:rPr>
            </w:pPr>
          </w:p>
          <w:p>
            <w:pPr>
              <w:pStyle w:val="Body"/>
              <w:rPr>
                <w:rStyle w:val="None"/>
                <w:rFonts w:ascii="Arial" w:cs="Arial" w:hAnsi="Arial" w:eastAsia="Arial"/>
                <w:sz w:val="22"/>
                <w:szCs w:val="22"/>
                <w:lang w:val="en-US"/>
                <w14:textOutline w14:w="12700" w14:cap="flat">
                  <w14:noFill/>
                  <w14:miter w14:lim="400000"/>
                </w14:textOutline>
              </w:rPr>
            </w:pPr>
          </w:p>
          <w:p>
            <w:pPr>
              <w:pStyle w:val="Body"/>
              <w:rPr>
                <w:rStyle w:val="None"/>
                <w:rFonts w:ascii="Arial" w:cs="Arial" w:hAnsi="Arial" w:eastAsia="Arial"/>
                <w:sz w:val="22"/>
                <w:szCs w:val="22"/>
                <w:lang w:val="en-US"/>
                <w14:textOutline w14:w="12700" w14:cap="flat">
                  <w14:noFill/>
                  <w14:miter w14:lim="400000"/>
                </w14:textOutline>
              </w:rPr>
            </w:pPr>
          </w:p>
          <w:p>
            <w:pPr>
              <w:pStyle w:val="Body"/>
              <w:rPr>
                <w:rStyle w:val="None"/>
                <w:rFonts w:ascii="Arial" w:cs="Arial" w:hAnsi="Arial" w:eastAsia="Arial"/>
                <w:sz w:val="22"/>
                <w:szCs w:val="22"/>
                <w:lang w:val="en-US"/>
                <w14:textOutline w14:w="12700" w14:cap="flat">
                  <w14:noFill/>
                  <w14:miter w14:lim="400000"/>
                </w14:textOutline>
              </w:rPr>
            </w:pPr>
          </w:p>
          <w:p>
            <w:pPr>
              <w:pStyle w:val="Body"/>
              <w:rPr>
                <w:rStyle w:val="None"/>
                <w:rFonts w:ascii="Arial" w:cs="Arial" w:hAnsi="Arial" w:eastAsia="Arial"/>
                <w:sz w:val="22"/>
                <w:szCs w:val="22"/>
                <w:lang w:val="en-US"/>
                <w14:textOutline w14:w="12700" w14:cap="flat">
                  <w14:noFill/>
                  <w14:miter w14:lim="400000"/>
                </w14:textOutline>
              </w:rPr>
            </w:pPr>
          </w:p>
          <w:p>
            <w:pPr>
              <w:pStyle w:val="Body"/>
            </w:pPr>
            <w:r>
              <w:rPr>
                <w:rStyle w:val="None"/>
                <w:rFonts w:ascii="Arial" w:cs="Arial" w:hAnsi="Arial" w:eastAsia="Arial"/>
                <w:sz w:val="22"/>
                <w:szCs w:val="22"/>
                <w:lang w:val="en-US"/>
                <w14:textOutline w14:w="12700" w14:cap="flat">
                  <w14:noFill/>
                  <w14:miter w14:lim="400000"/>
                </w14:textOutline>
              </w:rPr>
            </w:r>
          </w:p>
        </w:tc>
      </w:tr>
      <w:tr>
        <w:tblPrEx>
          <w:shd w:val="clear" w:color="auto" w:fill="cadfff"/>
        </w:tblPrEx>
        <w:trPr>
          <w:trHeight w:val="570"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rtl w:val="0"/>
                <w:lang w:val="en-US"/>
              </w:rPr>
              <w:t>External Examiner</w:t>
            </w:r>
            <w:r>
              <w:rPr>
                <w:rStyle w:val="None"/>
                <w:rFonts w:ascii="Arial" w:hAnsi="Arial" w:hint="default"/>
                <w:rtl w:val="0"/>
                <w:lang w:val="en-US"/>
              </w:rPr>
              <w:t>’</w:t>
            </w:r>
            <w:r>
              <w:rPr>
                <w:rStyle w:val="None"/>
                <w:rFonts w:ascii="Arial" w:hAnsi="Arial"/>
                <w:rtl w:val="0"/>
                <w:lang w:val="en-US"/>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rtl w:val="0"/>
                <w:lang w:val="en-US"/>
              </w:rPr>
              <w:t>Date:</w:t>
            </w:r>
          </w:p>
        </w:tc>
      </w:tr>
    </w:tbl>
    <w:p>
      <w:pPr>
        <w:pStyle w:val="Heading 3"/>
        <w:widowControl w:val="0"/>
        <w:pBdr>
          <w:top w:val="nil"/>
          <w:left w:val="nil"/>
          <w:bottom w:val="nil"/>
          <w:right w:val="nil"/>
        </w:pBdr>
        <w:spacing w:before="0" w:after="0" w:line="240" w:lineRule="auto"/>
        <w:ind w:left="108" w:hanging="108"/>
        <w:jc w:val="center"/>
        <w:outlineLvl w:val="2"/>
        <w:rPr>
          <w:rStyle w:val="None"/>
          <w:rFonts w:ascii="Trebuchet MS" w:cs="Trebuchet MS" w:hAnsi="Trebuchet MS" w:eastAsia="Trebuchet MS"/>
          <w:b w:val="1"/>
          <w:bCs w:val="1"/>
          <w:spacing w:val="0"/>
          <w:sz w:val="20"/>
          <w:szCs w:val="20"/>
          <w:u w:color="000000"/>
          <w:lang w:val="en-US"/>
        </w:rPr>
      </w:pPr>
    </w:p>
    <w:p>
      <w:pPr>
        <w:pStyle w:val="Heading 3"/>
        <w:widowControl w:val="0"/>
        <w:pBdr>
          <w:top w:val="nil"/>
          <w:left w:val="nil"/>
          <w:bottom w:val="nil"/>
          <w:right w:val="nil"/>
        </w:pBdr>
        <w:spacing w:before="0" w:after="0" w:line="240" w:lineRule="auto"/>
        <w:jc w:val="center"/>
        <w:outlineLvl w:val="2"/>
        <w:rPr>
          <w:rStyle w:val="None"/>
          <w:rFonts w:ascii="Trebuchet MS" w:cs="Trebuchet MS" w:hAnsi="Trebuchet MS" w:eastAsia="Trebuchet MS"/>
          <w:b w:val="1"/>
          <w:bCs w:val="1"/>
          <w:spacing w:val="0"/>
          <w:sz w:val="20"/>
          <w:szCs w:val="20"/>
          <w:u w:color="000000"/>
          <w:lang w:val="en-US"/>
        </w:rPr>
      </w:pPr>
    </w:p>
    <w:p>
      <w:pPr>
        <w:pStyle w:val="Heading 3"/>
        <w:widowControl w:val="0"/>
        <w:pBdr>
          <w:top w:val="nil"/>
          <w:left w:val="nil"/>
          <w:bottom w:val="nil"/>
          <w:right w:val="nil"/>
        </w:pBdr>
        <w:spacing w:before="0" w:after="0" w:line="240" w:lineRule="auto"/>
        <w:jc w:val="center"/>
        <w:outlineLvl w:val="2"/>
        <w:rPr>
          <w:rStyle w:val="None"/>
          <w:rFonts w:ascii="Trebuchet MS" w:cs="Trebuchet MS" w:hAnsi="Trebuchet MS" w:eastAsia="Trebuchet MS"/>
          <w:b w:val="1"/>
          <w:bCs w:val="1"/>
          <w:spacing w:val="0"/>
          <w:sz w:val="20"/>
          <w:szCs w:val="20"/>
          <w:u w:color="000000"/>
          <w:lang w:val="en-US"/>
        </w:rPr>
      </w:pPr>
    </w:p>
    <w:p>
      <w:pPr>
        <w:pStyle w:val="Heading 3"/>
        <w:widowControl w:val="0"/>
        <w:pBdr>
          <w:top w:val="nil"/>
          <w:left w:val="nil"/>
          <w:bottom w:val="nil"/>
          <w:right w:val="nil"/>
        </w:pBdr>
        <w:spacing w:before="0" w:after="0" w:line="240" w:lineRule="auto"/>
        <w:jc w:val="center"/>
        <w:outlineLvl w:val="2"/>
        <w:rPr>
          <w:rStyle w:val="None"/>
          <w:rFonts w:ascii="Trebuchet MS" w:cs="Trebuchet MS" w:hAnsi="Trebuchet MS" w:eastAsia="Trebuchet MS"/>
          <w:b w:val="1"/>
          <w:bCs w:val="1"/>
          <w:spacing w:val="0"/>
          <w:sz w:val="20"/>
          <w:szCs w:val="20"/>
          <w:u w:color="000000"/>
          <w:lang w:val="en-US"/>
        </w:rPr>
      </w:pPr>
    </w:p>
    <w:p>
      <w:pPr>
        <w:pStyle w:val="Heading 3"/>
        <w:widowControl w:val="0"/>
        <w:pBdr>
          <w:top w:val="nil"/>
          <w:left w:val="nil"/>
          <w:bottom w:val="nil"/>
          <w:right w:val="nil"/>
        </w:pBdr>
        <w:spacing w:before="0" w:after="0" w:line="240" w:lineRule="auto"/>
        <w:jc w:val="center"/>
        <w:outlineLvl w:val="2"/>
        <w:rPr>
          <w:rStyle w:val="None"/>
          <w:rFonts w:ascii="Trebuchet MS" w:cs="Trebuchet MS" w:hAnsi="Trebuchet MS" w:eastAsia="Trebuchet MS"/>
          <w:b w:val="1"/>
          <w:bCs w:val="1"/>
          <w:spacing w:val="0"/>
          <w:sz w:val="20"/>
          <w:szCs w:val="20"/>
          <w:u w:color="000000"/>
          <w:lang w:val="en-US"/>
        </w:rPr>
      </w:pPr>
    </w:p>
    <w:p>
      <w:pPr>
        <w:pStyle w:val="Heading 3"/>
        <w:widowControl w:val="0"/>
        <w:pBdr>
          <w:top w:val="nil"/>
          <w:left w:val="nil"/>
          <w:bottom w:val="nil"/>
          <w:right w:val="nil"/>
        </w:pBdr>
        <w:spacing w:before="0" w:after="0" w:line="240" w:lineRule="auto"/>
        <w:jc w:val="center"/>
        <w:outlineLvl w:val="2"/>
        <w:rPr>
          <w:rStyle w:val="None"/>
          <w:rFonts w:ascii="Trebuchet MS" w:cs="Trebuchet MS" w:hAnsi="Trebuchet MS" w:eastAsia="Trebuchet MS"/>
          <w:b w:val="1"/>
          <w:bCs w:val="1"/>
          <w:spacing w:val="0"/>
          <w:sz w:val="20"/>
          <w:szCs w:val="20"/>
          <w:u w:color="000000"/>
          <w:lang w:val="en-US"/>
        </w:rPr>
      </w:pPr>
    </w:p>
    <w:p>
      <w:pPr>
        <w:pStyle w:val="Body A"/>
        <w:jc w:val="center"/>
        <w:rPr>
          <w:rStyle w:val="None"/>
          <w:rFonts w:ascii="Arial" w:cs="Arial" w:hAnsi="Arial" w:eastAsia="Arial"/>
          <w:u w:val="single"/>
        </w:rPr>
      </w:pPr>
    </w:p>
    <w:p>
      <w:pPr>
        <w:pStyle w:val="Body A"/>
        <w:jc w:val="center"/>
        <w:rPr>
          <w:rStyle w:val="None"/>
          <w:rFonts w:ascii="Arial" w:cs="Arial" w:hAnsi="Arial" w:eastAsia="Arial"/>
          <w:u w:val="single"/>
        </w:rPr>
      </w:pPr>
    </w:p>
    <w:p>
      <w:pPr>
        <w:pStyle w:val="Body A"/>
        <w:jc w:val="center"/>
        <w:rPr>
          <w:rStyle w:val="None"/>
          <w:rFonts w:ascii="Arial" w:cs="Arial" w:hAnsi="Arial" w:eastAsia="Arial"/>
          <w:u w:val="single"/>
        </w:rPr>
      </w:pPr>
    </w:p>
    <w:p>
      <w:pPr>
        <w:pStyle w:val="Body A"/>
        <w:jc w:val="center"/>
        <w:rPr>
          <w:rStyle w:val="None"/>
          <w:rFonts w:ascii="Arial" w:cs="Arial" w:hAnsi="Arial" w:eastAsia="Arial"/>
          <w:u w:val="single"/>
        </w:rPr>
      </w:pPr>
    </w:p>
    <w:p>
      <w:pPr>
        <w:pStyle w:val="Body A"/>
        <w:jc w:val="center"/>
        <w:rPr>
          <w:rStyle w:val="None"/>
          <w:rFonts w:ascii="Arial" w:cs="Arial" w:hAnsi="Arial" w:eastAsia="Arial"/>
          <w:u w:val="single"/>
        </w:rPr>
      </w:pPr>
    </w:p>
    <w:p>
      <w:pPr>
        <w:pStyle w:val="Body A"/>
        <w:jc w:val="center"/>
        <w:rPr>
          <w:rStyle w:val="None"/>
          <w:rFonts w:ascii="Arial" w:cs="Arial" w:hAnsi="Arial" w:eastAsia="Arial"/>
          <w:u w:val="single"/>
        </w:rPr>
      </w:pPr>
    </w:p>
    <w:p>
      <w:pPr>
        <w:pStyle w:val="Body A"/>
        <w:jc w:val="center"/>
        <w:rPr>
          <w:rStyle w:val="None"/>
          <w:rFonts w:ascii="Arial" w:cs="Arial" w:hAnsi="Arial" w:eastAsia="Arial"/>
          <w:u w:val="single"/>
        </w:rPr>
      </w:pPr>
    </w:p>
    <w:p>
      <w:pPr>
        <w:pStyle w:val="Body A"/>
        <w:jc w:val="center"/>
        <w:rPr>
          <w:rStyle w:val="None"/>
          <w:rFonts w:ascii="Arial" w:cs="Arial" w:hAnsi="Arial" w:eastAsia="Arial"/>
          <w:u w:val="single"/>
        </w:rPr>
      </w:pPr>
    </w:p>
    <w:p>
      <w:pPr>
        <w:pStyle w:val="Body A"/>
        <w:jc w:val="center"/>
        <w:rPr>
          <w:rStyle w:val="None"/>
          <w:rFonts w:ascii="Arial" w:cs="Arial" w:hAnsi="Arial" w:eastAsia="Arial"/>
          <w:u w:val="single"/>
        </w:rPr>
      </w:pPr>
    </w:p>
    <w:p>
      <w:pPr>
        <w:pStyle w:val="Body A"/>
        <w:jc w:val="center"/>
        <w:rPr>
          <w:rStyle w:val="None"/>
          <w:rFonts w:ascii="Arial" w:cs="Arial" w:hAnsi="Arial" w:eastAsia="Arial"/>
          <w:u w:val="single"/>
        </w:rPr>
      </w:pPr>
    </w:p>
    <w:p>
      <w:pPr>
        <w:pStyle w:val="Body A"/>
        <w:jc w:val="center"/>
        <w:rPr>
          <w:rStyle w:val="None"/>
          <w:rFonts w:ascii="Arial" w:cs="Arial" w:hAnsi="Arial" w:eastAsia="Arial"/>
          <w:u w:val="single"/>
        </w:rPr>
      </w:pPr>
    </w:p>
    <w:p>
      <w:pPr>
        <w:pStyle w:val="Body A"/>
        <w:jc w:val="center"/>
        <w:rPr>
          <w:rStyle w:val="None"/>
          <w:rFonts w:ascii="Arial" w:cs="Arial" w:hAnsi="Arial" w:eastAsia="Arial"/>
          <w:u w:val="single"/>
        </w:rPr>
      </w:pPr>
    </w:p>
    <w:p>
      <w:pPr>
        <w:pStyle w:val="Body A"/>
        <w:jc w:val="center"/>
        <w:rPr>
          <w:rStyle w:val="None"/>
          <w:rFonts w:ascii="Arial" w:cs="Arial" w:hAnsi="Arial" w:eastAsia="Arial"/>
          <w:u w:val="single"/>
        </w:rPr>
      </w:pPr>
    </w:p>
    <w:p>
      <w:pPr>
        <w:pStyle w:val="Body A"/>
        <w:jc w:val="center"/>
        <w:rPr>
          <w:rStyle w:val="None"/>
          <w:rFonts w:ascii="Arial" w:cs="Arial" w:hAnsi="Arial" w:eastAsia="Arial"/>
          <w:u w:val="single"/>
        </w:rPr>
      </w:pPr>
    </w:p>
    <w:p>
      <w:pPr>
        <w:pStyle w:val="Body A"/>
        <w:jc w:val="center"/>
        <w:rPr>
          <w:rStyle w:val="None"/>
          <w:rFonts w:ascii="Arial" w:cs="Arial" w:hAnsi="Arial" w:eastAsia="Arial"/>
          <w:u w:val="single"/>
        </w:rPr>
      </w:pPr>
    </w:p>
    <w:p>
      <w:pPr>
        <w:pStyle w:val="Body A"/>
        <w:jc w:val="center"/>
        <w:rPr>
          <w:rStyle w:val="None"/>
          <w:rFonts w:ascii="Arial" w:cs="Arial" w:hAnsi="Arial" w:eastAsia="Arial"/>
          <w:u w:val="single"/>
        </w:rPr>
      </w:pPr>
    </w:p>
    <w:p>
      <w:pPr>
        <w:pStyle w:val="Body A"/>
        <w:jc w:val="center"/>
        <w:rPr>
          <w:rStyle w:val="None"/>
          <w:rFonts w:ascii="Arial" w:cs="Arial" w:hAnsi="Arial" w:eastAsia="Arial"/>
          <w:u w:val="single"/>
        </w:rPr>
      </w:pPr>
    </w:p>
    <w:p>
      <w:pPr>
        <w:pStyle w:val="Body A"/>
        <w:jc w:val="center"/>
        <w:rPr>
          <w:rStyle w:val="None"/>
          <w:rFonts w:ascii="Arial" w:cs="Arial" w:hAnsi="Arial" w:eastAsia="Arial"/>
          <w:u w:val="single"/>
        </w:rPr>
      </w:pPr>
    </w:p>
    <w:p>
      <w:pPr>
        <w:pStyle w:val="Body A"/>
        <w:jc w:val="center"/>
        <w:rPr>
          <w:rStyle w:val="None"/>
          <w:rFonts w:ascii="Arial" w:cs="Arial" w:hAnsi="Arial" w:eastAsia="Arial"/>
          <w:u w:val="single"/>
        </w:rPr>
      </w:pPr>
    </w:p>
    <w:p>
      <w:pPr>
        <w:pStyle w:val="Body A"/>
        <w:jc w:val="center"/>
        <w:rPr>
          <w:rStyle w:val="None"/>
          <w:rFonts w:ascii="Arial" w:cs="Arial" w:hAnsi="Arial" w:eastAsia="Arial"/>
          <w:u w:val="single"/>
        </w:rPr>
      </w:pPr>
    </w:p>
    <w:p>
      <w:pPr>
        <w:pStyle w:val="Body A"/>
        <w:jc w:val="center"/>
        <w:rPr>
          <w:rStyle w:val="None"/>
          <w:rFonts w:ascii="Arial" w:cs="Arial" w:hAnsi="Arial" w:eastAsia="Arial"/>
          <w:u w:val="single"/>
        </w:rPr>
      </w:pPr>
    </w:p>
    <w:p>
      <w:pPr>
        <w:pStyle w:val="Body A"/>
        <w:jc w:val="center"/>
        <w:rPr>
          <w:rStyle w:val="None"/>
          <w:u w:val="single"/>
        </w:rPr>
      </w:pPr>
      <w:r>
        <w:rPr>
          <w:rStyle w:val="None"/>
          <w:u w:val="single"/>
          <w:rtl w:val="0"/>
          <w:lang w:val="en-US"/>
        </w:rPr>
        <w:t xml:space="preserve">A Critical Review of </w:t>
      </w:r>
      <w:r>
        <w:rPr>
          <w:rStyle w:val="None"/>
          <w:u w:val="single"/>
          <w:rtl w:val="0"/>
          <w:lang w:val="en-US"/>
        </w:rPr>
        <w:t>‘</w:t>
      </w:r>
      <w:r>
        <w:rPr>
          <w:rStyle w:val="None"/>
          <w:u w:val="single"/>
          <w:rtl w:val="0"/>
          <w:lang w:val="en-US"/>
        </w:rPr>
        <w:t>Astronomy and Ceremony at Chankillo: an Andean Perspective</w:t>
      </w:r>
      <w:r>
        <w:rPr>
          <w:rStyle w:val="None"/>
          <w:u w:val="single"/>
          <w:rtl w:val="0"/>
          <w:lang w:val="en-US"/>
        </w:rPr>
        <w:t xml:space="preserve">’ </w:t>
      </w:r>
      <w:r>
        <w:rPr>
          <w:rStyle w:val="None"/>
          <w:u w:val="single"/>
          <w:rtl w:val="0"/>
          <w:lang w:val="en-US"/>
        </w:rPr>
        <w:t xml:space="preserve">by J. McKim Malville and </w:t>
      </w:r>
      <w:r>
        <w:rPr>
          <w:rStyle w:val="None"/>
          <w:u w:val="single"/>
          <w:rtl w:val="0"/>
          <w:lang w:val="en-US"/>
        </w:rPr>
        <w:t>‘</w:t>
      </w:r>
      <w:r>
        <w:rPr>
          <w:rStyle w:val="None"/>
          <w:u w:val="single"/>
          <w:rtl w:val="0"/>
          <w:lang w:val="en-US"/>
        </w:rPr>
        <w:t>The Social and Ritual Context of Horizon Astronomical Observations at Chankillo</w:t>
      </w:r>
      <w:r>
        <w:rPr>
          <w:rStyle w:val="None"/>
          <w:u w:val="single"/>
          <w:rtl w:val="0"/>
          <w:lang w:val="en-US"/>
        </w:rPr>
        <w:t xml:space="preserve">’ </w:t>
      </w:r>
      <w:r>
        <w:rPr>
          <w:rStyle w:val="None"/>
          <w:u w:val="single"/>
          <w:rtl w:val="0"/>
          <w:lang w:val="en-US"/>
        </w:rPr>
        <w:t>by Iv</w:t>
      </w:r>
      <w:r>
        <w:rPr>
          <w:rStyle w:val="None"/>
          <w:u w:val="single"/>
          <w:rtl w:val="0"/>
          <w:lang w:val="en-US"/>
        </w:rPr>
        <w:t>á</w:t>
      </w:r>
      <w:r>
        <w:rPr>
          <w:rStyle w:val="None"/>
          <w:u w:val="single"/>
          <w:rtl w:val="0"/>
          <w:lang w:val="en-US"/>
        </w:rPr>
        <w:t>n Ghezzi and Clive L. N. Ruggles</w:t>
      </w:r>
    </w:p>
    <w:p>
      <w:pPr>
        <w:pStyle w:val="Body A"/>
        <w:jc w:val="center"/>
        <w:rPr>
          <w:rStyle w:val="None"/>
          <w:u w:val="single"/>
        </w:rPr>
      </w:pPr>
    </w:p>
    <w:p>
      <w:pPr>
        <w:pStyle w:val="Body A"/>
        <w:jc w:val="center"/>
        <w:rPr>
          <w:rStyle w:val="None"/>
          <w:u w:val="single"/>
        </w:rPr>
      </w:pPr>
      <w:r>
        <w:rPr>
          <w:rStyle w:val="None"/>
          <w:u w:val="single"/>
          <w:rtl w:val="0"/>
          <w:lang w:val="en-US"/>
        </w:rPr>
        <w:t>Word count: 1,482</w:t>
      </w:r>
    </w:p>
    <w:p>
      <w:pPr>
        <w:pStyle w:val="Body A"/>
        <w:jc w:val="center"/>
        <w:rPr>
          <w:rStyle w:val="None"/>
          <w:u w:val="single"/>
        </w:rPr>
      </w:pPr>
    </w:p>
    <w:p>
      <w:pPr>
        <w:pStyle w:val="Body A"/>
      </w:pPr>
      <w:r>
        <w:rPr>
          <w:rStyle w:val="None"/>
          <w:rFonts w:cs="Arial Unicode MS" w:eastAsia="Arial Unicode MS"/>
          <w:rtl w:val="0"/>
          <w:lang w:val="en-US"/>
        </w:rPr>
        <w:t xml:space="preserve">This essay critically reviews and compares </w:t>
      </w:r>
      <w:r>
        <w:rPr>
          <w:rStyle w:val="None"/>
          <w:rFonts w:cs="Arial Unicode MS" w:eastAsia="Arial Unicode MS" w:hint="default"/>
          <w:rtl w:val="0"/>
          <w:lang w:val="en-US"/>
        </w:rPr>
        <w:t>‘</w:t>
      </w:r>
      <w:r>
        <w:rPr>
          <w:rStyle w:val="None"/>
          <w:rFonts w:cs="Arial Unicode MS" w:eastAsia="Arial Unicode MS"/>
          <w:rtl w:val="0"/>
          <w:lang w:val="en-US"/>
        </w:rPr>
        <w:t>Astronomy and Ceremony at Chankillo: an Andean Perspective</w:t>
      </w:r>
      <w:r>
        <w:rPr>
          <w:rStyle w:val="None"/>
          <w:rFonts w:cs="Arial Unicode MS" w:eastAsia="Arial Unicode MS" w:hint="default"/>
          <w:rtl w:val="0"/>
          <w:lang w:val="en-US"/>
        </w:rPr>
        <w:t xml:space="preserve">’ </w:t>
      </w:r>
      <w:r>
        <w:rPr>
          <w:rStyle w:val="None"/>
          <w:rFonts w:cs="Arial Unicode MS" w:eastAsia="Arial Unicode MS"/>
          <w:rtl w:val="0"/>
          <w:lang w:val="en-US"/>
        </w:rPr>
        <w:t>by J. McKim Malville</w:t>
      </w:r>
      <w:r>
        <w:rPr>
          <w:rStyle w:val="None"/>
          <w:rFonts w:ascii="Helvetica Neue" w:cs="Helvetica Neue" w:hAnsi="Helvetica Neue" w:eastAsia="Helvetica Neue"/>
          <w:b w:val="0"/>
          <w:bCs w:val="0"/>
          <w:i w:val="0"/>
          <w:iCs w:val="0"/>
          <w:vertAlign w:val="superscript"/>
        </w:rPr>
        <w:footnoteReference w:id="1"/>
      </w:r>
      <w:r>
        <w:rPr>
          <w:rStyle w:val="None"/>
          <w:rFonts w:cs="Arial Unicode MS" w:eastAsia="Arial Unicode MS"/>
          <w:rtl w:val="0"/>
          <w:lang w:val="en-US"/>
        </w:rPr>
        <w:t xml:space="preserve"> and </w:t>
      </w:r>
      <w:r>
        <w:rPr>
          <w:rStyle w:val="None"/>
          <w:rFonts w:cs="Arial Unicode MS" w:eastAsia="Arial Unicode MS" w:hint="default"/>
          <w:rtl w:val="0"/>
          <w:lang w:val="en-US"/>
        </w:rPr>
        <w:t>‘</w:t>
      </w:r>
      <w:r>
        <w:rPr>
          <w:rStyle w:val="None"/>
          <w:rFonts w:cs="Arial Unicode MS" w:eastAsia="Arial Unicode MS"/>
          <w:rtl w:val="0"/>
          <w:lang w:val="en-US"/>
        </w:rPr>
        <w:t>The Social and Ritual Context of Horizon Astronomical Observations at Chankillo</w:t>
      </w:r>
      <w:r>
        <w:rPr>
          <w:rStyle w:val="None"/>
          <w:rFonts w:cs="Arial Unicode MS" w:eastAsia="Arial Unicode MS" w:hint="default"/>
          <w:rtl w:val="0"/>
          <w:lang w:val="en-US"/>
        </w:rPr>
        <w:t xml:space="preserve">’ </w:t>
      </w:r>
      <w:r>
        <w:rPr>
          <w:rStyle w:val="None"/>
          <w:rFonts w:cs="Arial Unicode MS" w:eastAsia="Arial Unicode MS"/>
          <w:rtl w:val="0"/>
          <w:lang w:val="en-US"/>
        </w:rPr>
        <w:t>by Iv</w:t>
      </w:r>
      <w:r>
        <w:rPr>
          <w:rStyle w:val="None"/>
          <w:rFonts w:cs="Arial Unicode MS" w:eastAsia="Arial Unicode MS" w:hint="default"/>
          <w:rtl w:val="0"/>
          <w:lang w:val="en-US"/>
        </w:rPr>
        <w:t>á</w:t>
      </w:r>
      <w:r>
        <w:rPr>
          <w:rStyle w:val="None"/>
          <w:rFonts w:cs="Arial Unicode MS" w:eastAsia="Arial Unicode MS"/>
          <w:rtl w:val="0"/>
          <w:lang w:val="en-US"/>
        </w:rPr>
        <w:t>n Ghezzi and Clive L. N. Ruggles</w:t>
      </w:r>
      <w:r>
        <w:rPr>
          <w:rStyle w:val="None"/>
          <w:rFonts w:ascii="Helvetica Neue" w:cs="Helvetica Neue" w:hAnsi="Helvetica Neue" w:eastAsia="Helvetica Neue"/>
          <w:b w:val="0"/>
          <w:bCs w:val="0"/>
          <w:i w:val="0"/>
          <w:iCs w:val="0"/>
          <w:vertAlign w:val="superscript"/>
        </w:rPr>
        <w:footnoteReference w:id="2"/>
      </w:r>
      <w:r>
        <w:rPr>
          <w:rStyle w:val="None"/>
          <w:rFonts w:cs="Arial Unicode MS" w:eastAsia="Arial Unicode MS"/>
          <w:rtl w:val="0"/>
          <w:lang w:val="en-US"/>
        </w:rPr>
        <w:t>. The essay will analyse these papers and consider how they deal with similar concepts and whether they have similar or contrasting theories, as well as the strength of their arguments and supporting evidence, and the greatest strength and weakness of each paper.</w:t>
      </w:r>
    </w:p>
    <w:p>
      <w:pPr>
        <w:pStyle w:val="Body A"/>
      </w:pPr>
    </w:p>
    <w:p>
      <w:pPr>
        <w:pStyle w:val="Body A"/>
      </w:pPr>
      <w:r>
        <w:rPr>
          <w:rStyle w:val="None"/>
          <w:rFonts w:cs="Arial Unicode MS" w:eastAsia="Arial Unicode MS"/>
          <w:rtl w:val="0"/>
          <w:lang w:val="en-US"/>
        </w:rPr>
        <w:t xml:space="preserve">In their paper, Ghezzi and Ruggles explore function of the hilltop structure at Chankillo, and state that </w:t>
      </w:r>
      <w:r>
        <w:rPr>
          <w:rStyle w:val="None"/>
          <w:rFonts w:cs="Arial Unicode MS" w:eastAsia="Arial Unicode MS" w:hint="default"/>
          <w:rtl w:val="0"/>
          <w:lang w:val="en-US"/>
        </w:rPr>
        <w:t>‘</w:t>
      </w:r>
      <w:r>
        <w:rPr>
          <w:rStyle w:val="None"/>
          <w:rFonts w:cs="Arial Unicode MS" w:eastAsia="Arial Unicode MS"/>
          <w:rtl w:val="0"/>
          <w:lang w:val="en-US"/>
        </w:rPr>
        <w:t>the function of this massive structure has been subject to considerable debate</w:t>
      </w:r>
      <w:r>
        <w:rPr>
          <w:rStyle w:val="None"/>
          <w:rFonts w:cs="Arial Unicode MS" w:eastAsia="Arial Unicode MS" w:hint="default"/>
          <w:rtl w:val="0"/>
          <w:lang w:val="en-US"/>
        </w:rPr>
        <w:t>’</w:t>
      </w:r>
      <w:r>
        <w:rPr>
          <w:rStyle w:val="None"/>
          <w:rFonts w:cs="Arial Unicode MS" w:eastAsia="Arial Unicode MS"/>
          <w:rtl w:val="0"/>
          <w:lang w:val="en-US"/>
        </w:rPr>
        <w:t>, showing that they are aware of its context and acknowledge that their are varying theories. They focus on the Thirteen Towers, which are thirteen structures built approximately at the centre of the site</w:t>
      </w:r>
      <w:r>
        <w:rPr>
          <w:rStyle w:val="None"/>
          <w:rFonts w:ascii="Helvetica Neue" w:cs="Helvetica Neue" w:hAnsi="Helvetica Neue" w:eastAsia="Helvetica Neue"/>
          <w:b w:val="0"/>
          <w:bCs w:val="0"/>
          <w:i w:val="0"/>
          <w:iCs w:val="0"/>
          <w:vertAlign w:val="superscript"/>
        </w:rPr>
        <w:footnoteReference w:id="3"/>
      </w:r>
      <w:r>
        <w:rPr>
          <w:rStyle w:val="None"/>
          <w:rFonts w:cs="Arial Unicode MS" w:eastAsia="Arial Unicode MS"/>
          <w:rtl w:val="0"/>
          <w:lang w:val="en-US"/>
        </w:rPr>
        <w:t xml:space="preserve">; particular attention is shown to the staircases on the north and south sides of the towers which allow access to the summits. Ghezzi and Ruggles suggest that the towers represent </w:t>
      </w:r>
      <w:r>
        <w:rPr>
          <w:rStyle w:val="None"/>
          <w:rFonts w:cs="Arial Unicode MS" w:eastAsia="Arial Unicode MS" w:hint="default"/>
          <w:rtl w:val="0"/>
          <w:lang w:val="en-US"/>
        </w:rPr>
        <w:t>‘</w:t>
      </w:r>
      <w:r>
        <w:rPr>
          <w:rStyle w:val="None"/>
          <w:rFonts w:cs="Arial Unicode MS" w:eastAsia="Arial Unicode MS"/>
          <w:rtl w:val="0"/>
          <w:lang w:val="en-US"/>
        </w:rPr>
        <w:t>a native form of landscape timekeeping</w:t>
      </w:r>
      <w:r>
        <w:rPr>
          <w:rStyle w:val="None"/>
          <w:rFonts w:cs="Arial Unicode MS" w:eastAsia="Arial Unicode MS" w:hint="default"/>
          <w:rtl w:val="0"/>
          <w:lang w:val="en-US"/>
        </w:rPr>
        <w:t>’</w:t>
      </w:r>
      <w:r>
        <w:rPr>
          <w:rStyle w:val="None"/>
          <w:rFonts w:ascii="Helvetica Neue" w:cs="Helvetica Neue" w:hAnsi="Helvetica Neue" w:eastAsia="Helvetica Neue"/>
          <w:b w:val="0"/>
          <w:bCs w:val="0"/>
          <w:i w:val="0"/>
          <w:iCs w:val="0"/>
          <w:vertAlign w:val="superscript"/>
        </w:rPr>
        <w:footnoteReference w:id="4"/>
      </w:r>
      <w:r>
        <w:rPr>
          <w:rStyle w:val="None"/>
          <w:rFonts w:cs="Arial Unicode MS" w:eastAsia="Arial Unicode MS"/>
          <w:rtl w:val="0"/>
          <w:lang w:val="en-US"/>
        </w:rPr>
        <w:t xml:space="preserve">; a major argument they present is that the towers were used as a calendrical device as they mark the sunrises and sunsets of the June and December solstices as well as being used to potentially mark every other day of the year </w:t>
      </w:r>
      <w:r>
        <w:rPr>
          <w:rStyle w:val="None"/>
          <w:rFonts w:ascii="Helvetica Neue" w:cs="Helvetica Neue" w:hAnsi="Helvetica Neue" w:eastAsia="Helvetica Neue"/>
          <w:b w:val="0"/>
          <w:bCs w:val="0"/>
          <w:i w:val="0"/>
          <w:iCs w:val="0"/>
          <w:vertAlign w:val="superscript"/>
        </w:rPr>
        <w:footnoteReference w:id="5"/>
      </w:r>
      <w:r>
        <w:rPr>
          <w:rStyle w:val="None"/>
          <w:rFonts w:cs="Arial Unicode MS" w:eastAsia="Arial Unicode MS"/>
          <w:rtl w:val="0"/>
          <w:lang w:val="en-US"/>
        </w:rPr>
        <w:t xml:space="preserve">. Another key idea they present in their paper is that social inequality was reflected within the design of the towers. </w:t>
      </w:r>
    </w:p>
    <w:p>
      <w:pPr>
        <w:pStyle w:val="Body A"/>
      </w:pPr>
    </w:p>
    <w:p>
      <w:pPr>
        <w:pStyle w:val="Body A"/>
      </w:pPr>
      <w:r>
        <w:rPr>
          <w:rStyle w:val="None"/>
          <w:rFonts w:cs="Arial Unicode MS" w:eastAsia="Arial Unicode MS"/>
          <w:rtl w:val="0"/>
          <w:lang w:val="en-US"/>
        </w:rPr>
        <w:t xml:space="preserve">Malville also examines the purpose of the structures built at Chankillo. One theme he focuses on is ascent and descent, linking the stairways at the Thirteen Towers to Andean cosmology, </w:t>
      </w:r>
      <w:r>
        <w:rPr>
          <w:rStyle w:val="None"/>
          <w:rFonts w:cs="Arial Unicode MS" w:eastAsia="Arial Unicode MS" w:hint="default"/>
          <w:rtl w:val="0"/>
          <w:lang w:val="en-US"/>
        </w:rPr>
        <w:t>‘</w:t>
      </w:r>
      <w:r>
        <w:rPr>
          <w:rStyle w:val="None"/>
          <w:rFonts w:cs="Arial Unicode MS" w:eastAsia="Arial Unicode MS"/>
          <w:rtl w:val="0"/>
          <w:lang w:val="en-US"/>
        </w:rPr>
        <w:t>It seems like an entry to another realm</w:t>
      </w:r>
      <w:r>
        <w:rPr>
          <w:rStyle w:val="None"/>
          <w:rFonts w:cs="Arial Unicode MS" w:eastAsia="Arial Unicode MS" w:hint="default"/>
          <w:rtl w:val="0"/>
          <w:lang w:val="en-US"/>
        </w:rPr>
        <w:t>’</w:t>
      </w:r>
      <w:r>
        <w:rPr>
          <w:rStyle w:val="None"/>
          <w:rFonts w:ascii="Helvetica Neue" w:cs="Helvetica Neue" w:hAnsi="Helvetica Neue" w:eastAsia="Helvetica Neue"/>
          <w:b w:val="0"/>
          <w:bCs w:val="0"/>
          <w:i w:val="0"/>
          <w:iCs w:val="0"/>
          <w:vertAlign w:val="superscript"/>
        </w:rPr>
        <w:footnoteReference w:id="6"/>
      </w:r>
      <w:r>
        <w:rPr>
          <w:rStyle w:val="None"/>
          <w:rFonts w:cs="Arial Unicode MS" w:eastAsia="Arial Unicode MS"/>
          <w:rtl w:val="0"/>
          <w:lang w:val="en-US"/>
        </w:rPr>
        <w:t>. Another important idea presented by Malville is his arguments against Chankillo being built for and used as a solar observatory. He compares the site to other significant ones in the region as well as examining the solar and lunar alignments. Malville also highlights the importance of huacas, shrines used to worship the landscape which the Andeans believed had supernatural powers</w:t>
      </w:r>
      <w:r>
        <w:rPr>
          <w:rStyle w:val="None"/>
          <w:rFonts w:ascii="Helvetica Neue" w:cs="Helvetica Neue" w:hAnsi="Helvetica Neue" w:eastAsia="Helvetica Neue"/>
          <w:b w:val="0"/>
          <w:bCs w:val="0"/>
          <w:i w:val="0"/>
          <w:iCs w:val="0"/>
          <w:vertAlign w:val="superscript"/>
        </w:rPr>
        <w:footnoteReference w:id="7"/>
      </w:r>
      <w:r>
        <w:rPr>
          <w:rStyle w:val="None"/>
          <w:rFonts w:cs="Arial Unicode MS" w:eastAsia="Arial Unicode MS"/>
          <w:rtl w:val="0"/>
          <w:lang w:val="en-US"/>
        </w:rPr>
        <w:t>.</w:t>
      </w:r>
    </w:p>
    <w:p>
      <w:pPr>
        <w:pStyle w:val="Body A"/>
      </w:pPr>
    </w:p>
    <w:p>
      <w:pPr>
        <w:pStyle w:val="Body A"/>
      </w:pPr>
      <w:r>
        <w:rPr>
          <w:rStyle w:val="None"/>
          <w:rFonts w:cs="Arial Unicode MS" w:eastAsia="Arial Unicode MS"/>
          <w:rtl w:val="0"/>
          <w:lang w:val="en-US"/>
        </w:rPr>
        <w:t xml:space="preserve">One major focus of both papers is the examination of the ancient site of Chankillo in regards to its astronomical function but each paper </w:t>
      </w:r>
      <w:r>
        <w:rPr>
          <w:rStyle w:val="None"/>
          <w:rFonts w:cs="Arial Unicode MS" w:eastAsia="Arial Unicode MS"/>
          <w:rtl w:val="0"/>
          <w:lang w:val="it-IT"/>
        </w:rPr>
        <w:t>present</w:t>
      </w:r>
      <w:r>
        <w:rPr>
          <w:rStyle w:val="None"/>
          <w:rFonts w:cs="Arial Unicode MS" w:eastAsia="Arial Unicode MS"/>
          <w:rtl w:val="0"/>
          <w:lang w:val="en-US"/>
        </w:rPr>
        <w:t>s a different theory as to what that was. Ghezzi and Ruggles suggest that the Thirteen Towers were calendrical in nature and that the surrounding plazas were observation points. They use evidence from a Total State survey; a total state theodolite (TST) is an electronic optical piece of equipment, mounted on a tripod, used to measure vertical and horizontal angles in order to determine relative position</w:t>
      </w:r>
      <w:r>
        <w:rPr>
          <w:rStyle w:val="None"/>
          <w:rFonts w:ascii="Helvetica Neue" w:cs="Helvetica Neue" w:hAnsi="Helvetica Neue" w:eastAsia="Helvetica Neue"/>
          <w:b w:val="0"/>
          <w:bCs w:val="0"/>
          <w:i w:val="0"/>
          <w:iCs w:val="0"/>
          <w:vertAlign w:val="superscript"/>
        </w:rPr>
        <w:footnoteReference w:id="8"/>
      </w:r>
      <w:r>
        <w:rPr>
          <w:rStyle w:val="None"/>
          <w:rFonts w:cs="Arial Unicode MS" w:eastAsia="Arial Unicode MS"/>
          <w:rtl w:val="0"/>
          <w:lang w:val="en-US"/>
        </w:rPr>
        <w:t>. TST</w:t>
      </w:r>
      <w:r>
        <w:rPr>
          <w:rStyle w:val="None"/>
          <w:rFonts w:cs="Arial Unicode MS" w:eastAsia="Arial Unicode MS" w:hint="default"/>
          <w:rtl w:val="0"/>
          <w:lang w:val="en-US"/>
        </w:rPr>
        <w:t>’</w:t>
      </w:r>
      <w:r>
        <w:rPr>
          <w:rStyle w:val="None"/>
          <w:rFonts w:cs="Arial Unicode MS" w:eastAsia="Arial Unicode MS"/>
          <w:rtl w:val="0"/>
          <w:lang w:val="en-US"/>
        </w:rPr>
        <w:t>s are widely used due to their versatility and reliability, but it is easy for problems to occur with them if the principles of survey are not well understood</w:t>
      </w:r>
      <w:r>
        <w:rPr>
          <w:rStyle w:val="None"/>
          <w:rFonts w:ascii="Helvetica Neue" w:cs="Helvetica Neue" w:hAnsi="Helvetica Neue" w:eastAsia="Helvetica Neue"/>
          <w:b w:val="0"/>
          <w:bCs w:val="0"/>
          <w:i w:val="0"/>
          <w:iCs w:val="0"/>
          <w:vertAlign w:val="superscript"/>
        </w:rPr>
        <w:footnoteReference w:id="9"/>
      </w:r>
      <w:r>
        <w:rPr>
          <w:rStyle w:val="None"/>
          <w:rFonts w:cs="Arial Unicode MS" w:eastAsia="Arial Unicode MS"/>
          <w:rtl w:val="0"/>
          <w:lang w:val="en-US"/>
        </w:rPr>
        <w:t xml:space="preserve">. The results from the survey seem to corroborate </w:t>
      </w:r>
    </w:p>
    <w:p>
      <w:pPr>
        <w:pStyle w:val="Body A"/>
      </w:pPr>
      <w:r>
        <w:rPr>
          <w:rStyle w:val="None"/>
          <w:rFonts w:cs="Arial Unicode MS" w:eastAsia="Arial Unicode MS"/>
          <w:rtl w:val="0"/>
          <w:lang w:val="en-US"/>
        </w:rPr>
        <w:t>the idea that the towers mark the sunrises and sunsets of the solstices, but Ghezzi and Ruggles go on step further and suggest the possibility of a lunar association</w:t>
      </w:r>
      <w:r>
        <w:rPr>
          <w:rStyle w:val="None"/>
          <w:rFonts w:ascii="Helvetica Neue" w:cs="Helvetica Neue" w:hAnsi="Helvetica Neue" w:eastAsia="Helvetica Neue"/>
          <w:b w:val="0"/>
          <w:bCs w:val="0"/>
          <w:i w:val="0"/>
          <w:iCs w:val="0"/>
          <w:vertAlign w:val="superscript"/>
        </w:rPr>
        <w:footnoteReference w:id="10"/>
      </w:r>
      <w:r>
        <w:rPr>
          <w:rStyle w:val="None"/>
          <w:rFonts w:cs="Arial Unicode MS" w:eastAsia="Arial Unicode MS"/>
          <w:rtl w:val="0"/>
          <w:lang w:val="en-US"/>
        </w:rPr>
        <w:t xml:space="preserve">. The results show that the the decimation range of the top of the southern inner wall is extremely close to the </w:t>
      </w:r>
      <w:r>
        <w:rPr>
          <w:rStyle w:val="None"/>
          <w:rFonts w:cs="Arial Unicode MS" w:eastAsia="Arial Unicode MS" w:hint="default"/>
          <w:rtl w:val="0"/>
          <w:lang w:val="en-US"/>
        </w:rPr>
        <w:t>‘</w:t>
      </w:r>
      <w:r>
        <w:rPr>
          <w:rStyle w:val="None"/>
          <w:rFonts w:cs="Arial Unicode MS" w:eastAsia="Arial Unicode MS"/>
          <w:rtl w:val="0"/>
          <w:lang w:val="en-US"/>
        </w:rPr>
        <w:t>theoretical most northerly setting point of the moon</w:t>
      </w:r>
      <w:r>
        <w:rPr>
          <w:rStyle w:val="None"/>
          <w:rFonts w:cs="Arial Unicode MS" w:eastAsia="Arial Unicode MS" w:hint="default"/>
          <w:rtl w:val="0"/>
          <w:lang w:val="en-US"/>
        </w:rPr>
        <w:t>’</w:t>
      </w:r>
      <w:r>
        <w:rPr>
          <w:rStyle w:val="None"/>
          <w:rFonts w:ascii="Helvetica Neue" w:cs="Helvetica Neue" w:hAnsi="Helvetica Neue" w:eastAsia="Helvetica Neue"/>
          <w:b w:val="0"/>
          <w:bCs w:val="0"/>
          <w:i w:val="0"/>
          <w:iCs w:val="0"/>
          <w:vertAlign w:val="superscript"/>
        </w:rPr>
        <w:footnoteReference w:id="11"/>
      </w:r>
      <w:r>
        <w:rPr>
          <w:rStyle w:val="None"/>
          <w:rFonts w:cs="Arial Unicode MS" w:eastAsia="Arial Unicode MS"/>
          <w:rtl w:val="0"/>
          <w:lang w:val="en-US"/>
        </w:rPr>
        <w:t xml:space="preserve"> in two separate examples. They do not claim that a lunar association is definite but use the evidence they have collected to make a possible connection.</w:t>
      </w:r>
    </w:p>
    <w:p>
      <w:pPr>
        <w:pStyle w:val="Body A"/>
      </w:pPr>
    </w:p>
    <w:p>
      <w:pPr>
        <w:pStyle w:val="Body A"/>
      </w:pPr>
      <w:r>
        <w:rPr>
          <w:rStyle w:val="None"/>
          <w:rFonts w:cs="Arial Unicode MS" w:eastAsia="Arial Unicode MS"/>
          <w:rtl w:val="0"/>
          <w:lang w:val="en-US"/>
        </w:rPr>
        <w:t>Malville in comparison disagrees and argues that Chankillo was not built or used as a calendrical instrument. He takes into consideration other sites in Peru at the time, and supports this in later writing, stating that there was no precedent in the Casma Valley for recording dates and times</w:t>
      </w:r>
      <w:r>
        <w:rPr>
          <w:rStyle w:val="None"/>
          <w:rFonts w:ascii="Helvetica Neue" w:cs="Helvetica Neue" w:hAnsi="Helvetica Neue" w:eastAsia="Helvetica Neue"/>
          <w:b w:val="0"/>
          <w:bCs w:val="0"/>
          <w:i w:val="0"/>
          <w:iCs w:val="0"/>
          <w:vertAlign w:val="superscript"/>
        </w:rPr>
        <w:footnoteReference w:id="12"/>
      </w:r>
      <w:r>
        <w:rPr>
          <w:rStyle w:val="None"/>
          <w:rFonts w:cs="Arial Unicode MS" w:eastAsia="Arial Unicode MS"/>
          <w:rtl w:val="0"/>
          <w:lang w:val="en-US"/>
        </w:rPr>
        <w:t>. It is important to compare Chankillo to its</w:t>
      </w:r>
      <w:r>
        <w:rPr>
          <w:rStyle w:val="None"/>
          <w:rFonts w:cs="Arial Unicode MS" w:eastAsia="Arial Unicode MS" w:hint="default"/>
          <w:rtl w:val="0"/>
          <w:lang w:val="en-US"/>
        </w:rPr>
        <w:t xml:space="preserve">’ </w:t>
      </w:r>
      <w:r>
        <w:rPr>
          <w:rStyle w:val="None"/>
          <w:rFonts w:cs="Arial Unicode MS" w:eastAsia="Arial Unicode MS"/>
          <w:rtl w:val="0"/>
          <w:lang w:val="en-US"/>
        </w:rPr>
        <w:t>contemporary settlements because, as Malville puts forward:</w:t>
      </w:r>
    </w:p>
    <w:p>
      <w:pPr>
        <w:pStyle w:val="Body A"/>
      </w:pPr>
    </w:p>
    <w:p>
      <w:pPr>
        <w:pStyle w:val="Body A"/>
        <w:ind w:left="720" w:firstLine="0"/>
      </w:pPr>
      <w:r>
        <w:rPr>
          <w:rStyle w:val="None"/>
          <w:i w:val="1"/>
          <w:iCs w:val="1"/>
          <w:rtl w:val="0"/>
          <w:lang w:val="en-US"/>
        </w:rPr>
        <w:t>The importance of interrelationships and cultural continuities within the larger cultural area means that no unit, such as Chankillo, can be considered independent and isolated</w:t>
      </w:r>
      <w:r>
        <w:rPr>
          <w:rStyle w:val="None"/>
          <w:i w:val="1"/>
          <w:iCs w:val="1"/>
          <w:vertAlign w:val="superscript"/>
        </w:rPr>
        <w:footnoteReference w:id="13"/>
      </w:r>
      <w:r>
        <w:rPr>
          <w:rStyle w:val="None"/>
          <w:i w:val="1"/>
          <w:iCs w:val="1"/>
          <w:rtl w:val="0"/>
          <w:lang w:val="en-US"/>
        </w:rPr>
        <w:t>.</w:t>
      </w:r>
    </w:p>
    <w:p>
      <w:pPr>
        <w:pStyle w:val="Body A"/>
      </w:pPr>
    </w:p>
    <w:p>
      <w:pPr>
        <w:pStyle w:val="Body A"/>
      </w:pPr>
      <w:r>
        <w:rPr>
          <w:rStyle w:val="None"/>
          <w:rFonts w:cs="Arial Unicode MS" w:eastAsia="Arial Unicode MS"/>
          <w:rtl w:val="0"/>
          <w:lang w:val="en-US"/>
        </w:rPr>
        <w:t xml:space="preserve">This is contradicted by Ghezzi and Ruggles in their 2007 paper, </w:t>
      </w:r>
      <w:r>
        <w:rPr>
          <w:rStyle w:val="None"/>
          <w:rFonts w:cs="Arial Unicode MS" w:eastAsia="Arial Unicode MS" w:hint="default"/>
          <w:rtl w:val="0"/>
          <w:lang w:val="en-US"/>
        </w:rPr>
        <w:t>‘</w:t>
      </w:r>
      <w:r>
        <w:rPr>
          <w:rStyle w:val="None"/>
          <w:rFonts w:cs="Arial Unicode MS" w:eastAsia="Arial Unicode MS"/>
          <w:rtl w:val="0"/>
          <w:lang w:val="en-US"/>
        </w:rPr>
        <w:t>Chankillo: A 2300-Year-Old Solar Observatory in Coastal Peru</w:t>
      </w:r>
      <w:r>
        <w:rPr>
          <w:rStyle w:val="None"/>
          <w:rFonts w:cs="Arial Unicode MS" w:eastAsia="Arial Unicode MS" w:hint="default"/>
          <w:rtl w:val="0"/>
          <w:lang w:val="en-US"/>
        </w:rPr>
        <w:t>’</w:t>
      </w:r>
      <w:r>
        <w:rPr>
          <w:rStyle w:val="None"/>
          <w:rFonts w:ascii="Helvetica Neue" w:cs="Helvetica Neue" w:hAnsi="Helvetica Neue" w:eastAsia="Helvetica Neue"/>
          <w:b w:val="0"/>
          <w:bCs w:val="0"/>
          <w:i w:val="0"/>
          <w:iCs w:val="0"/>
          <w:vertAlign w:val="superscript"/>
        </w:rPr>
        <w:footnoteReference w:id="14"/>
      </w:r>
      <w:r>
        <w:rPr>
          <w:rStyle w:val="None"/>
          <w:rFonts w:cs="Arial Unicode MS" w:eastAsia="Arial Unicode MS"/>
          <w:rtl w:val="0"/>
          <w:lang w:val="en-US"/>
        </w:rPr>
        <w:t xml:space="preserve">, in which they argue that in Mesoamerica before European contact, </w:t>
      </w:r>
      <w:r>
        <w:rPr>
          <w:rStyle w:val="None"/>
          <w:rFonts w:cs="Arial Unicode MS" w:eastAsia="Arial Unicode MS" w:hint="default"/>
          <w:rtl w:val="0"/>
          <w:lang w:val="en-US"/>
        </w:rPr>
        <w:t>‘</w:t>
      </w:r>
      <w:r>
        <w:rPr>
          <w:rStyle w:val="None"/>
          <w:rFonts w:cs="Arial Unicode MS" w:eastAsia="Arial Unicode MS"/>
          <w:rtl w:val="0"/>
          <w:lang w:val="en-US"/>
        </w:rPr>
        <w:t>systematic studies of the orientations of sacred buildings and city plans strongly suggest the existence of horizon calendars</w:t>
      </w:r>
      <w:r>
        <w:rPr>
          <w:rStyle w:val="None"/>
          <w:rFonts w:cs="Arial Unicode MS" w:eastAsia="Arial Unicode MS" w:hint="default"/>
          <w:rtl w:val="0"/>
          <w:lang w:val="en-US"/>
        </w:rPr>
        <w:t>’</w:t>
      </w:r>
      <w:r>
        <w:rPr>
          <w:rStyle w:val="None"/>
          <w:rFonts w:ascii="Helvetica Neue" w:cs="Helvetica Neue" w:hAnsi="Helvetica Neue" w:eastAsia="Helvetica Neue"/>
          <w:b w:val="0"/>
          <w:bCs w:val="0"/>
          <w:i w:val="0"/>
          <w:iCs w:val="0"/>
          <w:vertAlign w:val="superscript"/>
        </w:rPr>
        <w:footnoteReference w:id="15"/>
      </w:r>
      <w:r>
        <w:rPr>
          <w:rStyle w:val="None"/>
          <w:rFonts w:cs="Arial Unicode MS" w:eastAsia="Arial Unicode MS"/>
          <w:rtl w:val="0"/>
          <w:lang w:val="en-US"/>
        </w:rPr>
        <w:t>. Whilst it is impossible to examine Chankillo, or any site, without placing it within its cultural context, it seems that Ghezzi and Ruggles on one hand, and Malvile on the other, have examined the same evidence but have drawn different conclusions. An answer as to why this might be is suggested by Nicholas Campion. He states that because the ancient sky cannot be recreated as a whole at particular moments, and we cannot know what the weather conditions were like. as well as changes to archaeological dating, this culminates in problems in interpretations of ancient sites</w:t>
      </w:r>
      <w:r>
        <w:rPr>
          <w:rStyle w:val="None"/>
          <w:rFonts w:ascii="Helvetica Neue" w:cs="Helvetica Neue" w:hAnsi="Helvetica Neue" w:eastAsia="Helvetica Neue"/>
          <w:b w:val="0"/>
          <w:bCs w:val="0"/>
          <w:i w:val="0"/>
          <w:iCs w:val="0"/>
          <w:vertAlign w:val="superscript"/>
        </w:rPr>
        <w:footnoteReference w:id="16"/>
      </w:r>
      <w:r>
        <w:rPr>
          <w:rStyle w:val="None"/>
          <w:rFonts w:cs="Arial Unicode MS" w:eastAsia="Arial Unicode MS"/>
          <w:rtl w:val="0"/>
          <w:lang w:val="en-US"/>
        </w:rPr>
        <w:t>.</w:t>
      </w:r>
    </w:p>
    <w:p>
      <w:pPr>
        <w:pStyle w:val="Body A"/>
      </w:pPr>
    </w:p>
    <w:p>
      <w:pPr>
        <w:pStyle w:val="Body A"/>
      </w:pPr>
      <w:r>
        <w:rPr>
          <w:rStyle w:val="None"/>
          <w:rFonts w:cs="Arial Unicode MS" w:eastAsia="Arial Unicode MS"/>
          <w:rtl w:val="0"/>
          <w:lang w:val="en-US"/>
        </w:rPr>
        <w:t>However, Malville does not completely dismiss the suggestion that the Thirteen Towers was a form of horizon calendar but instead proposes that it could have been an unintended consequence of the design of the towers</w:t>
      </w:r>
      <w:r>
        <w:rPr>
          <w:rStyle w:val="None"/>
          <w:rFonts w:ascii="Helvetica Neue" w:cs="Helvetica Neue" w:hAnsi="Helvetica Neue" w:eastAsia="Helvetica Neue"/>
          <w:b w:val="0"/>
          <w:bCs w:val="0"/>
          <w:i w:val="0"/>
          <w:iCs w:val="0"/>
          <w:vertAlign w:val="superscript"/>
        </w:rPr>
        <w:footnoteReference w:id="17"/>
      </w:r>
      <w:r>
        <w:rPr>
          <w:rStyle w:val="None"/>
          <w:rFonts w:cs="Arial Unicode MS" w:eastAsia="Arial Unicode MS"/>
          <w:rtl w:val="0"/>
          <w:lang w:val="en-US"/>
        </w:rPr>
        <w:t>. He uses the double staircases built on the sides of the towers as support for this theory because it would have been unnecessary to have them if the towers were intended to be horizon markers</w:t>
      </w:r>
      <w:r>
        <w:rPr>
          <w:rStyle w:val="None"/>
          <w:rFonts w:ascii="Helvetica Neue" w:cs="Helvetica Neue" w:hAnsi="Helvetica Neue" w:eastAsia="Helvetica Neue"/>
          <w:b w:val="0"/>
          <w:bCs w:val="0"/>
          <w:i w:val="0"/>
          <w:iCs w:val="0"/>
          <w:vertAlign w:val="superscript"/>
        </w:rPr>
        <w:footnoteReference w:id="18"/>
      </w:r>
      <w:r>
        <w:rPr>
          <w:rStyle w:val="None"/>
          <w:rFonts w:cs="Arial Unicode MS" w:eastAsia="Arial Unicode MS"/>
          <w:rtl w:val="0"/>
          <w:lang w:val="en-US"/>
        </w:rPr>
        <w:t>. Malville recognises that the towers mark the winter solstice sunrise, as it rises at the centre of tower #13, but the June solstice misses tower #1 by 7 solar diameters; this, alongside the equal spacing of the towers suggests that the towers do not represent a meaningful calendar. This is clear example of Malville examining the skyscape evidence at the site and using it to support his theory. Malville takes his argument a step further by criticising the second observation point identified by Ghezzi and Ruggles. He proposes that they selected the observation point because it provided the desired view of the sunset over tower #1</w:t>
      </w:r>
      <w:r>
        <w:rPr>
          <w:rStyle w:val="None"/>
          <w:rFonts w:ascii="Helvetica Neue" w:cs="Helvetica Neue" w:hAnsi="Helvetica Neue" w:eastAsia="Helvetica Neue"/>
          <w:b w:val="0"/>
          <w:bCs w:val="0"/>
          <w:i w:val="0"/>
          <w:iCs w:val="0"/>
          <w:vertAlign w:val="superscript"/>
        </w:rPr>
        <w:footnoteReference w:id="19"/>
      </w:r>
      <w:r>
        <w:rPr>
          <w:rStyle w:val="None"/>
          <w:rFonts w:cs="Arial Unicode MS" w:eastAsia="Arial Unicode MS"/>
          <w:rtl w:val="0"/>
          <w:lang w:val="en-US"/>
        </w:rPr>
        <w:t xml:space="preserve"> and not based any solid evidence. </w:t>
      </w:r>
    </w:p>
    <w:p>
      <w:pPr>
        <w:pStyle w:val="Body A"/>
      </w:pPr>
    </w:p>
    <w:p>
      <w:pPr>
        <w:pStyle w:val="Body A"/>
      </w:pPr>
      <w:r>
        <w:rPr>
          <w:rStyle w:val="None"/>
          <w:rFonts w:cs="Arial Unicode MS" w:eastAsia="Arial Unicode MS"/>
          <w:rtl w:val="0"/>
          <w:lang w:val="en-US"/>
        </w:rPr>
        <w:t>The papers have conflicting ideas about astronomical function of Chankillo, despite them both examining the physical evidence of the site. Both arguments are compelling because they each measure the sunrises and sunsets at the solstices in reference to the towers and other significant structures on the site. The greatest strength of Ghezzi and Ruggles</w:t>
      </w:r>
      <w:r>
        <w:rPr>
          <w:rStyle w:val="None"/>
          <w:rFonts w:cs="Arial Unicode MS" w:eastAsia="Arial Unicode MS" w:hint="default"/>
          <w:rtl w:val="0"/>
          <w:lang w:val="en-US"/>
        </w:rPr>
        <w:t xml:space="preserve">’ </w:t>
      </w:r>
      <w:r>
        <w:rPr>
          <w:rStyle w:val="None"/>
          <w:rFonts w:cs="Arial Unicode MS" w:eastAsia="Arial Unicode MS"/>
          <w:rtl w:val="0"/>
          <w:lang w:val="en-US"/>
        </w:rPr>
        <w:t>paper is their use of a TST to support their previous results (as published in their 2007 paper</w:t>
      </w:r>
      <w:r>
        <w:rPr>
          <w:rStyle w:val="None"/>
          <w:rFonts w:ascii="Helvetica Neue" w:cs="Helvetica Neue" w:hAnsi="Helvetica Neue" w:eastAsia="Helvetica Neue"/>
          <w:b w:val="0"/>
          <w:bCs w:val="0"/>
          <w:i w:val="0"/>
          <w:iCs w:val="0"/>
          <w:vertAlign w:val="superscript"/>
        </w:rPr>
        <w:footnoteReference w:id="20"/>
      </w:r>
      <w:r>
        <w:rPr>
          <w:rStyle w:val="None"/>
          <w:rFonts w:cs="Arial Unicode MS" w:eastAsia="Arial Unicode MS"/>
          <w:rtl w:val="0"/>
          <w:lang w:val="en-US"/>
        </w:rPr>
        <w:t>); performing the same test several years apart helps to negate potential issues with weather conditions and improves the reliability of their evidence, and so strengthens their argument. However, they also acknowledge Malville</w:t>
      </w:r>
      <w:r>
        <w:rPr>
          <w:rStyle w:val="None"/>
          <w:rFonts w:cs="Arial Unicode MS" w:eastAsia="Arial Unicode MS" w:hint="default"/>
          <w:rtl w:val="0"/>
          <w:lang w:val="en-US"/>
        </w:rPr>
        <w:t>’</w:t>
      </w:r>
      <w:r>
        <w:rPr>
          <w:rStyle w:val="None"/>
          <w:rFonts w:cs="Arial Unicode MS" w:eastAsia="Arial Unicode MS"/>
          <w:rtl w:val="0"/>
          <w:lang w:val="en-US"/>
        </w:rPr>
        <w:t xml:space="preserve">s argument that </w:t>
      </w:r>
      <w:r>
        <w:rPr>
          <w:rStyle w:val="None"/>
          <w:rFonts w:cs="Arial Unicode MS" w:eastAsia="Arial Unicode MS" w:hint="default"/>
          <w:rtl w:val="0"/>
          <w:lang w:val="en-US"/>
        </w:rPr>
        <w:t>‘</w:t>
      </w:r>
      <w:r>
        <w:rPr>
          <w:rStyle w:val="None"/>
          <w:rFonts w:cs="Arial Unicode MS" w:eastAsia="Arial Unicode MS"/>
          <w:rtl w:val="0"/>
          <w:lang w:val="en-US"/>
        </w:rPr>
        <w:t>the symbolism, form, and context of the towers exceed what is required for their most basic function as horizon markers casts doubt that their only purpose would have been practical</w:t>
      </w:r>
      <w:r>
        <w:rPr>
          <w:rStyle w:val="None"/>
          <w:rFonts w:cs="Arial Unicode MS" w:eastAsia="Arial Unicode MS" w:hint="default"/>
          <w:rtl w:val="0"/>
          <w:lang w:val="en-US"/>
        </w:rPr>
        <w:t>’</w:t>
      </w:r>
      <w:r>
        <w:rPr>
          <w:rStyle w:val="None"/>
          <w:rFonts w:ascii="Helvetica Neue" w:cs="Helvetica Neue" w:hAnsi="Helvetica Neue" w:eastAsia="Helvetica Neue"/>
          <w:b w:val="0"/>
          <w:bCs w:val="0"/>
          <w:i w:val="0"/>
          <w:iCs w:val="0"/>
          <w:vertAlign w:val="superscript"/>
        </w:rPr>
        <w:footnoteReference w:id="21"/>
      </w:r>
      <w:r>
        <w:rPr>
          <w:rStyle w:val="None"/>
          <w:rFonts w:cs="Arial Unicode MS" w:eastAsia="Arial Unicode MS"/>
          <w:rtl w:val="0"/>
          <w:lang w:val="en-US"/>
        </w:rPr>
        <w:t>. This shows that they are aware of other theories in the field and realise it is difficult to be completely sure of interpretations of ancient sites. Similarly, the greatest strength of Malville</w:t>
      </w:r>
      <w:r>
        <w:rPr>
          <w:rStyle w:val="None"/>
          <w:rFonts w:cs="Arial Unicode MS" w:eastAsia="Arial Unicode MS" w:hint="default"/>
          <w:rtl w:val="0"/>
          <w:lang w:val="en-US"/>
        </w:rPr>
        <w:t>’</w:t>
      </w:r>
      <w:r>
        <w:rPr>
          <w:rStyle w:val="None"/>
          <w:rFonts w:cs="Arial Unicode MS" w:eastAsia="Arial Unicode MS"/>
          <w:rtl w:val="0"/>
          <w:lang w:val="en-US"/>
        </w:rPr>
        <w:t>s paper is the thorough examination of the site. The particular focus on the stairs on the towers, for example, and their relationship to Andean cosmology does not reduce the Chankillo site to solar measurements, but rather examines the importance of the sky in Andean life.</w:t>
      </w:r>
    </w:p>
    <w:p>
      <w:pPr>
        <w:pStyle w:val="Body A"/>
      </w:pPr>
    </w:p>
    <w:p>
      <w:pPr>
        <w:pStyle w:val="Body A"/>
      </w:pPr>
      <w:r>
        <w:rPr>
          <w:rStyle w:val="None"/>
          <w:rFonts w:cs="Arial Unicode MS" w:eastAsia="Arial Unicode MS"/>
          <w:rtl w:val="0"/>
          <w:lang w:val="en-US"/>
        </w:rPr>
        <w:t>In terms of the weaknesses, Ghezzi and Ruggles</w:t>
      </w:r>
      <w:r>
        <w:rPr>
          <w:rStyle w:val="None"/>
          <w:rFonts w:cs="Arial Unicode MS" w:eastAsia="Arial Unicode MS" w:hint="default"/>
          <w:rtl w:val="0"/>
          <w:lang w:val="en-US"/>
        </w:rPr>
        <w:t xml:space="preserve">’ </w:t>
      </w:r>
      <w:r>
        <w:rPr>
          <w:rStyle w:val="None"/>
          <w:rFonts w:cs="Arial Unicode MS" w:eastAsia="Arial Unicode MS"/>
          <w:rtl w:val="0"/>
          <w:lang w:val="en-US"/>
        </w:rPr>
        <w:t>paper does heavily focus on the theory that the Thirteen Towers were used a horizon calendar. Although they acknowledge that the towers could have other functions, this is not something they actively explain and does weight the argument in their favour. Furthermore, if Malville</w:t>
      </w:r>
      <w:r>
        <w:rPr>
          <w:rStyle w:val="None"/>
          <w:rFonts w:cs="Arial Unicode MS" w:eastAsia="Arial Unicode MS" w:hint="default"/>
          <w:rtl w:val="0"/>
          <w:lang w:val="en-US"/>
        </w:rPr>
        <w:t>’</w:t>
      </w:r>
      <w:r>
        <w:rPr>
          <w:rStyle w:val="None"/>
          <w:rFonts w:cs="Arial Unicode MS" w:eastAsia="Arial Unicode MS"/>
          <w:rtl w:val="0"/>
          <w:lang w:val="en-US"/>
        </w:rPr>
        <w:t>s theory that the suggested site of the second observation point was chosen by Ghezzi and Ruggles because it provided their desired view of the sunset</w:t>
      </w:r>
      <w:r>
        <w:rPr>
          <w:rStyle w:val="None"/>
          <w:rFonts w:ascii="Helvetica Neue" w:cs="Helvetica Neue" w:hAnsi="Helvetica Neue" w:eastAsia="Helvetica Neue"/>
          <w:b w:val="0"/>
          <w:bCs w:val="0"/>
          <w:i w:val="0"/>
          <w:iCs w:val="0"/>
          <w:vertAlign w:val="superscript"/>
        </w:rPr>
        <w:footnoteReference w:id="22"/>
      </w:r>
      <w:r>
        <w:rPr>
          <w:rStyle w:val="None"/>
          <w:rFonts w:cs="Arial Unicode MS" w:eastAsia="Arial Unicode MS"/>
          <w:rtl w:val="0"/>
          <w:lang w:val="en-US"/>
        </w:rPr>
        <w:t>, then this makes their argument and the evidence that supports it questionable. It could be said that a weakness of Malville</w:t>
      </w:r>
      <w:r>
        <w:rPr>
          <w:rStyle w:val="None"/>
          <w:rFonts w:cs="Arial Unicode MS" w:eastAsia="Arial Unicode MS" w:hint="default"/>
          <w:rtl w:val="0"/>
          <w:lang w:val="en-US"/>
        </w:rPr>
        <w:t>’</w:t>
      </w:r>
      <w:r>
        <w:rPr>
          <w:rStyle w:val="None"/>
          <w:rFonts w:cs="Arial Unicode MS" w:eastAsia="Arial Unicode MS"/>
          <w:rtl w:val="0"/>
          <w:lang w:val="en-US"/>
        </w:rPr>
        <w:t>s paper is there is not as much fieldwork based evidence in comparison to Ghezzi and Ruggles. Malville does use annotated photos in the paper, but does not employ archaeological field surveys such as the TST. This means that there is less evidence to support his arguments.</w:t>
      </w:r>
    </w:p>
    <w:p>
      <w:pPr>
        <w:pStyle w:val="Body A"/>
      </w:pPr>
    </w:p>
    <w:p>
      <w:pPr>
        <w:pStyle w:val="Body A"/>
      </w:pPr>
      <w:r>
        <w:rPr>
          <w:rStyle w:val="None"/>
          <w:rFonts w:cs="Arial Unicode MS" w:eastAsia="Arial Unicode MS"/>
          <w:rtl w:val="0"/>
          <w:lang w:val="en-US"/>
        </w:rPr>
        <w:t>Whilst both papers examine the ancient site at Chankillo, they come to different conclusions as to the astronomical function of it. Ghezzi and Ruggles argue that it was used to measure solar movements, such as at the solstices sunrises and sunsets, and possibly even had lunar associations as well. Malville believes the the towers were more closely related to Andean ritual and worship, and their belief that the towers could carry them from the terrestrial to the solar realm</w:t>
      </w:r>
      <w:r>
        <w:rPr>
          <w:rStyle w:val="None"/>
          <w:rFonts w:ascii="Helvetica Neue" w:cs="Helvetica Neue" w:hAnsi="Helvetica Neue" w:eastAsia="Helvetica Neue"/>
          <w:b w:val="0"/>
          <w:bCs w:val="0"/>
          <w:i w:val="0"/>
          <w:iCs w:val="0"/>
          <w:vertAlign w:val="superscript"/>
        </w:rPr>
        <w:footnoteReference w:id="23"/>
      </w:r>
      <w:r>
        <w:rPr>
          <w:rStyle w:val="None"/>
          <w:rFonts w:cs="Arial Unicode MS" w:eastAsia="Arial Unicode MS"/>
          <w:rtl w:val="0"/>
          <w:lang w:val="en-US"/>
        </w:rPr>
        <w:t>. They agree on some level that Chankillo could have been used as a place of ritual worship. Ghezzi and Ruggles and Malville both thoroughly examine the site and measure the solar alignments, with Ghezzi and Ruggles performing a Total Survey to support their claims. A comparison of these two papers show that there can be very different conclusions drawn about the same site which highlights how complex it is to fully clarify the exact relationship between ancient sites and the sky.</w:t>
      </w:r>
    </w:p>
    <w:p>
      <w:pPr>
        <w:pStyle w:val="Body A"/>
      </w:pPr>
    </w:p>
    <w:p>
      <w:pPr>
        <w:pStyle w:val="Body A"/>
      </w:pPr>
    </w:p>
    <w:p>
      <w:pPr>
        <w:pStyle w:val="Body A"/>
      </w:pPr>
    </w:p>
    <w:p>
      <w:pPr>
        <w:pStyle w:val="Body A"/>
      </w:pPr>
      <w:r>
        <w:rPr>
          <w:rStyle w:val="None"/>
          <w:rFonts w:ascii="Arial Unicode MS" w:cs="Arial Unicode MS" w:hAnsi="Arial Unicode MS" w:eastAsia="Arial Unicode MS"/>
          <w:b w:val="0"/>
          <w:bCs w:val="0"/>
          <w:i w:val="0"/>
          <w:iCs w:val="0"/>
        </w:rPr>
        <w:br w:type="page"/>
      </w:r>
    </w:p>
    <w:p>
      <w:pPr>
        <w:pStyle w:val="Body A"/>
      </w:pPr>
    </w:p>
    <w:p>
      <w:pPr>
        <w:pStyle w:val="Body A"/>
        <w:rPr>
          <w:rStyle w:val="None"/>
          <w:u w:val="single"/>
        </w:rPr>
      </w:pPr>
      <w:r>
        <w:rPr>
          <w:rStyle w:val="Hyperlink.1"/>
          <w:rFonts w:cs="Arial Unicode MS" w:eastAsia="Arial Unicode MS"/>
          <w:rtl w:val="0"/>
          <w:lang w:val="en-US"/>
        </w:rPr>
        <w:t xml:space="preserve">Bibliography </w:t>
      </w:r>
    </w:p>
    <w:p>
      <w:pPr>
        <w:pStyle w:val="Body A"/>
        <w:rPr>
          <w:rStyle w:val="None"/>
          <w:u w:val="single"/>
        </w:rPr>
      </w:pPr>
    </w:p>
    <w:p>
      <w:pPr>
        <w:pStyle w:val="Footnote"/>
      </w:pPr>
      <w:r>
        <w:rPr>
          <w:rStyle w:val="None"/>
          <w:rFonts w:cs="Arial Unicode MS" w:eastAsia="Arial Unicode MS"/>
          <w:rtl w:val="0"/>
          <w:lang w:val="en-US"/>
        </w:rPr>
        <w:t xml:space="preserve">Ghezzi, I., and Clive Ruggles, </w:t>
      </w:r>
      <w:r>
        <w:rPr>
          <w:rStyle w:val="None"/>
          <w:rFonts w:cs="Arial Unicode MS" w:eastAsia="Arial Unicode MS" w:hint="default"/>
          <w:rtl w:val="0"/>
          <w:lang w:val="en-US"/>
        </w:rPr>
        <w:t>‘</w:t>
      </w:r>
      <w:r>
        <w:rPr>
          <w:rStyle w:val="None"/>
          <w:rFonts w:cs="Arial Unicode MS" w:eastAsia="Arial Unicode MS"/>
          <w:rtl w:val="0"/>
          <w:lang w:val="en-US"/>
        </w:rPr>
        <w:t>The Social and Ritual Context of Horizon Astronomical Observations at Chankillo</w:t>
      </w:r>
      <w:r>
        <w:rPr>
          <w:rStyle w:val="None"/>
          <w:rFonts w:cs="Arial Unicode MS" w:eastAsia="Arial Unicode MS" w:hint="default"/>
          <w:rtl w:val="0"/>
          <w:lang w:val="en-US"/>
        </w:rPr>
        <w:t>’</w:t>
      </w:r>
      <w:r>
        <w:rPr>
          <w:rStyle w:val="None"/>
          <w:rFonts w:cs="Arial Unicode MS" w:eastAsia="Arial Unicode MS"/>
          <w:rtl w:val="0"/>
          <w:lang w:val="en-US"/>
        </w:rPr>
        <w:t xml:space="preserve">, in Ruggles, C.L.N (ed.), </w:t>
      </w:r>
      <w:r>
        <w:rPr>
          <w:rStyle w:val="None"/>
          <w:rFonts w:cs="Arial Unicode MS" w:eastAsia="Arial Unicode MS" w:hint="default"/>
          <w:i w:val="1"/>
          <w:iCs w:val="1"/>
          <w:rtl w:val="0"/>
          <w:lang w:val="en-US"/>
        </w:rPr>
        <w:t>“</w:t>
      </w:r>
      <w:r>
        <w:rPr>
          <w:rStyle w:val="None"/>
          <w:rFonts w:cs="Arial Unicode MS" w:eastAsia="Arial Unicode MS"/>
          <w:i w:val="1"/>
          <w:iCs w:val="1"/>
          <w:rtl w:val="0"/>
          <w:lang w:val="en-US"/>
        </w:rPr>
        <w:t>Oxford IX</w:t>
      </w:r>
      <w:r>
        <w:rPr>
          <w:rStyle w:val="None"/>
          <w:rFonts w:cs="Arial Unicode MS" w:eastAsia="Arial Unicode MS" w:hint="default"/>
          <w:i w:val="1"/>
          <w:iCs w:val="1"/>
          <w:rtl w:val="0"/>
          <w:lang w:val="en-US"/>
        </w:rPr>
        <w:t xml:space="preserve">” </w:t>
      </w:r>
      <w:r>
        <w:rPr>
          <w:rStyle w:val="None"/>
          <w:rFonts w:cs="Arial Unicode MS" w:eastAsia="Arial Unicode MS"/>
          <w:i w:val="1"/>
          <w:iCs w:val="1"/>
          <w:rtl w:val="0"/>
          <w:lang w:val="en-US"/>
        </w:rPr>
        <w:t>International Symposium on Archaeoastronomy</w:t>
      </w:r>
      <w:r>
        <w:rPr>
          <w:rStyle w:val="None"/>
          <w:rFonts w:cs="Arial Unicode MS" w:eastAsia="Arial Unicode MS"/>
          <w:rtl w:val="0"/>
          <w:lang w:val="en-US"/>
        </w:rPr>
        <w:t>. Proceedings IAU Symposium, No. 278, 2011. pp.144-153</w:t>
      </w:r>
    </w:p>
    <w:p>
      <w:pPr>
        <w:pStyle w:val="Footnote"/>
      </w:pPr>
    </w:p>
    <w:p>
      <w:pPr>
        <w:pStyle w:val="Footnote"/>
      </w:pPr>
      <w:r>
        <w:rPr>
          <w:rStyle w:val="None"/>
          <w:rFonts w:cs="Arial Unicode MS" w:eastAsia="Arial Unicode MS"/>
          <w:rtl w:val="0"/>
          <w:lang w:val="en-US"/>
        </w:rPr>
        <w:t xml:space="preserve">McKim Malville, J., </w:t>
      </w:r>
      <w:r>
        <w:rPr>
          <w:rStyle w:val="None"/>
          <w:rFonts w:cs="Arial Unicode MS" w:eastAsia="Arial Unicode MS" w:hint="default"/>
          <w:rtl w:val="0"/>
          <w:lang w:val="en-US"/>
        </w:rPr>
        <w:t>’</w:t>
      </w:r>
      <w:r>
        <w:rPr>
          <w:rStyle w:val="None"/>
          <w:rFonts w:cs="Arial Unicode MS" w:eastAsia="Arial Unicode MS"/>
          <w:rtl w:val="0"/>
          <w:lang w:val="en-US"/>
        </w:rPr>
        <w:t>Astronomy and Ceremony at Chankillo: an Andean Perspective</w:t>
      </w:r>
      <w:r>
        <w:rPr>
          <w:rStyle w:val="None"/>
          <w:rFonts w:cs="Arial Unicode MS" w:eastAsia="Arial Unicode MS" w:hint="default"/>
          <w:rtl w:val="0"/>
          <w:lang w:val="en-US"/>
        </w:rPr>
        <w:t>’</w:t>
      </w:r>
      <w:r>
        <w:rPr>
          <w:rStyle w:val="None"/>
          <w:rFonts w:cs="Arial Unicode MS" w:eastAsia="Arial Unicode MS"/>
          <w:rtl w:val="0"/>
          <w:lang w:val="en-US"/>
        </w:rPr>
        <w:t xml:space="preserve">, in Ruggles, C.L.N (ed.), </w:t>
      </w:r>
      <w:r>
        <w:rPr>
          <w:rStyle w:val="None"/>
          <w:rFonts w:cs="Arial Unicode MS" w:eastAsia="Arial Unicode MS" w:hint="default"/>
          <w:i w:val="1"/>
          <w:iCs w:val="1"/>
          <w:rtl w:val="0"/>
          <w:lang w:val="en-US"/>
        </w:rPr>
        <w:t>“</w:t>
      </w:r>
      <w:r>
        <w:rPr>
          <w:rStyle w:val="None"/>
          <w:rFonts w:cs="Arial Unicode MS" w:eastAsia="Arial Unicode MS"/>
          <w:i w:val="1"/>
          <w:iCs w:val="1"/>
          <w:rtl w:val="0"/>
          <w:lang w:val="en-US"/>
        </w:rPr>
        <w:t>Oxford IX</w:t>
      </w:r>
      <w:r>
        <w:rPr>
          <w:rStyle w:val="None"/>
          <w:rFonts w:cs="Arial Unicode MS" w:eastAsia="Arial Unicode MS" w:hint="default"/>
          <w:i w:val="1"/>
          <w:iCs w:val="1"/>
          <w:rtl w:val="0"/>
          <w:lang w:val="en-US"/>
        </w:rPr>
        <w:t xml:space="preserve">” </w:t>
      </w:r>
      <w:r>
        <w:rPr>
          <w:rStyle w:val="None"/>
          <w:rFonts w:cs="Arial Unicode MS" w:eastAsia="Arial Unicode MS"/>
          <w:i w:val="1"/>
          <w:iCs w:val="1"/>
          <w:rtl w:val="0"/>
          <w:lang w:val="en-US"/>
        </w:rPr>
        <w:t>International Symposium on Archaeoastronomy</w:t>
      </w:r>
      <w:r>
        <w:rPr>
          <w:rStyle w:val="None"/>
          <w:rFonts w:cs="Arial Unicode MS" w:eastAsia="Arial Unicode MS"/>
          <w:rtl w:val="0"/>
          <w:lang w:val="en-US"/>
        </w:rPr>
        <w:t>. Proceedings IAU Symposium, No. 278, 2011. pp.154-161</w:t>
      </w:r>
    </w:p>
    <w:p>
      <w:pPr>
        <w:pStyle w:val="Footnote"/>
      </w:pPr>
    </w:p>
    <w:p>
      <w:pPr>
        <w:pStyle w:val="Footnote"/>
        <w:rPr>
          <w:rStyle w:val="None"/>
          <w:u w:val="single"/>
        </w:rPr>
      </w:pPr>
      <w:r>
        <w:rPr>
          <w:rStyle w:val="Hyperlink.1"/>
          <w:rFonts w:cs="Arial Unicode MS" w:eastAsia="Arial Unicode MS"/>
          <w:rtl w:val="0"/>
          <w:lang w:val="en-US"/>
        </w:rPr>
        <w:t>Other bibliography</w:t>
      </w:r>
    </w:p>
    <w:p>
      <w:pPr>
        <w:pStyle w:val="Footnote"/>
        <w:rPr>
          <w:rStyle w:val="None"/>
          <w:u w:val="single"/>
        </w:rPr>
      </w:pPr>
    </w:p>
    <w:p>
      <w:pPr>
        <w:pStyle w:val="Footnote"/>
      </w:pPr>
      <w:r>
        <w:rPr>
          <w:rStyle w:val="None"/>
          <w:rFonts w:cs="Arial Unicode MS" w:eastAsia="Arial Unicode MS"/>
          <w:rtl w:val="0"/>
          <w:lang w:val="en-US"/>
        </w:rPr>
        <w:t xml:space="preserve">Bedford, John, Trevor Pearson and Bernard Thomason, </w:t>
      </w:r>
      <w:r>
        <w:rPr>
          <w:rStyle w:val="None"/>
          <w:rFonts w:cs="Arial Unicode MS" w:eastAsia="Arial Unicode MS" w:hint="default"/>
          <w:rtl w:val="0"/>
          <w:lang w:val="en-US"/>
        </w:rPr>
        <w:t>‘</w:t>
      </w:r>
      <w:r>
        <w:rPr>
          <w:rStyle w:val="None"/>
          <w:rFonts w:cs="Arial Unicode MS" w:eastAsia="Arial Unicode MS"/>
          <w:rtl w:val="0"/>
          <w:lang w:val="en-US"/>
        </w:rPr>
        <w:t>Traversing the Past: The Total Station Theodolite in Archaeological Landscape Survey, Historic England &lt;</w:t>
      </w:r>
      <w:r>
        <w:rPr>
          <w:rStyle w:val="Hyperlink.1"/>
        </w:rPr>
        <w:fldChar w:fldCharType="begin" w:fldLock="0"/>
      </w:r>
      <w:r>
        <w:rPr>
          <w:rStyle w:val="Hyperlink.1"/>
        </w:rPr>
        <w:instrText xml:space="preserve"> HYPERLINK "https://historicengland.org.uk/images-books/publications/traversingthepast/heag062-traversing-the-past/"</w:instrText>
      </w:r>
      <w:r>
        <w:rPr>
          <w:rStyle w:val="Hyperlink.1"/>
        </w:rPr>
        <w:fldChar w:fldCharType="separate" w:fldLock="0"/>
      </w:r>
      <w:r>
        <w:rPr>
          <w:rStyle w:val="Hyperlink.1"/>
          <w:rFonts w:cs="Arial Unicode MS" w:eastAsia="Arial Unicode MS"/>
          <w:rtl w:val="0"/>
          <w:lang w:val="en-US"/>
        </w:rPr>
        <w:t>https://historicengland.org.uk/images-books/publications/traversingthepast/heag062-traversing-the-past/</w:t>
      </w:r>
      <w:r>
        <w:rPr/>
        <w:fldChar w:fldCharType="end" w:fldLock="0"/>
      </w:r>
      <w:r>
        <w:rPr>
          <w:rStyle w:val="None"/>
          <w:rFonts w:cs="Arial Unicode MS" w:eastAsia="Arial Unicode MS"/>
          <w:rtl w:val="0"/>
          <w:lang w:val="en-US"/>
        </w:rPr>
        <w:t>&gt; [accessed March 29, 2020]</w:t>
      </w:r>
    </w:p>
    <w:p>
      <w:pPr>
        <w:pStyle w:val="Footnote"/>
      </w:pPr>
    </w:p>
    <w:p>
      <w:pPr>
        <w:pStyle w:val="Footnote"/>
      </w:pPr>
      <w:r>
        <w:rPr>
          <w:rStyle w:val="None"/>
          <w:rFonts w:cs="Arial Unicode MS" w:eastAsia="Arial Unicode MS"/>
          <w:rtl w:val="0"/>
          <w:lang w:val="en-US"/>
        </w:rPr>
        <w:t xml:space="preserve">Campion, Nicholas, </w:t>
      </w:r>
      <w:r>
        <w:rPr>
          <w:rStyle w:val="None"/>
          <w:rFonts w:cs="Arial Unicode MS" w:eastAsia="Arial Unicode MS" w:hint="default"/>
          <w:rtl w:val="0"/>
          <w:lang w:val="en-US"/>
        </w:rPr>
        <w:t>‘</w:t>
      </w:r>
      <w:r>
        <w:rPr>
          <w:rStyle w:val="None"/>
          <w:rFonts w:cs="Arial Unicode MS" w:eastAsia="Arial Unicode MS"/>
          <w:rtl w:val="0"/>
          <w:lang w:val="en-US"/>
        </w:rPr>
        <w:t>Skyscapes: Locating Archaeoastronomy within Academia</w:t>
      </w:r>
      <w:r>
        <w:rPr>
          <w:rStyle w:val="None"/>
          <w:rFonts w:ascii="Arial Unicode MS" w:hAnsi="Arial Unicode MS" w:hint="default"/>
          <w:rtl w:val="1"/>
        </w:rPr>
        <w:t>’</w:t>
      </w:r>
      <w:r>
        <w:rPr>
          <w:rStyle w:val="None"/>
          <w:rFonts w:cs="Arial Unicode MS" w:eastAsia="Arial Unicode MS"/>
          <w:rtl w:val="0"/>
          <w:lang w:val="en-US"/>
        </w:rPr>
        <w:t xml:space="preserve">, in </w:t>
      </w:r>
      <w:r>
        <w:rPr>
          <w:rStyle w:val="None"/>
          <w:rFonts w:cs="Arial Unicode MS" w:eastAsia="Arial Unicode MS"/>
          <w:i w:val="1"/>
          <w:iCs w:val="1"/>
          <w:rtl w:val="0"/>
          <w:lang w:val="en-US"/>
        </w:rPr>
        <w:t>Skyscapes: The Role and Importance of the Sky in Archaeology</w:t>
      </w:r>
      <w:r>
        <w:rPr>
          <w:rStyle w:val="None"/>
          <w:rFonts w:cs="Arial Unicode MS" w:eastAsia="Arial Unicode MS"/>
          <w:rtl w:val="0"/>
          <w:lang w:val="en-US"/>
        </w:rPr>
        <w:t>, ed. by Fabio Silva and Nicholas Campion, pp. 8-19 (Oxford: Oxbow Books, 2015)</w:t>
      </w:r>
    </w:p>
    <w:p>
      <w:pPr>
        <w:pStyle w:val="Footnote"/>
      </w:pPr>
    </w:p>
    <w:p>
      <w:pPr>
        <w:pStyle w:val="Footnote"/>
      </w:pPr>
      <w:r>
        <w:rPr>
          <w:rStyle w:val="None"/>
          <w:rFonts w:cs="Arial Unicode MS" w:eastAsia="Arial Unicode MS"/>
          <w:rtl w:val="0"/>
          <w:lang w:val="en-US"/>
        </w:rPr>
        <w:t xml:space="preserve">Ghezzi, Ivan, and Clive Ruggles, </w:t>
      </w:r>
      <w:r>
        <w:rPr>
          <w:rStyle w:val="None"/>
          <w:rFonts w:cs="Arial Unicode MS" w:eastAsia="Arial Unicode MS" w:hint="default"/>
          <w:rtl w:val="0"/>
          <w:lang w:val="en-US"/>
        </w:rPr>
        <w:t>‘</w:t>
      </w:r>
      <w:r>
        <w:rPr>
          <w:rStyle w:val="None"/>
          <w:rFonts w:cs="Arial Unicode MS" w:eastAsia="Arial Unicode MS"/>
          <w:rtl w:val="0"/>
          <w:lang w:val="en-US"/>
        </w:rPr>
        <w:t>Chankillo: A 2300-Year-Old Solar Observatory in Coastal Peru</w:t>
      </w:r>
      <w:r>
        <w:rPr>
          <w:rStyle w:val="None"/>
          <w:rFonts w:cs="Arial Unicode MS" w:eastAsia="Arial Unicode MS" w:hint="default"/>
          <w:rtl w:val="0"/>
          <w:lang w:val="en-US"/>
        </w:rPr>
        <w:t>’</w:t>
      </w:r>
      <w:r>
        <w:rPr>
          <w:rStyle w:val="None"/>
          <w:rFonts w:cs="Arial Unicode MS" w:eastAsia="Arial Unicode MS"/>
          <w:rtl w:val="0"/>
          <w:lang w:val="en-US"/>
        </w:rPr>
        <w:t xml:space="preserve">, </w:t>
      </w:r>
      <w:r>
        <w:rPr>
          <w:rStyle w:val="None"/>
          <w:rFonts w:cs="Arial Unicode MS" w:eastAsia="Arial Unicode MS"/>
          <w:i w:val="1"/>
          <w:iCs w:val="1"/>
          <w:rtl w:val="0"/>
          <w:lang w:val="en-US"/>
        </w:rPr>
        <w:t>Science</w:t>
      </w:r>
      <w:r>
        <w:rPr>
          <w:rStyle w:val="None"/>
          <w:rFonts w:cs="Arial Unicode MS" w:eastAsia="Arial Unicode MS"/>
          <w:rtl w:val="0"/>
          <w:lang w:val="en-US"/>
        </w:rPr>
        <w:t>, 315, 2007. pp.1239-1243</w:t>
      </w:r>
    </w:p>
    <w:p>
      <w:pPr>
        <w:pStyle w:val="Footnote"/>
      </w:pPr>
    </w:p>
    <w:p>
      <w:pPr>
        <w:pStyle w:val="Footnote"/>
      </w:pPr>
      <w:r>
        <w:rPr>
          <w:rStyle w:val="None"/>
          <w:rFonts w:cs="Arial Unicode MS" w:eastAsia="Arial Unicode MS"/>
          <w:rtl w:val="0"/>
          <w:lang w:val="en-US"/>
        </w:rPr>
        <w:t xml:space="preserve">Gullberg, Steven R., </w:t>
      </w:r>
      <w:r>
        <w:rPr>
          <w:rStyle w:val="None"/>
          <w:rFonts w:cs="Arial Unicode MS" w:eastAsia="Arial Unicode MS" w:hint="default"/>
          <w:rtl w:val="0"/>
          <w:lang w:val="en-US"/>
        </w:rPr>
        <w:t>‘</w:t>
      </w:r>
      <w:r>
        <w:rPr>
          <w:rStyle w:val="None"/>
          <w:rFonts w:cs="Arial Unicode MS" w:eastAsia="Arial Unicode MS"/>
          <w:rtl w:val="0"/>
          <w:lang w:val="en-US"/>
        </w:rPr>
        <w:t>Inca Solar Orientations in Southeastern Peru</w:t>
      </w:r>
      <w:r>
        <w:rPr>
          <w:rStyle w:val="None"/>
          <w:rFonts w:cs="Arial Unicode MS" w:eastAsia="Arial Unicode MS" w:hint="default"/>
          <w:rtl w:val="0"/>
          <w:lang w:val="en-US"/>
        </w:rPr>
        <w:t>’</w:t>
      </w:r>
      <w:r>
        <w:rPr>
          <w:rStyle w:val="None"/>
          <w:rFonts w:cs="Arial Unicode MS" w:eastAsia="Arial Unicode MS"/>
          <w:rtl w:val="0"/>
          <w:lang w:val="en-US"/>
        </w:rPr>
        <w:t xml:space="preserve">, </w:t>
      </w:r>
      <w:r>
        <w:rPr>
          <w:rStyle w:val="None"/>
          <w:rFonts w:cs="Arial Unicode MS" w:eastAsia="Arial Unicode MS"/>
          <w:i w:val="1"/>
          <w:iCs w:val="1"/>
          <w:rtl w:val="0"/>
          <w:lang w:val="en-US"/>
        </w:rPr>
        <w:t>Journal of Cosmology</w:t>
      </w:r>
      <w:r>
        <w:rPr>
          <w:rStyle w:val="None"/>
          <w:rFonts w:cs="Arial Unicode MS" w:eastAsia="Arial Unicode MS"/>
          <w:rtl w:val="0"/>
          <w:lang w:val="en-US"/>
        </w:rPr>
        <w:t xml:space="preserve">, 9 (2010) 2078-2091, </w:t>
      </w:r>
      <w:r>
        <w:rPr>
          <w:rStyle w:val="Hyperlink.1"/>
        </w:rPr>
        <w:fldChar w:fldCharType="begin" w:fldLock="0"/>
      </w:r>
      <w:r>
        <w:rPr>
          <w:rStyle w:val="Hyperlink.1"/>
        </w:rPr>
        <w:instrText xml:space="preserve"> HYPERLINK "http://journalofcosmology.com/AncientAstronomy104.html"</w:instrText>
      </w:r>
      <w:r>
        <w:rPr>
          <w:rStyle w:val="Hyperlink.1"/>
        </w:rPr>
        <w:fldChar w:fldCharType="separate" w:fldLock="0"/>
      </w:r>
      <w:r>
        <w:rPr>
          <w:rStyle w:val="Hyperlink.1"/>
          <w:rFonts w:cs="Arial Unicode MS" w:eastAsia="Arial Unicode MS"/>
          <w:rtl w:val="0"/>
          <w:lang w:val="en-US"/>
        </w:rPr>
        <w:t>http://journalofcosmology.com/AncientAstronomy104.html</w:t>
      </w:r>
      <w:r>
        <w:rPr/>
        <w:fldChar w:fldCharType="end" w:fldLock="0"/>
      </w:r>
      <w:r>
        <w:rPr>
          <w:rStyle w:val="None"/>
          <w:rFonts w:cs="Arial Unicode MS" w:eastAsia="Arial Unicode MS"/>
          <w:rtl w:val="0"/>
          <w:lang w:val="en-US"/>
        </w:rPr>
        <w:t xml:space="preserve"> </w:t>
      </w:r>
    </w:p>
    <w:p>
      <w:pPr>
        <w:pStyle w:val="Footnote"/>
      </w:pPr>
    </w:p>
    <w:p>
      <w:pPr>
        <w:pStyle w:val="Footnote"/>
      </w:pPr>
      <w:r>
        <w:rPr>
          <w:rStyle w:val="None"/>
          <w:rFonts w:cs="Arial Unicode MS" w:eastAsia="Arial Unicode MS"/>
          <w:rtl w:val="0"/>
          <w:lang w:val="en-US"/>
        </w:rPr>
        <w:t xml:space="preserve">McKim Malvile, J., </w:t>
      </w:r>
      <w:r>
        <w:rPr>
          <w:rStyle w:val="None"/>
          <w:rFonts w:cs="Arial Unicode MS" w:eastAsia="Arial Unicode MS" w:hint="default"/>
          <w:rtl w:val="0"/>
          <w:lang w:val="en-US"/>
        </w:rPr>
        <w:t>‘</w:t>
      </w:r>
      <w:r>
        <w:rPr>
          <w:rStyle w:val="None"/>
          <w:rFonts w:cs="Arial Unicode MS" w:eastAsia="Arial Unicode MS"/>
          <w:rtl w:val="0"/>
          <w:lang w:val="en-US"/>
        </w:rPr>
        <w:t>Meaning and Intent in Ancient Skyscapes - An Andean Perspective</w:t>
      </w:r>
      <w:r>
        <w:rPr>
          <w:rStyle w:val="None"/>
          <w:rFonts w:cs="Arial Unicode MS" w:eastAsia="Arial Unicode MS" w:hint="default"/>
          <w:rtl w:val="0"/>
          <w:lang w:val="en-US"/>
        </w:rPr>
        <w:t>’</w:t>
      </w:r>
      <w:r>
        <w:rPr>
          <w:rStyle w:val="None"/>
          <w:rFonts w:cs="Arial Unicode MS" w:eastAsia="Arial Unicode MS"/>
          <w:rtl w:val="0"/>
          <w:lang w:val="en-US"/>
        </w:rPr>
        <w:t xml:space="preserve">, in </w:t>
      </w:r>
      <w:r>
        <w:rPr>
          <w:rStyle w:val="None"/>
          <w:rFonts w:cs="Arial Unicode MS" w:eastAsia="Arial Unicode MS"/>
          <w:i w:val="1"/>
          <w:iCs w:val="1"/>
          <w:rtl w:val="0"/>
          <w:lang w:val="en-US"/>
        </w:rPr>
        <w:t>Skyscapes: The Role and Importance of the Sky in Archaeology</w:t>
      </w:r>
      <w:r>
        <w:rPr>
          <w:rStyle w:val="None"/>
          <w:rFonts w:cs="Arial Unicode MS" w:eastAsia="Arial Unicode MS"/>
          <w:rtl w:val="0"/>
          <w:lang w:val="en-US"/>
        </w:rPr>
        <w:t>, ed. by Fabio Silva and Nicholas Campion, pp. ix-xvi (Oxford: Oxbow Books, 2015)</w:t>
      </w:r>
    </w:p>
    <w:sectPr>
      <w:headerReference w:type="default" r:id="rId5"/>
      <w:footerReference w:type="default" r:id="rId6"/>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ahoma">
    <w:charset w:val="00"/>
    <w:family w:val="roman"/>
    <w:pitch w:val="default"/>
  </w:font>
  <w:font w:name="Trebuchet MS">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Footnote"/>
      </w:pPr>
      <w:r>
        <w:rPr>
          <w:rStyle w:val="None"/>
          <w:vertAlign w:val="superscript"/>
        </w:rPr>
        <w:footnoteRef/>
      </w:r>
      <w:r>
        <w:rPr>
          <w:rStyle w:val="None"/>
          <w:rFonts w:cs="Arial Unicode MS" w:eastAsia="Arial Unicode MS"/>
          <w:rtl w:val="0"/>
        </w:rPr>
        <w:t xml:space="preserve"> </w:t>
      </w:r>
      <w:r>
        <w:rPr>
          <w:rStyle w:val="None"/>
          <w:rFonts w:cs="Arial Unicode MS" w:eastAsia="Arial Unicode MS"/>
          <w:rtl w:val="0"/>
          <w:lang w:val="en-US"/>
        </w:rPr>
        <w:t xml:space="preserve">J. McKim Malville, </w:t>
      </w:r>
      <w:r>
        <w:rPr>
          <w:rStyle w:val="None"/>
          <w:rFonts w:cs="Arial Unicode MS" w:eastAsia="Arial Unicode MS" w:hint="default"/>
          <w:rtl w:val="0"/>
          <w:lang w:val="en-US"/>
        </w:rPr>
        <w:t>’</w:t>
      </w:r>
      <w:r>
        <w:rPr>
          <w:rStyle w:val="None"/>
          <w:rFonts w:cs="Arial Unicode MS" w:eastAsia="Arial Unicode MS"/>
          <w:rtl w:val="0"/>
          <w:lang w:val="en-US"/>
        </w:rPr>
        <w:t>Astronomy and Ceremony at Chankillo: an Andean Perspective</w:t>
      </w:r>
      <w:r>
        <w:rPr>
          <w:rStyle w:val="None"/>
          <w:rFonts w:cs="Arial Unicode MS" w:eastAsia="Arial Unicode MS" w:hint="default"/>
          <w:rtl w:val="0"/>
          <w:lang w:val="en-US"/>
        </w:rPr>
        <w:t>’</w:t>
      </w:r>
      <w:r>
        <w:rPr>
          <w:rStyle w:val="None"/>
          <w:rFonts w:cs="Arial Unicode MS" w:eastAsia="Arial Unicode MS"/>
          <w:rtl w:val="0"/>
          <w:lang w:val="en-US"/>
        </w:rPr>
        <w:t xml:space="preserve">, in Ruggles, C.L.N (ed.), </w:t>
      </w:r>
      <w:r>
        <w:rPr>
          <w:rStyle w:val="None"/>
          <w:rFonts w:cs="Arial Unicode MS" w:eastAsia="Arial Unicode MS" w:hint="default"/>
          <w:i w:val="1"/>
          <w:iCs w:val="1"/>
          <w:rtl w:val="0"/>
          <w:lang w:val="en-US"/>
        </w:rPr>
        <w:t>“</w:t>
      </w:r>
      <w:r>
        <w:rPr>
          <w:rStyle w:val="None"/>
          <w:rFonts w:cs="Arial Unicode MS" w:eastAsia="Arial Unicode MS"/>
          <w:i w:val="1"/>
          <w:iCs w:val="1"/>
          <w:rtl w:val="0"/>
          <w:lang w:val="en-US"/>
        </w:rPr>
        <w:t>Oxford IX</w:t>
      </w:r>
      <w:r>
        <w:rPr>
          <w:rStyle w:val="None"/>
          <w:rFonts w:cs="Arial Unicode MS" w:eastAsia="Arial Unicode MS" w:hint="default"/>
          <w:i w:val="1"/>
          <w:iCs w:val="1"/>
          <w:rtl w:val="0"/>
          <w:lang w:val="en-US"/>
        </w:rPr>
        <w:t xml:space="preserve">” </w:t>
      </w:r>
      <w:r>
        <w:rPr>
          <w:rStyle w:val="None"/>
          <w:rFonts w:cs="Arial Unicode MS" w:eastAsia="Arial Unicode MS"/>
          <w:i w:val="1"/>
          <w:iCs w:val="1"/>
          <w:rtl w:val="0"/>
          <w:lang w:val="en-US"/>
        </w:rPr>
        <w:t>International Symposium on Archaeoastronomy</w:t>
      </w:r>
      <w:r>
        <w:rPr>
          <w:rStyle w:val="None"/>
          <w:rFonts w:cs="Arial Unicode MS" w:eastAsia="Arial Unicode MS"/>
          <w:rtl w:val="0"/>
          <w:lang w:val="en-US"/>
        </w:rPr>
        <w:t xml:space="preserve">. Proceedings IAU Symposium, No. 278, 2011. [hereafter Malville, </w:t>
      </w:r>
      <w:r>
        <w:rPr>
          <w:rStyle w:val="None"/>
          <w:rFonts w:cs="Arial Unicode MS" w:eastAsia="Arial Unicode MS" w:hint="default"/>
          <w:i w:val="1"/>
          <w:iCs w:val="1"/>
          <w:rtl w:val="0"/>
          <w:lang w:val="en-US"/>
        </w:rPr>
        <w:t>“</w:t>
      </w:r>
      <w:r>
        <w:rPr>
          <w:rStyle w:val="None"/>
          <w:rFonts w:cs="Arial Unicode MS" w:eastAsia="Arial Unicode MS"/>
          <w:i w:val="1"/>
          <w:iCs w:val="1"/>
          <w:rtl w:val="0"/>
          <w:lang w:val="en-US"/>
        </w:rPr>
        <w:t>Oxford IX</w:t>
      </w:r>
      <w:r>
        <w:rPr>
          <w:rStyle w:val="None"/>
          <w:rFonts w:cs="Arial Unicode MS" w:eastAsia="Arial Unicode MS" w:hint="default"/>
          <w:i w:val="1"/>
          <w:iCs w:val="1"/>
          <w:rtl w:val="0"/>
          <w:lang w:val="en-US"/>
        </w:rPr>
        <w:t xml:space="preserve">” </w:t>
      </w:r>
      <w:r>
        <w:rPr>
          <w:rStyle w:val="None"/>
          <w:rFonts w:cs="Arial Unicode MS" w:eastAsia="Arial Unicode MS"/>
          <w:i w:val="1"/>
          <w:iCs w:val="1"/>
          <w:rtl w:val="0"/>
          <w:lang w:val="en-US"/>
        </w:rPr>
        <w:t>International Symposium</w:t>
      </w:r>
      <w:r>
        <w:rPr>
          <w:rStyle w:val="None"/>
          <w:rFonts w:cs="Arial Unicode MS" w:eastAsia="Arial Unicode MS"/>
          <w:rtl w:val="0"/>
          <w:lang w:val="en-US"/>
        </w:rPr>
        <w:t>]  pp.154-161</w:t>
      </w:r>
    </w:p>
  </w:footnote>
  <w:footnote w:id="2">
    <w:p>
      <w:pPr>
        <w:pStyle w:val="Footnote"/>
      </w:pPr>
      <w:r>
        <w:rPr>
          <w:rStyle w:val="None"/>
          <w:vertAlign w:val="superscript"/>
        </w:rPr>
        <w:footnoteRef/>
      </w:r>
      <w:r>
        <w:rPr>
          <w:rStyle w:val="None"/>
          <w:rFonts w:cs="Arial Unicode MS" w:eastAsia="Arial Unicode MS"/>
          <w:rtl w:val="0"/>
        </w:rPr>
        <w:t xml:space="preserve"> </w:t>
      </w:r>
      <w:r>
        <w:rPr>
          <w:rStyle w:val="None"/>
          <w:rFonts w:cs="Arial Unicode MS" w:eastAsia="Arial Unicode MS"/>
          <w:rtl w:val="0"/>
          <w:lang w:val="en-US"/>
        </w:rPr>
        <w:t xml:space="preserve">Ivan Ghezzi, and Clive Ruggles, </w:t>
      </w:r>
      <w:r>
        <w:rPr>
          <w:rStyle w:val="None"/>
          <w:rFonts w:cs="Arial Unicode MS" w:eastAsia="Arial Unicode MS" w:hint="default"/>
          <w:rtl w:val="0"/>
          <w:lang w:val="en-US"/>
        </w:rPr>
        <w:t>‘</w:t>
      </w:r>
      <w:r>
        <w:rPr>
          <w:rStyle w:val="None"/>
          <w:rFonts w:cs="Arial Unicode MS" w:eastAsia="Arial Unicode MS"/>
          <w:rtl w:val="0"/>
          <w:lang w:val="en-US"/>
        </w:rPr>
        <w:t>The Social and Ritual Context of Horizon Astronomical Observations at Chankillo</w:t>
      </w:r>
      <w:r>
        <w:rPr>
          <w:rStyle w:val="None"/>
          <w:rFonts w:cs="Arial Unicode MS" w:eastAsia="Arial Unicode MS" w:hint="default"/>
          <w:rtl w:val="0"/>
          <w:lang w:val="en-US"/>
        </w:rPr>
        <w:t>’</w:t>
      </w:r>
      <w:r>
        <w:rPr>
          <w:rStyle w:val="None"/>
          <w:rFonts w:cs="Arial Unicode MS" w:eastAsia="Arial Unicode MS"/>
          <w:rtl w:val="0"/>
          <w:lang w:val="en-US"/>
        </w:rPr>
        <w:t xml:space="preserve">, in Ruggles, C.L.N (ed.), </w:t>
      </w:r>
      <w:r>
        <w:rPr>
          <w:rStyle w:val="None"/>
          <w:rFonts w:cs="Arial Unicode MS" w:eastAsia="Arial Unicode MS" w:hint="default"/>
          <w:i w:val="1"/>
          <w:iCs w:val="1"/>
          <w:rtl w:val="0"/>
          <w:lang w:val="en-US"/>
        </w:rPr>
        <w:t>“</w:t>
      </w:r>
      <w:r>
        <w:rPr>
          <w:rStyle w:val="None"/>
          <w:rFonts w:cs="Arial Unicode MS" w:eastAsia="Arial Unicode MS"/>
          <w:i w:val="1"/>
          <w:iCs w:val="1"/>
          <w:rtl w:val="0"/>
          <w:lang w:val="en-US"/>
        </w:rPr>
        <w:t>Oxford IX</w:t>
      </w:r>
      <w:r>
        <w:rPr>
          <w:rStyle w:val="None"/>
          <w:rFonts w:cs="Arial Unicode MS" w:eastAsia="Arial Unicode MS" w:hint="default"/>
          <w:i w:val="1"/>
          <w:iCs w:val="1"/>
          <w:rtl w:val="0"/>
          <w:lang w:val="en-US"/>
        </w:rPr>
        <w:t xml:space="preserve">” </w:t>
      </w:r>
      <w:r>
        <w:rPr>
          <w:rStyle w:val="None"/>
          <w:rFonts w:cs="Arial Unicode MS" w:eastAsia="Arial Unicode MS"/>
          <w:i w:val="1"/>
          <w:iCs w:val="1"/>
          <w:rtl w:val="0"/>
          <w:lang w:val="en-US"/>
        </w:rPr>
        <w:t>International Symposium on Archaeoastronomy</w:t>
      </w:r>
      <w:r>
        <w:rPr>
          <w:rStyle w:val="None"/>
          <w:rFonts w:cs="Arial Unicode MS" w:eastAsia="Arial Unicode MS"/>
          <w:rtl w:val="0"/>
          <w:lang w:val="en-US"/>
        </w:rPr>
        <w:t xml:space="preserve">. Proceedings IAU Symposium, No. 278, 2011. [hereafter Ghezzi and Ruggles, </w:t>
      </w:r>
      <w:r>
        <w:rPr>
          <w:rStyle w:val="None"/>
          <w:rFonts w:cs="Arial Unicode MS" w:eastAsia="Arial Unicode MS" w:hint="default"/>
          <w:i w:val="1"/>
          <w:iCs w:val="1"/>
          <w:rtl w:val="0"/>
          <w:lang w:val="en-US"/>
        </w:rPr>
        <w:t>“</w:t>
      </w:r>
      <w:r>
        <w:rPr>
          <w:rStyle w:val="None"/>
          <w:rFonts w:cs="Arial Unicode MS" w:eastAsia="Arial Unicode MS"/>
          <w:i w:val="1"/>
          <w:iCs w:val="1"/>
          <w:rtl w:val="0"/>
          <w:lang w:val="en-US"/>
        </w:rPr>
        <w:t>Oxford IX</w:t>
      </w:r>
      <w:r>
        <w:rPr>
          <w:rStyle w:val="None"/>
          <w:rFonts w:cs="Arial Unicode MS" w:eastAsia="Arial Unicode MS" w:hint="default"/>
          <w:i w:val="1"/>
          <w:iCs w:val="1"/>
          <w:rtl w:val="0"/>
          <w:lang w:val="en-US"/>
        </w:rPr>
        <w:t xml:space="preserve">” </w:t>
      </w:r>
      <w:r>
        <w:rPr>
          <w:rStyle w:val="None"/>
          <w:rFonts w:cs="Arial Unicode MS" w:eastAsia="Arial Unicode MS"/>
          <w:i w:val="1"/>
          <w:iCs w:val="1"/>
          <w:rtl w:val="0"/>
          <w:lang w:val="en-US"/>
        </w:rPr>
        <w:t>International Symposium</w:t>
      </w:r>
      <w:r>
        <w:rPr>
          <w:rStyle w:val="None"/>
          <w:rFonts w:cs="Arial Unicode MS" w:eastAsia="Arial Unicode MS"/>
          <w:rtl w:val="0"/>
          <w:lang w:val="en-US"/>
        </w:rPr>
        <w:t>] pp.144-153</w:t>
      </w:r>
    </w:p>
  </w:footnote>
  <w:footnote w:id="3">
    <w:p>
      <w:pPr>
        <w:pStyle w:val="Footnote"/>
      </w:pPr>
      <w:r>
        <w:rPr>
          <w:rStyle w:val="None"/>
          <w:vertAlign w:val="superscript"/>
        </w:rPr>
        <w:footnoteRef/>
      </w:r>
      <w:r>
        <w:rPr>
          <w:rStyle w:val="None"/>
          <w:rFonts w:cs="Arial Unicode MS" w:eastAsia="Arial Unicode MS"/>
          <w:rtl w:val="0"/>
        </w:rPr>
        <w:t xml:space="preserve"> </w:t>
      </w:r>
      <w:r>
        <w:rPr>
          <w:rStyle w:val="None"/>
          <w:rFonts w:cs="Arial Unicode MS" w:eastAsia="Arial Unicode MS"/>
          <w:rtl w:val="0"/>
          <w:lang w:val="en-US"/>
        </w:rPr>
        <w:t xml:space="preserve"> Ghezzi and Ruggles, </w:t>
      </w:r>
      <w:r>
        <w:rPr>
          <w:rStyle w:val="None"/>
          <w:rFonts w:cs="Arial Unicode MS" w:eastAsia="Arial Unicode MS" w:hint="default"/>
          <w:i w:val="1"/>
          <w:iCs w:val="1"/>
          <w:rtl w:val="0"/>
          <w:lang w:val="en-US"/>
        </w:rPr>
        <w:t>“</w:t>
      </w:r>
      <w:r>
        <w:rPr>
          <w:rStyle w:val="None"/>
          <w:rFonts w:cs="Arial Unicode MS" w:eastAsia="Arial Unicode MS"/>
          <w:i w:val="1"/>
          <w:iCs w:val="1"/>
          <w:rtl w:val="0"/>
          <w:lang w:val="en-US"/>
        </w:rPr>
        <w:t>Oxford IX</w:t>
      </w:r>
      <w:r>
        <w:rPr>
          <w:rStyle w:val="None"/>
          <w:rFonts w:cs="Arial Unicode MS" w:eastAsia="Arial Unicode MS" w:hint="default"/>
          <w:i w:val="1"/>
          <w:iCs w:val="1"/>
          <w:rtl w:val="0"/>
          <w:lang w:val="en-US"/>
        </w:rPr>
        <w:t xml:space="preserve">” </w:t>
      </w:r>
      <w:r>
        <w:rPr>
          <w:rStyle w:val="None"/>
          <w:rFonts w:cs="Arial Unicode MS" w:eastAsia="Arial Unicode MS"/>
          <w:i w:val="1"/>
          <w:iCs w:val="1"/>
          <w:rtl w:val="0"/>
          <w:lang w:val="en-US"/>
        </w:rPr>
        <w:t>International Symposium</w:t>
      </w:r>
      <w:r>
        <w:rPr>
          <w:rStyle w:val="None"/>
          <w:rFonts w:cs="Arial Unicode MS" w:eastAsia="Arial Unicode MS"/>
          <w:rtl w:val="0"/>
          <w:lang w:val="en-US"/>
        </w:rPr>
        <w:t xml:space="preserve"> p.145</w:t>
      </w:r>
    </w:p>
  </w:footnote>
  <w:footnote w:id="4">
    <w:p>
      <w:pPr>
        <w:pStyle w:val="Footnote"/>
      </w:pPr>
      <w:r>
        <w:rPr>
          <w:rStyle w:val="None"/>
          <w:vertAlign w:val="superscript"/>
        </w:rPr>
        <w:footnoteRef/>
      </w:r>
      <w:r>
        <w:rPr>
          <w:rStyle w:val="None"/>
          <w:rFonts w:cs="Arial Unicode MS" w:eastAsia="Arial Unicode MS"/>
          <w:rtl w:val="0"/>
          <w:lang w:val="en-US"/>
        </w:rPr>
        <w:t xml:space="preserve"> Ghezzi and Ruggles, </w:t>
      </w:r>
      <w:r>
        <w:rPr>
          <w:rStyle w:val="None"/>
          <w:rFonts w:cs="Arial Unicode MS" w:eastAsia="Arial Unicode MS" w:hint="default"/>
          <w:i w:val="1"/>
          <w:iCs w:val="1"/>
          <w:rtl w:val="0"/>
          <w:lang w:val="en-US"/>
        </w:rPr>
        <w:t>“</w:t>
      </w:r>
      <w:r>
        <w:rPr>
          <w:rStyle w:val="None"/>
          <w:rFonts w:cs="Arial Unicode MS" w:eastAsia="Arial Unicode MS"/>
          <w:i w:val="1"/>
          <w:iCs w:val="1"/>
          <w:rtl w:val="0"/>
          <w:lang w:val="en-US"/>
        </w:rPr>
        <w:t>Oxford IX</w:t>
      </w:r>
      <w:r>
        <w:rPr>
          <w:rStyle w:val="None"/>
          <w:rFonts w:cs="Arial Unicode MS" w:eastAsia="Arial Unicode MS" w:hint="default"/>
          <w:i w:val="1"/>
          <w:iCs w:val="1"/>
          <w:rtl w:val="0"/>
          <w:lang w:val="en-US"/>
        </w:rPr>
        <w:t xml:space="preserve">” </w:t>
      </w:r>
      <w:r>
        <w:rPr>
          <w:rStyle w:val="None"/>
          <w:rFonts w:cs="Arial Unicode MS" w:eastAsia="Arial Unicode MS"/>
          <w:i w:val="1"/>
          <w:iCs w:val="1"/>
          <w:rtl w:val="0"/>
          <w:lang w:val="en-US"/>
        </w:rPr>
        <w:t>International Symposium</w:t>
      </w:r>
      <w:r>
        <w:rPr>
          <w:rStyle w:val="None"/>
          <w:rFonts w:cs="Arial Unicode MS" w:eastAsia="Arial Unicode MS"/>
          <w:rtl w:val="0"/>
          <w:lang w:val="en-US"/>
        </w:rPr>
        <w:t xml:space="preserve"> p.148</w:t>
      </w:r>
    </w:p>
  </w:footnote>
  <w:footnote w:id="5">
    <w:p>
      <w:pPr>
        <w:pStyle w:val="Footnote"/>
      </w:pPr>
      <w:r>
        <w:rPr>
          <w:rStyle w:val="None"/>
          <w:vertAlign w:val="superscript"/>
        </w:rPr>
        <w:footnoteRef/>
      </w:r>
      <w:r>
        <w:rPr>
          <w:rStyle w:val="None"/>
          <w:rFonts w:cs="Arial Unicode MS" w:eastAsia="Arial Unicode MS"/>
          <w:rtl w:val="0"/>
        </w:rPr>
        <w:t xml:space="preserve"> </w:t>
      </w:r>
      <w:r>
        <w:rPr>
          <w:rStyle w:val="None"/>
          <w:rFonts w:cs="Arial Unicode MS" w:eastAsia="Arial Unicode MS"/>
          <w:rtl w:val="0"/>
          <w:lang w:val="en-US"/>
        </w:rPr>
        <w:t xml:space="preserve">Ghezzi and Ruggles, </w:t>
      </w:r>
      <w:r>
        <w:rPr>
          <w:rStyle w:val="None"/>
          <w:rFonts w:cs="Arial Unicode MS" w:eastAsia="Arial Unicode MS" w:hint="default"/>
          <w:i w:val="1"/>
          <w:iCs w:val="1"/>
          <w:rtl w:val="0"/>
          <w:lang w:val="en-US"/>
        </w:rPr>
        <w:t>“</w:t>
      </w:r>
      <w:r>
        <w:rPr>
          <w:rStyle w:val="None"/>
          <w:rFonts w:cs="Arial Unicode MS" w:eastAsia="Arial Unicode MS"/>
          <w:i w:val="1"/>
          <w:iCs w:val="1"/>
          <w:rtl w:val="0"/>
          <w:lang w:val="en-US"/>
        </w:rPr>
        <w:t>Oxford IX</w:t>
      </w:r>
      <w:r>
        <w:rPr>
          <w:rStyle w:val="None"/>
          <w:rFonts w:cs="Arial Unicode MS" w:eastAsia="Arial Unicode MS" w:hint="default"/>
          <w:i w:val="1"/>
          <w:iCs w:val="1"/>
          <w:rtl w:val="0"/>
          <w:lang w:val="en-US"/>
        </w:rPr>
        <w:t xml:space="preserve">” </w:t>
      </w:r>
      <w:r>
        <w:rPr>
          <w:rStyle w:val="None"/>
          <w:rFonts w:cs="Arial Unicode MS" w:eastAsia="Arial Unicode MS"/>
          <w:i w:val="1"/>
          <w:iCs w:val="1"/>
          <w:rtl w:val="0"/>
          <w:lang w:val="en-US"/>
        </w:rPr>
        <w:t>International Symposium</w:t>
      </w:r>
      <w:r>
        <w:rPr>
          <w:rStyle w:val="None"/>
          <w:rFonts w:cs="Arial Unicode MS" w:eastAsia="Arial Unicode MS"/>
          <w:rtl w:val="0"/>
          <w:lang w:val="en-US"/>
        </w:rPr>
        <w:t xml:space="preserve"> p.149</w:t>
      </w:r>
    </w:p>
  </w:footnote>
  <w:footnote w:id="6">
    <w:p>
      <w:pPr>
        <w:pStyle w:val="Footnote"/>
      </w:pPr>
      <w:r>
        <w:rPr>
          <w:rStyle w:val="None"/>
          <w:vertAlign w:val="superscript"/>
        </w:rPr>
        <w:footnoteRef/>
      </w:r>
      <w:r>
        <w:rPr>
          <w:rStyle w:val="None"/>
          <w:rFonts w:cs="Arial Unicode MS" w:eastAsia="Arial Unicode MS"/>
          <w:rtl w:val="0"/>
        </w:rPr>
        <w:t xml:space="preserve"> </w:t>
      </w:r>
      <w:r>
        <w:rPr>
          <w:rStyle w:val="None"/>
          <w:rFonts w:cs="Arial Unicode MS" w:eastAsia="Arial Unicode MS"/>
          <w:rtl w:val="0"/>
          <w:lang w:val="en-US"/>
        </w:rPr>
        <w:t xml:space="preserve">Malville, </w:t>
      </w:r>
      <w:r>
        <w:rPr>
          <w:rStyle w:val="None"/>
          <w:rFonts w:cs="Arial Unicode MS" w:eastAsia="Arial Unicode MS" w:hint="default"/>
          <w:i w:val="1"/>
          <w:iCs w:val="1"/>
          <w:rtl w:val="0"/>
          <w:lang w:val="en-US"/>
        </w:rPr>
        <w:t>“</w:t>
      </w:r>
      <w:r>
        <w:rPr>
          <w:rStyle w:val="None"/>
          <w:rFonts w:cs="Arial Unicode MS" w:eastAsia="Arial Unicode MS"/>
          <w:i w:val="1"/>
          <w:iCs w:val="1"/>
          <w:rtl w:val="0"/>
          <w:lang w:val="en-US"/>
        </w:rPr>
        <w:t>Oxford IX</w:t>
      </w:r>
      <w:r>
        <w:rPr>
          <w:rStyle w:val="None"/>
          <w:rFonts w:cs="Arial Unicode MS" w:eastAsia="Arial Unicode MS" w:hint="default"/>
          <w:i w:val="1"/>
          <w:iCs w:val="1"/>
          <w:rtl w:val="0"/>
          <w:lang w:val="en-US"/>
        </w:rPr>
        <w:t xml:space="preserve">” </w:t>
      </w:r>
      <w:r>
        <w:rPr>
          <w:rStyle w:val="None"/>
          <w:rFonts w:cs="Arial Unicode MS" w:eastAsia="Arial Unicode MS"/>
          <w:i w:val="1"/>
          <w:iCs w:val="1"/>
          <w:rtl w:val="0"/>
          <w:lang w:val="en-US"/>
        </w:rPr>
        <w:t xml:space="preserve">International Symposium </w:t>
      </w:r>
      <w:r>
        <w:rPr>
          <w:rStyle w:val="None"/>
          <w:rFonts w:cs="Arial Unicode MS" w:eastAsia="Arial Unicode MS"/>
          <w:rtl w:val="0"/>
          <w:lang w:val="en-US"/>
        </w:rPr>
        <w:t>p.158</w:t>
      </w:r>
    </w:p>
  </w:footnote>
  <w:footnote w:id="7">
    <w:p>
      <w:pPr>
        <w:pStyle w:val="Footnote"/>
      </w:pPr>
      <w:r>
        <w:rPr>
          <w:rStyle w:val="None"/>
          <w:vertAlign w:val="superscript"/>
        </w:rPr>
        <w:footnoteRef/>
      </w:r>
      <w:r>
        <w:rPr>
          <w:rStyle w:val="None"/>
          <w:rFonts w:cs="Arial Unicode MS" w:eastAsia="Arial Unicode MS"/>
          <w:rtl w:val="0"/>
        </w:rPr>
        <w:t xml:space="preserve"> </w:t>
      </w:r>
      <w:r>
        <w:rPr>
          <w:rStyle w:val="None"/>
          <w:rFonts w:cs="Arial Unicode MS" w:eastAsia="Arial Unicode MS"/>
          <w:rtl w:val="0"/>
          <w:lang w:val="en-US"/>
        </w:rPr>
        <w:t xml:space="preserve">Steven R. Gullberg, </w:t>
      </w:r>
      <w:r>
        <w:rPr>
          <w:rStyle w:val="None"/>
          <w:rFonts w:cs="Arial Unicode MS" w:eastAsia="Arial Unicode MS" w:hint="default"/>
          <w:rtl w:val="0"/>
          <w:lang w:val="en-US"/>
        </w:rPr>
        <w:t>‘</w:t>
      </w:r>
      <w:r>
        <w:rPr>
          <w:rStyle w:val="None"/>
          <w:rFonts w:cs="Arial Unicode MS" w:eastAsia="Arial Unicode MS"/>
          <w:rtl w:val="0"/>
          <w:lang w:val="en-US"/>
        </w:rPr>
        <w:t>Inca Solar Orientations in Southeastern Peru</w:t>
      </w:r>
      <w:r>
        <w:rPr>
          <w:rStyle w:val="None"/>
          <w:rFonts w:cs="Arial Unicode MS" w:eastAsia="Arial Unicode MS" w:hint="default"/>
          <w:rtl w:val="0"/>
          <w:lang w:val="en-US"/>
        </w:rPr>
        <w:t>’</w:t>
      </w:r>
      <w:r>
        <w:rPr>
          <w:rStyle w:val="None"/>
          <w:rFonts w:cs="Arial Unicode MS" w:eastAsia="Arial Unicode MS"/>
          <w:rtl w:val="0"/>
          <w:lang w:val="en-US"/>
        </w:rPr>
        <w:t xml:space="preserve">, </w:t>
      </w:r>
      <w:r>
        <w:rPr>
          <w:rStyle w:val="None"/>
          <w:rFonts w:cs="Arial Unicode MS" w:eastAsia="Arial Unicode MS"/>
          <w:i w:val="1"/>
          <w:iCs w:val="1"/>
          <w:rtl w:val="0"/>
          <w:lang w:val="en-US"/>
        </w:rPr>
        <w:t>Journal of Cosmology</w:t>
      </w:r>
      <w:r>
        <w:rPr>
          <w:rStyle w:val="None"/>
          <w:rFonts w:cs="Arial Unicode MS" w:eastAsia="Arial Unicode MS"/>
          <w:rtl w:val="0"/>
          <w:lang w:val="en-US"/>
        </w:rPr>
        <w:t xml:space="preserve">, 9 (2010) 2078-2091, http://journalofcosmology.com/AncientAstronomy118.html </w:t>
      </w:r>
    </w:p>
  </w:footnote>
  <w:footnote w:id="8">
    <w:p>
      <w:pPr>
        <w:pStyle w:val="Footnote"/>
      </w:pPr>
      <w:r>
        <w:rPr>
          <w:rStyle w:val="None"/>
          <w:vertAlign w:val="superscript"/>
        </w:rPr>
        <w:footnoteRef/>
      </w:r>
      <w:r>
        <w:rPr>
          <w:rStyle w:val="None"/>
          <w:rFonts w:cs="Arial Unicode MS" w:eastAsia="Arial Unicode MS"/>
          <w:rtl w:val="0"/>
        </w:rPr>
        <w:t xml:space="preserve"> </w:t>
      </w:r>
      <w:r>
        <w:rPr>
          <w:rStyle w:val="None"/>
          <w:rFonts w:cs="Arial Unicode MS" w:eastAsia="Arial Unicode MS"/>
          <w:rtl w:val="0"/>
          <w:lang w:val="en-US"/>
        </w:rPr>
        <w:t xml:space="preserve">Jon Bedford, Trevor Pearson and Bernard Thomason, </w:t>
      </w:r>
      <w:r>
        <w:rPr>
          <w:rStyle w:val="None"/>
          <w:rFonts w:cs="Arial Unicode MS" w:eastAsia="Arial Unicode MS" w:hint="default"/>
          <w:rtl w:val="0"/>
          <w:lang w:val="en-US"/>
        </w:rPr>
        <w:t>‘</w:t>
      </w:r>
      <w:r>
        <w:rPr>
          <w:rStyle w:val="None"/>
          <w:rFonts w:cs="Arial Unicode MS" w:eastAsia="Arial Unicode MS"/>
          <w:rtl w:val="0"/>
          <w:lang w:val="en-US"/>
        </w:rPr>
        <w:t>Traversing the Past: The Total Station Theodolite in Archaeological Landscape Survey, Historic England &lt;</w:t>
      </w:r>
      <w:r>
        <w:rPr>
          <w:rStyle w:val="Hyperlink.1"/>
        </w:rPr>
        <w:fldChar w:fldCharType="begin" w:fldLock="0"/>
      </w:r>
      <w:r>
        <w:rPr>
          <w:rStyle w:val="Hyperlink.1"/>
        </w:rPr>
        <w:instrText xml:space="preserve"> HYPERLINK "https://historicengland.org.uk/images-books/publications/traversingthepast/heag062-traversing-the-past/"</w:instrText>
      </w:r>
      <w:r>
        <w:rPr>
          <w:rStyle w:val="Hyperlink.1"/>
        </w:rPr>
        <w:fldChar w:fldCharType="separate" w:fldLock="0"/>
      </w:r>
      <w:r>
        <w:rPr>
          <w:rStyle w:val="Hyperlink.1"/>
          <w:rFonts w:cs="Arial Unicode MS" w:eastAsia="Arial Unicode MS"/>
          <w:rtl w:val="0"/>
          <w:lang w:val="en-US"/>
        </w:rPr>
        <w:t>https://historicengland.org.uk/images-books/publications/traversingthepast/heag062-traversing-the-past/</w:t>
      </w:r>
      <w:r>
        <w:rPr/>
        <w:fldChar w:fldCharType="end" w:fldLock="0"/>
      </w:r>
      <w:r>
        <w:rPr>
          <w:rStyle w:val="None"/>
          <w:rFonts w:cs="Arial Unicode MS" w:eastAsia="Arial Unicode MS"/>
          <w:rtl w:val="0"/>
          <w:lang w:val="en-US"/>
        </w:rPr>
        <w:t xml:space="preserve">&gt; [accessed March 29, 2020] [hereafter Bedford, Pearson and Thomason, </w:t>
      </w:r>
      <w:r>
        <w:rPr>
          <w:rStyle w:val="None"/>
          <w:rFonts w:cs="Arial Unicode MS" w:eastAsia="Arial Unicode MS" w:hint="default"/>
          <w:rtl w:val="0"/>
          <w:lang w:val="en-US"/>
        </w:rPr>
        <w:t>‘</w:t>
      </w:r>
      <w:r>
        <w:rPr>
          <w:rStyle w:val="None"/>
          <w:rFonts w:cs="Arial Unicode MS" w:eastAsia="Arial Unicode MS"/>
          <w:rtl w:val="0"/>
          <w:lang w:val="en-US"/>
        </w:rPr>
        <w:t>Traversing the Past</w:t>
      </w:r>
      <w:r>
        <w:rPr>
          <w:rStyle w:val="None"/>
          <w:rFonts w:cs="Arial Unicode MS" w:eastAsia="Arial Unicode MS" w:hint="default"/>
          <w:rtl w:val="0"/>
          <w:lang w:val="en-US"/>
        </w:rPr>
        <w:t>’</w:t>
      </w:r>
      <w:r>
        <w:rPr>
          <w:rStyle w:val="None"/>
          <w:rFonts w:cs="Arial Unicode MS" w:eastAsia="Arial Unicode MS"/>
          <w:rtl w:val="0"/>
          <w:lang w:val="en-US"/>
        </w:rPr>
        <w:t>]</w:t>
      </w:r>
    </w:p>
  </w:footnote>
  <w:footnote w:id="9">
    <w:p>
      <w:pPr>
        <w:pStyle w:val="Footnote"/>
      </w:pPr>
      <w:r>
        <w:rPr>
          <w:rStyle w:val="None"/>
          <w:vertAlign w:val="superscript"/>
        </w:rPr>
        <w:footnoteRef/>
      </w:r>
      <w:r>
        <w:rPr>
          <w:rStyle w:val="None"/>
          <w:rFonts w:cs="Arial Unicode MS" w:eastAsia="Arial Unicode MS"/>
          <w:rtl w:val="0"/>
          <w:lang w:val="en-US"/>
        </w:rPr>
        <w:t xml:space="preserve"> Bedford, Pearson and Thomason, Traversing the Past</w:t>
      </w:r>
    </w:p>
  </w:footnote>
  <w:footnote w:id="10">
    <w:p>
      <w:pPr>
        <w:pStyle w:val="Footnote"/>
      </w:pPr>
      <w:r>
        <w:rPr>
          <w:rStyle w:val="None"/>
          <w:vertAlign w:val="superscript"/>
        </w:rPr>
        <w:footnoteRef/>
      </w:r>
      <w:r>
        <w:rPr>
          <w:rStyle w:val="None"/>
          <w:rFonts w:cs="Arial Unicode MS" w:eastAsia="Arial Unicode MS"/>
          <w:rtl w:val="0"/>
        </w:rPr>
        <w:t xml:space="preserve"> </w:t>
      </w:r>
      <w:r>
        <w:rPr>
          <w:rStyle w:val="None"/>
          <w:rFonts w:cs="Arial Unicode MS" w:eastAsia="Arial Unicode MS"/>
          <w:rtl w:val="0"/>
          <w:lang w:val="en-US"/>
        </w:rPr>
        <w:t xml:space="preserve">Ghezzi and Ruggles, </w:t>
      </w:r>
      <w:r>
        <w:rPr>
          <w:rStyle w:val="None"/>
          <w:rFonts w:cs="Arial Unicode MS" w:eastAsia="Arial Unicode MS" w:hint="default"/>
          <w:i w:val="1"/>
          <w:iCs w:val="1"/>
          <w:rtl w:val="0"/>
          <w:lang w:val="en-US"/>
        </w:rPr>
        <w:t>“</w:t>
      </w:r>
      <w:r>
        <w:rPr>
          <w:rStyle w:val="None"/>
          <w:rFonts w:cs="Arial Unicode MS" w:eastAsia="Arial Unicode MS"/>
          <w:i w:val="1"/>
          <w:iCs w:val="1"/>
          <w:rtl w:val="0"/>
          <w:lang w:val="en-US"/>
        </w:rPr>
        <w:t>Oxford IX</w:t>
      </w:r>
      <w:r>
        <w:rPr>
          <w:rStyle w:val="None"/>
          <w:rFonts w:cs="Arial Unicode MS" w:eastAsia="Arial Unicode MS" w:hint="default"/>
          <w:i w:val="1"/>
          <w:iCs w:val="1"/>
          <w:rtl w:val="0"/>
          <w:lang w:val="en-US"/>
        </w:rPr>
        <w:t xml:space="preserve">” </w:t>
      </w:r>
      <w:r>
        <w:rPr>
          <w:rStyle w:val="None"/>
          <w:rFonts w:cs="Arial Unicode MS" w:eastAsia="Arial Unicode MS"/>
          <w:i w:val="1"/>
          <w:iCs w:val="1"/>
          <w:rtl w:val="0"/>
          <w:lang w:val="en-US"/>
        </w:rPr>
        <w:t>International Symposium</w:t>
      </w:r>
      <w:r>
        <w:rPr>
          <w:rStyle w:val="None"/>
          <w:rFonts w:cs="Arial Unicode MS" w:eastAsia="Arial Unicode MS"/>
          <w:rtl w:val="0"/>
          <w:lang w:val="en-US"/>
        </w:rPr>
        <w:t xml:space="preserve"> p.149</w:t>
      </w:r>
    </w:p>
  </w:footnote>
  <w:footnote w:id="11">
    <w:p>
      <w:pPr>
        <w:pStyle w:val="Footnote"/>
      </w:pPr>
      <w:r>
        <w:rPr>
          <w:rStyle w:val="None"/>
          <w:vertAlign w:val="superscript"/>
        </w:rPr>
        <w:footnoteRef/>
      </w:r>
      <w:r>
        <w:rPr>
          <w:rStyle w:val="None"/>
          <w:rFonts w:cs="Arial Unicode MS" w:eastAsia="Arial Unicode MS"/>
          <w:rtl w:val="0"/>
        </w:rPr>
        <w:t xml:space="preserve"> </w:t>
      </w:r>
      <w:r>
        <w:rPr>
          <w:rStyle w:val="None"/>
          <w:rFonts w:cs="Arial Unicode MS" w:eastAsia="Arial Unicode MS"/>
          <w:rtl w:val="0"/>
          <w:lang w:val="en-US"/>
        </w:rPr>
        <w:t xml:space="preserve">Ghezzi and Ruggles, </w:t>
      </w:r>
      <w:r>
        <w:rPr>
          <w:rStyle w:val="None"/>
          <w:rFonts w:cs="Arial Unicode MS" w:eastAsia="Arial Unicode MS" w:hint="default"/>
          <w:i w:val="1"/>
          <w:iCs w:val="1"/>
          <w:rtl w:val="0"/>
          <w:lang w:val="en-US"/>
        </w:rPr>
        <w:t>“</w:t>
      </w:r>
      <w:r>
        <w:rPr>
          <w:rStyle w:val="None"/>
          <w:rFonts w:cs="Arial Unicode MS" w:eastAsia="Arial Unicode MS"/>
          <w:i w:val="1"/>
          <w:iCs w:val="1"/>
          <w:rtl w:val="0"/>
          <w:lang w:val="en-US"/>
        </w:rPr>
        <w:t>Oxford IX</w:t>
      </w:r>
      <w:r>
        <w:rPr>
          <w:rStyle w:val="None"/>
          <w:rFonts w:cs="Arial Unicode MS" w:eastAsia="Arial Unicode MS" w:hint="default"/>
          <w:i w:val="1"/>
          <w:iCs w:val="1"/>
          <w:rtl w:val="0"/>
          <w:lang w:val="en-US"/>
        </w:rPr>
        <w:t xml:space="preserve">” </w:t>
      </w:r>
      <w:r>
        <w:rPr>
          <w:rStyle w:val="None"/>
          <w:rFonts w:cs="Arial Unicode MS" w:eastAsia="Arial Unicode MS"/>
          <w:i w:val="1"/>
          <w:iCs w:val="1"/>
          <w:rtl w:val="0"/>
          <w:lang w:val="en-US"/>
        </w:rPr>
        <w:t>International Symposium</w:t>
      </w:r>
      <w:r>
        <w:rPr>
          <w:rStyle w:val="None"/>
          <w:rFonts w:cs="Arial Unicode MS" w:eastAsia="Arial Unicode MS"/>
          <w:rtl w:val="0"/>
          <w:lang w:val="en-US"/>
        </w:rPr>
        <w:t xml:space="preserve"> p.149</w:t>
      </w:r>
    </w:p>
  </w:footnote>
  <w:footnote w:id="12">
    <w:p>
      <w:pPr>
        <w:pStyle w:val="Footnote"/>
      </w:pPr>
      <w:r>
        <w:rPr>
          <w:rStyle w:val="None"/>
          <w:vertAlign w:val="superscript"/>
        </w:rPr>
        <w:footnoteRef/>
      </w:r>
      <w:r>
        <w:rPr>
          <w:rStyle w:val="None"/>
          <w:rFonts w:cs="Arial Unicode MS" w:eastAsia="Arial Unicode MS"/>
          <w:rtl w:val="0"/>
        </w:rPr>
        <w:t xml:space="preserve"> </w:t>
      </w:r>
      <w:r>
        <w:rPr>
          <w:rStyle w:val="None"/>
          <w:rFonts w:cs="Arial Unicode MS" w:eastAsia="Arial Unicode MS"/>
          <w:rtl w:val="0"/>
          <w:lang w:val="en-US"/>
        </w:rPr>
        <w:t xml:space="preserve">J. McKim Malville, </w:t>
      </w:r>
      <w:r>
        <w:rPr>
          <w:rStyle w:val="None"/>
          <w:rFonts w:cs="Arial Unicode MS" w:eastAsia="Arial Unicode MS" w:hint="default"/>
          <w:rtl w:val="0"/>
          <w:lang w:val="en-US"/>
        </w:rPr>
        <w:t>‘</w:t>
      </w:r>
      <w:r>
        <w:rPr>
          <w:rStyle w:val="None"/>
          <w:rFonts w:cs="Arial Unicode MS" w:eastAsia="Arial Unicode MS"/>
          <w:rtl w:val="0"/>
          <w:lang w:val="en-US"/>
        </w:rPr>
        <w:t>Meaning and Intent in Ancient Skyscapes - An Andean Perspective</w:t>
      </w:r>
      <w:r>
        <w:rPr>
          <w:rStyle w:val="None"/>
          <w:rFonts w:cs="Arial Unicode MS" w:eastAsia="Arial Unicode MS" w:hint="default"/>
          <w:rtl w:val="0"/>
          <w:lang w:val="en-US"/>
        </w:rPr>
        <w:t>’</w:t>
      </w:r>
      <w:r>
        <w:rPr>
          <w:rStyle w:val="None"/>
          <w:rFonts w:cs="Arial Unicode MS" w:eastAsia="Arial Unicode MS"/>
          <w:rtl w:val="0"/>
          <w:lang w:val="en-US"/>
        </w:rPr>
        <w:t xml:space="preserve">, in </w:t>
      </w:r>
      <w:r>
        <w:rPr>
          <w:rStyle w:val="None"/>
          <w:rFonts w:cs="Arial Unicode MS" w:eastAsia="Arial Unicode MS"/>
          <w:i w:val="1"/>
          <w:iCs w:val="1"/>
          <w:rtl w:val="0"/>
          <w:lang w:val="en-US"/>
        </w:rPr>
        <w:t>Skyscapes: The Role and Importance of the Sky in Archaeology</w:t>
      </w:r>
      <w:r>
        <w:rPr>
          <w:rStyle w:val="None"/>
          <w:rFonts w:cs="Arial Unicode MS" w:eastAsia="Arial Unicode MS"/>
          <w:rtl w:val="0"/>
          <w:lang w:val="en-US"/>
        </w:rPr>
        <w:t>, ed. by Fabio Silva and Nicholas Campion (Oxford: Oxbow Books, 2015), p. xiii</w:t>
      </w:r>
    </w:p>
  </w:footnote>
  <w:footnote w:id="13">
    <w:p>
      <w:pPr>
        <w:pStyle w:val="Footnote"/>
      </w:pPr>
      <w:r>
        <w:rPr>
          <w:rStyle w:val="None"/>
          <w:i w:val="1"/>
          <w:iCs w:val="1"/>
          <w:vertAlign w:val="superscript"/>
        </w:rPr>
        <w:footnoteRef/>
      </w:r>
      <w:r>
        <w:rPr>
          <w:rStyle w:val="None"/>
          <w:rFonts w:cs="Arial Unicode MS" w:eastAsia="Arial Unicode MS"/>
          <w:rtl w:val="0"/>
        </w:rPr>
        <w:t xml:space="preserve"> </w:t>
      </w:r>
      <w:r>
        <w:rPr>
          <w:rStyle w:val="None"/>
          <w:rFonts w:cs="Arial Unicode MS" w:eastAsia="Arial Unicode MS"/>
          <w:rtl w:val="0"/>
          <w:lang w:val="en-US"/>
        </w:rPr>
        <w:t xml:space="preserve">Malville, </w:t>
      </w:r>
      <w:r>
        <w:rPr>
          <w:rStyle w:val="None"/>
          <w:rFonts w:cs="Arial Unicode MS" w:eastAsia="Arial Unicode MS" w:hint="default"/>
          <w:i w:val="1"/>
          <w:iCs w:val="1"/>
          <w:rtl w:val="0"/>
          <w:lang w:val="en-US"/>
        </w:rPr>
        <w:t>“</w:t>
      </w:r>
      <w:r>
        <w:rPr>
          <w:rStyle w:val="None"/>
          <w:rFonts w:cs="Arial Unicode MS" w:eastAsia="Arial Unicode MS"/>
          <w:i w:val="1"/>
          <w:iCs w:val="1"/>
          <w:rtl w:val="0"/>
          <w:lang w:val="en-US"/>
        </w:rPr>
        <w:t>Oxford IX</w:t>
      </w:r>
      <w:r>
        <w:rPr>
          <w:rStyle w:val="None"/>
          <w:rFonts w:cs="Arial Unicode MS" w:eastAsia="Arial Unicode MS" w:hint="default"/>
          <w:i w:val="1"/>
          <w:iCs w:val="1"/>
          <w:rtl w:val="0"/>
          <w:lang w:val="en-US"/>
        </w:rPr>
        <w:t xml:space="preserve">” </w:t>
      </w:r>
      <w:r>
        <w:rPr>
          <w:rStyle w:val="None"/>
          <w:rFonts w:cs="Arial Unicode MS" w:eastAsia="Arial Unicode MS"/>
          <w:i w:val="1"/>
          <w:iCs w:val="1"/>
          <w:rtl w:val="0"/>
          <w:lang w:val="en-US"/>
        </w:rPr>
        <w:t xml:space="preserve">International Symposium </w:t>
      </w:r>
      <w:r>
        <w:rPr>
          <w:rStyle w:val="None"/>
          <w:rFonts w:cs="Arial Unicode MS" w:eastAsia="Arial Unicode MS"/>
          <w:rtl w:val="0"/>
          <w:lang w:val="en-US"/>
        </w:rPr>
        <w:t>p.155</w:t>
      </w:r>
    </w:p>
  </w:footnote>
  <w:footnote w:id="14">
    <w:p>
      <w:pPr>
        <w:pStyle w:val="Footnote"/>
      </w:pPr>
      <w:r>
        <w:rPr>
          <w:rStyle w:val="None"/>
          <w:vertAlign w:val="superscript"/>
        </w:rPr>
        <w:footnoteRef/>
      </w:r>
      <w:r>
        <w:rPr>
          <w:rStyle w:val="None"/>
          <w:rFonts w:cs="Arial Unicode MS" w:eastAsia="Arial Unicode MS"/>
          <w:rtl w:val="0"/>
        </w:rPr>
        <w:t xml:space="preserve"> </w:t>
      </w:r>
      <w:r>
        <w:rPr>
          <w:rStyle w:val="None"/>
          <w:rFonts w:cs="Arial Unicode MS" w:eastAsia="Arial Unicode MS"/>
          <w:rtl w:val="0"/>
          <w:lang w:val="en-US"/>
        </w:rPr>
        <w:t xml:space="preserve">I. Ghezzi, and Clive Ruggles, </w:t>
      </w:r>
      <w:r>
        <w:rPr>
          <w:rStyle w:val="None"/>
          <w:rFonts w:cs="Arial Unicode MS" w:eastAsia="Arial Unicode MS" w:hint="default"/>
          <w:rtl w:val="0"/>
          <w:lang w:val="en-US"/>
        </w:rPr>
        <w:t>‘</w:t>
      </w:r>
      <w:r>
        <w:rPr>
          <w:rStyle w:val="None"/>
          <w:rFonts w:cs="Arial Unicode MS" w:eastAsia="Arial Unicode MS"/>
          <w:rtl w:val="0"/>
          <w:lang w:val="en-US"/>
        </w:rPr>
        <w:t>Chankillo: A 2300-Year-Old Solar Observatory in Coastal Peru</w:t>
      </w:r>
      <w:r>
        <w:rPr>
          <w:rStyle w:val="None"/>
          <w:rFonts w:cs="Arial Unicode MS" w:eastAsia="Arial Unicode MS" w:hint="default"/>
          <w:rtl w:val="0"/>
          <w:lang w:val="en-US"/>
        </w:rPr>
        <w:t>’</w:t>
      </w:r>
      <w:r>
        <w:rPr>
          <w:rStyle w:val="None"/>
          <w:rFonts w:cs="Arial Unicode MS" w:eastAsia="Arial Unicode MS"/>
          <w:rtl w:val="0"/>
          <w:lang w:val="en-US"/>
        </w:rPr>
        <w:t xml:space="preserve">, </w:t>
      </w:r>
      <w:r>
        <w:rPr>
          <w:rStyle w:val="None"/>
          <w:rFonts w:cs="Arial Unicode MS" w:eastAsia="Arial Unicode MS"/>
          <w:i w:val="1"/>
          <w:iCs w:val="1"/>
          <w:rtl w:val="0"/>
          <w:lang w:val="en-US"/>
        </w:rPr>
        <w:t>Science</w:t>
      </w:r>
      <w:r>
        <w:rPr>
          <w:rStyle w:val="None"/>
          <w:rFonts w:cs="Arial Unicode MS" w:eastAsia="Arial Unicode MS"/>
          <w:rtl w:val="0"/>
          <w:lang w:val="en-US"/>
        </w:rPr>
        <w:t xml:space="preserve">, 315, 2007. pp.1239-1243 [hereafter Ghezzi and Ruggles, </w:t>
      </w:r>
      <w:r>
        <w:rPr>
          <w:rStyle w:val="None"/>
          <w:rFonts w:cs="Arial Unicode MS" w:eastAsia="Arial Unicode MS"/>
          <w:i w:val="1"/>
          <w:iCs w:val="1"/>
          <w:rtl w:val="0"/>
          <w:lang w:val="en-US"/>
        </w:rPr>
        <w:t>Science</w:t>
      </w:r>
      <w:r>
        <w:rPr>
          <w:rStyle w:val="None"/>
          <w:rFonts w:cs="Arial Unicode MS" w:eastAsia="Arial Unicode MS"/>
          <w:rtl w:val="0"/>
          <w:lang w:val="en-US"/>
        </w:rPr>
        <w:t>]</w:t>
      </w:r>
    </w:p>
  </w:footnote>
  <w:footnote w:id="15">
    <w:p>
      <w:pPr>
        <w:pStyle w:val="Footnote"/>
      </w:pPr>
      <w:r>
        <w:rPr>
          <w:rStyle w:val="None"/>
          <w:vertAlign w:val="superscript"/>
        </w:rPr>
        <w:footnoteRef/>
      </w:r>
      <w:r>
        <w:rPr>
          <w:rStyle w:val="None"/>
          <w:rFonts w:cs="Arial Unicode MS" w:eastAsia="Arial Unicode MS"/>
          <w:rtl w:val="0"/>
        </w:rPr>
        <w:t xml:space="preserve"> </w:t>
      </w:r>
      <w:r>
        <w:rPr>
          <w:rStyle w:val="None"/>
          <w:rFonts w:cs="Arial Unicode MS" w:eastAsia="Arial Unicode MS"/>
          <w:rtl w:val="0"/>
          <w:lang w:val="en-US"/>
        </w:rPr>
        <w:t xml:space="preserve">Ghezzi and Ruggles, </w:t>
      </w:r>
      <w:r>
        <w:rPr>
          <w:rStyle w:val="None"/>
          <w:rFonts w:cs="Arial Unicode MS" w:eastAsia="Arial Unicode MS"/>
          <w:i w:val="1"/>
          <w:iCs w:val="1"/>
          <w:rtl w:val="0"/>
          <w:lang w:val="en-US"/>
        </w:rPr>
        <w:t>Science</w:t>
      </w:r>
      <w:r>
        <w:rPr>
          <w:rStyle w:val="None"/>
          <w:rFonts w:cs="Arial Unicode MS" w:eastAsia="Arial Unicode MS"/>
          <w:rtl w:val="0"/>
          <w:lang w:val="en-US"/>
        </w:rPr>
        <w:t>, p.1239</w:t>
      </w:r>
    </w:p>
  </w:footnote>
  <w:footnote w:id="16">
    <w:p>
      <w:pPr>
        <w:pStyle w:val="Footnote"/>
      </w:pPr>
      <w:r>
        <w:rPr>
          <w:rStyle w:val="None"/>
          <w:vertAlign w:val="superscript"/>
        </w:rPr>
        <w:footnoteRef/>
      </w:r>
      <w:r>
        <w:rPr>
          <w:rStyle w:val="None"/>
          <w:rFonts w:cs="Arial Unicode MS" w:eastAsia="Arial Unicode MS"/>
          <w:rtl w:val="0"/>
        </w:rPr>
        <w:t xml:space="preserve"> </w:t>
      </w:r>
      <w:r>
        <w:rPr>
          <w:rStyle w:val="None"/>
          <w:rFonts w:cs="Arial Unicode MS" w:eastAsia="Arial Unicode MS"/>
          <w:rtl w:val="0"/>
          <w:lang w:val="en-US"/>
        </w:rPr>
        <w:t xml:space="preserve">Nicholas Campion, </w:t>
      </w:r>
      <w:r>
        <w:rPr>
          <w:rStyle w:val="None"/>
          <w:rFonts w:cs="Arial Unicode MS" w:eastAsia="Arial Unicode MS" w:hint="default"/>
          <w:rtl w:val="0"/>
          <w:lang w:val="en-US"/>
        </w:rPr>
        <w:t>‘</w:t>
      </w:r>
      <w:r>
        <w:rPr>
          <w:rStyle w:val="None"/>
          <w:rFonts w:cs="Arial Unicode MS" w:eastAsia="Arial Unicode MS"/>
          <w:rtl w:val="0"/>
          <w:lang w:val="en-US"/>
        </w:rPr>
        <w:t>Skyscapes: Locating Archaeoastronomy within Academia</w:t>
      </w:r>
      <w:r>
        <w:rPr>
          <w:rStyle w:val="None"/>
          <w:rFonts w:cs="Arial Unicode MS" w:eastAsia="Arial Unicode MS" w:hint="default"/>
          <w:rtl w:val="0"/>
          <w:lang w:val="en-US"/>
        </w:rPr>
        <w:t>’</w:t>
      </w:r>
      <w:r>
        <w:rPr>
          <w:rStyle w:val="None"/>
          <w:rFonts w:cs="Arial Unicode MS" w:eastAsia="Arial Unicode MS"/>
          <w:rtl w:val="0"/>
          <w:lang w:val="en-US"/>
        </w:rPr>
        <w:t xml:space="preserve">, in </w:t>
      </w:r>
      <w:r>
        <w:rPr>
          <w:rStyle w:val="None"/>
          <w:rFonts w:cs="Arial Unicode MS" w:eastAsia="Arial Unicode MS"/>
          <w:i w:val="1"/>
          <w:iCs w:val="1"/>
          <w:rtl w:val="0"/>
          <w:lang w:val="en-US"/>
        </w:rPr>
        <w:t>Skyscapes: The Role and Importance of the Sky in Archaeology</w:t>
      </w:r>
      <w:r>
        <w:rPr>
          <w:rStyle w:val="None"/>
          <w:rFonts w:cs="Arial Unicode MS" w:eastAsia="Arial Unicode MS"/>
          <w:rtl w:val="0"/>
          <w:lang w:val="en-US"/>
        </w:rPr>
        <w:t>, ed. by Fabio Silva and Nicholas Campion (Oxford: Oxbow Books, 2015), p.11</w:t>
      </w:r>
    </w:p>
  </w:footnote>
  <w:footnote w:id="17">
    <w:p>
      <w:pPr>
        <w:pStyle w:val="Footnote"/>
      </w:pPr>
      <w:r>
        <w:rPr>
          <w:rStyle w:val="None"/>
          <w:vertAlign w:val="superscript"/>
        </w:rPr>
        <w:footnoteRef/>
      </w:r>
      <w:r>
        <w:rPr>
          <w:rStyle w:val="None"/>
          <w:rFonts w:cs="Arial Unicode MS" w:eastAsia="Arial Unicode MS"/>
          <w:rtl w:val="0"/>
        </w:rPr>
        <w:t xml:space="preserve"> </w:t>
      </w:r>
      <w:r>
        <w:rPr>
          <w:rStyle w:val="None"/>
          <w:rFonts w:cs="Arial Unicode MS" w:eastAsia="Arial Unicode MS"/>
          <w:rtl w:val="0"/>
          <w:lang w:val="en-US"/>
        </w:rPr>
        <w:t xml:space="preserve">Malville, </w:t>
      </w:r>
      <w:r>
        <w:rPr>
          <w:rStyle w:val="None"/>
          <w:rFonts w:cs="Arial Unicode MS" w:eastAsia="Arial Unicode MS" w:hint="default"/>
          <w:i w:val="1"/>
          <w:iCs w:val="1"/>
          <w:rtl w:val="0"/>
          <w:lang w:val="en-US"/>
        </w:rPr>
        <w:t>“</w:t>
      </w:r>
      <w:r>
        <w:rPr>
          <w:rStyle w:val="None"/>
          <w:rFonts w:cs="Arial Unicode MS" w:eastAsia="Arial Unicode MS"/>
          <w:i w:val="1"/>
          <w:iCs w:val="1"/>
          <w:rtl w:val="0"/>
          <w:lang w:val="en-US"/>
        </w:rPr>
        <w:t>Oxford IX</w:t>
      </w:r>
      <w:r>
        <w:rPr>
          <w:rStyle w:val="None"/>
          <w:rFonts w:cs="Arial Unicode MS" w:eastAsia="Arial Unicode MS" w:hint="default"/>
          <w:i w:val="1"/>
          <w:iCs w:val="1"/>
          <w:rtl w:val="0"/>
          <w:lang w:val="en-US"/>
        </w:rPr>
        <w:t xml:space="preserve">” </w:t>
      </w:r>
      <w:r>
        <w:rPr>
          <w:rStyle w:val="None"/>
          <w:rFonts w:cs="Arial Unicode MS" w:eastAsia="Arial Unicode MS"/>
          <w:i w:val="1"/>
          <w:iCs w:val="1"/>
          <w:rtl w:val="0"/>
          <w:lang w:val="en-US"/>
        </w:rPr>
        <w:t xml:space="preserve">International Symposium </w:t>
      </w:r>
      <w:r>
        <w:rPr>
          <w:rStyle w:val="None"/>
          <w:rFonts w:cs="Arial Unicode MS" w:eastAsia="Arial Unicode MS"/>
          <w:rtl w:val="0"/>
          <w:lang w:val="en-US"/>
        </w:rPr>
        <w:t>p.159</w:t>
      </w:r>
    </w:p>
  </w:footnote>
  <w:footnote w:id="18">
    <w:p>
      <w:pPr>
        <w:pStyle w:val="Footnote"/>
      </w:pPr>
      <w:r>
        <w:rPr>
          <w:rStyle w:val="None"/>
          <w:vertAlign w:val="superscript"/>
        </w:rPr>
        <w:footnoteRef/>
      </w:r>
      <w:r>
        <w:rPr>
          <w:rStyle w:val="None"/>
          <w:rFonts w:cs="Arial Unicode MS" w:eastAsia="Arial Unicode MS"/>
          <w:rtl w:val="0"/>
        </w:rPr>
        <w:t xml:space="preserve"> </w:t>
      </w:r>
      <w:r>
        <w:rPr>
          <w:rStyle w:val="None"/>
          <w:rFonts w:cs="Arial Unicode MS" w:eastAsia="Arial Unicode MS"/>
          <w:rtl w:val="0"/>
          <w:lang w:val="en-US"/>
        </w:rPr>
        <w:t xml:space="preserve">Malville, </w:t>
      </w:r>
      <w:r>
        <w:rPr>
          <w:rStyle w:val="None"/>
          <w:rFonts w:cs="Arial Unicode MS" w:eastAsia="Arial Unicode MS" w:hint="default"/>
          <w:i w:val="1"/>
          <w:iCs w:val="1"/>
          <w:rtl w:val="0"/>
          <w:lang w:val="en-US"/>
        </w:rPr>
        <w:t>“</w:t>
      </w:r>
      <w:r>
        <w:rPr>
          <w:rStyle w:val="None"/>
          <w:rFonts w:cs="Arial Unicode MS" w:eastAsia="Arial Unicode MS"/>
          <w:i w:val="1"/>
          <w:iCs w:val="1"/>
          <w:rtl w:val="0"/>
          <w:lang w:val="en-US"/>
        </w:rPr>
        <w:t>Oxford IX</w:t>
      </w:r>
      <w:r>
        <w:rPr>
          <w:rStyle w:val="None"/>
          <w:rFonts w:cs="Arial Unicode MS" w:eastAsia="Arial Unicode MS" w:hint="default"/>
          <w:i w:val="1"/>
          <w:iCs w:val="1"/>
          <w:rtl w:val="0"/>
          <w:lang w:val="en-US"/>
        </w:rPr>
        <w:t xml:space="preserve">” </w:t>
      </w:r>
      <w:r>
        <w:rPr>
          <w:rStyle w:val="None"/>
          <w:rFonts w:cs="Arial Unicode MS" w:eastAsia="Arial Unicode MS"/>
          <w:i w:val="1"/>
          <w:iCs w:val="1"/>
          <w:rtl w:val="0"/>
          <w:lang w:val="en-US"/>
        </w:rPr>
        <w:t xml:space="preserve">International Symposium </w:t>
      </w:r>
      <w:r>
        <w:rPr>
          <w:rStyle w:val="None"/>
          <w:rFonts w:cs="Arial Unicode MS" w:eastAsia="Arial Unicode MS"/>
          <w:rtl w:val="0"/>
          <w:lang w:val="en-US"/>
        </w:rPr>
        <w:t>p.159</w:t>
      </w:r>
    </w:p>
  </w:footnote>
  <w:footnote w:id="19">
    <w:p>
      <w:pPr>
        <w:pStyle w:val="Footnote"/>
      </w:pPr>
      <w:r>
        <w:rPr>
          <w:rStyle w:val="None"/>
          <w:vertAlign w:val="superscript"/>
        </w:rPr>
        <w:footnoteRef/>
      </w:r>
      <w:r>
        <w:rPr>
          <w:rStyle w:val="None"/>
          <w:rFonts w:cs="Arial Unicode MS" w:eastAsia="Arial Unicode MS"/>
          <w:rtl w:val="0"/>
        </w:rPr>
        <w:t xml:space="preserve"> </w:t>
      </w:r>
      <w:r>
        <w:rPr>
          <w:rStyle w:val="None"/>
          <w:rFonts w:cs="Arial Unicode MS" w:eastAsia="Arial Unicode MS"/>
          <w:rtl w:val="0"/>
          <w:lang w:val="en-US"/>
        </w:rPr>
        <w:t xml:space="preserve">Malville, </w:t>
      </w:r>
      <w:r>
        <w:rPr>
          <w:rStyle w:val="None"/>
          <w:rFonts w:cs="Arial Unicode MS" w:eastAsia="Arial Unicode MS" w:hint="default"/>
          <w:i w:val="1"/>
          <w:iCs w:val="1"/>
          <w:rtl w:val="0"/>
          <w:lang w:val="en-US"/>
        </w:rPr>
        <w:t>“</w:t>
      </w:r>
      <w:r>
        <w:rPr>
          <w:rStyle w:val="None"/>
          <w:rFonts w:cs="Arial Unicode MS" w:eastAsia="Arial Unicode MS"/>
          <w:i w:val="1"/>
          <w:iCs w:val="1"/>
          <w:rtl w:val="0"/>
          <w:lang w:val="en-US"/>
        </w:rPr>
        <w:t>Oxford IX</w:t>
      </w:r>
      <w:r>
        <w:rPr>
          <w:rStyle w:val="None"/>
          <w:rFonts w:cs="Arial Unicode MS" w:eastAsia="Arial Unicode MS" w:hint="default"/>
          <w:i w:val="1"/>
          <w:iCs w:val="1"/>
          <w:rtl w:val="0"/>
          <w:lang w:val="en-US"/>
        </w:rPr>
        <w:t xml:space="preserve">” </w:t>
      </w:r>
      <w:r>
        <w:rPr>
          <w:rStyle w:val="None"/>
          <w:rFonts w:cs="Arial Unicode MS" w:eastAsia="Arial Unicode MS"/>
          <w:i w:val="1"/>
          <w:iCs w:val="1"/>
          <w:rtl w:val="0"/>
          <w:lang w:val="en-US"/>
        </w:rPr>
        <w:t xml:space="preserve">International Symposium </w:t>
      </w:r>
      <w:r>
        <w:rPr>
          <w:rStyle w:val="None"/>
          <w:rFonts w:cs="Arial Unicode MS" w:eastAsia="Arial Unicode MS"/>
          <w:rtl w:val="0"/>
          <w:lang w:val="en-US"/>
        </w:rPr>
        <w:t>p.159</w:t>
      </w:r>
    </w:p>
  </w:footnote>
  <w:footnote w:id="20">
    <w:p>
      <w:pPr>
        <w:pStyle w:val="Footnote"/>
      </w:pPr>
      <w:r>
        <w:rPr>
          <w:rStyle w:val="None"/>
          <w:vertAlign w:val="superscript"/>
        </w:rPr>
        <w:footnoteRef/>
      </w:r>
      <w:r>
        <w:rPr>
          <w:rStyle w:val="None"/>
          <w:rFonts w:cs="Arial Unicode MS" w:eastAsia="Arial Unicode MS"/>
          <w:rtl w:val="0"/>
        </w:rPr>
        <w:t xml:space="preserve"> </w:t>
      </w:r>
      <w:r>
        <w:rPr>
          <w:rStyle w:val="None"/>
          <w:rFonts w:cs="Arial Unicode MS" w:eastAsia="Arial Unicode MS"/>
          <w:rtl w:val="0"/>
          <w:lang w:val="en-US"/>
        </w:rPr>
        <w:t xml:space="preserve">Ghezzi and Ruggles, </w:t>
      </w:r>
      <w:r>
        <w:rPr>
          <w:rStyle w:val="None"/>
          <w:rFonts w:cs="Arial Unicode MS" w:eastAsia="Arial Unicode MS"/>
          <w:i w:val="1"/>
          <w:iCs w:val="1"/>
          <w:rtl w:val="0"/>
          <w:lang w:val="en-US"/>
        </w:rPr>
        <w:t>Science</w:t>
      </w:r>
      <w:r>
        <w:rPr>
          <w:rStyle w:val="None"/>
          <w:rFonts w:cs="Arial Unicode MS" w:eastAsia="Arial Unicode MS"/>
          <w:rtl w:val="0"/>
          <w:lang w:val="en-US"/>
        </w:rPr>
        <w:t>, pp.1239-1243</w:t>
      </w:r>
    </w:p>
  </w:footnote>
  <w:footnote w:id="21">
    <w:p>
      <w:pPr>
        <w:pStyle w:val="Footnote"/>
      </w:pPr>
      <w:r>
        <w:rPr>
          <w:rStyle w:val="None"/>
          <w:vertAlign w:val="superscript"/>
        </w:rPr>
        <w:footnoteRef/>
      </w:r>
      <w:r>
        <w:rPr>
          <w:rStyle w:val="None"/>
          <w:rFonts w:cs="Arial Unicode MS" w:eastAsia="Arial Unicode MS"/>
          <w:rtl w:val="0"/>
        </w:rPr>
        <w:t xml:space="preserve"> </w:t>
      </w:r>
      <w:r>
        <w:rPr>
          <w:rStyle w:val="None"/>
          <w:rFonts w:cs="Arial Unicode MS" w:eastAsia="Arial Unicode MS"/>
          <w:rtl w:val="0"/>
          <w:lang w:val="en-US"/>
        </w:rPr>
        <w:t xml:space="preserve">Ghezzi and Ruggles, </w:t>
      </w:r>
      <w:r>
        <w:rPr>
          <w:rStyle w:val="None"/>
          <w:rFonts w:cs="Arial Unicode MS" w:eastAsia="Arial Unicode MS" w:hint="default"/>
          <w:i w:val="1"/>
          <w:iCs w:val="1"/>
          <w:rtl w:val="0"/>
          <w:lang w:val="en-US"/>
        </w:rPr>
        <w:t>“</w:t>
      </w:r>
      <w:r>
        <w:rPr>
          <w:rStyle w:val="None"/>
          <w:rFonts w:cs="Arial Unicode MS" w:eastAsia="Arial Unicode MS"/>
          <w:i w:val="1"/>
          <w:iCs w:val="1"/>
          <w:rtl w:val="0"/>
          <w:lang w:val="en-US"/>
        </w:rPr>
        <w:t>Oxford IX</w:t>
      </w:r>
      <w:r>
        <w:rPr>
          <w:rStyle w:val="None"/>
          <w:rFonts w:cs="Arial Unicode MS" w:eastAsia="Arial Unicode MS" w:hint="default"/>
          <w:i w:val="1"/>
          <w:iCs w:val="1"/>
          <w:rtl w:val="0"/>
          <w:lang w:val="en-US"/>
        </w:rPr>
        <w:t xml:space="preserve">” </w:t>
      </w:r>
      <w:r>
        <w:rPr>
          <w:rStyle w:val="None"/>
          <w:rFonts w:cs="Arial Unicode MS" w:eastAsia="Arial Unicode MS"/>
          <w:i w:val="1"/>
          <w:iCs w:val="1"/>
          <w:rtl w:val="0"/>
          <w:lang w:val="en-US"/>
        </w:rPr>
        <w:t>International Symposium</w:t>
      </w:r>
      <w:r>
        <w:rPr>
          <w:rStyle w:val="None"/>
          <w:rFonts w:cs="Arial Unicode MS" w:eastAsia="Arial Unicode MS"/>
          <w:rtl w:val="0"/>
          <w:lang w:val="en-US"/>
        </w:rPr>
        <w:t xml:space="preserve"> p.151</w:t>
      </w:r>
    </w:p>
  </w:footnote>
  <w:footnote w:id="22">
    <w:p>
      <w:pPr>
        <w:pStyle w:val="Footnote"/>
      </w:pPr>
      <w:r>
        <w:rPr>
          <w:rStyle w:val="None"/>
          <w:vertAlign w:val="superscript"/>
        </w:rPr>
        <w:footnoteRef/>
      </w:r>
      <w:r>
        <w:rPr>
          <w:rStyle w:val="None"/>
          <w:rFonts w:cs="Arial Unicode MS" w:eastAsia="Arial Unicode MS"/>
          <w:rtl w:val="0"/>
        </w:rPr>
        <w:t xml:space="preserve"> </w:t>
      </w:r>
      <w:r>
        <w:rPr>
          <w:rStyle w:val="None"/>
          <w:rFonts w:cs="Arial Unicode MS" w:eastAsia="Arial Unicode MS"/>
          <w:rtl w:val="0"/>
          <w:lang w:val="en-US"/>
        </w:rPr>
        <w:t xml:space="preserve">Malville, </w:t>
      </w:r>
      <w:r>
        <w:rPr>
          <w:rStyle w:val="None"/>
          <w:rFonts w:cs="Arial Unicode MS" w:eastAsia="Arial Unicode MS" w:hint="default"/>
          <w:i w:val="1"/>
          <w:iCs w:val="1"/>
          <w:rtl w:val="0"/>
          <w:lang w:val="en-US"/>
        </w:rPr>
        <w:t>“</w:t>
      </w:r>
      <w:r>
        <w:rPr>
          <w:rStyle w:val="None"/>
          <w:rFonts w:cs="Arial Unicode MS" w:eastAsia="Arial Unicode MS"/>
          <w:i w:val="1"/>
          <w:iCs w:val="1"/>
          <w:rtl w:val="0"/>
          <w:lang w:val="en-US"/>
        </w:rPr>
        <w:t>Oxford IX</w:t>
      </w:r>
      <w:r>
        <w:rPr>
          <w:rStyle w:val="None"/>
          <w:rFonts w:cs="Arial Unicode MS" w:eastAsia="Arial Unicode MS" w:hint="default"/>
          <w:i w:val="1"/>
          <w:iCs w:val="1"/>
          <w:rtl w:val="0"/>
          <w:lang w:val="en-US"/>
        </w:rPr>
        <w:t xml:space="preserve">” </w:t>
      </w:r>
      <w:r>
        <w:rPr>
          <w:rStyle w:val="None"/>
          <w:rFonts w:cs="Arial Unicode MS" w:eastAsia="Arial Unicode MS"/>
          <w:i w:val="1"/>
          <w:iCs w:val="1"/>
          <w:rtl w:val="0"/>
          <w:lang w:val="en-US"/>
        </w:rPr>
        <w:t xml:space="preserve">International Symposium </w:t>
      </w:r>
      <w:r>
        <w:rPr>
          <w:rStyle w:val="None"/>
          <w:rFonts w:cs="Arial Unicode MS" w:eastAsia="Arial Unicode MS"/>
          <w:rtl w:val="0"/>
          <w:lang w:val="en-US"/>
        </w:rPr>
        <w:t>p.159</w:t>
      </w:r>
    </w:p>
  </w:footnote>
  <w:footnote w:id="23">
    <w:p>
      <w:pPr>
        <w:pStyle w:val="Footnote"/>
      </w:pPr>
      <w:r>
        <w:rPr>
          <w:rStyle w:val="None"/>
          <w:vertAlign w:val="superscript"/>
        </w:rPr>
        <w:footnoteRef/>
      </w:r>
      <w:r>
        <w:rPr>
          <w:rStyle w:val="None"/>
          <w:rFonts w:cs="Arial Unicode MS" w:eastAsia="Arial Unicode MS"/>
          <w:rtl w:val="0"/>
          <w:lang w:val="en-US"/>
        </w:rPr>
        <w:t xml:space="preserve"> Malville, </w:t>
      </w:r>
      <w:r>
        <w:rPr>
          <w:rStyle w:val="None"/>
          <w:rFonts w:cs="Arial Unicode MS" w:eastAsia="Arial Unicode MS" w:hint="default"/>
          <w:i w:val="1"/>
          <w:iCs w:val="1"/>
          <w:rtl w:val="0"/>
          <w:lang w:val="en-US"/>
        </w:rPr>
        <w:t>“</w:t>
      </w:r>
      <w:r>
        <w:rPr>
          <w:rStyle w:val="None"/>
          <w:rFonts w:cs="Arial Unicode MS" w:eastAsia="Arial Unicode MS"/>
          <w:i w:val="1"/>
          <w:iCs w:val="1"/>
          <w:rtl w:val="0"/>
          <w:lang w:val="en-US"/>
        </w:rPr>
        <w:t>Oxford IX</w:t>
      </w:r>
      <w:r>
        <w:rPr>
          <w:rStyle w:val="None"/>
          <w:rFonts w:cs="Arial Unicode MS" w:eastAsia="Arial Unicode MS" w:hint="default"/>
          <w:i w:val="1"/>
          <w:iCs w:val="1"/>
          <w:rtl w:val="0"/>
          <w:lang w:val="en-US"/>
        </w:rPr>
        <w:t xml:space="preserve">” </w:t>
      </w:r>
      <w:r>
        <w:rPr>
          <w:rStyle w:val="None"/>
          <w:rFonts w:cs="Arial Unicode MS" w:eastAsia="Arial Unicode MS"/>
          <w:i w:val="1"/>
          <w:iCs w:val="1"/>
          <w:rtl w:val="0"/>
          <w:lang w:val="en-US"/>
        </w:rPr>
        <w:t xml:space="preserve">International Symposium </w:t>
      </w:r>
      <w:r>
        <w:rPr>
          <w:rStyle w:val="None"/>
          <w:rFonts w:cs="Arial Unicode MS" w:eastAsia="Arial Unicode MS"/>
          <w:rtl w:val="0"/>
          <w:lang w:val="en-US"/>
        </w:rPr>
        <w:t>p.158</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12"/>
        <w:tab w:val="clear" w:pos="9020"/>
      </w:tabs>
    </w:pPr>
    <w:r>
      <w:rPr>
        <w:rtl w:val="0"/>
        <w:lang w:val="en-US"/>
      </w:rPr>
      <w:t>1911472 Kerry Cross</w:t>
      <w:tab/>
      <w:tab/>
      <w:t xml:space="preserve">Page </w:t>
    </w:r>
    <w:r>
      <w:rPr>
        <w:rtl w:val="0"/>
      </w:rPr>
      <w:fldChar w:fldCharType="begin" w:fldLock="0"/>
    </w:r>
    <w:r>
      <w:rPr>
        <w:rtl w:val="0"/>
      </w:rPr>
      <w:instrText xml:space="preserve"> PAGE </w:instrText>
    </w:r>
    <w:r>
      <w:rPr>
        <w:rtl w:val="0"/>
      </w:rPr>
      <w:fldChar w:fldCharType="separate" w:fldLock="0"/>
    </w:r>
    <w:r>
      <w:rPr>
        <w:rtl w:val="0"/>
      </w:rPr>
      <w:t>1</w:t>
    </w:r>
    <w:r>
      <w:rPr>
        <w:rtl w:val="0"/>
      </w:rPr>
      <w:fldChar w:fldCharType="end" w:fldLock="0"/>
    </w:r>
    <w:r>
      <w:rPr>
        <w:rtl w:val="0"/>
        <w:lang w:val="en-US"/>
      </w:rPr>
      <w:t xml:space="preserve"> of </w:t>
    </w:r>
    <w:r>
      <w:rPr>
        <w:rtl w:val="0"/>
      </w:rPr>
      <w:fldChar w:fldCharType="begin" w:fldLock="0"/>
    </w:r>
    <w:r>
      <w:rPr>
        <w:rtl w:val="0"/>
      </w:rPr>
      <w:instrText xml:space="preserve"> NUMPAGES </w:instrText>
    </w:r>
    <w:r>
      <w:rPr>
        <w:rtl w:val="0"/>
      </w:rPr>
      <w:fldChar w:fldCharType="separate" w:fldLock="0"/>
    </w:r>
    <w:r>
      <w:rPr>
        <w:rtl w:val="0"/>
      </w:rPr>
      <w:t>1</w:t>
    </w:r>
    <w:r>
      <w:rPr>
        <w:rtl w:val="0"/>
      </w:rPr>
      <w:fldChar w:fldCharType="end" w:fldLock="0"/>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14:textOutline w14:w="12700" w14:cap="flat">
        <w14:noFill/>
        <w14:miter w14:lim="400000"/>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color="000000"/>
      <w:vertAlign w:val="baseline"/>
      <w14:textOutline w14:w="12700" w14:cap="flat">
        <w14:noFill/>
        <w14:miter w14:lim="400000"/>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14:textOutline>
        <w14:noFill/>
      </w14:textOutline>
      <w14:textFill>
        <w14:solidFill>
          <w14:srgbClr w14:val="000000"/>
        </w14:solidFill>
      </w14:textFill>
    </w:rPr>
  </w:style>
  <w:style w:type="paragraph" w:styleId="Heading 3">
    <w:name w:val="Heading 3"/>
    <w:next w:val="Body A"/>
    <w:pPr>
      <w:keepNext w:val="1"/>
      <w:keepLines w:val="0"/>
      <w:pageBreakBefore w:val="0"/>
      <w:widowControl w:val="1"/>
      <w:pBdr>
        <w:top w:val="single" w:color="515151" w:sz="4" w:space="0" w:shadow="0" w:frame="0"/>
        <w:left w:val="nil"/>
        <w:bottom w:val="nil"/>
        <w:right w:val="nil"/>
      </w:pBdr>
      <w:shd w:val="clear" w:color="auto" w:fill="auto"/>
      <w:suppressAutoHyphens w:val="0"/>
      <w:bidi w:val="0"/>
      <w:spacing w:before="360" w:after="40" w:line="288" w:lineRule="auto"/>
      <w:ind w:left="0" w:right="0" w:firstLine="0"/>
      <w:jc w:val="left"/>
      <w:outlineLvl w:val="0"/>
    </w:pPr>
    <w:rPr>
      <w:rFonts w:ascii="Helvetica Neue" w:cs="Arial Unicode MS" w:hAnsi="Helvetica Neue" w:eastAsia="Arial Unicode MS"/>
      <w:b w:val="0"/>
      <w:bCs w:val="0"/>
      <w:i w:val="0"/>
      <w:iCs w:val="0"/>
      <w:caps w:val="0"/>
      <w:smallCaps w:val="0"/>
      <w:strike w:val="0"/>
      <w:dstrike w:val="0"/>
      <w:outline w:val="0"/>
      <w:color w:val="000000"/>
      <w:spacing w:val="5"/>
      <w:kern w:val="0"/>
      <w:position w:val="0"/>
      <w:sz w:val="28"/>
      <w:szCs w:val="28"/>
      <w:u w:val="none" w:color="000000"/>
      <w:vertAlign w:val="baseline"/>
      <w:lang w:val="en-US"/>
      <w14:textOutline w14:w="12700" w14:cap="flat">
        <w14:noFill/>
        <w14:miter w14:lim="400000"/>
      </w14:textOutline>
      <w14:textFill>
        <w14:solidFill>
          <w14:srgbClr w14:val="000000"/>
        </w14:solidFill>
      </w14:textFill>
    </w:rPr>
  </w:style>
  <w:style w:type="character" w:styleId="None">
    <w:name w:val="None"/>
  </w:style>
  <w:style w:type="character" w:styleId="Hyperlink.0">
    <w:name w:val="Hyperlink.0"/>
    <w:basedOn w:val="None"/>
    <w:next w:val="Hyperlink.0"/>
    <w:rPr>
      <w:rFonts w:ascii="Arial" w:cs="Arial" w:hAnsi="Arial" w:eastAsia="Arial"/>
      <w:outline w:val="0"/>
      <w:color w:val="0000ff"/>
      <w:sz w:val="22"/>
      <w:szCs w:val="22"/>
      <w:u w:val="single" w:color="0000ff"/>
      <w:lang w:val="en-US"/>
      <w14:textOutline w14:w="12700" w14:cap="flat">
        <w14:noFill/>
        <w14:miter w14:lim="400000"/>
      </w14:textOutline>
      <w14:textFill>
        <w14:solidFill>
          <w14:srgbClr w14:val="0000FF"/>
        </w14:solidFill>
      </w14:textFill>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color="000000"/>
      <w:vertAlign w:val="baseline"/>
      <w14:textOutline w14:w="12700" w14:cap="flat">
        <w14:noFill/>
        <w14:miter w14:lim="400000"/>
      </w14:textOutline>
      <w14:textFill>
        <w14:solidFill>
          <w14:srgbClr w14:val="000000"/>
        </w14:solidFill>
      </w14:textFill>
    </w:rPr>
  </w:style>
  <w:style w:type="character" w:styleId="Hyperlink.1">
    <w:name w:val="Hyperlink.1"/>
    <w:basedOn w:val="None"/>
    <w:next w:val="Hyperlink.1"/>
    <w:rPr>
      <w:u w:val="single"/>
      <w:lang w:val="en-US"/>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otnotes" Target="footnotes.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