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5E0817" w:rsidR="005E0817" w:rsidP="4EAEAABC" w:rsidRDefault="005E0817" w14:paraId="3BCA1844" w14:noSpellErr="1" w14:textId="3741ACE5">
      <w:pPr>
        <w:autoSpaceDE w:val="0"/>
        <w:autoSpaceDN w:val="0"/>
        <w:adjustRightInd w:val="0"/>
        <w:spacing w:line="240" w:lineRule="auto"/>
        <w:jc w:val="left"/>
        <w:rPr>
          <w:rFonts w:ascii="Arial" w:hAnsi="Arial" w:cs="Arial"/>
          <w:color w:val="000000"/>
          <w:lang w:val="en-US"/>
        </w:rPr>
      </w:pPr>
      <w:r w:rsidRPr="4EAEAABC" w:rsidR="1FC33D60">
        <w:rPr>
          <w:rFonts w:ascii="Arial" w:hAnsi="Arial" w:cs="Arial"/>
          <w:color w:val="000000" w:themeColor="text1" w:themeTint="FF" w:themeShade="FF"/>
          <w:lang w:val="en-US"/>
        </w:rPr>
        <w:t xml:space="preserve"> </w:t>
      </w:r>
    </w:p>
    <w:p w:rsidRPr="006557EE" w:rsidR="003050EB" w:rsidP="006557EE" w:rsidRDefault="006557EE" w14:paraId="5311C696" w14:textId="77777777">
      <w:pPr>
        <w:spacing w:after="160" w:line="259" w:lineRule="auto"/>
        <w:jc w:val="center"/>
        <w:rPr>
          <w:sz w:val="36"/>
          <w:szCs w:val="36"/>
          <w:lang w:val="en-US"/>
        </w:rPr>
      </w:pPr>
      <w:r w:rsidRPr="006557EE">
        <w:rPr>
          <w:b/>
          <w:sz w:val="36"/>
          <w:szCs w:val="36"/>
        </w:rPr>
        <w:t>Sustainable Hospitality &amp; Tourism Management</w:t>
      </w:r>
    </w:p>
    <w:p w:rsidR="003050EB" w:rsidRDefault="003050EB" w14:paraId="6BFC592F" w14:textId="77777777">
      <w:pPr>
        <w:spacing w:after="160" w:line="259" w:lineRule="auto"/>
        <w:jc w:val="left"/>
        <w:rPr>
          <w:lang w:val="en-US"/>
        </w:rPr>
      </w:pPr>
    </w:p>
    <w:p w:rsidR="003050EB" w:rsidRDefault="003050EB" w14:paraId="4AF6411B" w14:textId="77777777">
      <w:pPr>
        <w:spacing w:after="160" w:line="259" w:lineRule="auto"/>
        <w:jc w:val="left"/>
        <w:rPr>
          <w:lang w:val="en-US"/>
        </w:rPr>
      </w:pPr>
    </w:p>
    <w:p w:rsidR="003050EB" w:rsidRDefault="003050EB" w14:paraId="642C8B56" w14:textId="77777777">
      <w:pPr>
        <w:spacing w:after="160" w:line="259" w:lineRule="auto"/>
        <w:jc w:val="left"/>
        <w:rPr>
          <w:lang w:val="en-US"/>
        </w:rPr>
      </w:pPr>
    </w:p>
    <w:p w:rsidR="003050EB" w:rsidRDefault="003050EB" w14:paraId="1BEA5CFA" w14:textId="77777777">
      <w:pPr>
        <w:spacing w:after="160" w:line="259" w:lineRule="auto"/>
        <w:jc w:val="left"/>
        <w:rPr>
          <w:lang w:val="en-US"/>
        </w:rPr>
      </w:pPr>
    </w:p>
    <w:p w:rsidR="003050EB" w:rsidRDefault="003050EB" w14:paraId="08FDAA88" w14:textId="77777777">
      <w:pPr>
        <w:spacing w:after="160" w:line="259" w:lineRule="auto"/>
        <w:jc w:val="left"/>
        <w:rPr>
          <w:lang w:val="en-US"/>
        </w:rPr>
      </w:pPr>
    </w:p>
    <w:p w:rsidR="003050EB" w:rsidRDefault="003050EB" w14:paraId="0683D05E" w14:textId="77777777">
      <w:pPr>
        <w:spacing w:after="160" w:line="259" w:lineRule="auto"/>
        <w:jc w:val="left"/>
        <w:rPr>
          <w:lang w:val="en-US"/>
        </w:rPr>
      </w:pPr>
    </w:p>
    <w:p w:rsidRPr="006557EE" w:rsidR="003050EB" w:rsidP="003050EB" w:rsidRDefault="003050EB" w14:paraId="09DD5907" w14:textId="77777777">
      <w:pPr>
        <w:spacing w:after="160"/>
        <w:rPr>
          <w:b/>
          <w:sz w:val="36"/>
          <w:szCs w:val="36"/>
          <w:lang w:val="en-US"/>
        </w:rPr>
      </w:pPr>
      <w:r w:rsidRPr="006557EE">
        <w:rPr>
          <w:b/>
          <w:sz w:val="36"/>
          <w:szCs w:val="36"/>
          <w:lang w:val="en-US"/>
        </w:rPr>
        <w:t>Students Name</w:t>
      </w:r>
      <w:r w:rsidR="00F4197A">
        <w:rPr>
          <w:b/>
          <w:sz w:val="36"/>
          <w:szCs w:val="36"/>
          <w:lang w:val="en-US"/>
        </w:rPr>
        <w:t xml:space="preserve">: </w:t>
      </w:r>
      <w:proofErr w:type="spellStart"/>
      <w:r w:rsidR="00F4197A">
        <w:rPr>
          <w:b/>
          <w:sz w:val="36"/>
          <w:szCs w:val="36"/>
          <w:lang w:val="en-US"/>
        </w:rPr>
        <w:t>Nadeige</w:t>
      </w:r>
      <w:proofErr w:type="spellEnd"/>
      <w:r w:rsidR="00F4197A">
        <w:rPr>
          <w:b/>
          <w:sz w:val="36"/>
          <w:szCs w:val="36"/>
          <w:lang w:val="en-US"/>
        </w:rPr>
        <w:t xml:space="preserve"> Lewis </w:t>
      </w:r>
    </w:p>
    <w:p w:rsidR="003050EB" w:rsidP="003050EB" w:rsidRDefault="003050EB" w14:paraId="0BAD21D6" w14:textId="2FBB30EA">
      <w:pPr>
        <w:spacing w:after="160"/>
        <w:rPr>
          <w:b/>
          <w:sz w:val="32"/>
          <w:szCs w:val="32"/>
          <w:lang w:val="en-US" w:eastAsia="en-GB"/>
        </w:rPr>
      </w:pPr>
      <w:r w:rsidRPr="006557EE">
        <w:rPr>
          <w:b/>
          <w:sz w:val="36"/>
          <w:szCs w:val="36"/>
          <w:lang w:val="en-US"/>
        </w:rPr>
        <w:t>Students ID</w:t>
      </w:r>
      <w:r w:rsidR="00FA5ADC">
        <w:rPr>
          <w:b/>
          <w:sz w:val="36"/>
          <w:szCs w:val="36"/>
          <w:lang w:val="en-US"/>
        </w:rPr>
        <w:t>: 2126427</w:t>
      </w:r>
      <w:r w:rsidRPr="6CBC1567" w:rsidR="30548AB0">
        <w:rPr>
          <w:b/>
          <w:bCs/>
          <w:sz w:val="36"/>
          <w:szCs w:val="36"/>
          <w:lang w:val="en-US"/>
        </w:rPr>
        <w:t xml:space="preserve">  </w:t>
      </w:r>
      <w:r>
        <w:rPr>
          <w:lang w:val="en-US"/>
        </w:rPr>
        <w:br w:type="page"/>
      </w:r>
    </w:p>
    <w:p w:rsidRPr="0006266D" w:rsidR="006557EE" w:rsidP="0006266D" w:rsidRDefault="006F6B53" w14:paraId="0BF7BC61" w14:textId="77777777">
      <w:pPr>
        <w:pStyle w:val="Heading1"/>
      </w:pPr>
      <w:r w:rsidRPr="0006266D">
        <w:lastRenderedPageBreak/>
        <w:t>Sustainable Hospitality in Action: IHG Hotels &amp; Resorts' Circular Economy Initiatives and Their Industry Impact</w:t>
      </w:r>
    </w:p>
    <w:p w:rsidR="00CE2E08" w:rsidP="00CE2E08" w:rsidRDefault="00CE2E08" w14:paraId="3A027A1B" w14:textId="4BCE48DD">
      <w:pPr>
        <w:rPr>
          <w:lang w:eastAsia="en-GB"/>
        </w:rPr>
      </w:pPr>
      <w:r>
        <w:rPr>
          <w:lang w:eastAsia="en-GB"/>
        </w:rPr>
        <w:t xml:space="preserve">The modern world of business is increasingly </w:t>
      </w:r>
      <w:proofErr w:type="spellStart"/>
      <w:r>
        <w:rPr>
          <w:lang w:eastAsia="en-GB"/>
        </w:rPr>
        <w:t>adop</w:t>
      </w:r>
      <w:proofErr w:type="spellEnd"/>
      <w:r w:rsidR="00292395">
        <w:rPr>
          <w:lang w:eastAsia="en-GB"/>
        </w:rPr>
        <w:t xml:space="preserve">  </w:t>
      </w:r>
      <w:r>
        <w:rPr>
          <w:lang w:eastAsia="en-GB"/>
        </w:rPr>
        <w:t>ting a new paradigm known today as circular economy in its practices, which helps decrease resource usage and save costs. Based on a larger picture that supports economic strength, social harmony and the natural balance of our environment; circular economy creates perfect bridge to CSR (</w:t>
      </w:r>
      <w:proofErr w:type="spellStart"/>
      <w:r>
        <w:rPr>
          <w:lang w:eastAsia="en-GB"/>
        </w:rPr>
        <w:t>Mochalova</w:t>
      </w:r>
      <w:proofErr w:type="spellEnd"/>
      <w:r>
        <w:rPr>
          <w:lang w:eastAsia="en-GB"/>
        </w:rPr>
        <w:t xml:space="preserve"> 2021). The concepts IHG Hotels &amp; Resorts, a pioneer in this CSR area, is working tirelessly to propagate are ones that these companies regard highly. It is common knowledge that the very essence of IHG’s operations are aimed at ensuring global safety not only for the inhabitants on this planet but also for our dear Mother Earth. IHG’s CSR message that the operational CC strategy is implemented encompasses having a positive impact on society, ecology and human economy. As the paper focuses on how IHG practices sustainability under circular economy principles, it approaches CSR as an integrative concept to a business philosophy and sets forth technical aspects of this approach. It shows a holistic approach to responsibility in tourism and the hospitality industry. IHG Hotels &amp; Resorts’ sustainability strategy must have a framework that can incorporate both circularity and decarbonisation for it to succeed (</w:t>
      </w:r>
      <w:proofErr w:type="spellStart"/>
      <w:r>
        <w:rPr>
          <w:lang w:eastAsia="en-GB"/>
        </w:rPr>
        <w:t>Lata</w:t>
      </w:r>
      <w:proofErr w:type="spellEnd"/>
      <w:r w:rsidRPr="00CE2E08">
        <w:rPr>
          <w:i/>
          <w:iCs/>
          <w:lang w:val="en-US"/>
        </w:rPr>
        <w:t xml:space="preserve"> </w:t>
      </w:r>
      <w:r w:rsidRPr="006D588E">
        <w:rPr>
          <w:i/>
          <w:iCs/>
          <w:lang w:val="en-US"/>
        </w:rPr>
        <w:t>et al.</w:t>
      </w:r>
      <w:r w:rsidRPr="006D588E">
        <w:rPr>
          <w:lang w:val="en-US"/>
        </w:rPr>
        <w:t xml:space="preserve">, </w:t>
      </w:r>
      <w:r>
        <w:rPr>
          <w:lang w:eastAsia="en-GB"/>
        </w:rPr>
        <w:t>2023). It is a revolutionary approach to utilizing resources. Circular economy is at the root of revised assumptions with regard to traditional linear consumption and production paradigms; sustainability, long-term resilience focused. Its foundational directorate centres on the “3Rs”—reducing, re-using and recycling.</w:t>
      </w:r>
    </w:p>
    <w:p w:rsidR="008D00BD" w:rsidP="008D00BD" w:rsidRDefault="00CE2E08" w14:paraId="0C131F60" w14:textId="77777777">
      <w:pPr>
        <w:rPr>
          <w:lang w:eastAsia="en-GB"/>
        </w:rPr>
      </w:pPr>
      <w:r>
        <w:rPr>
          <w:lang w:eastAsia="en-GB"/>
        </w:rPr>
        <w:t>To mitigate the effects that are shown on environment because of using limited resources, circular economy tries to limit its use. Complying with these ideals, IHG aims for optimisation of wastes by targeting materials use efficiency in its operations daily (</w:t>
      </w:r>
      <w:proofErr w:type="spellStart"/>
      <w:r>
        <w:rPr>
          <w:lang w:eastAsia="en-GB"/>
        </w:rPr>
        <w:t>Nylén</w:t>
      </w:r>
      <w:proofErr w:type="spellEnd"/>
      <w:r>
        <w:rPr>
          <w:lang w:eastAsia="en-GB"/>
        </w:rPr>
        <w:t xml:space="preserve"> &amp; </w:t>
      </w:r>
      <w:proofErr w:type="spellStart"/>
      <w:r>
        <w:rPr>
          <w:lang w:eastAsia="en-GB"/>
        </w:rPr>
        <w:t>Salminen</w:t>
      </w:r>
      <w:proofErr w:type="spellEnd"/>
      <w:r>
        <w:rPr>
          <w:lang w:eastAsia="en-GB"/>
        </w:rPr>
        <w:t>, 2019). Moreover, the IHG tries to reuse and recycle all materials in which possible. This movement includes such things as ‘</w:t>
      </w:r>
      <w:proofErr w:type="spellStart"/>
      <w:r>
        <w:rPr>
          <w:lang w:eastAsia="en-GB"/>
        </w:rPr>
        <w:t>longify</w:t>
      </w:r>
      <w:proofErr w:type="spellEnd"/>
      <w:r>
        <w:rPr>
          <w:lang w:eastAsia="en-GB"/>
        </w:rPr>
        <w:t xml:space="preserve">’, ‘build with recyclables’ and others – like looking for new start ups playing old potatoes; all try to extend natural </w:t>
      </w:r>
      <w:r w:rsidR="008D00BD">
        <w:rPr>
          <w:lang w:eastAsia="en-GB"/>
        </w:rPr>
        <w:t>life spans</w:t>
      </w:r>
      <w:r>
        <w:rPr>
          <w:lang w:eastAsia="en-GB"/>
        </w:rPr>
        <w:t xml:space="preserve">. </w:t>
      </w:r>
      <w:r w:rsidR="008D00BD">
        <w:rPr>
          <w:lang w:eastAsia="en-GB"/>
        </w:rPr>
        <w:t xml:space="preserve">Through this, IHG can help create a cyclical and circular supply chain thereby minimizing its impact on the environment. Finally, IHG is entirely dedicated to the recycling of materials when applicable. Two elements of this are recycling or reuse, and sustainable waste management. Focusing on the efficient use of resources, IHG seeks to build a better and more environmentally friendly hospitality sector by embracing these aspects of circular economy ( </w:t>
      </w:r>
      <w:proofErr w:type="spellStart"/>
      <w:r w:rsidR="008D00BD">
        <w:rPr>
          <w:lang w:eastAsia="en-GB"/>
        </w:rPr>
        <w:t>Haski-Leventhal</w:t>
      </w:r>
      <w:proofErr w:type="spellEnd"/>
      <w:r w:rsidR="008D00BD">
        <w:rPr>
          <w:lang w:eastAsia="en-GB"/>
        </w:rPr>
        <w:t>. 2018).</w:t>
      </w:r>
    </w:p>
    <w:p w:rsidR="00166E76" w:rsidP="00166E76" w:rsidRDefault="008D00BD" w14:paraId="54A756E1" w14:textId="77777777">
      <w:pPr>
        <w:rPr>
          <w:lang w:eastAsia="en-GB"/>
        </w:rPr>
      </w:pPr>
      <w:r>
        <w:rPr>
          <w:lang w:eastAsia="en-GB"/>
        </w:rPr>
        <w:t xml:space="preserve">Circular economy and corporate social responsibility are inarguable therefore IHG Hotels &amp; Resorts is so inclined towards sustainable business practices. The circular economy principles, </w:t>
      </w:r>
      <w:r>
        <w:rPr>
          <w:lang w:eastAsia="en-GB"/>
        </w:rPr>
        <w:lastRenderedPageBreak/>
        <w:t>which are pivotal for IHG’s CSR initiatives, help support the goals of social responsibility economic sustainability and environmental preservation (</w:t>
      </w:r>
      <w:proofErr w:type="spellStart"/>
      <w:r>
        <w:rPr>
          <w:lang w:eastAsia="en-GB"/>
        </w:rPr>
        <w:t>Samet</w:t>
      </w:r>
      <w:proofErr w:type="spellEnd"/>
      <w:r>
        <w:rPr>
          <w:lang w:eastAsia="en-GB"/>
        </w:rPr>
        <w:t xml:space="preserve"> et al., 2018). Through the implementation of circular economy principles, IHG is striving to minimize its ecological footprint. Promoting recycling, reuse of materials and reduction in wastes by IHG seeks to reduce the environmental impacts besides saving money through efficient use of resources which ensures healthy environment. Besides the environmental benefits, circular economy also positions IHG as a leader in ethics among industries. According to InterContinental Hotels Group PLC (2024), IHG is highly committed to its social responsibility of engaging in circular economy projects that benefit the communities where it operates. Activities that contribute to social physical well-being include buying from local businesses, cooperating with communal associations and following ethical worker practices. In line with its CSR strategy focused on the principles of a circular economy, IHG invests in society and includes this approach as well. Overall, IHG understands that circular economy concepts build up businesses. </w:t>
      </w:r>
      <w:r w:rsidR="00166E76">
        <w:rPr>
          <w:lang w:eastAsia="en-GB"/>
        </w:rPr>
        <w:t>IHG increases profits and minimizes operating costs through efficient resource management and waste reduction (Cooper, 2021). By the company’s holistic approach, which makes IHG a leader in SCS and circular economics can be demonstrated knowledge of CSR and CE.</w:t>
      </w:r>
    </w:p>
    <w:p w:rsidRPr="00BF0B92" w:rsidR="00D73396" w:rsidP="00166E76" w:rsidRDefault="00166E76" w14:paraId="32BCC7A3" w14:textId="77777777">
      <w:r>
        <w:rPr>
          <w:lang w:eastAsia="en-GB"/>
        </w:rPr>
        <w:t>Under an integrated circular economy approach, IHG Hotels &amp; Resorts has a high focus on corporate social responsibility. The long-term survival, social responsibility and economic sustainability make up IHG’s CSR policy (</w:t>
      </w:r>
      <w:proofErr w:type="spellStart"/>
      <w:r>
        <w:rPr>
          <w:lang w:eastAsia="en-GB"/>
        </w:rPr>
        <w:t>Inkson</w:t>
      </w:r>
      <w:proofErr w:type="spellEnd"/>
      <w:r>
        <w:rPr>
          <w:lang w:eastAsia="en-GB"/>
        </w:rPr>
        <w:t xml:space="preserve"> L &amp; </w:t>
      </w:r>
      <w:proofErr w:type="spellStart"/>
      <w:r>
        <w:rPr>
          <w:lang w:eastAsia="en-GB"/>
        </w:rPr>
        <w:t>Minnaert</w:t>
      </w:r>
      <w:proofErr w:type="spellEnd"/>
      <w:r>
        <w:rPr>
          <w:lang w:eastAsia="en-GB"/>
        </w:rPr>
        <w:t xml:space="preserve"> T.2018). Considering that IHG’s CSR campaigns are designed to limit waste in an organized way, the circular economy is a worthy fit. Some of these ways are trash audits, eco-friendly packaging as well as reduced use of single utilisation plastic on all their sites. This helps achieve the objective of circular economy which aims to minimize environmental effects of resource use (</w:t>
      </w:r>
      <w:proofErr w:type="spellStart"/>
      <w:r>
        <w:rPr>
          <w:lang w:eastAsia="en-GB"/>
        </w:rPr>
        <w:t>Khanchel</w:t>
      </w:r>
      <w:proofErr w:type="spellEnd"/>
      <w:r>
        <w:rPr>
          <w:lang w:eastAsia="en-GB"/>
        </w:rPr>
        <w:t xml:space="preserve"> et al., 2023). IHG’s CSR strategy also includes starting recycling activities. With the goal of reducing waste sent to landfills in mind, IHG has instituted various recycling programmes including single-stream recyclables within guest rooms and complete separation processes for wastes generated from operations behind their houses. The aim of the circular economy is to promote resource use throughout production, and IHG supports this objective by developing a culture of responsible waste management.</w:t>
      </w:r>
      <w:r w:rsidR="00C04670">
        <w:rPr>
          <w:lang w:eastAsia="en-GB"/>
        </w:rPr>
        <w:t xml:space="preserve"> In keeping with the principles of the circular economy, sustainable sourcing is an important part of IHG's corporate social responsibility programme. </w:t>
      </w:r>
      <w:r w:rsidR="00D73396">
        <w:rPr>
          <w:lang w:eastAsia="en-GB"/>
        </w:rPr>
        <w:t xml:space="preserve">IHG prefers partners that share our principles of sustainability, fair work, and the circular economy. Incorporating circular economy ideas across its supply chain and promoting sustainable manufacturing via responsible </w:t>
      </w:r>
      <w:r w:rsidR="00D73396">
        <w:rPr>
          <w:lang w:eastAsia="en-GB"/>
        </w:rPr>
        <w:lastRenderedPageBreak/>
        <w:t>sourcing strengthens and greens IHG's procurement process</w:t>
      </w:r>
      <w:r w:rsidR="00BF0B92">
        <w:rPr>
          <w:lang w:eastAsia="en-GB"/>
        </w:rPr>
        <w:t xml:space="preserve"> </w:t>
      </w:r>
      <w:r w:rsidRPr="009D25BE" w:rsidR="00BF0B92">
        <w:rPr>
          <w:lang w:val="en-US"/>
        </w:rPr>
        <w:t>(Cruz Lopez, 2023)</w:t>
      </w:r>
      <w:r w:rsidR="00D73396">
        <w:rPr>
          <w:lang w:eastAsia="en-GB"/>
        </w:rPr>
        <w:t>. IHG's CSR approach incorporates circular economy principles into every element of its operations. IHG promotes the circular economy via sustainable procurement, recycling, and garbage reduction.</w:t>
      </w:r>
    </w:p>
    <w:p w:rsidR="00B7733A" w:rsidP="00B7733A" w:rsidRDefault="00D73396" w14:paraId="0F438026" w14:textId="77777777">
      <w:pPr>
        <w:rPr>
          <w:lang w:eastAsia="en-GB"/>
        </w:rPr>
      </w:pPr>
      <w:r>
        <w:rPr>
          <w:lang w:eastAsia="en-GB"/>
        </w:rPr>
        <w:t>IHG has done well to incorporate circular economy methods into its CSR plan, although a critical analysis revealed strengths and weaknesses. IHG's circular economy initiatives lead in garbage reduction, recycling, and sustainable procurement. Comprehensive trash reduction and recycling strategies have reduced its environmental effect.</w:t>
      </w:r>
      <w:r w:rsidR="00C04670">
        <w:rPr>
          <w:lang w:eastAsia="en-GB"/>
        </w:rPr>
        <w:t xml:space="preserve"> There will be good effects on both the bottom line and society as a whole from IHG's efforts to source sustainably, which are in line with circular economy concepts</w:t>
      </w:r>
      <w:r w:rsidR="00BF0B92">
        <w:rPr>
          <w:lang w:eastAsia="en-GB"/>
        </w:rPr>
        <w:t xml:space="preserve"> </w:t>
      </w:r>
      <w:r w:rsidRPr="009D25BE" w:rsidR="00BF0B92">
        <w:rPr>
          <w:lang w:val="en-US"/>
        </w:rPr>
        <w:t>(</w:t>
      </w:r>
      <w:proofErr w:type="spellStart"/>
      <w:r w:rsidRPr="009D25BE" w:rsidR="00BF0B92">
        <w:rPr>
          <w:lang w:val="en-US"/>
        </w:rPr>
        <w:t>Blanke</w:t>
      </w:r>
      <w:proofErr w:type="spellEnd"/>
      <w:r w:rsidRPr="009D25BE" w:rsidR="00BF0B92">
        <w:rPr>
          <w:lang w:val="en-US"/>
        </w:rPr>
        <w:t xml:space="preserve"> &amp; </w:t>
      </w:r>
      <w:proofErr w:type="spellStart"/>
      <w:r w:rsidRPr="009D25BE" w:rsidR="00BF0B92">
        <w:rPr>
          <w:lang w:val="en-US"/>
        </w:rPr>
        <w:t>Golombek</w:t>
      </w:r>
      <w:proofErr w:type="spellEnd"/>
      <w:r w:rsidRPr="009D25BE" w:rsidR="00BF0B92">
        <w:rPr>
          <w:lang w:val="en-US"/>
        </w:rPr>
        <w:t>, 2021)</w:t>
      </w:r>
      <w:r w:rsidR="00C04670">
        <w:rPr>
          <w:lang w:eastAsia="en-GB"/>
        </w:rPr>
        <w:t xml:space="preserve">. But problems still exist. In order to evaluate the results of circular economy programmes, there has to be more openness and quantifiable criteria. Improving IHG's reporting processes would allow stakeholders to see the monetary results of the company's sustainability initiatives more clearly. On top of that, there may be regional differences in waste management infrastructure and supplier policies, which make it difficult to ensure that all properties worldwide consistently apply circular economy </w:t>
      </w:r>
      <w:r w:rsidR="00BF0B92">
        <w:rPr>
          <w:lang w:eastAsia="en-GB"/>
        </w:rPr>
        <w:t xml:space="preserve">techniques </w:t>
      </w:r>
      <w:r w:rsidR="00BF0B92">
        <w:t>(</w:t>
      </w:r>
      <w:proofErr w:type="spellStart"/>
      <w:r w:rsidR="00BF0B92">
        <w:t>Jauhari</w:t>
      </w:r>
      <w:proofErr w:type="spellEnd"/>
      <w:r w:rsidR="00BF0B92">
        <w:t>, 2021)</w:t>
      </w:r>
      <w:r w:rsidR="00C04670">
        <w:rPr>
          <w:lang w:eastAsia="en-GB"/>
        </w:rPr>
        <w:t xml:space="preserve">. </w:t>
      </w:r>
      <w:r w:rsidRPr="00884B22" w:rsidR="00884B22">
        <w:rPr>
          <w:lang w:eastAsia="en-GB"/>
        </w:rPr>
        <w:t>Despite these challenges, IHG's circular economy initiatives have improved economic, social, and environmental conditions. Reducing waste and resource use benefits the environment. Sustainable sourcing promotes community involvement and ethics, which benefits society. Circular economy principles improve operational resilience and efficiency over time. IHG has integrated circular economy principles into their CSR plan; however transparency and regional equality should be improved</w:t>
      </w:r>
      <w:r w:rsidR="00BF0B92">
        <w:rPr>
          <w:lang w:eastAsia="en-GB"/>
        </w:rPr>
        <w:t xml:space="preserve"> </w:t>
      </w:r>
      <w:r w:rsidRPr="009D25BE" w:rsidR="00BF0B92">
        <w:rPr>
          <w:lang w:val="en-US"/>
        </w:rPr>
        <w:t>(InterContinental Hotels Group PLC, 2024)</w:t>
      </w:r>
      <w:r w:rsidRPr="00884B22" w:rsidR="00884B22">
        <w:rPr>
          <w:lang w:eastAsia="en-GB"/>
        </w:rPr>
        <w:t xml:space="preserve">. </w:t>
      </w:r>
      <w:r w:rsidR="00B7733A">
        <w:rPr>
          <w:lang w:eastAsia="en-GB"/>
        </w:rPr>
        <w:t>In the end, the social, economic, and environmental dimensions all benefit from a hotel industry that is more responsible and sustainable.</w:t>
      </w:r>
    </w:p>
    <w:p w:rsidR="0090654D" w:rsidP="0090654D" w:rsidRDefault="00B7733A" w14:paraId="2B97F3AB" w14:textId="77777777">
      <w:pPr>
        <w:rPr>
          <w:lang w:eastAsia="en-GB"/>
        </w:rPr>
      </w:pPr>
      <w:r>
        <w:rPr>
          <w:lang w:eastAsia="en-GB"/>
        </w:rPr>
        <w:t>A number of well-known companies in the hospitality and related industries have successfully adopted circular economy principles, setting a good example for IHG and the others in the business. Some of Marriott International's innovative waste reduction initiatives include soap recycling programmes and initiatives to discover new applications for old linens (</w:t>
      </w:r>
      <w:proofErr w:type="spellStart"/>
      <w:r>
        <w:rPr>
          <w:lang w:eastAsia="en-GB"/>
        </w:rPr>
        <w:t>Bektur</w:t>
      </w:r>
      <w:proofErr w:type="spellEnd"/>
      <w:r>
        <w:rPr>
          <w:lang w:eastAsia="en-GB"/>
        </w:rPr>
        <w:t xml:space="preserve">, 2020). The reduction of Marriott's rubbish is beneficial to both the environment and the neighbourhood. Responsible sourcing and waste reduction are priorities for Accor, another well-known example, throughout all of its global operations. </w:t>
      </w:r>
      <w:r w:rsidR="0090654D">
        <w:rPr>
          <w:lang w:eastAsia="en-GB"/>
        </w:rPr>
        <w:t xml:space="preserve">Adoption of circular economy practices by Accor, the early shaper in sustainability-focused hospitality is setting a benchmark (Sloan et al., 2017). Such industry cases show that circular economy ideas are possible and may be lucrative. These drives </w:t>
      </w:r>
      <w:r w:rsidR="0090654D">
        <w:rPr>
          <w:lang w:eastAsia="en-GB"/>
        </w:rPr>
        <w:lastRenderedPageBreak/>
        <w:t>may be the reasons why IHG should become more resilient in its hotel industry that must create awareness on sustainable practices (</w:t>
      </w:r>
      <w:proofErr w:type="spellStart"/>
      <w:r w:rsidR="0090654D">
        <w:rPr>
          <w:lang w:eastAsia="en-GB"/>
        </w:rPr>
        <w:t>Kucherenko</w:t>
      </w:r>
      <w:proofErr w:type="spellEnd"/>
      <w:r w:rsidR="0090654D">
        <w:rPr>
          <w:lang w:eastAsia="en-GB"/>
        </w:rPr>
        <w:t xml:space="preserve"> &amp; </w:t>
      </w:r>
      <w:proofErr w:type="spellStart"/>
      <w:r w:rsidR="0090654D">
        <w:rPr>
          <w:lang w:eastAsia="en-GB"/>
        </w:rPr>
        <w:t>Martyniuk</w:t>
      </w:r>
      <w:proofErr w:type="spellEnd"/>
      <w:r w:rsidR="0090654D">
        <w:rPr>
          <w:lang w:eastAsia="en-GB"/>
        </w:rPr>
        <w:t>, 2021).</w:t>
      </w:r>
    </w:p>
    <w:p w:rsidR="00496FBF" w:rsidP="0090654D" w:rsidRDefault="0090654D" w14:paraId="7F6BB3FE" w14:textId="77777777">
      <w:pPr>
        <w:rPr>
          <w:lang w:eastAsia="en-GB"/>
        </w:rPr>
      </w:pPr>
      <w:r>
        <w:rPr>
          <w:lang w:eastAsia="en-GB"/>
        </w:rPr>
        <w:t xml:space="preserve">A good example of circular thinking that IHG is trying to implement in its business practices includes getting rid of single-use plastics. The implementation of IHG’s global initiative to reduce or eliminate single-use plastics by a certain date was well anticipated and organized. This significantly reduced plastic waste, benefiting society and </w:t>
      </w:r>
      <w:r w:rsidR="00025CFE">
        <w:rPr>
          <w:lang w:eastAsia="en-GB"/>
        </w:rPr>
        <w:t>Mother Nature</w:t>
      </w:r>
      <w:r>
        <w:rPr>
          <w:lang w:eastAsia="en-GB"/>
        </w:rPr>
        <w:t xml:space="preserve"> at the same time. This strategy not only demonstrated the feasibility of scaling circular economy principles in the hotel sector but also IHG’s willingness to minimize waste (Smith et al.,2023).</w:t>
      </w:r>
      <w:r w:rsidR="00496FBF">
        <w:rPr>
          <w:lang w:eastAsia="en-GB"/>
        </w:rPr>
        <w:t>Another case study focuses on the alliance between clean suppliers and IHG. Using preferential arrangements for suppliers who have adopted ecologically and socially responsible principles, IHG has enhanced the sustainability of its supply chain with a positive impact on communities. This case study demonstrates the positive approach towards IHG’s procuring strategies and shows how social responsibility can be linked to financial profitability by adopting circular economy practices. InterContinental Hotels Group PLC (2024) states that the effectiveness of IHG’s sustainability initiatives based on circular economy principles are demonstrated by positive results in both cases. All these case studies have a lot to teach the hotel industry regarding proactivity, relationship building and holistic solutions including circular economy.</w:t>
      </w:r>
    </w:p>
    <w:p w:rsidRPr="006557EE" w:rsidR="00B3442E" w:rsidP="00496FBF" w:rsidRDefault="00496FBF" w14:paraId="61E52569" w14:textId="77777777">
      <w:pPr>
        <w:rPr>
          <w:lang w:eastAsia="en-GB"/>
        </w:rPr>
      </w:pPr>
      <w:r>
        <w:rPr>
          <w:lang w:eastAsia="en-GB"/>
        </w:rPr>
        <w:t>Through circular economy, IHG has both environmental and CSR objectives as well it is able to impact on its bottom line significantly. However, the largest advantage of circular economy activities is improved environmental management due to reduced resource use and waste production as well as diminished carbon footprint (</w:t>
      </w:r>
      <w:proofErr w:type="spellStart"/>
      <w:r>
        <w:rPr>
          <w:lang w:eastAsia="en-GB"/>
        </w:rPr>
        <w:t>Batabyal</w:t>
      </w:r>
      <w:proofErr w:type="spellEnd"/>
      <w:r>
        <w:rPr>
          <w:lang w:eastAsia="en-GB"/>
        </w:rPr>
        <w:t xml:space="preserve">, 2018). This aligns with IHG’S environmental sustainability aspiration and may indeed attract environmentally conscious guests. Implementing circular economy approaches also makes it possible to run better and save money. </w:t>
      </w:r>
      <w:r w:rsidR="00B7733A">
        <w:rPr>
          <w:lang w:eastAsia="en-GB"/>
        </w:rPr>
        <w:t>Through optimisation of resources, IHG decreased overall operational expenses, waste disposal costs, and procurement prices. The goal of the circular economy is to create a sustainable and cost-effective business model, which aligns with this financial benefit (</w:t>
      </w:r>
      <w:proofErr w:type="spellStart"/>
      <w:r w:rsidR="00B7733A">
        <w:rPr>
          <w:lang w:eastAsia="en-GB"/>
        </w:rPr>
        <w:t>Korstanje</w:t>
      </w:r>
      <w:proofErr w:type="spellEnd"/>
      <w:r w:rsidR="00B7733A">
        <w:rPr>
          <w:lang w:eastAsia="en-GB"/>
        </w:rPr>
        <w:t xml:space="preserve"> and </w:t>
      </w:r>
      <w:proofErr w:type="spellStart"/>
      <w:r w:rsidR="00B7733A">
        <w:rPr>
          <w:lang w:eastAsia="en-GB"/>
        </w:rPr>
        <w:t>Nedelea</w:t>
      </w:r>
      <w:proofErr w:type="spellEnd"/>
      <w:r w:rsidR="00B7733A">
        <w:rPr>
          <w:lang w:eastAsia="en-GB"/>
        </w:rPr>
        <w:t xml:space="preserve">, 2020). But there are challenges to conquer all through the implementation stage. </w:t>
      </w:r>
      <w:proofErr w:type="spellStart"/>
      <w:r w:rsidR="00B7733A">
        <w:rPr>
          <w:lang w:eastAsia="en-GB"/>
        </w:rPr>
        <w:t>Edgell</w:t>
      </w:r>
      <w:proofErr w:type="spellEnd"/>
      <w:r w:rsidR="00B7733A">
        <w:rPr>
          <w:lang w:eastAsia="en-GB"/>
        </w:rPr>
        <w:t xml:space="preserve"> (2020) notes that regional variations in waste management infrastructure and supplier rules are expected to provide logistical obstacles for IHG as it tries to standardise circular economy concepts throughout its multinational portfolio. In addition, all hotels must persistently strive to build a sustainable culture to ensure that visitors are involved and informed about these practices. These challenges must be overcome if IHG's circular economy initiatives are to achieve their full potential in the long run. The corporate social responsibility plan for IHG includes a commitment to expanding the company's circular economy initiatives. Future sustainability targets for IHG will be even more ambitious, building on the company's successes in areas like as waste reduction and sustainable sourcing. </w:t>
      </w:r>
      <w:r w:rsidRPr="00884B22" w:rsidR="00884B22">
        <w:rPr>
          <w:lang w:eastAsia="en-GB"/>
        </w:rPr>
        <w:t>The company seeks circular economy-related technology and partnerships to lead sustainable hospitality. If IHG wants to improve and grow these initiatives, it should consider how to further integrate circular economy principles into its supply chain and ensure that all suppliers meet ethical and ecologically friendly criteria</w:t>
      </w:r>
      <w:r w:rsidR="00BF0B92">
        <w:rPr>
          <w:lang w:eastAsia="en-GB"/>
        </w:rPr>
        <w:t xml:space="preserve"> </w:t>
      </w:r>
      <w:r w:rsidR="00BF0B92">
        <w:t>(Costa and Costa, 2022)</w:t>
      </w:r>
      <w:r w:rsidRPr="00884B22" w:rsidR="00884B22">
        <w:rPr>
          <w:lang w:eastAsia="en-GB"/>
        </w:rPr>
        <w:t>. Enhancing collaborations with local communities and stakeholders may increase the social benefit of these projects, fostering reciprocal responsibility and inclusion.</w:t>
      </w:r>
      <w:r w:rsidR="00B3442E">
        <w:rPr>
          <w:lang w:eastAsia="en-GB"/>
        </w:rPr>
        <w:t xml:space="preserve"> In order to raise awareness and participation in circular economy activities, IHG can also look into educational programmes for employees and customers. Stakeholders would be able to see concrete proof of IHG's dedication and success in achieving circular economy objectives if the company regularly monitored and disclosed transparently on key performance metrics. These suggestions may help IHG maintain its position as a sustainable hotel industry leader, which will allow it to establish new standards and make a big impact towards a more responsible and circular future.</w:t>
      </w:r>
    </w:p>
    <w:p w:rsidR="00BC3F33" w:rsidP="00345E3D" w:rsidRDefault="00B3442E" w14:paraId="2ED91D04" w14:textId="77777777">
      <w:r w:rsidRPr="00B3442E">
        <w:rPr>
          <w:lang w:eastAsia="en-GB"/>
        </w:rPr>
        <w:t>The incorporation of circular economy ideas into IHG Hotels &amp; Resorts' strong CSR strategy positions the company as an admirable pioneer in environmentally responsible hospitality. This article has shown how IHG follows the circular economy by reducing, recycling, and sourcing from sustainable sources</w:t>
      </w:r>
      <w:r w:rsidR="00BF0B92">
        <w:rPr>
          <w:lang w:eastAsia="en-GB"/>
        </w:rPr>
        <w:t xml:space="preserve"> </w:t>
      </w:r>
      <w:r w:rsidR="00BF0B92">
        <w:t>(Wickham et al., 2021)</w:t>
      </w:r>
      <w:r w:rsidRPr="00B3442E">
        <w:rPr>
          <w:lang w:eastAsia="en-GB"/>
        </w:rPr>
        <w:t>. Setting a standard for ethical and resilient business practices, the industry is watching as IHG navigates these projects. The circular economy initiatives of IHG not only improve the company's internal sustainability but also have a profound impact on the hospitality industry as a whole, encouraging it to embrace a greener, more responsible future by balancing economic viability, social responsibility, and environmental protection.</w:t>
      </w:r>
    </w:p>
    <w:p w:rsidR="00884B22" w:rsidRDefault="00884B22" w14:paraId="5A3ADD32" w14:textId="77777777">
      <w:pPr>
        <w:spacing w:after="160" w:line="259" w:lineRule="auto"/>
        <w:jc w:val="left"/>
        <w:rPr>
          <w:lang w:eastAsia="en-GB"/>
        </w:rPr>
      </w:pPr>
      <w:r>
        <w:rPr>
          <w:lang w:eastAsia="en-GB"/>
        </w:rPr>
        <w:br w:type="page"/>
      </w:r>
    </w:p>
    <w:p w:rsidR="00884B22" w:rsidP="0006266D" w:rsidRDefault="00884B22" w14:paraId="1F44B097" w14:textId="77777777">
      <w:pPr>
        <w:pStyle w:val="Heading1"/>
      </w:pPr>
      <w:r>
        <w:t>References</w:t>
      </w:r>
    </w:p>
    <w:p w:rsidRPr="00F41B4A" w:rsidR="00F41B4A" w:rsidP="00F41B4A" w:rsidRDefault="00F41B4A" w14:paraId="29375A23" w14:textId="77777777">
      <w:pPr>
        <w:rPr>
          <w:lang w:val="en-US" w:eastAsia="en-GB"/>
        </w:rPr>
      </w:pPr>
      <w:proofErr w:type="spellStart"/>
      <w:r w:rsidRPr="00F41B4A">
        <w:rPr>
          <w:lang w:val="en-US" w:eastAsia="en-GB"/>
        </w:rPr>
        <w:t>Batabyal</w:t>
      </w:r>
      <w:proofErr w:type="spellEnd"/>
      <w:r w:rsidRPr="00F41B4A">
        <w:rPr>
          <w:lang w:val="en-US" w:eastAsia="en-GB"/>
        </w:rPr>
        <w:t xml:space="preserve">. (2018). </w:t>
      </w:r>
      <w:r w:rsidRPr="00F41B4A">
        <w:rPr>
          <w:i/>
          <w:iCs/>
          <w:lang w:val="en-US" w:eastAsia="en-GB"/>
        </w:rPr>
        <w:t>Managing Sustainable Tourism Resources</w:t>
      </w:r>
      <w:r w:rsidRPr="00F41B4A">
        <w:rPr>
          <w:lang w:val="en-US" w:eastAsia="en-GB"/>
        </w:rPr>
        <w:t>. IGI Global.</w:t>
      </w:r>
    </w:p>
    <w:p w:rsidRPr="00F41B4A" w:rsidR="00F41B4A" w:rsidP="00F41B4A" w:rsidRDefault="00F41B4A" w14:paraId="4B89BCEB" w14:textId="77777777">
      <w:pPr>
        <w:rPr>
          <w:lang w:val="en-US" w:eastAsia="en-GB"/>
        </w:rPr>
      </w:pPr>
      <w:proofErr w:type="spellStart"/>
      <w:r w:rsidRPr="00F41B4A">
        <w:rPr>
          <w:lang w:val="en-US" w:eastAsia="en-GB"/>
        </w:rPr>
        <w:t>Bektur</w:t>
      </w:r>
      <w:proofErr w:type="spellEnd"/>
      <w:r w:rsidRPr="00F41B4A">
        <w:rPr>
          <w:lang w:val="en-US" w:eastAsia="en-GB"/>
        </w:rPr>
        <w:t xml:space="preserve">, G. (2020) “An integrated methodology for the selection of sustainable suppliers and order allocation problem with quantity discounts, lost sales and varying supplier availabilities,” </w:t>
      </w:r>
      <w:r w:rsidRPr="00F41B4A">
        <w:rPr>
          <w:i/>
          <w:iCs/>
          <w:lang w:val="en-US" w:eastAsia="en-GB"/>
        </w:rPr>
        <w:t>Sustainable Production and Consumption</w:t>
      </w:r>
      <w:r w:rsidRPr="00F41B4A">
        <w:rPr>
          <w:lang w:val="en-US" w:eastAsia="en-GB"/>
        </w:rPr>
        <w:t>, 23, pp. 111–127. doi:10.1016/j.spc.2020.05.006.</w:t>
      </w:r>
    </w:p>
    <w:p w:rsidRPr="00F41B4A" w:rsidR="00F41B4A" w:rsidP="00F41B4A" w:rsidRDefault="00F41B4A" w14:paraId="7E2152CB" w14:textId="77777777">
      <w:pPr>
        <w:rPr>
          <w:lang w:val="en-US" w:eastAsia="en-GB"/>
        </w:rPr>
      </w:pPr>
      <w:proofErr w:type="spellStart"/>
      <w:r w:rsidRPr="00F41B4A">
        <w:rPr>
          <w:lang w:val="en-US" w:eastAsia="en-GB"/>
        </w:rPr>
        <w:t>Blanke</w:t>
      </w:r>
      <w:proofErr w:type="spellEnd"/>
      <w:r w:rsidRPr="00F41B4A">
        <w:rPr>
          <w:lang w:val="en-US" w:eastAsia="en-GB"/>
        </w:rPr>
        <w:t xml:space="preserve">, M.M. and </w:t>
      </w:r>
      <w:proofErr w:type="spellStart"/>
      <w:r w:rsidRPr="00F41B4A">
        <w:rPr>
          <w:lang w:val="en-US" w:eastAsia="en-GB"/>
        </w:rPr>
        <w:t>Golombek</w:t>
      </w:r>
      <w:proofErr w:type="spellEnd"/>
      <w:r w:rsidRPr="00F41B4A">
        <w:rPr>
          <w:lang w:val="en-US" w:eastAsia="en-GB"/>
        </w:rPr>
        <w:t xml:space="preserve">, S.D. (2021) “Innovative Strategy to Reduce Single-Use Plastics in Sustainable Horticulture by a Refund Strategy for Flowerpots,” </w:t>
      </w:r>
      <w:r w:rsidRPr="00F41B4A">
        <w:rPr>
          <w:i/>
          <w:iCs/>
          <w:lang w:val="en-US" w:eastAsia="en-GB"/>
        </w:rPr>
        <w:t>Sustainability</w:t>
      </w:r>
      <w:r w:rsidRPr="00F41B4A">
        <w:rPr>
          <w:lang w:val="en-US" w:eastAsia="en-GB"/>
        </w:rPr>
        <w:t>, 13(15), p. 8532. doi:10.3390/su13158532.</w:t>
      </w:r>
    </w:p>
    <w:p w:rsidRPr="00F41B4A" w:rsidR="00F41B4A" w:rsidP="00F41B4A" w:rsidRDefault="00F41B4A" w14:paraId="5F722444" w14:textId="77777777">
      <w:pPr>
        <w:rPr>
          <w:lang w:val="en-US" w:eastAsia="en-GB"/>
        </w:rPr>
      </w:pPr>
      <w:r w:rsidRPr="00F41B4A">
        <w:rPr>
          <w:lang w:val="en-US" w:eastAsia="en-GB"/>
        </w:rPr>
        <w:t xml:space="preserve">Cooper, C. (2021). </w:t>
      </w:r>
      <w:r w:rsidRPr="00F41B4A">
        <w:rPr>
          <w:i/>
          <w:iCs/>
          <w:lang w:val="en-US" w:eastAsia="en-GB"/>
        </w:rPr>
        <w:t>Essentials of Tourism</w:t>
      </w:r>
      <w:r w:rsidRPr="00F41B4A">
        <w:rPr>
          <w:lang w:val="en-US" w:eastAsia="en-GB"/>
        </w:rPr>
        <w:t xml:space="preserve"> (Third edition). London: SAGE.</w:t>
      </w:r>
    </w:p>
    <w:p w:rsidRPr="00F41B4A" w:rsidR="00F41B4A" w:rsidP="00F41B4A" w:rsidRDefault="00F41B4A" w14:paraId="38E61B8C" w14:textId="77777777">
      <w:pPr>
        <w:rPr>
          <w:lang w:val="en-US" w:eastAsia="en-GB"/>
        </w:rPr>
      </w:pPr>
      <w:r w:rsidRPr="00F41B4A">
        <w:rPr>
          <w:lang w:val="en-US" w:eastAsia="en-GB"/>
        </w:rPr>
        <w:t xml:space="preserve">Costa, C., &amp; Costa, C. (Eds.) (2022). </w:t>
      </w:r>
      <w:r w:rsidRPr="00F41B4A">
        <w:rPr>
          <w:i/>
          <w:iCs/>
          <w:lang w:val="en-US" w:eastAsia="en-GB"/>
        </w:rPr>
        <w:t>Sustainability and Competitiveness in the Hospitality Industry</w:t>
      </w:r>
      <w:r w:rsidRPr="00F41B4A">
        <w:rPr>
          <w:lang w:val="en-US" w:eastAsia="en-GB"/>
        </w:rPr>
        <w:t>. Business Science Reference.</w:t>
      </w:r>
    </w:p>
    <w:p w:rsidRPr="00F41B4A" w:rsidR="00F41B4A" w:rsidP="00F41B4A" w:rsidRDefault="00F41B4A" w14:paraId="6EBB9157" w14:textId="77777777">
      <w:pPr>
        <w:rPr>
          <w:lang w:val="en-US" w:eastAsia="en-GB"/>
        </w:rPr>
      </w:pPr>
      <w:r w:rsidRPr="00F41B4A">
        <w:rPr>
          <w:lang w:val="en-US" w:eastAsia="en-GB"/>
        </w:rPr>
        <w:t xml:space="preserve">Cruz Lopez, D.E. (2023) “Sustainable Food Sourcing in Hotels,” </w:t>
      </w:r>
      <w:r w:rsidRPr="00F41B4A">
        <w:rPr>
          <w:i/>
          <w:iCs/>
          <w:lang w:val="en-US" w:eastAsia="en-GB"/>
        </w:rPr>
        <w:t>SSRN Electronic Journal</w:t>
      </w:r>
      <w:r w:rsidRPr="00F41B4A">
        <w:rPr>
          <w:lang w:val="en-US" w:eastAsia="en-GB"/>
        </w:rPr>
        <w:t xml:space="preserve"> [Preprint]. doi:10.2139/ssrn.4673001.</w:t>
      </w:r>
    </w:p>
    <w:p w:rsidRPr="00F41B4A" w:rsidR="00F41B4A" w:rsidP="00F41B4A" w:rsidRDefault="00F41B4A" w14:paraId="2CC39B63" w14:textId="77777777">
      <w:pPr>
        <w:rPr>
          <w:lang w:val="en-US" w:eastAsia="en-GB"/>
        </w:rPr>
      </w:pPr>
      <w:proofErr w:type="spellStart"/>
      <w:r w:rsidRPr="00F41B4A">
        <w:rPr>
          <w:lang w:val="en-US" w:eastAsia="en-GB"/>
        </w:rPr>
        <w:t>Edgell</w:t>
      </w:r>
      <w:proofErr w:type="spellEnd"/>
      <w:r w:rsidRPr="00F41B4A">
        <w:rPr>
          <w:lang w:val="en-US" w:eastAsia="en-GB"/>
        </w:rPr>
        <w:t xml:space="preserve">. (2020). </w:t>
      </w:r>
      <w:r w:rsidRPr="00F41B4A">
        <w:rPr>
          <w:i/>
          <w:iCs/>
          <w:lang w:val="en-US" w:eastAsia="en-GB"/>
        </w:rPr>
        <w:t>Managing Sustainable Tourism: A Legacy for the Future</w:t>
      </w:r>
      <w:r w:rsidRPr="00F41B4A">
        <w:rPr>
          <w:lang w:val="en-US" w:eastAsia="en-GB"/>
        </w:rPr>
        <w:t xml:space="preserve"> (Third edition). Routledge.</w:t>
      </w:r>
    </w:p>
    <w:p w:rsidRPr="00F41B4A" w:rsidR="00F41B4A" w:rsidP="00F41B4A" w:rsidRDefault="00F41B4A" w14:paraId="672CE447" w14:textId="77777777">
      <w:pPr>
        <w:rPr>
          <w:lang w:val="en-US" w:eastAsia="en-GB"/>
        </w:rPr>
      </w:pPr>
      <w:proofErr w:type="spellStart"/>
      <w:r w:rsidRPr="00F41B4A">
        <w:rPr>
          <w:lang w:val="en-US" w:eastAsia="en-GB"/>
        </w:rPr>
        <w:t>Haski-Leventhal</w:t>
      </w:r>
      <w:proofErr w:type="spellEnd"/>
      <w:r w:rsidRPr="00F41B4A">
        <w:rPr>
          <w:lang w:val="en-US" w:eastAsia="en-GB"/>
        </w:rPr>
        <w:t xml:space="preserve">, D. (2018). </w:t>
      </w:r>
      <w:r w:rsidRPr="00F41B4A">
        <w:rPr>
          <w:i/>
          <w:iCs/>
          <w:lang w:val="en-US" w:eastAsia="en-GB"/>
        </w:rPr>
        <w:t>Strategic Corporate Social Responsibility: Tools &amp; Theories for Responsible Management</w:t>
      </w:r>
      <w:r w:rsidRPr="00F41B4A">
        <w:rPr>
          <w:lang w:val="en-US" w:eastAsia="en-GB"/>
        </w:rPr>
        <w:t>. London: SAGE.</w:t>
      </w:r>
    </w:p>
    <w:p w:rsidRPr="00F41B4A" w:rsidR="00F41B4A" w:rsidP="00F41B4A" w:rsidRDefault="00F41B4A" w14:paraId="403E644A" w14:textId="77777777">
      <w:pPr>
        <w:rPr>
          <w:lang w:val="en-US" w:eastAsia="en-GB"/>
        </w:rPr>
      </w:pPr>
      <w:proofErr w:type="spellStart"/>
      <w:r w:rsidRPr="00F41B4A">
        <w:rPr>
          <w:lang w:val="en-US" w:eastAsia="en-GB"/>
        </w:rPr>
        <w:t>Inkson</w:t>
      </w:r>
      <w:proofErr w:type="spellEnd"/>
      <w:r w:rsidRPr="00F41B4A">
        <w:rPr>
          <w:lang w:val="en-US" w:eastAsia="en-GB"/>
        </w:rPr>
        <w:t xml:space="preserve">, C., &amp; </w:t>
      </w:r>
      <w:proofErr w:type="spellStart"/>
      <w:r w:rsidRPr="00F41B4A">
        <w:rPr>
          <w:lang w:val="en-US" w:eastAsia="en-GB"/>
        </w:rPr>
        <w:t>Minnaert</w:t>
      </w:r>
      <w:proofErr w:type="spellEnd"/>
      <w:r w:rsidRPr="00F41B4A">
        <w:rPr>
          <w:lang w:val="en-US" w:eastAsia="en-GB"/>
        </w:rPr>
        <w:t xml:space="preserve">, L. (2018). </w:t>
      </w:r>
      <w:r w:rsidRPr="00F41B4A">
        <w:rPr>
          <w:i/>
          <w:iCs/>
          <w:lang w:val="en-US" w:eastAsia="en-GB"/>
        </w:rPr>
        <w:t>Tourism Management: An Introduction</w:t>
      </w:r>
      <w:r w:rsidRPr="00F41B4A">
        <w:rPr>
          <w:lang w:val="en-US" w:eastAsia="en-GB"/>
        </w:rPr>
        <w:t xml:space="preserve"> (2nd ed.). London: SAGE.</w:t>
      </w:r>
    </w:p>
    <w:p w:rsidRPr="00F41B4A" w:rsidR="00F41B4A" w:rsidP="00F41B4A" w:rsidRDefault="00F41B4A" w14:paraId="349A4553" w14:textId="77777777">
      <w:pPr>
        <w:rPr>
          <w:lang w:val="en-US" w:eastAsia="en-GB"/>
        </w:rPr>
      </w:pPr>
      <w:r w:rsidRPr="00F41B4A">
        <w:rPr>
          <w:lang w:val="en-US" w:eastAsia="en-GB"/>
        </w:rPr>
        <w:t xml:space="preserve">InterContinental Hotels Group PLC (2024) </w:t>
      </w:r>
      <w:r w:rsidRPr="00F41B4A">
        <w:rPr>
          <w:i/>
          <w:iCs/>
          <w:lang w:val="en-US" w:eastAsia="en-GB"/>
        </w:rPr>
        <w:t>Home</w:t>
      </w:r>
      <w:r w:rsidRPr="00F41B4A">
        <w:rPr>
          <w:lang w:val="en-US" w:eastAsia="en-GB"/>
        </w:rPr>
        <w:t xml:space="preserve">, </w:t>
      </w:r>
      <w:r w:rsidRPr="00F41B4A">
        <w:rPr>
          <w:i/>
          <w:iCs/>
          <w:lang w:val="en-US" w:eastAsia="en-GB"/>
        </w:rPr>
        <w:t>InterContinental Hotels Group PLC</w:t>
      </w:r>
      <w:r w:rsidRPr="00F41B4A">
        <w:rPr>
          <w:lang w:val="en-US" w:eastAsia="en-GB"/>
        </w:rPr>
        <w:t>. Available at: http://www.ihgplc.com/ (Accessed: January 23, 2024).</w:t>
      </w:r>
    </w:p>
    <w:p w:rsidRPr="00F41B4A" w:rsidR="00F41B4A" w:rsidP="00F41B4A" w:rsidRDefault="00F41B4A" w14:paraId="1D623DD9" w14:textId="77777777">
      <w:pPr>
        <w:rPr>
          <w:lang w:val="en-US" w:eastAsia="en-GB"/>
        </w:rPr>
      </w:pPr>
      <w:proofErr w:type="spellStart"/>
      <w:r w:rsidRPr="00F41B4A">
        <w:rPr>
          <w:lang w:val="en-US" w:eastAsia="en-GB"/>
        </w:rPr>
        <w:t>Jauhari</w:t>
      </w:r>
      <w:proofErr w:type="spellEnd"/>
      <w:r w:rsidRPr="00F41B4A">
        <w:rPr>
          <w:lang w:val="en-US" w:eastAsia="en-GB"/>
        </w:rPr>
        <w:t xml:space="preserve">, V. (2021). </w:t>
      </w:r>
      <w:r w:rsidRPr="00F41B4A">
        <w:rPr>
          <w:i/>
          <w:iCs/>
          <w:lang w:val="en-US" w:eastAsia="en-GB"/>
        </w:rPr>
        <w:t>Managing Sustainability in the Hospitality and Tourism Industry: Paradigms and Directions for the Future</w:t>
      </w:r>
      <w:r w:rsidRPr="00F41B4A">
        <w:rPr>
          <w:lang w:val="en-US" w:eastAsia="en-GB"/>
        </w:rPr>
        <w:t xml:space="preserve"> (9th </w:t>
      </w:r>
      <w:proofErr w:type="spellStart"/>
      <w:r w:rsidRPr="00F41B4A">
        <w:rPr>
          <w:lang w:val="en-US" w:eastAsia="en-GB"/>
        </w:rPr>
        <w:t>edn</w:t>
      </w:r>
      <w:proofErr w:type="spellEnd"/>
      <w:r w:rsidRPr="00F41B4A">
        <w:rPr>
          <w:lang w:val="en-US" w:eastAsia="en-GB"/>
        </w:rPr>
        <w:t>.). Oakville: Apple Academic Press, Inc.</w:t>
      </w:r>
    </w:p>
    <w:p w:rsidRPr="00F41B4A" w:rsidR="00F41B4A" w:rsidP="00F41B4A" w:rsidRDefault="00F41B4A" w14:paraId="5CEB6640" w14:textId="77777777">
      <w:pPr>
        <w:rPr>
          <w:lang w:val="en-US" w:eastAsia="en-GB"/>
        </w:rPr>
      </w:pPr>
      <w:proofErr w:type="spellStart"/>
      <w:r w:rsidRPr="00F41B4A">
        <w:rPr>
          <w:lang w:val="en-US" w:eastAsia="en-GB"/>
        </w:rPr>
        <w:t>Khanchel</w:t>
      </w:r>
      <w:proofErr w:type="spellEnd"/>
      <w:r w:rsidRPr="00F41B4A">
        <w:rPr>
          <w:lang w:val="en-US" w:eastAsia="en-GB"/>
        </w:rPr>
        <w:t xml:space="preserve">, I., </w:t>
      </w:r>
      <w:proofErr w:type="spellStart"/>
      <w:r w:rsidRPr="00F41B4A">
        <w:rPr>
          <w:lang w:val="en-US" w:eastAsia="en-GB"/>
        </w:rPr>
        <w:t>Lassoued</w:t>
      </w:r>
      <w:proofErr w:type="spellEnd"/>
      <w:r w:rsidRPr="00F41B4A">
        <w:rPr>
          <w:lang w:val="en-US" w:eastAsia="en-GB"/>
        </w:rPr>
        <w:t xml:space="preserve">, N. and </w:t>
      </w:r>
      <w:proofErr w:type="spellStart"/>
      <w:r w:rsidRPr="00F41B4A">
        <w:rPr>
          <w:lang w:val="en-US" w:eastAsia="en-GB"/>
        </w:rPr>
        <w:t>Gargouri</w:t>
      </w:r>
      <w:proofErr w:type="spellEnd"/>
      <w:r w:rsidRPr="00F41B4A">
        <w:rPr>
          <w:lang w:val="en-US" w:eastAsia="en-GB"/>
        </w:rPr>
        <w:t xml:space="preserve">, R. (2023) “Have corporate social responsibility strategies mattered during the pandemic: Symbolic CSR versus substantive CSR,” </w:t>
      </w:r>
      <w:r w:rsidRPr="00F41B4A">
        <w:rPr>
          <w:i/>
          <w:iCs/>
          <w:lang w:val="en-US" w:eastAsia="en-GB"/>
        </w:rPr>
        <w:t>Corporate Social Responsibility and Environmental Management</w:t>
      </w:r>
      <w:r w:rsidRPr="00F41B4A">
        <w:rPr>
          <w:lang w:val="en-US" w:eastAsia="en-GB"/>
        </w:rPr>
        <w:t xml:space="preserve"> [Preprint]. doi:10.1002/csr.2632.</w:t>
      </w:r>
    </w:p>
    <w:p w:rsidRPr="00F41B4A" w:rsidR="00F41B4A" w:rsidP="00F41B4A" w:rsidRDefault="00F41B4A" w14:paraId="4DBE9CD6" w14:textId="77777777">
      <w:pPr>
        <w:rPr>
          <w:lang w:val="en-US" w:eastAsia="en-GB"/>
        </w:rPr>
      </w:pPr>
      <w:proofErr w:type="spellStart"/>
      <w:r w:rsidRPr="00F41B4A">
        <w:rPr>
          <w:lang w:val="en-US" w:eastAsia="en-GB"/>
        </w:rPr>
        <w:t>Korstanje</w:t>
      </w:r>
      <w:proofErr w:type="spellEnd"/>
      <w:r w:rsidRPr="00F41B4A">
        <w:rPr>
          <w:lang w:val="en-US" w:eastAsia="en-GB"/>
        </w:rPr>
        <w:t xml:space="preserve">, George, B., &amp; </w:t>
      </w:r>
      <w:proofErr w:type="spellStart"/>
      <w:r w:rsidRPr="00F41B4A">
        <w:rPr>
          <w:lang w:val="en-US" w:eastAsia="en-GB"/>
        </w:rPr>
        <w:t>Nedelea</w:t>
      </w:r>
      <w:proofErr w:type="spellEnd"/>
      <w:r w:rsidRPr="00F41B4A">
        <w:rPr>
          <w:lang w:val="en-US" w:eastAsia="en-GB"/>
        </w:rPr>
        <w:t xml:space="preserve">, A. (2020). </w:t>
      </w:r>
      <w:r w:rsidRPr="00F41B4A">
        <w:rPr>
          <w:i/>
          <w:iCs/>
          <w:lang w:val="en-US" w:eastAsia="en-GB"/>
        </w:rPr>
        <w:t>Strategies for Promoting Sustainable Hospitality and Tourism Services</w:t>
      </w:r>
      <w:r w:rsidRPr="00F41B4A">
        <w:rPr>
          <w:lang w:val="en-US" w:eastAsia="en-GB"/>
        </w:rPr>
        <w:t>. IGI Global.</w:t>
      </w:r>
    </w:p>
    <w:p w:rsidRPr="00F41B4A" w:rsidR="00F41B4A" w:rsidP="00F41B4A" w:rsidRDefault="00F41B4A" w14:paraId="249393B0" w14:textId="77777777">
      <w:pPr>
        <w:rPr>
          <w:lang w:val="en-US" w:eastAsia="en-GB"/>
        </w:rPr>
      </w:pPr>
      <w:proofErr w:type="spellStart"/>
      <w:r w:rsidRPr="00F41B4A">
        <w:rPr>
          <w:lang w:val="en-US" w:eastAsia="en-GB"/>
        </w:rPr>
        <w:t>Kucherenko</w:t>
      </w:r>
      <w:proofErr w:type="spellEnd"/>
      <w:r w:rsidRPr="00F41B4A">
        <w:rPr>
          <w:lang w:val="en-US" w:eastAsia="en-GB"/>
        </w:rPr>
        <w:t xml:space="preserve">, D. and </w:t>
      </w:r>
      <w:proofErr w:type="spellStart"/>
      <w:r w:rsidRPr="00F41B4A">
        <w:rPr>
          <w:lang w:val="en-US" w:eastAsia="en-GB"/>
        </w:rPr>
        <w:t>Martyniuk</w:t>
      </w:r>
      <w:proofErr w:type="spellEnd"/>
      <w:r w:rsidRPr="00F41B4A">
        <w:rPr>
          <w:lang w:val="en-US" w:eastAsia="en-GB"/>
        </w:rPr>
        <w:t xml:space="preserve">, O. (2021) “The European Green Deal: Challenges for UK in Implementing the Circular Economy Model,” </w:t>
      </w:r>
      <w:proofErr w:type="spellStart"/>
      <w:r w:rsidRPr="00F41B4A">
        <w:rPr>
          <w:i/>
          <w:iCs/>
          <w:lang w:val="en-US" w:eastAsia="en-GB"/>
        </w:rPr>
        <w:t>Polgári</w:t>
      </w:r>
      <w:proofErr w:type="spellEnd"/>
      <w:r w:rsidRPr="00F41B4A">
        <w:rPr>
          <w:i/>
          <w:iCs/>
          <w:lang w:val="en-US" w:eastAsia="en-GB"/>
        </w:rPr>
        <w:t xml:space="preserve"> </w:t>
      </w:r>
      <w:proofErr w:type="spellStart"/>
      <w:r w:rsidRPr="00F41B4A">
        <w:rPr>
          <w:i/>
          <w:iCs/>
          <w:lang w:val="en-US" w:eastAsia="en-GB"/>
        </w:rPr>
        <w:t>szemle</w:t>
      </w:r>
      <w:proofErr w:type="spellEnd"/>
      <w:r w:rsidRPr="00F41B4A">
        <w:rPr>
          <w:lang w:val="en-US" w:eastAsia="en-GB"/>
        </w:rPr>
        <w:t>, 17(1–3), pp. 390–398. doi:10.24307/psz.2021.0728.</w:t>
      </w:r>
    </w:p>
    <w:p w:rsidRPr="00F41B4A" w:rsidR="00F41B4A" w:rsidP="00F41B4A" w:rsidRDefault="00F41B4A" w14:paraId="4C958786" w14:textId="77777777">
      <w:pPr>
        <w:rPr>
          <w:lang w:val="en-US" w:eastAsia="en-GB"/>
        </w:rPr>
      </w:pPr>
      <w:proofErr w:type="spellStart"/>
      <w:r w:rsidRPr="00F41B4A">
        <w:rPr>
          <w:lang w:val="en-US" w:eastAsia="en-GB"/>
        </w:rPr>
        <w:t>Lata</w:t>
      </w:r>
      <w:proofErr w:type="spellEnd"/>
      <w:r w:rsidRPr="00F41B4A">
        <w:rPr>
          <w:lang w:val="en-US" w:eastAsia="en-GB"/>
        </w:rPr>
        <w:t xml:space="preserve">, I.B., </w:t>
      </w:r>
      <w:proofErr w:type="spellStart"/>
      <w:r w:rsidRPr="00F41B4A">
        <w:rPr>
          <w:lang w:val="en-US" w:eastAsia="en-GB"/>
        </w:rPr>
        <w:t>Wiering</w:t>
      </w:r>
      <w:proofErr w:type="spellEnd"/>
      <w:r w:rsidRPr="00F41B4A">
        <w:rPr>
          <w:lang w:val="en-US" w:eastAsia="en-GB"/>
        </w:rPr>
        <w:t xml:space="preserve">, M. and </w:t>
      </w:r>
      <w:proofErr w:type="spellStart"/>
      <w:r w:rsidRPr="00F41B4A">
        <w:rPr>
          <w:lang w:val="en-US" w:eastAsia="en-GB"/>
        </w:rPr>
        <w:t>Witjes</w:t>
      </w:r>
      <w:proofErr w:type="spellEnd"/>
      <w:r w:rsidRPr="00F41B4A">
        <w:rPr>
          <w:lang w:val="en-US" w:eastAsia="en-GB"/>
        </w:rPr>
        <w:t>, S. (2023) “</w:t>
      </w:r>
      <w:proofErr w:type="spellStart"/>
      <w:r w:rsidRPr="00F41B4A">
        <w:rPr>
          <w:lang w:val="en-US" w:eastAsia="en-GB"/>
        </w:rPr>
        <w:t>Problematising</w:t>
      </w:r>
      <w:proofErr w:type="spellEnd"/>
      <w:r w:rsidRPr="00F41B4A">
        <w:rPr>
          <w:lang w:val="en-US" w:eastAsia="en-GB"/>
        </w:rPr>
        <w:t xml:space="preserve"> Value Retention for a Circular Economy: Dilemmas and New Value Balancing Principles,” </w:t>
      </w:r>
      <w:r w:rsidRPr="00F41B4A">
        <w:rPr>
          <w:i/>
          <w:iCs/>
          <w:lang w:val="en-US" w:eastAsia="en-GB"/>
        </w:rPr>
        <w:t>Circular Economy</w:t>
      </w:r>
      <w:r w:rsidRPr="00F41B4A">
        <w:rPr>
          <w:lang w:val="en-US" w:eastAsia="en-GB"/>
        </w:rPr>
        <w:t>, 1(5). doi:10.55845/tkig3907.</w:t>
      </w:r>
    </w:p>
    <w:p w:rsidRPr="00F41B4A" w:rsidR="00F41B4A" w:rsidP="00F41B4A" w:rsidRDefault="00F41B4A" w14:paraId="1F7D0F8D" w14:textId="77777777">
      <w:pPr>
        <w:rPr>
          <w:lang w:val="en-US" w:eastAsia="en-GB"/>
        </w:rPr>
      </w:pPr>
      <w:proofErr w:type="spellStart"/>
      <w:r w:rsidRPr="00F41B4A">
        <w:rPr>
          <w:lang w:val="en-US" w:eastAsia="en-GB"/>
        </w:rPr>
        <w:t>Mochalova</w:t>
      </w:r>
      <w:proofErr w:type="spellEnd"/>
      <w:r w:rsidRPr="00F41B4A">
        <w:rPr>
          <w:lang w:val="en-US" w:eastAsia="en-GB"/>
        </w:rPr>
        <w:t xml:space="preserve">, L. (2021) “Circular economy in the context of implementing the concept of sustainable development,” </w:t>
      </w:r>
      <w:r w:rsidRPr="00F41B4A">
        <w:rPr>
          <w:i/>
          <w:iCs/>
          <w:lang w:val="en-US" w:eastAsia="en-GB"/>
        </w:rPr>
        <w:t>Journal of New Economy</w:t>
      </w:r>
      <w:r w:rsidRPr="00F41B4A">
        <w:rPr>
          <w:lang w:val="en-US" w:eastAsia="en-GB"/>
        </w:rPr>
        <w:t>, 21(4), pp. 5–27. doi:10.29141/2658-5081-2020-21-4-1.</w:t>
      </w:r>
    </w:p>
    <w:p w:rsidRPr="00F41B4A" w:rsidR="00F41B4A" w:rsidP="00F41B4A" w:rsidRDefault="00F41B4A" w14:paraId="1BCA4EF8" w14:textId="77777777">
      <w:pPr>
        <w:rPr>
          <w:lang w:val="en-US" w:eastAsia="en-GB"/>
        </w:rPr>
      </w:pPr>
      <w:proofErr w:type="spellStart"/>
      <w:r w:rsidRPr="00F41B4A">
        <w:rPr>
          <w:lang w:val="en-US" w:eastAsia="en-GB"/>
        </w:rPr>
        <w:t>Nylén</w:t>
      </w:r>
      <w:proofErr w:type="spellEnd"/>
      <w:r w:rsidRPr="00F41B4A">
        <w:rPr>
          <w:lang w:val="en-US" w:eastAsia="en-GB"/>
        </w:rPr>
        <w:t xml:space="preserve">, E.-J.A. and </w:t>
      </w:r>
      <w:proofErr w:type="spellStart"/>
      <w:r w:rsidRPr="00F41B4A">
        <w:rPr>
          <w:lang w:val="en-US" w:eastAsia="en-GB"/>
        </w:rPr>
        <w:t>Salminen</w:t>
      </w:r>
      <w:proofErr w:type="spellEnd"/>
      <w:r w:rsidRPr="00F41B4A">
        <w:rPr>
          <w:lang w:val="en-US" w:eastAsia="en-GB"/>
        </w:rPr>
        <w:t xml:space="preserve">, J.M. (2019) “How does the circular economy discourse affect policy-making? The case of streamlining waste </w:t>
      </w:r>
      <w:proofErr w:type="spellStart"/>
      <w:r w:rsidRPr="00F41B4A">
        <w:rPr>
          <w:lang w:val="en-US" w:eastAsia="en-GB"/>
        </w:rPr>
        <w:t>utilisation</w:t>
      </w:r>
      <w:proofErr w:type="spellEnd"/>
      <w:r w:rsidRPr="00F41B4A">
        <w:rPr>
          <w:lang w:val="en-US" w:eastAsia="en-GB"/>
        </w:rPr>
        <w:t xml:space="preserve"> in Finnish earthworks,” </w:t>
      </w:r>
      <w:r w:rsidRPr="00F41B4A">
        <w:rPr>
          <w:i/>
          <w:iCs/>
          <w:lang w:val="en-US" w:eastAsia="en-GB"/>
        </w:rPr>
        <w:t>Resources, Conservation and Recycling</w:t>
      </w:r>
      <w:r w:rsidRPr="00F41B4A">
        <w:rPr>
          <w:lang w:val="en-US" w:eastAsia="en-GB"/>
        </w:rPr>
        <w:t>, 149, pp. 532–540. doi:10.1016/j.resconrec.2019.06.029.</w:t>
      </w:r>
    </w:p>
    <w:p w:rsidRPr="00F41B4A" w:rsidR="00F41B4A" w:rsidP="00F41B4A" w:rsidRDefault="00F41B4A" w14:paraId="3B444328" w14:textId="77777777">
      <w:pPr>
        <w:rPr>
          <w:lang w:val="en-US" w:eastAsia="en-GB"/>
        </w:rPr>
      </w:pPr>
      <w:proofErr w:type="spellStart"/>
      <w:r w:rsidRPr="00F41B4A">
        <w:rPr>
          <w:lang w:val="en-US" w:eastAsia="en-GB"/>
        </w:rPr>
        <w:t>Samet</w:t>
      </w:r>
      <w:proofErr w:type="spellEnd"/>
      <w:r w:rsidRPr="00F41B4A">
        <w:rPr>
          <w:lang w:val="en-US" w:eastAsia="en-GB"/>
        </w:rPr>
        <w:t xml:space="preserve">, M., </w:t>
      </w:r>
      <w:proofErr w:type="spellStart"/>
      <w:r w:rsidRPr="00F41B4A">
        <w:rPr>
          <w:lang w:val="en-US" w:eastAsia="en-GB"/>
        </w:rPr>
        <w:t>Mouakhar</w:t>
      </w:r>
      <w:proofErr w:type="spellEnd"/>
      <w:r w:rsidRPr="00F41B4A">
        <w:rPr>
          <w:lang w:val="en-US" w:eastAsia="en-GB"/>
        </w:rPr>
        <w:t xml:space="preserve">, K. and </w:t>
      </w:r>
      <w:proofErr w:type="spellStart"/>
      <w:r w:rsidRPr="00F41B4A">
        <w:rPr>
          <w:lang w:val="en-US" w:eastAsia="en-GB"/>
        </w:rPr>
        <w:t>Jarboui</w:t>
      </w:r>
      <w:proofErr w:type="spellEnd"/>
      <w:r w:rsidRPr="00F41B4A">
        <w:rPr>
          <w:lang w:val="en-US" w:eastAsia="en-GB"/>
        </w:rPr>
        <w:t xml:space="preserve">, A. (2018) “Exploring the relationship between CSR performance and financial constraints: empirical evidence from European firms,” </w:t>
      </w:r>
      <w:r w:rsidRPr="00F41B4A">
        <w:rPr>
          <w:i/>
          <w:iCs/>
          <w:lang w:val="en-US" w:eastAsia="en-GB"/>
        </w:rPr>
        <w:t>Review of Social Economy</w:t>
      </w:r>
      <w:r w:rsidRPr="00F41B4A">
        <w:rPr>
          <w:lang w:val="en-US" w:eastAsia="en-GB"/>
        </w:rPr>
        <w:t>, 76(4), pp. 480–508. doi:10.1080/00346764.2018.1480795.</w:t>
      </w:r>
    </w:p>
    <w:p w:rsidRPr="00F41B4A" w:rsidR="00F41B4A" w:rsidP="00F41B4A" w:rsidRDefault="00F41B4A" w14:paraId="44D11ED0" w14:textId="77777777">
      <w:pPr>
        <w:rPr>
          <w:lang w:val="en-US" w:eastAsia="en-GB"/>
        </w:rPr>
      </w:pPr>
      <w:r w:rsidRPr="00F41B4A">
        <w:rPr>
          <w:lang w:val="en-US" w:eastAsia="en-GB"/>
        </w:rPr>
        <w:t xml:space="preserve">Sloan, P., Legrand, W., &amp; Chen, J.S. (2017). </w:t>
      </w:r>
      <w:r w:rsidRPr="00F41B4A">
        <w:rPr>
          <w:i/>
          <w:iCs/>
          <w:lang w:val="en-US" w:eastAsia="en-GB"/>
        </w:rPr>
        <w:t>Sustainability in the Hospitality Industry: Principles of Sustainable Operations</w:t>
      </w:r>
      <w:r w:rsidRPr="00F41B4A">
        <w:rPr>
          <w:lang w:val="en-US" w:eastAsia="en-GB"/>
        </w:rPr>
        <w:t xml:space="preserve"> (3rd ed.). London: Butterworth-Heinemann.</w:t>
      </w:r>
    </w:p>
    <w:p w:rsidRPr="00F41B4A" w:rsidR="00F41B4A" w:rsidP="00F41B4A" w:rsidRDefault="00F41B4A" w14:paraId="2597DDC4" w14:textId="77777777">
      <w:pPr>
        <w:rPr>
          <w:lang w:val="en-US" w:eastAsia="en-GB"/>
        </w:rPr>
      </w:pPr>
      <w:r w:rsidRPr="00F41B4A">
        <w:rPr>
          <w:lang w:val="en-US" w:eastAsia="en-GB"/>
        </w:rPr>
        <w:t xml:space="preserve">Smith, D.N. </w:t>
      </w:r>
      <w:r w:rsidRPr="00F41B4A">
        <w:rPr>
          <w:i/>
          <w:iCs/>
          <w:lang w:val="en-US" w:eastAsia="en-GB"/>
        </w:rPr>
        <w:t>et al.</w:t>
      </w:r>
      <w:r w:rsidRPr="00F41B4A">
        <w:rPr>
          <w:lang w:val="en-US" w:eastAsia="en-GB"/>
        </w:rPr>
        <w:t xml:space="preserve"> (2023) “Integration of Circular Economy Approaches into a Major Infrastructure Project Case Study - National Highways’ A303 Circular Economy Pathfinder Project,” </w:t>
      </w:r>
      <w:r w:rsidRPr="00F41B4A">
        <w:rPr>
          <w:i/>
          <w:iCs/>
          <w:lang w:val="en-US" w:eastAsia="en-GB"/>
        </w:rPr>
        <w:t>Circular Economy and Sustainability</w:t>
      </w:r>
      <w:r w:rsidRPr="00F41B4A">
        <w:rPr>
          <w:lang w:val="en-US" w:eastAsia="en-GB"/>
        </w:rPr>
        <w:t>, 3(4), pp. 1793–1818. doi:10.1007/s43615-022-00219-0.</w:t>
      </w:r>
    </w:p>
    <w:p w:rsidRPr="00F41B4A" w:rsidR="00F41B4A" w:rsidP="00F41B4A" w:rsidRDefault="00F41B4A" w14:paraId="4E2377A0" w14:textId="77777777">
      <w:pPr>
        <w:rPr>
          <w:lang w:val="en-US" w:eastAsia="en-GB"/>
        </w:rPr>
      </w:pPr>
      <w:r w:rsidRPr="00F41B4A">
        <w:rPr>
          <w:lang w:val="en-US" w:eastAsia="en-GB"/>
        </w:rPr>
        <w:t xml:space="preserve">Wickham, Donnelly, T., &amp; French, L. (2021). "Strategic Sustainability Management in the Event Sector." </w:t>
      </w:r>
      <w:r w:rsidRPr="00F41B4A">
        <w:rPr>
          <w:i/>
          <w:iCs/>
          <w:lang w:val="en-US" w:eastAsia="en-GB"/>
        </w:rPr>
        <w:t>Event Management</w:t>
      </w:r>
      <w:r w:rsidRPr="00F41B4A">
        <w:rPr>
          <w:lang w:val="en-US" w:eastAsia="en-GB"/>
        </w:rPr>
        <w:t>, 25(3), 279–296.</w:t>
      </w:r>
    </w:p>
    <w:p w:rsidRPr="00884B22" w:rsidR="00884B22" w:rsidP="00884B22" w:rsidRDefault="00884B22" w14:paraId="41B123A5" w14:textId="77777777">
      <w:pPr>
        <w:rPr>
          <w:lang w:eastAsia="en-GB"/>
        </w:rPr>
      </w:pPr>
    </w:p>
    <w:sectPr w:rsidRPr="00884B22" w:rsidR="00884B22" w:rsidSect="00CF25B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D3ADA"/>
    <w:multiLevelType w:val="multilevel"/>
    <w:tmpl w:val="F66413C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AD5FDF"/>
    <w:multiLevelType w:val="multilevel"/>
    <w:tmpl w:val="6FE079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1E94310"/>
    <w:multiLevelType w:val="multilevel"/>
    <w:tmpl w:val="1D40771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1F50BD6"/>
    <w:multiLevelType w:val="multilevel"/>
    <w:tmpl w:val="A72CCAB4"/>
    <w:lvl w:ilvl="0">
      <w:start w:val="1"/>
      <w:numFmt w:val="decimal"/>
      <w:lvlText w:val="%1"/>
      <w:lvlJc w:val="left"/>
      <w:pPr>
        <w:ind w:left="420" w:hanging="420"/>
      </w:pPr>
      <w:rPr>
        <w:rFonts w:hint="default"/>
        <w:sz w:val="28"/>
      </w:rPr>
    </w:lvl>
    <w:lvl w:ilvl="1">
      <w:start w:val="1"/>
      <w:numFmt w:val="decimal"/>
      <w:lvlText w:val="%1.%2"/>
      <w:lvlJc w:val="left"/>
      <w:pPr>
        <w:ind w:left="420" w:hanging="42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4" w15:restartNumberingAfterBreak="0">
    <w:nsid w:val="4A5F58BD"/>
    <w:multiLevelType w:val="multilevel"/>
    <w:tmpl w:val="0302A8B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2276F2F"/>
    <w:multiLevelType w:val="multilevel"/>
    <w:tmpl w:val="A718B57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92581952">
    <w:abstractNumId w:val="5"/>
  </w:num>
  <w:num w:numId="2" w16cid:durableId="2080588340">
    <w:abstractNumId w:val="4"/>
  </w:num>
  <w:num w:numId="3" w16cid:durableId="1721201686">
    <w:abstractNumId w:val="1"/>
  </w:num>
  <w:num w:numId="4" w16cid:durableId="586891375">
    <w:abstractNumId w:val="2"/>
  </w:num>
  <w:num w:numId="5" w16cid:durableId="253127530">
    <w:abstractNumId w:val="0"/>
  </w:num>
  <w:num w:numId="6" w16cid:durableId="15371548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dirty"/>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xMTQ0NjM0NTe1NDJT0lEKTi0uzszPAykwqgUAVBnMYiwAAAA="/>
  </w:docVars>
  <w:rsids>
    <w:rsidRoot w:val="00A27A2D"/>
    <w:rsid w:val="00004B2F"/>
    <w:rsid w:val="000070FA"/>
    <w:rsid w:val="00010D8B"/>
    <w:rsid w:val="0001792E"/>
    <w:rsid w:val="00025CFE"/>
    <w:rsid w:val="000442A2"/>
    <w:rsid w:val="000504DC"/>
    <w:rsid w:val="0006266D"/>
    <w:rsid w:val="00066A73"/>
    <w:rsid w:val="000670A1"/>
    <w:rsid w:val="00067624"/>
    <w:rsid w:val="000676D1"/>
    <w:rsid w:val="00073B15"/>
    <w:rsid w:val="00086795"/>
    <w:rsid w:val="000922D6"/>
    <w:rsid w:val="00097B0C"/>
    <w:rsid w:val="000C7B25"/>
    <w:rsid w:val="000D197A"/>
    <w:rsid w:val="000D38A5"/>
    <w:rsid w:val="000D4342"/>
    <w:rsid w:val="000E6730"/>
    <w:rsid w:val="000F75DA"/>
    <w:rsid w:val="00106F13"/>
    <w:rsid w:val="00124962"/>
    <w:rsid w:val="00127C14"/>
    <w:rsid w:val="00130973"/>
    <w:rsid w:val="00134669"/>
    <w:rsid w:val="00156435"/>
    <w:rsid w:val="00165A1B"/>
    <w:rsid w:val="00166E76"/>
    <w:rsid w:val="00184176"/>
    <w:rsid w:val="00185FBE"/>
    <w:rsid w:val="0019022C"/>
    <w:rsid w:val="00197CB4"/>
    <w:rsid w:val="001A2D8F"/>
    <w:rsid w:val="001A794A"/>
    <w:rsid w:val="001B0B88"/>
    <w:rsid w:val="001D5DA1"/>
    <w:rsid w:val="001E2B4A"/>
    <w:rsid w:val="001F3EB4"/>
    <w:rsid w:val="00203F27"/>
    <w:rsid w:val="0021292B"/>
    <w:rsid w:val="002141BD"/>
    <w:rsid w:val="002217D0"/>
    <w:rsid w:val="00235E0E"/>
    <w:rsid w:val="00243058"/>
    <w:rsid w:val="00250319"/>
    <w:rsid w:val="00262B98"/>
    <w:rsid w:val="00271638"/>
    <w:rsid w:val="00286015"/>
    <w:rsid w:val="0029195F"/>
    <w:rsid w:val="00292395"/>
    <w:rsid w:val="002B49B0"/>
    <w:rsid w:val="002B5911"/>
    <w:rsid w:val="002C1D84"/>
    <w:rsid w:val="002C691C"/>
    <w:rsid w:val="002D20AF"/>
    <w:rsid w:val="002D20E4"/>
    <w:rsid w:val="002F6BCB"/>
    <w:rsid w:val="002F718B"/>
    <w:rsid w:val="0030112C"/>
    <w:rsid w:val="003050EB"/>
    <w:rsid w:val="00335B82"/>
    <w:rsid w:val="00345E3D"/>
    <w:rsid w:val="00347292"/>
    <w:rsid w:val="00352E23"/>
    <w:rsid w:val="00363439"/>
    <w:rsid w:val="003648DB"/>
    <w:rsid w:val="00367AF8"/>
    <w:rsid w:val="0038452C"/>
    <w:rsid w:val="003961C5"/>
    <w:rsid w:val="003B3305"/>
    <w:rsid w:val="003B77BD"/>
    <w:rsid w:val="003C12FC"/>
    <w:rsid w:val="003D258E"/>
    <w:rsid w:val="003F0A92"/>
    <w:rsid w:val="004045C5"/>
    <w:rsid w:val="00405438"/>
    <w:rsid w:val="00407041"/>
    <w:rsid w:val="0041596D"/>
    <w:rsid w:val="00421F96"/>
    <w:rsid w:val="00424093"/>
    <w:rsid w:val="00436FCE"/>
    <w:rsid w:val="004433E8"/>
    <w:rsid w:val="004435FE"/>
    <w:rsid w:val="004437EC"/>
    <w:rsid w:val="00454806"/>
    <w:rsid w:val="00456AEB"/>
    <w:rsid w:val="004722EC"/>
    <w:rsid w:val="00474E04"/>
    <w:rsid w:val="004933F8"/>
    <w:rsid w:val="00496FBF"/>
    <w:rsid w:val="004C7871"/>
    <w:rsid w:val="004D3A4D"/>
    <w:rsid w:val="004D6697"/>
    <w:rsid w:val="004E2675"/>
    <w:rsid w:val="004F15E1"/>
    <w:rsid w:val="00501841"/>
    <w:rsid w:val="00503D3E"/>
    <w:rsid w:val="00523957"/>
    <w:rsid w:val="00532C5C"/>
    <w:rsid w:val="005442E9"/>
    <w:rsid w:val="005514D3"/>
    <w:rsid w:val="00567155"/>
    <w:rsid w:val="00571925"/>
    <w:rsid w:val="00577C0D"/>
    <w:rsid w:val="005821E3"/>
    <w:rsid w:val="00595298"/>
    <w:rsid w:val="005A11D8"/>
    <w:rsid w:val="005A20AB"/>
    <w:rsid w:val="005B5FCA"/>
    <w:rsid w:val="005C1D5F"/>
    <w:rsid w:val="005E0817"/>
    <w:rsid w:val="005E4068"/>
    <w:rsid w:val="005E54F8"/>
    <w:rsid w:val="005E6E67"/>
    <w:rsid w:val="005F3A33"/>
    <w:rsid w:val="00634C9D"/>
    <w:rsid w:val="00645866"/>
    <w:rsid w:val="00647F9C"/>
    <w:rsid w:val="00654529"/>
    <w:rsid w:val="006557EE"/>
    <w:rsid w:val="00661816"/>
    <w:rsid w:val="006C41B6"/>
    <w:rsid w:val="006C761C"/>
    <w:rsid w:val="006D7ED4"/>
    <w:rsid w:val="006E0EC0"/>
    <w:rsid w:val="006E385F"/>
    <w:rsid w:val="006F30BD"/>
    <w:rsid w:val="006F6B53"/>
    <w:rsid w:val="007061CA"/>
    <w:rsid w:val="007078A4"/>
    <w:rsid w:val="0072168E"/>
    <w:rsid w:val="00725B93"/>
    <w:rsid w:val="00740D0E"/>
    <w:rsid w:val="007503E3"/>
    <w:rsid w:val="00753098"/>
    <w:rsid w:val="00784343"/>
    <w:rsid w:val="00785CE3"/>
    <w:rsid w:val="007975EC"/>
    <w:rsid w:val="007A742C"/>
    <w:rsid w:val="007B11E1"/>
    <w:rsid w:val="007B1873"/>
    <w:rsid w:val="007C0844"/>
    <w:rsid w:val="007C10AD"/>
    <w:rsid w:val="007C1476"/>
    <w:rsid w:val="007C1D51"/>
    <w:rsid w:val="007C3452"/>
    <w:rsid w:val="007C67AC"/>
    <w:rsid w:val="007D0956"/>
    <w:rsid w:val="007E22AA"/>
    <w:rsid w:val="00801DC0"/>
    <w:rsid w:val="0081028B"/>
    <w:rsid w:val="00815B5F"/>
    <w:rsid w:val="00824D84"/>
    <w:rsid w:val="0083706A"/>
    <w:rsid w:val="00846E67"/>
    <w:rsid w:val="00851F4E"/>
    <w:rsid w:val="00853189"/>
    <w:rsid w:val="00884B22"/>
    <w:rsid w:val="008853EC"/>
    <w:rsid w:val="008B078F"/>
    <w:rsid w:val="008B17BF"/>
    <w:rsid w:val="008C423B"/>
    <w:rsid w:val="008C71E3"/>
    <w:rsid w:val="008D00BD"/>
    <w:rsid w:val="008D3E1B"/>
    <w:rsid w:val="008E6F57"/>
    <w:rsid w:val="008F39E0"/>
    <w:rsid w:val="008F425E"/>
    <w:rsid w:val="008F4D75"/>
    <w:rsid w:val="0090654D"/>
    <w:rsid w:val="00907F5F"/>
    <w:rsid w:val="00925800"/>
    <w:rsid w:val="00942FEF"/>
    <w:rsid w:val="00956719"/>
    <w:rsid w:val="009646B6"/>
    <w:rsid w:val="0097518C"/>
    <w:rsid w:val="00975E4C"/>
    <w:rsid w:val="00991A16"/>
    <w:rsid w:val="009A212F"/>
    <w:rsid w:val="009B1488"/>
    <w:rsid w:val="009C0DBD"/>
    <w:rsid w:val="009C31F8"/>
    <w:rsid w:val="009C432A"/>
    <w:rsid w:val="009C514B"/>
    <w:rsid w:val="009D0077"/>
    <w:rsid w:val="009D1165"/>
    <w:rsid w:val="009D6880"/>
    <w:rsid w:val="009E45B7"/>
    <w:rsid w:val="009E60E0"/>
    <w:rsid w:val="009F0E36"/>
    <w:rsid w:val="00A0250B"/>
    <w:rsid w:val="00A05E04"/>
    <w:rsid w:val="00A068C0"/>
    <w:rsid w:val="00A13BE0"/>
    <w:rsid w:val="00A15A3B"/>
    <w:rsid w:val="00A269EA"/>
    <w:rsid w:val="00A27A2D"/>
    <w:rsid w:val="00A37343"/>
    <w:rsid w:val="00A4009F"/>
    <w:rsid w:val="00A412B0"/>
    <w:rsid w:val="00A656E4"/>
    <w:rsid w:val="00A66710"/>
    <w:rsid w:val="00A70F0E"/>
    <w:rsid w:val="00A750A2"/>
    <w:rsid w:val="00A862B5"/>
    <w:rsid w:val="00AA71D0"/>
    <w:rsid w:val="00AB3EB4"/>
    <w:rsid w:val="00AE59AD"/>
    <w:rsid w:val="00B009BE"/>
    <w:rsid w:val="00B1404D"/>
    <w:rsid w:val="00B26F50"/>
    <w:rsid w:val="00B3442E"/>
    <w:rsid w:val="00B35178"/>
    <w:rsid w:val="00B40435"/>
    <w:rsid w:val="00B43356"/>
    <w:rsid w:val="00B51F76"/>
    <w:rsid w:val="00B533F7"/>
    <w:rsid w:val="00B55EDA"/>
    <w:rsid w:val="00B56EDB"/>
    <w:rsid w:val="00B62334"/>
    <w:rsid w:val="00B63984"/>
    <w:rsid w:val="00B639D6"/>
    <w:rsid w:val="00B73E44"/>
    <w:rsid w:val="00B7733A"/>
    <w:rsid w:val="00B97DF2"/>
    <w:rsid w:val="00BA19CA"/>
    <w:rsid w:val="00BA3226"/>
    <w:rsid w:val="00BC0343"/>
    <w:rsid w:val="00BC3F33"/>
    <w:rsid w:val="00BF0B92"/>
    <w:rsid w:val="00C04670"/>
    <w:rsid w:val="00C15F0E"/>
    <w:rsid w:val="00C16982"/>
    <w:rsid w:val="00C27815"/>
    <w:rsid w:val="00C30E81"/>
    <w:rsid w:val="00C34BFE"/>
    <w:rsid w:val="00C44713"/>
    <w:rsid w:val="00C47AD6"/>
    <w:rsid w:val="00C5699D"/>
    <w:rsid w:val="00C664A0"/>
    <w:rsid w:val="00C67043"/>
    <w:rsid w:val="00CA12AD"/>
    <w:rsid w:val="00CA6ED4"/>
    <w:rsid w:val="00CB266C"/>
    <w:rsid w:val="00CC1EE9"/>
    <w:rsid w:val="00CC48E8"/>
    <w:rsid w:val="00CD21EF"/>
    <w:rsid w:val="00CE2E08"/>
    <w:rsid w:val="00CE3F6C"/>
    <w:rsid w:val="00CF25BB"/>
    <w:rsid w:val="00D003D7"/>
    <w:rsid w:val="00D01854"/>
    <w:rsid w:val="00D2168D"/>
    <w:rsid w:val="00D22F83"/>
    <w:rsid w:val="00D31B81"/>
    <w:rsid w:val="00D35EB5"/>
    <w:rsid w:val="00D53988"/>
    <w:rsid w:val="00D7013D"/>
    <w:rsid w:val="00D7255B"/>
    <w:rsid w:val="00D73396"/>
    <w:rsid w:val="00DB3E0B"/>
    <w:rsid w:val="00DB6311"/>
    <w:rsid w:val="00DC0BF7"/>
    <w:rsid w:val="00DC313F"/>
    <w:rsid w:val="00DF205A"/>
    <w:rsid w:val="00DF38B7"/>
    <w:rsid w:val="00DF3F1D"/>
    <w:rsid w:val="00E12BEA"/>
    <w:rsid w:val="00E26645"/>
    <w:rsid w:val="00E2709A"/>
    <w:rsid w:val="00E33D8A"/>
    <w:rsid w:val="00E427CA"/>
    <w:rsid w:val="00E607B4"/>
    <w:rsid w:val="00E621B7"/>
    <w:rsid w:val="00E67566"/>
    <w:rsid w:val="00E67888"/>
    <w:rsid w:val="00E81982"/>
    <w:rsid w:val="00E83178"/>
    <w:rsid w:val="00EA5B27"/>
    <w:rsid w:val="00EC17D7"/>
    <w:rsid w:val="00EC7EC4"/>
    <w:rsid w:val="00ED1D20"/>
    <w:rsid w:val="00ED2A8C"/>
    <w:rsid w:val="00ED6640"/>
    <w:rsid w:val="00EF0778"/>
    <w:rsid w:val="00F03DE6"/>
    <w:rsid w:val="00F23CF2"/>
    <w:rsid w:val="00F41885"/>
    <w:rsid w:val="00F4197A"/>
    <w:rsid w:val="00F41B4A"/>
    <w:rsid w:val="00F424CA"/>
    <w:rsid w:val="00F53EB2"/>
    <w:rsid w:val="00F5462D"/>
    <w:rsid w:val="00F64587"/>
    <w:rsid w:val="00F7397D"/>
    <w:rsid w:val="00F84ACA"/>
    <w:rsid w:val="00FA275A"/>
    <w:rsid w:val="00FA5ADC"/>
    <w:rsid w:val="00FC055B"/>
    <w:rsid w:val="00FC5CE0"/>
    <w:rsid w:val="00FC6DC8"/>
    <w:rsid w:val="00FD3561"/>
    <w:rsid w:val="1FC33D60"/>
    <w:rsid w:val="30548AB0"/>
    <w:rsid w:val="4EAEAABC"/>
    <w:rsid w:val="6CBC1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66CDB"/>
  <w15:docId w15:val="{00A4B885-18C4-3D4C-858B-9E38CBAA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Times New Roman"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6F6B53"/>
    <w:pPr>
      <w:keepNext/>
      <w:keepLines/>
      <w:spacing w:before="240"/>
      <w:jc w:val="center"/>
      <w:outlineLvl w:val="0"/>
    </w:pPr>
    <w:rPr>
      <w:b/>
      <w:color w:val="000000" w:themeColor="text1"/>
      <w:sz w:val="32"/>
      <w:szCs w:val="32"/>
      <w:lang w:eastAsia="en-GB"/>
    </w:rPr>
  </w:style>
  <w:style w:type="paragraph" w:styleId="Heading2">
    <w:name w:val="heading 2"/>
    <w:basedOn w:val="Normal"/>
    <w:next w:val="Normal"/>
    <w:link w:val="Heading2Char"/>
    <w:autoRedefine/>
    <w:uiPriority w:val="9"/>
    <w:unhideWhenUsed/>
    <w:qFormat/>
    <w:rsid w:val="00F03DE6"/>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F03DE6"/>
    <w:rPr>
      <w:rFonts w:ascii="Times New Roman" w:hAnsi="Times New Roman" w:eastAsiaTheme="majorEastAsia" w:cstheme="majorBidi"/>
      <w:b/>
      <w:sz w:val="26"/>
      <w:szCs w:val="26"/>
      <w:lang w:val="en-GB"/>
    </w:rPr>
  </w:style>
  <w:style w:type="paragraph" w:styleId="Caption">
    <w:name w:val="caption"/>
    <w:basedOn w:val="Normal"/>
    <w:next w:val="Normal"/>
    <w:autoRedefine/>
    <w:uiPriority w:val="35"/>
    <w:unhideWhenUsed/>
    <w:qFormat/>
    <w:rsid w:val="000D4342"/>
    <w:pPr>
      <w:spacing w:after="200"/>
      <w:jc w:val="center"/>
    </w:pPr>
    <w:rPr>
      <w:rFonts w:eastAsiaTheme="minorHAnsi" w:cstheme="minorBidi"/>
      <w:b/>
      <w:iCs/>
      <w:szCs w:val="24"/>
      <w:lang w:val="en-US"/>
    </w:rPr>
  </w:style>
  <w:style w:type="character" w:styleId="Heading1Char" w:customStyle="1">
    <w:name w:val="Heading 1 Char"/>
    <w:basedOn w:val="DefaultParagraphFont"/>
    <w:link w:val="Heading1"/>
    <w:uiPriority w:val="9"/>
    <w:rsid w:val="006F6B53"/>
    <w:rPr>
      <w:rFonts w:ascii="Times New Roman" w:hAnsi="Times New Roman" w:cs="Times New Roman"/>
      <w:b/>
      <w:color w:val="000000" w:themeColor="text1"/>
      <w:sz w:val="32"/>
      <w:szCs w:val="32"/>
      <w:lang w:val="en-GB" w:eastAsia="en-GB"/>
    </w:rPr>
  </w:style>
  <w:style w:type="table" w:styleId="TableGrid">
    <w:name w:val="Table Grid"/>
    <w:basedOn w:val="TableNormal"/>
    <w:uiPriority w:val="39"/>
    <w:rsid w:val="00C2781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1" w:customStyle="1">
    <w:name w:val="Plain Table 11"/>
    <w:basedOn w:val="TableNormal"/>
    <w:uiPriority w:val="41"/>
    <w:rsid w:val="00C27815"/>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eading3Char" w:customStyle="1">
    <w:name w:val="Heading 3 Char"/>
    <w:basedOn w:val="DefaultParagraphFont"/>
    <w:link w:val="Heading3"/>
    <w:uiPriority w:val="9"/>
    <w:semiHidden/>
    <w:rsid w:val="007B11E1"/>
    <w:rPr>
      <w:rFonts w:ascii="Times New Roman" w:hAnsi="Times New Roman" w:eastAsiaTheme="majorEastAsia" w:cstheme="majorBidi"/>
      <w:b/>
      <w:sz w:val="24"/>
      <w:szCs w:val="24"/>
      <w:lang w:val="en-GB"/>
    </w:rPr>
  </w:style>
  <w:style w:type="paragraph" w:styleId="ListParagraph">
    <w:name w:val="List Paragraph"/>
    <w:basedOn w:val="Normal"/>
    <w:uiPriority w:val="34"/>
    <w:qFormat/>
    <w:rsid w:val="00E83178"/>
    <w:pPr>
      <w:spacing w:after="200" w:line="276" w:lineRule="auto"/>
      <w:ind w:left="720"/>
      <w:contextualSpacing/>
      <w:jc w:val="left"/>
    </w:pPr>
    <w:rPr>
      <w:rFonts w:asciiTheme="minorHAnsi" w:hAnsiTheme="minorHAnsi" w:eastAsiaTheme="minorHAnsi" w:cstheme="minorBidi"/>
      <w:sz w:val="22"/>
      <w:szCs w:val="22"/>
      <w:lang w:val="en-US"/>
    </w:rPr>
  </w:style>
  <w:style w:type="paragraph" w:styleId="BalloonText">
    <w:name w:val="Balloon Text"/>
    <w:basedOn w:val="Normal"/>
    <w:link w:val="BalloonTextChar"/>
    <w:uiPriority w:val="99"/>
    <w:semiHidden/>
    <w:unhideWhenUsed/>
    <w:rsid w:val="004C7871"/>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C7871"/>
    <w:rPr>
      <w:rFonts w:ascii="Tahoma" w:hAnsi="Tahoma" w:cs="Tahoma"/>
      <w:sz w:val="16"/>
      <w:szCs w:val="16"/>
      <w:lang w:val="en-GB"/>
    </w:rPr>
  </w:style>
  <w:style w:type="paragraph" w:styleId="NormalWeb">
    <w:name w:val="Normal (Web)"/>
    <w:basedOn w:val="Normal"/>
    <w:uiPriority w:val="99"/>
    <w:unhideWhenUsed/>
    <w:rsid w:val="005E54F8"/>
    <w:pPr>
      <w:spacing w:before="100" w:beforeAutospacing="1" w:after="100" w:afterAutospacing="1" w:line="240" w:lineRule="auto"/>
      <w:jc w:val="left"/>
    </w:pPr>
    <w:rPr>
      <w:szCs w:val="24"/>
      <w:lang w:val="en-US"/>
    </w:rPr>
  </w:style>
  <w:style w:type="paragraph" w:styleId="Default" w:customStyle="1">
    <w:name w:val="Default"/>
    <w:rsid w:val="00E2709A"/>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5821E3"/>
    <w:rPr>
      <w:color w:val="0563C1" w:themeColor="hyperlink"/>
      <w:u w:val="single"/>
    </w:rPr>
  </w:style>
  <w:style w:type="paragraph" w:styleId="TOCHeading">
    <w:name w:val="TOC Heading"/>
    <w:basedOn w:val="Heading1"/>
    <w:next w:val="Normal"/>
    <w:uiPriority w:val="39"/>
    <w:semiHidden/>
    <w:unhideWhenUsed/>
    <w:qFormat/>
    <w:rsid w:val="005442E9"/>
    <w:pPr>
      <w:spacing w:before="480" w:line="276" w:lineRule="auto"/>
      <w:jc w:val="left"/>
      <w:outlineLvl w:val="9"/>
    </w:pPr>
    <w:rPr>
      <w:rFonts w:asciiTheme="majorHAnsi" w:hAnsiTheme="majorHAnsi" w:eastAsiaTheme="majorEastAsia" w:cstheme="majorBidi"/>
      <w:bCs/>
      <w:color w:val="2F5496" w:themeColor="accent1" w:themeShade="BF"/>
      <w:sz w:val="28"/>
      <w:szCs w:val="28"/>
      <w:lang w:val="en-US" w:eastAsia="en-US"/>
    </w:rPr>
  </w:style>
  <w:style w:type="paragraph" w:styleId="TOC1">
    <w:name w:val="toc 1"/>
    <w:basedOn w:val="Normal"/>
    <w:next w:val="Normal"/>
    <w:autoRedefine/>
    <w:uiPriority w:val="39"/>
    <w:unhideWhenUsed/>
    <w:rsid w:val="005442E9"/>
    <w:pPr>
      <w:spacing w:after="100"/>
    </w:pPr>
  </w:style>
  <w:style w:type="paragraph" w:styleId="TOC2">
    <w:name w:val="toc 2"/>
    <w:basedOn w:val="Normal"/>
    <w:next w:val="Normal"/>
    <w:autoRedefine/>
    <w:uiPriority w:val="39"/>
    <w:unhideWhenUsed/>
    <w:rsid w:val="005442E9"/>
    <w:pPr>
      <w:spacing w:after="100"/>
      <w:ind w:left="240"/>
    </w:pPr>
  </w:style>
  <w:style w:type="paragraph" w:styleId="TableofFigures">
    <w:name w:val="table of figures"/>
    <w:basedOn w:val="Normal"/>
    <w:next w:val="Normal"/>
    <w:uiPriority w:val="99"/>
    <w:unhideWhenUsed/>
    <w:rsid w:val="004F1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0305">
      <w:bodyDiv w:val="1"/>
      <w:marLeft w:val="0"/>
      <w:marRight w:val="0"/>
      <w:marTop w:val="0"/>
      <w:marBottom w:val="0"/>
      <w:divBdr>
        <w:top w:val="none" w:sz="0" w:space="0" w:color="auto"/>
        <w:left w:val="none" w:sz="0" w:space="0" w:color="auto"/>
        <w:bottom w:val="none" w:sz="0" w:space="0" w:color="auto"/>
        <w:right w:val="none" w:sz="0" w:space="0" w:color="auto"/>
      </w:divBdr>
    </w:div>
    <w:div w:id="86853258">
      <w:bodyDiv w:val="1"/>
      <w:marLeft w:val="0"/>
      <w:marRight w:val="0"/>
      <w:marTop w:val="0"/>
      <w:marBottom w:val="0"/>
      <w:divBdr>
        <w:top w:val="none" w:sz="0" w:space="0" w:color="auto"/>
        <w:left w:val="none" w:sz="0" w:space="0" w:color="auto"/>
        <w:bottom w:val="none" w:sz="0" w:space="0" w:color="auto"/>
        <w:right w:val="none" w:sz="0" w:space="0" w:color="auto"/>
      </w:divBdr>
      <w:divsChild>
        <w:div w:id="1332761603">
          <w:marLeft w:val="720"/>
          <w:marRight w:val="0"/>
          <w:marTop w:val="115"/>
          <w:marBottom w:val="0"/>
          <w:divBdr>
            <w:top w:val="none" w:sz="0" w:space="0" w:color="auto"/>
            <w:left w:val="none" w:sz="0" w:space="0" w:color="auto"/>
            <w:bottom w:val="none" w:sz="0" w:space="0" w:color="auto"/>
            <w:right w:val="none" w:sz="0" w:space="0" w:color="auto"/>
          </w:divBdr>
        </w:div>
      </w:divsChild>
    </w:div>
    <w:div w:id="222106576">
      <w:bodyDiv w:val="1"/>
      <w:marLeft w:val="0"/>
      <w:marRight w:val="0"/>
      <w:marTop w:val="0"/>
      <w:marBottom w:val="0"/>
      <w:divBdr>
        <w:top w:val="none" w:sz="0" w:space="0" w:color="auto"/>
        <w:left w:val="none" w:sz="0" w:space="0" w:color="auto"/>
        <w:bottom w:val="none" w:sz="0" w:space="0" w:color="auto"/>
        <w:right w:val="none" w:sz="0" w:space="0" w:color="auto"/>
      </w:divBdr>
    </w:div>
    <w:div w:id="400760279">
      <w:bodyDiv w:val="1"/>
      <w:marLeft w:val="0"/>
      <w:marRight w:val="0"/>
      <w:marTop w:val="0"/>
      <w:marBottom w:val="0"/>
      <w:divBdr>
        <w:top w:val="none" w:sz="0" w:space="0" w:color="auto"/>
        <w:left w:val="none" w:sz="0" w:space="0" w:color="auto"/>
        <w:bottom w:val="none" w:sz="0" w:space="0" w:color="auto"/>
        <w:right w:val="none" w:sz="0" w:space="0" w:color="auto"/>
      </w:divBdr>
      <w:divsChild>
        <w:div w:id="642613041">
          <w:marLeft w:val="720"/>
          <w:marRight w:val="0"/>
          <w:marTop w:val="115"/>
          <w:marBottom w:val="0"/>
          <w:divBdr>
            <w:top w:val="none" w:sz="0" w:space="0" w:color="auto"/>
            <w:left w:val="none" w:sz="0" w:space="0" w:color="auto"/>
            <w:bottom w:val="none" w:sz="0" w:space="0" w:color="auto"/>
            <w:right w:val="none" w:sz="0" w:space="0" w:color="auto"/>
          </w:divBdr>
        </w:div>
      </w:divsChild>
    </w:div>
    <w:div w:id="538279844">
      <w:bodyDiv w:val="1"/>
      <w:marLeft w:val="0"/>
      <w:marRight w:val="0"/>
      <w:marTop w:val="0"/>
      <w:marBottom w:val="0"/>
      <w:divBdr>
        <w:top w:val="none" w:sz="0" w:space="0" w:color="auto"/>
        <w:left w:val="none" w:sz="0" w:space="0" w:color="auto"/>
        <w:bottom w:val="none" w:sz="0" w:space="0" w:color="auto"/>
        <w:right w:val="none" w:sz="0" w:space="0" w:color="auto"/>
      </w:divBdr>
    </w:div>
    <w:div w:id="574163938">
      <w:bodyDiv w:val="1"/>
      <w:marLeft w:val="0"/>
      <w:marRight w:val="0"/>
      <w:marTop w:val="0"/>
      <w:marBottom w:val="0"/>
      <w:divBdr>
        <w:top w:val="none" w:sz="0" w:space="0" w:color="auto"/>
        <w:left w:val="none" w:sz="0" w:space="0" w:color="auto"/>
        <w:bottom w:val="none" w:sz="0" w:space="0" w:color="auto"/>
        <w:right w:val="none" w:sz="0" w:space="0" w:color="auto"/>
      </w:divBdr>
    </w:div>
    <w:div w:id="668214146">
      <w:bodyDiv w:val="1"/>
      <w:marLeft w:val="0"/>
      <w:marRight w:val="0"/>
      <w:marTop w:val="0"/>
      <w:marBottom w:val="0"/>
      <w:divBdr>
        <w:top w:val="none" w:sz="0" w:space="0" w:color="auto"/>
        <w:left w:val="none" w:sz="0" w:space="0" w:color="auto"/>
        <w:bottom w:val="none" w:sz="0" w:space="0" w:color="auto"/>
        <w:right w:val="none" w:sz="0" w:space="0" w:color="auto"/>
      </w:divBdr>
    </w:div>
    <w:div w:id="678041784">
      <w:bodyDiv w:val="1"/>
      <w:marLeft w:val="0"/>
      <w:marRight w:val="0"/>
      <w:marTop w:val="0"/>
      <w:marBottom w:val="0"/>
      <w:divBdr>
        <w:top w:val="none" w:sz="0" w:space="0" w:color="auto"/>
        <w:left w:val="none" w:sz="0" w:space="0" w:color="auto"/>
        <w:bottom w:val="none" w:sz="0" w:space="0" w:color="auto"/>
        <w:right w:val="none" w:sz="0" w:space="0" w:color="auto"/>
      </w:divBdr>
    </w:div>
    <w:div w:id="721440050">
      <w:bodyDiv w:val="1"/>
      <w:marLeft w:val="0"/>
      <w:marRight w:val="0"/>
      <w:marTop w:val="0"/>
      <w:marBottom w:val="0"/>
      <w:divBdr>
        <w:top w:val="none" w:sz="0" w:space="0" w:color="auto"/>
        <w:left w:val="none" w:sz="0" w:space="0" w:color="auto"/>
        <w:bottom w:val="none" w:sz="0" w:space="0" w:color="auto"/>
        <w:right w:val="none" w:sz="0" w:space="0" w:color="auto"/>
      </w:divBdr>
    </w:div>
    <w:div w:id="732848598">
      <w:bodyDiv w:val="1"/>
      <w:marLeft w:val="0"/>
      <w:marRight w:val="0"/>
      <w:marTop w:val="0"/>
      <w:marBottom w:val="0"/>
      <w:divBdr>
        <w:top w:val="none" w:sz="0" w:space="0" w:color="auto"/>
        <w:left w:val="none" w:sz="0" w:space="0" w:color="auto"/>
        <w:bottom w:val="none" w:sz="0" w:space="0" w:color="auto"/>
        <w:right w:val="none" w:sz="0" w:space="0" w:color="auto"/>
      </w:divBdr>
    </w:div>
    <w:div w:id="769398498">
      <w:bodyDiv w:val="1"/>
      <w:marLeft w:val="0"/>
      <w:marRight w:val="0"/>
      <w:marTop w:val="0"/>
      <w:marBottom w:val="0"/>
      <w:divBdr>
        <w:top w:val="none" w:sz="0" w:space="0" w:color="auto"/>
        <w:left w:val="none" w:sz="0" w:space="0" w:color="auto"/>
        <w:bottom w:val="none" w:sz="0" w:space="0" w:color="auto"/>
        <w:right w:val="none" w:sz="0" w:space="0" w:color="auto"/>
      </w:divBdr>
    </w:div>
    <w:div w:id="863597068">
      <w:bodyDiv w:val="1"/>
      <w:marLeft w:val="0"/>
      <w:marRight w:val="0"/>
      <w:marTop w:val="0"/>
      <w:marBottom w:val="0"/>
      <w:divBdr>
        <w:top w:val="none" w:sz="0" w:space="0" w:color="auto"/>
        <w:left w:val="none" w:sz="0" w:space="0" w:color="auto"/>
        <w:bottom w:val="none" w:sz="0" w:space="0" w:color="auto"/>
        <w:right w:val="none" w:sz="0" w:space="0" w:color="auto"/>
      </w:divBdr>
      <w:divsChild>
        <w:div w:id="658923288">
          <w:marLeft w:val="720"/>
          <w:marRight w:val="0"/>
          <w:marTop w:val="115"/>
          <w:marBottom w:val="0"/>
          <w:divBdr>
            <w:top w:val="none" w:sz="0" w:space="0" w:color="auto"/>
            <w:left w:val="none" w:sz="0" w:space="0" w:color="auto"/>
            <w:bottom w:val="none" w:sz="0" w:space="0" w:color="auto"/>
            <w:right w:val="none" w:sz="0" w:space="0" w:color="auto"/>
          </w:divBdr>
        </w:div>
      </w:divsChild>
    </w:div>
    <w:div w:id="869874626">
      <w:bodyDiv w:val="1"/>
      <w:marLeft w:val="0"/>
      <w:marRight w:val="0"/>
      <w:marTop w:val="0"/>
      <w:marBottom w:val="0"/>
      <w:divBdr>
        <w:top w:val="none" w:sz="0" w:space="0" w:color="auto"/>
        <w:left w:val="none" w:sz="0" w:space="0" w:color="auto"/>
        <w:bottom w:val="none" w:sz="0" w:space="0" w:color="auto"/>
        <w:right w:val="none" w:sz="0" w:space="0" w:color="auto"/>
      </w:divBdr>
    </w:div>
    <w:div w:id="956833338">
      <w:bodyDiv w:val="1"/>
      <w:marLeft w:val="0"/>
      <w:marRight w:val="0"/>
      <w:marTop w:val="0"/>
      <w:marBottom w:val="0"/>
      <w:divBdr>
        <w:top w:val="none" w:sz="0" w:space="0" w:color="auto"/>
        <w:left w:val="none" w:sz="0" w:space="0" w:color="auto"/>
        <w:bottom w:val="none" w:sz="0" w:space="0" w:color="auto"/>
        <w:right w:val="none" w:sz="0" w:space="0" w:color="auto"/>
      </w:divBdr>
      <w:divsChild>
        <w:div w:id="1497964414">
          <w:marLeft w:val="720"/>
          <w:marRight w:val="0"/>
          <w:marTop w:val="115"/>
          <w:marBottom w:val="0"/>
          <w:divBdr>
            <w:top w:val="none" w:sz="0" w:space="0" w:color="auto"/>
            <w:left w:val="none" w:sz="0" w:space="0" w:color="auto"/>
            <w:bottom w:val="none" w:sz="0" w:space="0" w:color="auto"/>
            <w:right w:val="none" w:sz="0" w:space="0" w:color="auto"/>
          </w:divBdr>
        </w:div>
      </w:divsChild>
    </w:div>
    <w:div w:id="1150243551">
      <w:bodyDiv w:val="1"/>
      <w:marLeft w:val="0"/>
      <w:marRight w:val="0"/>
      <w:marTop w:val="0"/>
      <w:marBottom w:val="0"/>
      <w:divBdr>
        <w:top w:val="none" w:sz="0" w:space="0" w:color="auto"/>
        <w:left w:val="none" w:sz="0" w:space="0" w:color="auto"/>
        <w:bottom w:val="none" w:sz="0" w:space="0" w:color="auto"/>
        <w:right w:val="none" w:sz="0" w:space="0" w:color="auto"/>
      </w:divBdr>
    </w:div>
    <w:div w:id="1199197114">
      <w:bodyDiv w:val="1"/>
      <w:marLeft w:val="0"/>
      <w:marRight w:val="0"/>
      <w:marTop w:val="0"/>
      <w:marBottom w:val="0"/>
      <w:divBdr>
        <w:top w:val="none" w:sz="0" w:space="0" w:color="auto"/>
        <w:left w:val="none" w:sz="0" w:space="0" w:color="auto"/>
        <w:bottom w:val="none" w:sz="0" w:space="0" w:color="auto"/>
        <w:right w:val="none" w:sz="0" w:space="0" w:color="auto"/>
      </w:divBdr>
    </w:div>
    <w:div w:id="1374766777">
      <w:bodyDiv w:val="1"/>
      <w:marLeft w:val="0"/>
      <w:marRight w:val="0"/>
      <w:marTop w:val="0"/>
      <w:marBottom w:val="0"/>
      <w:divBdr>
        <w:top w:val="none" w:sz="0" w:space="0" w:color="auto"/>
        <w:left w:val="none" w:sz="0" w:space="0" w:color="auto"/>
        <w:bottom w:val="none" w:sz="0" w:space="0" w:color="auto"/>
        <w:right w:val="none" w:sz="0" w:space="0" w:color="auto"/>
      </w:divBdr>
      <w:divsChild>
        <w:div w:id="1260992408">
          <w:marLeft w:val="720"/>
          <w:marRight w:val="0"/>
          <w:marTop w:val="115"/>
          <w:marBottom w:val="0"/>
          <w:divBdr>
            <w:top w:val="none" w:sz="0" w:space="0" w:color="auto"/>
            <w:left w:val="none" w:sz="0" w:space="0" w:color="auto"/>
            <w:bottom w:val="none" w:sz="0" w:space="0" w:color="auto"/>
            <w:right w:val="none" w:sz="0" w:space="0" w:color="auto"/>
          </w:divBdr>
        </w:div>
      </w:divsChild>
    </w:div>
    <w:div w:id="1436828970">
      <w:bodyDiv w:val="1"/>
      <w:marLeft w:val="0"/>
      <w:marRight w:val="0"/>
      <w:marTop w:val="0"/>
      <w:marBottom w:val="0"/>
      <w:divBdr>
        <w:top w:val="none" w:sz="0" w:space="0" w:color="auto"/>
        <w:left w:val="none" w:sz="0" w:space="0" w:color="auto"/>
        <w:bottom w:val="none" w:sz="0" w:space="0" w:color="auto"/>
        <w:right w:val="none" w:sz="0" w:space="0" w:color="auto"/>
      </w:divBdr>
    </w:div>
    <w:div w:id="1454327605">
      <w:bodyDiv w:val="1"/>
      <w:marLeft w:val="0"/>
      <w:marRight w:val="0"/>
      <w:marTop w:val="0"/>
      <w:marBottom w:val="0"/>
      <w:divBdr>
        <w:top w:val="none" w:sz="0" w:space="0" w:color="auto"/>
        <w:left w:val="none" w:sz="0" w:space="0" w:color="auto"/>
        <w:bottom w:val="none" w:sz="0" w:space="0" w:color="auto"/>
        <w:right w:val="none" w:sz="0" w:space="0" w:color="auto"/>
      </w:divBdr>
    </w:div>
    <w:div w:id="1603538027">
      <w:bodyDiv w:val="1"/>
      <w:marLeft w:val="0"/>
      <w:marRight w:val="0"/>
      <w:marTop w:val="0"/>
      <w:marBottom w:val="0"/>
      <w:divBdr>
        <w:top w:val="none" w:sz="0" w:space="0" w:color="auto"/>
        <w:left w:val="none" w:sz="0" w:space="0" w:color="auto"/>
        <w:bottom w:val="none" w:sz="0" w:space="0" w:color="auto"/>
        <w:right w:val="none" w:sz="0" w:space="0" w:color="auto"/>
      </w:divBdr>
    </w:div>
    <w:div w:id="1604143665">
      <w:bodyDiv w:val="1"/>
      <w:marLeft w:val="0"/>
      <w:marRight w:val="0"/>
      <w:marTop w:val="0"/>
      <w:marBottom w:val="0"/>
      <w:divBdr>
        <w:top w:val="none" w:sz="0" w:space="0" w:color="auto"/>
        <w:left w:val="none" w:sz="0" w:space="0" w:color="auto"/>
        <w:bottom w:val="none" w:sz="0" w:space="0" w:color="auto"/>
        <w:right w:val="none" w:sz="0" w:space="0" w:color="auto"/>
      </w:divBdr>
    </w:div>
    <w:div w:id="1637880098">
      <w:bodyDiv w:val="1"/>
      <w:marLeft w:val="0"/>
      <w:marRight w:val="0"/>
      <w:marTop w:val="0"/>
      <w:marBottom w:val="0"/>
      <w:divBdr>
        <w:top w:val="none" w:sz="0" w:space="0" w:color="auto"/>
        <w:left w:val="none" w:sz="0" w:space="0" w:color="auto"/>
        <w:bottom w:val="none" w:sz="0" w:space="0" w:color="auto"/>
        <w:right w:val="none" w:sz="0" w:space="0" w:color="auto"/>
      </w:divBdr>
    </w:div>
    <w:div w:id="1644503950">
      <w:bodyDiv w:val="1"/>
      <w:marLeft w:val="0"/>
      <w:marRight w:val="0"/>
      <w:marTop w:val="0"/>
      <w:marBottom w:val="0"/>
      <w:divBdr>
        <w:top w:val="none" w:sz="0" w:space="0" w:color="auto"/>
        <w:left w:val="none" w:sz="0" w:space="0" w:color="auto"/>
        <w:bottom w:val="none" w:sz="0" w:space="0" w:color="auto"/>
        <w:right w:val="none" w:sz="0" w:space="0" w:color="auto"/>
      </w:divBdr>
    </w:div>
    <w:div w:id="1731612412">
      <w:bodyDiv w:val="1"/>
      <w:marLeft w:val="0"/>
      <w:marRight w:val="0"/>
      <w:marTop w:val="0"/>
      <w:marBottom w:val="0"/>
      <w:divBdr>
        <w:top w:val="none" w:sz="0" w:space="0" w:color="auto"/>
        <w:left w:val="none" w:sz="0" w:space="0" w:color="auto"/>
        <w:bottom w:val="none" w:sz="0" w:space="0" w:color="auto"/>
        <w:right w:val="none" w:sz="0" w:space="0" w:color="auto"/>
      </w:divBdr>
    </w:div>
    <w:div w:id="1771126760">
      <w:bodyDiv w:val="1"/>
      <w:marLeft w:val="0"/>
      <w:marRight w:val="0"/>
      <w:marTop w:val="0"/>
      <w:marBottom w:val="0"/>
      <w:divBdr>
        <w:top w:val="none" w:sz="0" w:space="0" w:color="auto"/>
        <w:left w:val="none" w:sz="0" w:space="0" w:color="auto"/>
        <w:bottom w:val="none" w:sz="0" w:space="0" w:color="auto"/>
        <w:right w:val="none" w:sz="0" w:space="0" w:color="auto"/>
      </w:divBdr>
    </w:div>
    <w:div w:id="1778255385">
      <w:bodyDiv w:val="1"/>
      <w:marLeft w:val="0"/>
      <w:marRight w:val="0"/>
      <w:marTop w:val="0"/>
      <w:marBottom w:val="0"/>
      <w:divBdr>
        <w:top w:val="none" w:sz="0" w:space="0" w:color="auto"/>
        <w:left w:val="none" w:sz="0" w:space="0" w:color="auto"/>
        <w:bottom w:val="none" w:sz="0" w:space="0" w:color="auto"/>
        <w:right w:val="none" w:sz="0" w:space="0" w:color="auto"/>
      </w:divBdr>
      <w:divsChild>
        <w:div w:id="220286917">
          <w:marLeft w:val="720"/>
          <w:marRight w:val="0"/>
          <w:marTop w:val="115"/>
          <w:marBottom w:val="0"/>
          <w:divBdr>
            <w:top w:val="none" w:sz="0" w:space="0" w:color="auto"/>
            <w:left w:val="none" w:sz="0" w:space="0" w:color="auto"/>
            <w:bottom w:val="none" w:sz="0" w:space="0" w:color="auto"/>
            <w:right w:val="none" w:sz="0" w:space="0" w:color="auto"/>
          </w:divBdr>
        </w:div>
      </w:divsChild>
    </w:div>
    <w:div w:id="1854302446">
      <w:bodyDiv w:val="1"/>
      <w:marLeft w:val="0"/>
      <w:marRight w:val="0"/>
      <w:marTop w:val="0"/>
      <w:marBottom w:val="0"/>
      <w:divBdr>
        <w:top w:val="none" w:sz="0" w:space="0" w:color="auto"/>
        <w:left w:val="none" w:sz="0" w:space="0" w:color="auto"/>
        <w:bottom w:val="none" w:sz="0" w:space="0" w:color="auto"/>
        <w:right w:val="none" w:sz="0" w:space="0" w:color="auto"/>
      </w:divBdr>
      <w:divsChild>
        <w:div w:id="1329400539">
          <w:marLeft w:val="720"/>
          <w:marRight w:val="0"/>
          <w:marTop w:val="115"/>
          <w:marBottom w:val="0"/>
          <w:divBdr>
            <w:top w:val="none" w:sz="0" w:space="0" w:color="auto"/>
            <w:left w:val="none" w:sz="0" w:space="0" w:color="auto"/>
            <w:bottom w:val="none" w:sz="0" w:space="0" w:color="auto"/>
            <w:right w:val="none" w:sz="0" w:space="0" w:color="auto"/>
          </w:divBdr>
        </w:div>
      </w:divsChild>
    </w:div>
    <w:div w:id="1888640451">
      <w:bodyDiv w:val="1"/>
      <w:marLeft w:val="0"/>
      <w:marRight w:val="0"/>
      <w:marTop w:val="0"/>
      <w:marBottom w:val="0"/>
      <w:divBdr>
        <w:top w:val="none" w:sz="0" w:space="0" w:color="auto"/>
        <w:left w:val="none" w:sz="0" w:space="0" w:color="auto"/>
        <w:bottom w:val="none" w:sz="0" w:space="0" w:color="auto"/>
        <w:right w:val="none" w:sz="0" w:space="0" w:color="auto"/>
      </w:divBdr>
    </w:div>
    <w:div w:id="2028410272">
      <w:bodyDiv w:val="1"/>
      <w:marLeft w:val="0"/>
      <w:marRight w:val="0"/>
      <w:marTop w:val="0"/>
      <w:marBottom w:val="0"/>
      <w:divBdr>
        <w:top w:val="none" w:sz="0" w:space="0" w:color="auto"/>
        <w:left w:val="none" w:sz="0" w:space="0" w:color="auto"/>
        <w:bottom w:val="none" w:sz="0" w:space="0" w:color="auto"/>
        <w:right w:val="none" w:sz="0" w:space="0" w:color="auto"/>
      </w:divBdr>
    </w:div>
    <w:div w:id="2082822245">
      <w:bodyDiv w:val="1"/>
      <w:marLeft w:val="0"/>
      <w:marRight w:val="0"/>
      <w:marTop w:val="0"/>
      <w:marBottom w:val="0"/>
      <w:divBdr>
        <w:top w:val="none" w:sz="0" w:space="0" w:color="auto"/>
        <w:left w:val="none" w:sz="0" w:space="0" w:color="auto"/>
        <w:bottom w:val="none" w:sz="0" w:space="0" w:color="auto"/>
        <w:right w:val="none" w:sz="0" w:space="0" w:color="auto"/>
      </w:divBdr>
      <w:divsChild>
        <w:div w:id="1087730846">
          <w:marLeft w:val="720"/>
          <w:marRight w:val="0"/>
          <w:marTop w:val="115"/>
          <w:marBottom w:val="0"/>
          <w:divBdr>
            <w:top w:val="none" w:sz="0" w:space="0" w:color="auto"/>
            <w:left w:val="none" w:sz="0" w:space="0" w:color="auto"/>
            <w:bottom w:val="none" w:sz="0" w:space="0" w:color="auto"/>
            <w:right w:val="none" w:sz="0" w:space="0" w:color="auto"/>
          </w:divBdr>
        </w:div>
      </w:divsChild>
    </w:div>
    <w:div w:id="211543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EB9FC0-D485-4C7A-9D8E-5C73E72F028E}">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Nadeige Lewis (2126427)</lastModifiedBy>
  <revision>5</revision>
  <dcterms:created xsi:type="dcterms:W3CDTF">2024-01-28T22:55:00.0000000Z</dcterms:created>
  <dcterms:modified xsi:type="dcterms:W3CDTF">2024-01-28T23:27:08.5489268Z</dcterms:modified>
</coreProperties>
</file>