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B0B4D" w14:textId="77777777" w:rsidR="00B17545" w:rsidRDefault="00B17545" w:rsidP="00B17545">
      <w:pPr>
        <w:pStyle w:val="NormalWeb"/>
        <w:spacing w:before="0" w:beforeAutospacing="0" w:after="0" w:afterAutospacing="0"/>
        <w:ind w:left="-180" w:right="-334"/>
      </w:pPr>
      <w:r>
        <w:rPr>
          <w:noProof/>
        </w:rPr>
        <w:drawing>
          <wp:inline distT="0" distB="0" distL="0" distR="0" wp14:anchorId="09B34F2A" wp14:editId="3EF0C18B">
            <wp:extent cx="1907540" cy="638175"/>
            <wp:effectExtent l="25400" t="25400" r="10160" b="952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540" cy="638175"/>
                    </a:xfrm>
                    <a:prstGeom prst="rect">
                      <a:avLst/>
                    </a:prstGeom>
                    <a:noFill/>
                    <a:ln w="19050" cmpd="sng">
                      <a:solidFill>
                        <a:srgbClr val="000000"/>
                      </a:solidFill>
                      <a:miter lim="800000"/>
                      <a:headEnd/>
                      <a:tailEnd/>
                    </a:ln>
                    <a:effectLst/>
                  </pic:spPr>
                </pic:pic>
              </a:graphicData>
            </a:graphic>
          </wp:inline>
        </w:drawing>
      </w:r>
    </w:p>
    <w:p w14:paraId="349D7026" w14:textId="77777777" w:rsidR="00B17545" w:rsidRDefault="00B17545" w:rsidP="00B17545">
      <w:pPr>
        <w:pStyle w:val="NormalWeb"/>
        <w:spacing w:before="0" w:beforeAutospacing="0" w:after="0" w:afterAutospacing="0"/>
        <w:ind w:left="-180" w:right="-334"/>
      </w:pPr>
    </w:p>
    <w:p w14:paraId="16E44038" w14:textId="77777777" w:rsidR="00B17545" w:rsidRDefault="00B17545" w:rsidP="00B17545">
      <w:pPr>
        <w:pStyle w:val="NormalWeb"/>
        <w:spacing w:before="0" w:beforeAutospacing="0" w:after="0" w:afterAutospacing="0"/>
        <w:ind w:left="-180" w:right="-334"/>
      </w:pPr>
    </w:p>
    <w:p w14:paraId="4D8052B9" w14:textId="77777777" w:rsidR="00B17545" w:rsidRDefault="00B17545" w:rsidP="00B1754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F26DC1" w14:textId="77777777" w:rsidR="00B17545" w:rsidRPr="00230F35" w:rsidRDefault="00B17545" w:rsidP="00B1754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5696A31" w14:textId="77777777" w:rsidR="00B17545" w:rsidRPr="00230F35" w:rsidRDefault="00B17545" w:rsidP="00B17545">
      <w:pPr>
        <w:rPr>
          <w:rFonts w:ascii="Arial" w:hAnsi="Arial" w:cs="Arial"/>
          <w:sz w:val="28"/>
          <w:szCs w:val="28"/>
          <w:lang w:val="cy-GB"/>
        </w:rPr>
      </w:pPr>
    </w:p>
    <w:p w14:paraId="781BB4E9" w14:textId="77777777" w:rsidR="00B17545" w:rsidRDefault="00B17545" w:rsidP="00B17545">
      <w:pPr>
        <w:pStyle w:val="Heading3"/>
        <w:jc w:val="center"/>
        <w:rPr>
          <w:lang w:val="cy-GB"/>
        </w:rPr>
      </w:pPr>
      <w:r>
        <w:rPr>
          <w:lang w:val="cy-GB"/>
        </w:rPr>
        <w:t>THIS SHEET MUST BE THE FIRST PAGE OF THE ASSIGNMENT YOU ARE SUBMITTING  (DO NOT SEND AS A SEPARATE FILE)</w:t>
      </w:r>
    </w:p>
    <w:p w14:paraId="59F84A0D" w14:textId="77777777" w:rsidR="00B17545" w:rsidRDefault="00B17545" w:rsidP="00B1754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17545" w:rsidRPr="00230F35" w14:paraId="4B50111F" w14:textId="77777777" w:rsidTr="00A43457">
        <w:trPr>
          <w:trHeight w:val="614"/>
        </w:trPr>
        <w:tc>
          <w:tcPr>
            <w:tcW w:w="8856" w:type="dxa"/>
            <w:gridSpan w:val="5"/>
          </w:tcPr>
          <w:p w14:paraId="253DB4DC"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17545" w:rsidRPr="00230F35" w14:paraId="1FB26D42" w14:textId="77777777" w:rsidTr="00A43457">
        <w:trPr>
          <w:trHeight w:val="718"/>
        </w:trPr>
        <w:tc>
          <w:tcPr>
            <w:tcW w:w="8856" w:type="dxa"/>
            <w:gridSpan w:val="5"/>
          </w:tcPr>
          <w:p w14:paraId="59ADAAC0" w14:textId="77777777" w:rsidR="00B1754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Stefania Boglioli</w:t>
            </w:r>
          </w:p>
          <w:p w14:paraId="767C7571" w14:textId="77777777" w:rsidR="00B17545" w:rsidRPr="00230F35" w:rsidRDefault="00B17545" w:rsidP="00A43457">
            <w:pPr>
              <w:pStyle w:val="NormalWeb"/>
              <w:spacing w:before="0" w:beforeAutospacing="0" w:after="0" w:afterAutospacing="0"/>
              <w:ind w:right="34"/>
              <w:rPr>
                <w:rFonts w:ascii="Arial" w:hAnsi="Arial" w:cs="Arial"/>
                <w:sz w:val="22"/>
                <w:szCs w:val="22"/>
              </w:rPr>
            </w:pPr>
          </w:p>
        </w:tc>
      </w:tr>
      <w:tr w:rsidR="00B17545" w:rsidRPr="00230F35" w14:paraId="1575AF33" w14:textId="77777777" w:rsidTr="00A43457">
        <w:trPr>
          <w:trHeight w:val="849"/>
        </w:trPr>
        <w:tc>
          <w:tcPr>
            <w:tcW w:w="4788" w:type="dxa"/>
          </w:tcPr>
          <w:p w14:paraId="1B164489"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HPCA7013</w:t>
            </w:r>
          </w:p>
          <w:p w14:paraId="40500127" w14:textId="77777777" w:rsidR="00B17545" w:rsidRPr="00230F35" w:rsidRDefault="00B17545" w:rsidP="00A43457">
            <w:pPr>
              <w:pStyle w:val="NormalWeb"/>
              <w:spacing w:before="0" w:beforeAutospacing="0" w:after="0" w:afterAutospacing="0"/>
              <w:ind w:right="34"/>
              <w:rPr>
                <w:rFonts w:ascii="Arial" w:hAnsi="Arial" w:cs="Arial"/>
                <w:sz w:val="22"/>
                <w:szCs w:val="22"/>
              </w:rPr>
            </w:pPr>
          </w:p>
          <w:p w14:paraId="584916A6" w14:textId="77777777" w:rsidR="00B1754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06F6C436" w14:textId="77777777" w:rsidR="00B17545" w:rsidRDefault="00B17545" w:rsidP="00A43457">
            <w:pPr>
              <w:pStyle w:val="NormalWeb"/>
              <w:spacing w:before="0" w:beforeAutospacing="0" w:after="0" w:afterAutospacing="0"/>
              <w:ind w:right="34"/>
              <w:rPr>
                <w:rFonts w:ascii="Arial" w:hAnsi="Arial" w:cs="Arial"/>
                <w:sz w:val="22"/>
                <w:szCs w:val="22"/>
              </w:rPr>
            </w:pPr>
          </w:p>
          <w:p w14:paraId="43D2004B" w14:textId="77777777" w:rsidR="00B17545" w:rsidRPr="00230F35" w:rsidRDefault="00B17545" w:rsidP="00A43457">
            <w:pPr>
              <w:pStyle w:val="NormalWeb"/>
              <w:spacing w:before="0" w:beforeAutospacing="0" w:after="0" w:afterAutospacing="0"/>
              <w:ind w:right="34"/>
              <w:rPr>
                <w:rFonts w:ascii="Arial" w:hAnsi="Arial" w:cs="Arial"/>
                <w:sz w:val="22"/>
                <w:szCs w:val="22"/>
              </w:rPr>
            </w:pPr>
          </w:p>
        </w:tc>
        <w:tc>
          <w:tcPr>
            <w:tcW w:w="2266" w:type="dxa"/>
            <w:gridSpan w:val="3"/>
          </w:tcPr>
          <w:p w14:paraId="6A620B52"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2021822</w:t>
            </w:r>
          </w:p>
        </w:tc>
        <w:tc>
          <w:tcPr>
            <w:tcW w:w="1802" w:type="dxa"/>
          </w:tcPr>
          <w:p w14:paraId="4E592CF8"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E1EFA50"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r>
              <w:rPr>
                <w:rFonts w:ascii="Arial" w:hAnsi="Arial" w:cs="Arial"/>
                <w:sz w:val="22"/>
                <w:szCs w:val="22"/>
              </w:rPr>
              <w:t xml:space="preserve"> </w:t>
            </w:r>
            <w:proofErr w:type="spellStart"/>
            <w:r>
              <w:rPr>
                <w:rFonts w:ascii="Arial" w:hAnsi="Arial" w:cs="Arial"/>
                <w:sz w:val="22"/>
                <w:szCs w:val="22"/>
              </w:rPr>
              <w:t>NO</w:t>
            </w:r>
            <w:proofErr w:type="spellEnd"/>
          </w:p>
        </w:tc>
      </w:tr>
      <w:tr w:rsidR="00B17545" w:rsidRPr="00230F35" w14:paraId="58E2EB00" w14:textId="77777777" w:rsidTr="00A43457">
        <w:trPr>
          <w:trHeight w:val="1139"/>
        </w:trPr>
        <w:tc>
          <w:tcPr>
            <w:tcW w:w="8856" w:type="dxa"/>
            <w:gridSpan w:val="5"/>
          </w:tcPr>
          <w:p w14:paraId="5ECEECBA" w14:textId="77777777" w:rsidR="00B17545" w:rsidRPr="00230F35" w:rsidRDefault="00B17545" w:rsidP="00A4345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Dorian Greenbaum, Dr Crystal Addey and Dr Dawn Collins </w:t>
            </w:r>
          </w:p>
          <w:p w14:paraId="435C7410" w14:textId="77777777" w:rsidR="00B17545" w:rsidRPr="00230F35" w:rsidRDefault="00B17545" w:rsidP="00A43457">
            <w:pPr>
              <w:pStyle w:val="NormalWeb"/>
              <w:spacing w:before="0" w:beforeAutospacing="0" w:after="0" w:afterAutospacing="0"/>
              <w:ind w:right="34"/>
              <w:rPr>
                <w:rFonts w:ascii="Arial" w:hAnsi="Arial" w:cs="Arial"/>
                <w:sz w:val="22"/>
                <w:szCs w:val="22"/>
              </w:rPr>
            </w:pPr>
          </w:p>
          <w:p w14:paraId="4CDD5125" w14:textId="77777777" w:rsidR="00B17545" w:rsidRDefault="00B17545" w:rsidP="00A43457">
            <w:pPr>
              <w:pStyle w:val="NormalWeb"/>
              <w:spacing w:before="0" w:beforeAutospacing="0" w:after="0" w:afterAutospacing="0"/>
              <w:ind w:right="34"/>
              <w:rPr>
                <w:rFonts w:ascii="Arial" w:hAnsi="Arial" w:cs="Arial"/>
                <w:sz w:val="22"/>
                <w:szCs w:val="22"/>
              </w:rPr>
            </w:pPr>
          </w:p>
          <w:p w14:paraId="617ECF48"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22/03/2021</w:t>
            </w:r>
          </w:p>
        </w:tc>
      </w:tr>
      <w:tr w:rsidR="00B17545" w:rsidRPr="00230F35" w14:paraId="27270D7B" w14:textId="77777777" w:rsidTr="00A43457">
        <w:trPr>
          <w:trHeight w:val="978"/>
        </w:trPr>
        <w:tc>
          <w:tcPr>
            <w:tcW w:w="8856" w:type="dxa"/>
            <w:gridSpan w:val="5"/>
            <w:tcBorders>
              <w:bottom w:val="single" w:sz="4" w:space="0" w:color="000000"/>
            </w:tcBorders>
          </w:tcPr>
          <w:p w14:paraId="145E43C8" w14:textId="77777777" w:rsidR="00B17545" w:rsidRDefault="00B17545" w:rsidP="00A43457">
            <w:pPr>
              <w:rPr>
                <w:rFonts w:ascii="Arial" w:hAnsi="Arial" w:cs="Arial"/>
                <w:sz w:val="22"/>
                <w:szCs w:val="22"/>
              </w:rPr>
            </w:pPr>
            <w:r>
              <w:rPr>
                <w:rFonts w:ascii="Arial" w:hAnsi="Arial" w:cs="Arial"/>
                <w:sz w:val="22"/>
                <w:szCs w:val="22"/>
              </w:rPr>
              <w:t>If your module has multiple submissions please indicate which piece of work this is.</w:t>
            </w:r>
          </w:p>
          <w:p w14:paraId="7F5B0EE4" w14:textId="77777777" w:rsidR="00B17545" w:rsidRDefault="00B17545" w:rsidP="00A43457">
            <w:pPr>
              <w:rPr>
                <w:rFonts w:ascii="Arial" w:hAnsi="Arial" w:cs="Arial"/>
                <w:sz w:val="22"/>
                <w:szCs w:val="22"/>
              </w:rPr>
            </w:pPr>
          </w:p>
          <w:p w14:paraId="63574CB8" w14:textId="77777777" w:rsidR="00B17545" w:rsidRPr="00230F35" w:rsidRDefault="00B17545" w:rsidP="00A43457">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C09CC">
              <w:rPr>
                <w:rFonts w:ascii="Arial" w:hAnsi="Arial" w:cs="Arial"/>
                <w:sz w:val="22"/>
                <w:szCs w:val="22"/>
              </w:rPr>
            </w:r>
            <w:r w:rsidR="00CC09CC">
              <w:rPr>
                <w:rFonts w:ascii="Arial" w:hAnsi="Arial" w:cs="Arial"/>
                <w:sz w:val="22"/>
                <w:szCs w:val="22"/>
              </w:rPr>
              <w:fldChar w:fldCharType="separate"/>
            </w:r>
            <w:r w:rsidRPr="00230F35">
              <w:rPr>
                <w:rFonts w:ascii="Arial" w:hAnsi="Arial" w:cs="Arial"/>
                <w:sz w:val="22"/>
                <w:szCs w:val="22"/>
              </w:rPr>
              <w:fldChar w:fldCharType="end"/>
            </w:r>
            <w:bookmarkEnd w:id="5"/>
          </w:p>
        </w:tc>
      </w:tr>
      <w:tr w:rsidR="00B17545" w:rsidRPr="00230F35" w14:paraId="36623D08" w14:textId="77777777" w:rsidTr="00A43457">
        <w:trPr>
          <w:trHeight w:val="978"/>
        </w:trPr>
        <w:tc>
          <w:tcPr>
            <w:tcW w:w="8856" w:type="dxa"/>
            <w:gridSpan w:val="5"/>
            <w:shd w:val="clear" w:color="auto" w:fill="D9D9D9"/>
          </w:tcPr>
          <w:p w14:paraId="203CEAF9" w14:textId="77777777" w:rsidR="00B17545" w:rsidRPr="00230F3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0F0A47" w14:textId="77777777" w:rsidR="00B17545" w:rsidRDefault="00B17545" w:rsidP="00A4345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Stefania Boglioli</w:t>
            </w:r>
            <w:r w:rsidRPr="00230F35">
              <w:rPr>
                <w:rFonts w:ascii="Arial" w:hAnsi="Arial" w:cs="Arial"/>
                <w:sz w:val="22"/>
                <w:szCs w:val="22"/>
              </w:rPr>
              <w:t>………………………………………………</w:t>
            </w:r>
          </w:p>
          <w:p w14:paraId="480A2BFF" w14:textId="77777777" w:rsidR="00B17545" w:rsidRDefault="00B17545" w:rsidP="00A4345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946A62F" w14:textId="77777777" w:rsidR="00B17545" w:rsidRPr="00230F35" w:rsidRDefault="00B17545" w:rsidP="00A4345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17545" w:rsidRPr="00230F35" w14:paraId="6AFB9F3A" w14:textId="77777777" w:rsidTr="00A43457">
        <w:trPr>
          <w:trHeight w:val="3972"/>
        </w:trPr>
        <w:tc>
          <w:tcPr>
            <w:tcW w:w="8856" w:type="dxa"/>
            <w:gridSpan w:val="5"/>
          </w:tcPr>
          <w:p w14:paraId="71CC1B38" w14:textId="77777777" w:rsidR="00B17545" w:rsidRDefault="00B17545" w:rsidP="00A43457">
            <w:pPr>
              <w:rPr>
                <w:rFonts w:ascii="Arial" w:hAnsi="Arial"/>
                <w:b/>
              </w:rPr>
            </w:pPr>
          </w:p>
          <w:p w14:paraId="3E3D1FD7" w14:textId="77777777" w:rsidR="00B17545" w:rsidRPr="00116CE6" w:rsidRDefault="00B17545" w:rsidP="00A4345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17545" w:rsidRPr="00116CE6" w14:paraId="184B75F4" w14:textId="77777777" w:rsidTr="00A43457">
              <w:tc>
                <w:tcPr>
                  <w:tcW w:w="6970" w:type="dxa"/>
                </w:tcPr>
                <w:p w14:paraId="49FB558B" w14:textId="77777777" w:rsidR="00B17545" w:rsidRPr="00116CE6" w:rsidRDefault="00B17545" w:rsidP="00A43457">
                  <w:pPr>
                    <w:rPr>
                      <w:rFonts w:ascii="Arial" w:hAnsi="Arial"/>
                      <w:sz w:val="20"/>
                      <w:szCs w:val="20"/>
                    </w:rPr>
                  </w:pPr>
                </w:p>
                <w:p w14:paraId="4A0D988D" w14:textId="77777777" w:rsidR="00B17545" w:rsidRPr="00116CE6" w:rsidRDefault="00B17545" w:rsidP="00A4345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6A23803" w14:textId="77777777" w:rsidR="00B17545" w:rsidRPr="00116CE6" w:rsidRDefault="00B17545" w:rsidP="00A43457">
                  <w:pPr>
                    <w:rPr>
                      <w:rFonts w:ascii="Arial" w:hAnsi="Arial"/>
                      <w:sz w:val="20"/>
                      <w:szCs w:val="20"/>
                    </w:rPr>
                  </w:pPr>
                </w:p>
              </w:tc>
            </w:tr>
            <w:tr w:rsidR="00B17545" w:rsidRPr="00116CE6" w14:paraId="0E423AA5" w14:textId="77777777" w:rsidTr="00A43457">
              <w:tc>
                <w:tcPr>
                  <w:tcW w:w="6970" w:type="dxa"/>
                </w:tcPr>
                <w:p w14:paraId="21F8C139" w14:textId="77777777" w:rsidR="00B17545" w:rsidRPr="00116CE6" w:rsidRDefault="00B17545" w:rsidP="00A43457">
                  <w:pPr>
                    <w:rPr>
                      <w:rFonts w:ascii="Arial" w:hAnsi="Arial"/>
                      <w:sz w:val="20"/>
                      <w:szCs w:val="20"/>
                    </w:rPr>
                  </w:pPr>
                </w:p>
                <w:p w14:paraId="5F19684B" w14:textId="77777777" w:rsidR="00B17545" w:rsidRPr="00116CE6" w:rsidRDefault="00B17545" w:rsidP="00A4345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CC2F51D" w14:textId="77777777" w:rsidR="00B17545" w:rsidRPr="00116CE6" w:rsidRDefault="00B17545" w:rsidP="00A43457">
                  <w:pPr>
                    <w:rPr>
                      <w:rFonts w:ascii="Arial" w:hAnsi="Arial"/>
                      <w:sz w:val="20"/>
                      <w:szCs w:val="20"/>
                    </w:rPr>
                  </w:pPr>
                </w:p>
              </w:tc>
            </w:tr>
            <w:tr w:rsidR="00B17545" w:rsidRPr="00116CE6" w14:paraId="05FD7ADF" w14:textId="77777777" w:rsidTr="00A43457">
              <w:tc>
                <w:tcPr>
                  <w:tcW w:w="6970" w:type="dxa"/>
                </w:tcPr>
                <w:p w14:paraId="1DD08F01" w14:textId="77777777" w:rsidR="00B17545" w:rsidRPr="006367FD" w:rsidRDefault="00B17545" w:rsidP="00A43457">
                  <w:pPr>
                    <w:rPr>
                      <w:rFonts w:ascii="Arial" w:hAnsi="Arial"/>
                      <w:color w:val="000000"/>
                      <w:sz w:val="20"/>
                      <w:szCs w:val="20"/>
                    </w:rPr>
                  </w:pPr>
                  <w:r w:rsidRPr="006367FD">
                    <w:rPr>
                      <w:rFonts w:ascii="Arial" w:hAnsi="Arial"/>
                      <w:color w:val="000000"/>
                      <w:sz w:val="20"/>
                      <w:szCs w:val="20"/>
                    </w:rPr>
                    <w:t xml:space="preserve">Agreed Internal Mark: </w:t>
                  </w:r>
                </w:p>
                <w:p w14:paraId="650AE2A4" w14:textId="77777777" w:rsidR="00B17545" w:rsidRPr="00E14D2E" w:rsidRDefault="00B17545" w:rsidP="00A43457">
                  <w:pPr>
                    <w:rPr>
                      <w:rFonts w:ascii="Arial" w:hAnsi="Arial"/>
                      <w:sz w:val="20"/>
                      <w:szCs w:val="20"/>
                      <w:highlight w:val="yellow"/>
                    </w:rPr>
                  </w:pPr>
                </w:p>
              </w:tc>
              <w:tc>
                <w:tcPr>
                  <w:tcW w:w="1660" w:type="dxa"/>
                </w:tcPr>
                <w:p w14:paraId="6DA5A024" w14:textId="77777777" w:rsidR="00B17545" w:rsidRPr="00E14D2E" w:rsidRDefault="00B17545" w:rsidP="00A43457">
                  <w:pPr>
                    <w:rPr>
                      <w:rFonts w:ascii="Arial" w:hAnsi="Arial"/>
                      <w:sz w:val="20"/>
                      <w:szCs w:val="20"/>
                      <w:highlight w:val="yellow"/>
                    </w:rPr>
                  </w:pPr>
                </w:p>
              </w:tc>
            </w:tr>
            <w:tr w:rsidR="00B17545" w:rsidRPr="00116CE6" w14:paraId="7899262F" w14:textId="77777777" w:rsidTr="00A43457">
              <w:tc>
                <w:tcPr>
                  <w:tcW w:w="6970" w:type="dxa"/>
                </w:tcPr>
                <w:p w14:paraId="685F5ECD" w14:textId="77777777" w:rsidR="00B17545" w:rsidRPr="00116CE6" w:rsidRDefault="00B17545" w:rsidP="00A43457">
                  <w:pPr>
                    <w:rPr>
                      <w:rFonts w:ascii="Arial" w:hAnsi="Arial"/>
                      <w:sz w:val="20"/>
                      <w:szCs w:val="20"/>
                    </w:rPr>
                  </w:pPr>
                </w:p>
                <w:p w14:paraId="2DC4DB9B" w14:textId="77777777" w:rsidR="00B17545" w:rsidRPr="00116CE6" w:rsidRDefault="00B17545" w:rsidP="00A4345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42989D2" w14:textId="77777777" w:rsidR="00B17545" w:rsidRPr="00116CE6" w:rsidRDefault="00B17545" w:rsidP="00A43457">
                  <w:pPr>
                    <w:rPr>
                      <w:rFonts w:ascii="Arial" w:hAnsi="Arial"/>
                      <w:sz w:val="20"/>
                      <w:szCs w:val="20"/>
                    </w:rPr>
                  </w:pPr>
                </w:p>
              </w:tc>
            </w:tr>
            <w:tr w:rsidR="00B17545" w:rsidRPr="00116CE6" w14:paraId="65177307" w14:textId="77777777" w:rsidTr="00A43457">
              <w:tc>
                <w:tcPr>
                  <w:tcW w:w="6970" w:type="dxa"/>
                </w:tcPr>
                <w:p w14:paraId="265AE4AB" w14:textId="77777777" w:rsidR="00B17545" w:rsidRDefault="00B17545" w:rsidP="00A43457">
                  <w:pPr>
                    <w:rPr>
                      <w:rFonts w:ascii="Arial" w:hAnsi="Arial"/>
                      <w:sz w:val="20"/>
                      <w:szCs w:val="20"/>
                    </w:rPr>
                  </w:pPr>
                </w:p>
                <w:p w14:paraId="080336E3" w14:textId="77777777" w:rsidR="00B17545" w:rsidRPr="00022345" w:rsidRDefault="00B17545" w:rsidP="00A43457">
                  <w:pPr>
                    <w:rPr>
                      <w:rFonts w:ascii="Arial" w:hAnsi="Arial"/>
                      <w:b/>
                      <w:sz w:val="20"/>
                      <w:szCs w:val="20"/>
                    </w:rPr>
                  </w:pPr>
                  <w:r w:rsidRPr="00022345">
                    <w:rPr>
                      <w:rFonts w:ascii="Arial" w:hAnsi="Arial"/>
                      <w:b/>
                      <w:sz w:val="20"/>
                      <w:szCs w:val="20"/>
                    </w:rPr>
                    <w:t>Final Mark</w:t>
                  </w:r>
                </w:p>
                <w:p w14:paraId="7E5D4FDE" w14:textId="77777777" w:rsidR="00B17545" w:rsidRPr="00116CE6" w:rsidRDefault="00B17545" w:rsidP="00A43457">
                  <w:pPr>
                    <w:rPr>
                      <w:rFonts w:ascii="Arial" w:hAnsi="Arial"/>
                      <w:sz w:val="20"/>
                      <w:szCs w:val="20"/>
                    </w:rPr>
                  </w:pPr>
                </w:p>
              </w:tc>
              <w:tc>
                <w:tcPr>
                  <w:tcW w:w="1660" w:type="dxa"/>
                </w:tcPr>
                <w:p w14:paraId="5CCDFAB2" w14:textId="77777777" w:rsidR="00B17545" w:rsidRPr="00116CE6" w:rsidRDefault="00B17545" w:rsidP="00A43457">
                  <w:pPr>
                    <w:rPr>
                      <w:rFonts w:ascii="Arial" w:hAnsi="Arial"/>
                      <w:sz w:val="20"/>
                      <w:szCs w:val="20"/>
                    </w:rPr>
                  </w:pPr>
                </w:p>
              </w:tc>
            </w:tr>
          </w:tbl>
          <w:p w14:paraId="4FA4B0C1" w14:textId="77777777" w:rsidR="00B17545" w:rsidRDefault="00B17545" w:rsidP="00A43457">
            <w:pPr>
              <w:pStyle w:val="NormalWeb"/>
              <w:spacing w:before="0" w:beforeAutospacing="0" w:after="0" w:afterAutospacing="0"/>
              <w:ind w:left="142" w:right="34"/>
              <w:rPr>
                <w:rFonts w:ascii="Arial" w:hAnsi="Arial" w:cs="Arial"/>
                <w:b/>
                <w:sz w:val="22"/>
                <w:szCs w:val="22"/>
              </w:rPr>
            </w:pPr>
          </w:p>
          <w:p w14:paraId="7C1DB473" w14:textId="77777777" w:rsidR="00B17545" w:rsidRPr="00230F35" w:rsidRDefault="00B17545" w:rsidP="00A4345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A0A5E7" w14:textId="77777777" w:rsidR="00B17545" w:rsidRDefault="00B17545" w:rsidP="00A43457">
            <w:pPr>
              <w:pStyle w:val="NormalWeb"/>
              <w:spacing w:before="0" w:beforeAutospacing="0" w:after="0" w:afterAutospacing="0"/>
              <w:rPr>
                <w:rFonts w:ascii="Arial" w:hAnsi="Arial" w:cs="Arial"/>
                <w:b/>
                <w:sz w:val="22"/>
                <w:szCs w:val="22"/>
              </w:rPr>
            </w:pPr>
          </w:p>
          <w:p w14:paraId="200947CA" w14:textId="77777777" w:rsidR="00B17545" w:rsidRDefault="00B17545" w:rsidP="00A43457">
            <w:pPr>
              <w:pStyle w:val="NormalWeb"/>
              <w:spacing w:before="0" w:beforeAutospacing="0" w:after="0" w:afterAutospacing="0"/>
              <w:rPr>
                <w:rFonts w:ascii="Arial" w:hAnsi="Arial" w:cs="Arial"/>
                <w:b/>
                <w:sz w:val="22"/>
                <w:szCs w:val="22"/>
              </w:rPr>
            </w:pPr>
          </w:p>
          <w:p w14:paraId="1F13E50E" w14:textId="77777777" w:rsidR="00B17545" w:rsidRDefault="00B17545" w:rsidP="00A43457">
            <w:pPr>
              <w:pStyle w:val="NormalWeb"/>
              <w:spacing w:before="0" w:beforeAutospacing="0" w:after="0" w:afterAutospacing="0"/>
              <w:rPr>
                <w:rFonts w:ascii="Arial" w:hAnsi="Arial" w:cs="Arial"/>
                <w:b/>
                <w:sz w:val="22"/>
                <w:szCs w:val="22"/>
              </w:rPr>
            </w:pPr>
          </w:p>
          <w:p w14:paraId="5947074D" w14:textId="77777777" w:rsidR="00B17545" w:rsidRDefault="00B17545" w:rsidP="00A43457">
            <w:pPr>
              <w:pStyle w:val="NormalWeb"/>
              <w:spacing w:before="0" w:beforeAutospacing="0" w:after="0" w:afterAutospacing="0"/>
              <w:rPr>
                <w:rFonts w:ascii="Arial" w:hAnsi="Arial" w:cs="Arial"/>
                <w:b/>
                <w:sz w:val="22"/>
                <w:szCs w:val="22"/>
              </w:rPr>
            </w:pPr>
          </w:p>
          <w:p w14:paraId="14EFFE2D" w14:textId="77777777" w:rsidR="00B17545" w:rsidRPr="00230F35" w:rsidRDefault="00B17545" w:rsidP="00A4345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5F6B8B9" w14:textId="77777777" w:rsidR="00B17545" w:rsidRDefault="00B17545" w:rsidP="00A4345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51969C5" w14:textId="77777777" w:rsidR="00B17545" w:rsidRPr="00001C3B" w:rsidRDefault="00B17545" w:rsidP="00A43457">
            <w:pPr>
              <w:pStyle w:val="NormalWeb"/>
              <w:rPr>
                <w:rFonts w:ascii="Arial" w:hAnsi="Arial" w:cs="Arial"/>
                <w:sz w:val="22"/>
                <w:szCs w:val="22"/>
              </w:rPr>
            </w:pPr>
          </w:p>
        </w:tc>
      </w:tr>
      <w:tr w:rsidR="00B17545" w:rsidRPr="00230F35" w14:paraId="794183FB" w14:textId="77777777" w:rsidTr="00A43457">
        <w:trPr>
          <w:trHeight w:val="492"/>
        </w:trPr>
        <w:tc>
          <w:tcPr>
            <w:tcW w:w="6768" w:type="dxa"/>
            <w:gridSpan w:val="3"/>
          </w:tcPr>
          <w:p w14:paraId="52186D3B" w14:textId="77777777" w:rsidR="00B17545" w:rsidRPr="00230F35" w:rsidRDefault="00B17545" w:rsidP="00A4345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E233F56" w14:textId="77777777" w:rsidR="00B17545" w:rsidRPr="00230F35" w:rsidRDefault="00B17545" w:rsidP="00A4345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17545" w:rsidRPr="002F467C" w14:paraId="0CAF4BC1" w14:textId="77777777" w:rsidTr="00A43457">
        <w:tc>
          <w:tcPr>
            <w:tcW w:w="8856" w:type="dxa"/>
            <w:gridSpan w:val="5"/>
          </w:tcPr>
          <w:p w14:paraId="617127CC" w14:textId="77777777" w:rsidR="00B17545" w:rsidRPr="00230F35" w:rsidRDefault="00B17545" w:rsidP="00A43457">
            <w:pPr>
              <w:pStyle w:val="NormalWeb"/>
              <w:spacing w:before="0" w:beforeAutospacing="0" w:after="0" w:afterAutospacing="0"/>
              <w:ind w:right="-334"/>
              <w:rPr>
                <w:rFonts w:ascii="Arial" w:hAnsi="Arial" w:cs="Arial"/>
                <w:bCs/>
                <w:i/>
                <w:sz w:val="22"/>
                <w:szCs w:val="22"/>
              </w:rPr>
            </w:pPr>
          </w:p>
          <w:p w14:paraId="4D10A170" w14:textId="77777777" w:rsidR="00B17545" w:rsidRPr="00230F35" w:rsidRDefault="00B17545" w:rsidP="00A4345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20E27D9" w14:textId="77777777" w:rsidR="00B17545" w:rsidRPr="00230F35" w:rsidRDefault="00B17545" w:rsidP="00A43457">
            <w:pPr>
              <w:pStyle w:val="NormalWeb"/>
              <w:spacing w:before="0" w:beforeAutospacing="0" w:after="0" w:afterAutospacing="0"/>
              <w:ind w:right="-334"/>
              <w:rPr>
                <w:rFonts w:ascii="Arial" w:hAnsi="Arial" w:cs="Arial"/>
                <w:b/>
                <w:bCs/>
                <w:sz w:val="22"/>
                <w:szCs w:val="22"/>
              </w:rPr>
            </w:pPr>
          </w:p>
          <w:p w14:paraId="441B615C"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72E2BB"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p w14:paraId="777117BE"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p w14:paraId="48A8BEDF"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tc>
      </w:tr>
      <w:tr w:rsidR="00B17545" w:rsidRPr="002F467C" w14:paraId="1955C44B" w14:textId="77777777" w:rsidTr="00A43457">
        <w:trPr>
          <w:trHeight w:val="720"/>
        </w:trPr>
        <w:tc>
          <w:tcPr>
            <w:tcW w:w="5211" w:type="dxa"/>
            <w:gridSpan w:val="2"/>
          </w:tcPr>
          <w:p w14:paraId="3BF9DD51"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BAC3AB9"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17545" w:rsidRPr="002F467C" w14:paraId="165147ED" w14:textId="77777777" w:rsidTr="00A43457">
        <w:trPr>
          <w:trHeight w:val="720"/>
        </w:trPr>
        <w:tc>
          <w:tcPr>
            <w:tcW w:w="8856" w:type="dxa"/>
            <w:gridSpan w:val="5"/>
          </w:tcPr>
          <w:p w14:paraId="0A58391B" w14:textId="77777777" w:rsidR="00B17545" w:rsidRPr="006367FD" w:rsidRDefault="00B17545" w:rsidP="00A43457">
            <w:pPr>
              <w:rPr>
                <w:rFonts w:ascii="Arial" w:hAnsi="Arial" w:cs="Arial"/>
                <w:b/>
                <w:sz w:val="22"/>
                <w:szCs w:val="22"/>
              </w:rPr>
            </w:pPr>
            <w:r w:rsidRPr="006367FD">
              <w:rPr>
                <w:rFonts w:ascii="Arial" w:hAnsi="Arial" w:cs="Arial"/>
                <w:b/>
                <w:sz w:val="22"/>
                <w:szCs w:val="22"/>
              </w:rPr>
              <w:t>AGREED INTERNAL MARK (where necessary):</w:t>
            </w:r>
          </w:p>
          <w:p w14:paraId="75937BB3" w14:textId="77777777" w:rsidR="00B17545" w:rsidRPr="006367FD" w:rsidRDefault="00B17545" w:rsidP="00A43457">
            <w:pPr>
              <w:rPr>
                <w:rFonts w:ascii="Arial" w:hAnsi="Arial" w:cs="Arial"/>
                <w:b/>
                <w:sz w:val="22"/>
                <w:szCs w:val="22"/>
              </w:rPr>
            </w:pPr>
          </w:p>
          <w:p w14:paraId="35FD7964" w14:textId="77777777" w:rsidR="00B17545" w:rsidRDefault="00B17545" w:rsidP="00A43457">
            <w:pPr>
              <w:rPr>
                <w:rFonts w:ascii="Arial" w:hAnsi="Arial" w:cs="Arial"/>
                <w:b/>
                <w:sz w:val="22"/>
                <w:szCs w:val="22"/>
              </w:rPr>
            </w:pPr>
            <w:r w:rsidRPr="006367FD">
              <w:rPr>
                <w:rFonts w:ascii="Arial" w:hAnsi="Arial" w:cs="Arial"/>
                <w:b/>
                <w:sz w:val="22"/>
                <w:szCs w:val="22"/>
              </w:rPr>
              <w:t>Comment on process of arriving at agreed mark:</w:t>
            </w:r>
          </w:p>
          <w:p w14:paraId="5826B271" w14:textId="77777777" w:rsidR="00B17545" w:rsidRDefault="00B17545" w:rsidP="00A43457">
            <w:pPr>
              <w:rPr>
                <w:rFonts w:ascii="Arial" w:hAnsi="Arial" w:cs="Arial"/>
                <w:b/>
                <w:sz w:val="22"/>
                <w:szCs w:val="22"/>
              </w:rPr>
            </w:pPr>
          </w:p>
          <w:p w14:paraId="5F986CF8" w14:textId="77777777" w:rsidR="00B17545" w:rsidRDefault="00B17545" w:rsidP="00A43457">
            <w:pPr>
              <w:rPr>
                <w:rFonts w:ascii="Arial" w:hAnsi="Arial" w:cs="Arial"/>
                <w:b/>
                <w:sz w:val="22"/>
                <w:szCs w:val="22"/>
              </w:rPr>
            </w:pPr>
          </w:p>
          <w:p w14:paraId="759950B7" w14:textId="77777777" w:rsidR="00B17545" w:rsidRDefault="00B17545" w:rsidP="00A43457">
            <w:pPr>
              <w:rPr>
                <w:rFonts w:ascii="Arial" w:hAnsi="Arial" w:cs="Arial"/>
                <w:b/>
                <w:sz w:val="22"/>
                <w:szCs w:val="22"/>
              </w:rPr>
            </w:pPr>
          </w:p>
          <w:p w14:paraId="15BA6888" w14:textId="77777777" w:rsidR="00B17545" w:rsidRDefault="00B17545" w:rsidP="00A43457">
            <w:pPr>
              <w:rPr>
                <w:rFonts w:ascii="Arial" w:hAnsi="Arial" w:cs="Arial"/>
                <w:b/>
                <w:sz w:val="22"/>
                <w:szCs w:val="22"/>
              </w:rPr>
            </w:pPr>
          </w:p>
          <w:p w14:paraId="2B48DA30" w14:textId="77777777" w:rsidR="00B17545" w:rsidRDefault="00B17545" w:rsidP="00A43457">
            <w:pPr>
              <w:rPr>
                <w:rFonts w:ascii="Arial" w:hAnsi="Arial" w:cs="Arial"/>
                <w:b/>
                <w:sz w:val="22"/>
                <w:szCs w:val="22"/>
              </w:rPr>
            </w:pPr>
          </w:p>
          <w:p w14:paraId="24E7206E" w14:textId="77777777" w:rsidR="00B17545" w:rsidRDefault="00B17545" w:rsidP="00A43457">
            <w:pPr>
              <w:rPr>
                <w:rFonts w:ascii="Arial" w:hAnsi="Arial" w:cs="Arial"/>
                <w:b/>
                <w:sz w:val="22"/>
                <w:szCs w:val="22"/>
              </w:rPr>
            </w:pPr>
          </w:p>
          <w:p w14:paraId="51D3F041" w14:textId="77777777" w:rsidR="00B17545" w:rsidRDefault="00B17545" w:rsidP="00A43457">
            <w:pPr>
              <w:rPr>
                <w:rFonts w:ascii="Arial" w:hAnsi="Arial" w:cs="Arial"/>
                <w:b/>
                <w:sz w:val="22"/>
                <w:szCs w:val="22"/>
              </w:rPr>
            </w:pPr>
          </w:p>
          <w:p w14:paraId="4AB4D4B7" w14:textId="77777777" w:rsidR="00B17545" w:rsidRPr="00B34964" w:rsidRDefault="00B17545" w:rsidP="00A43457">
            <w:pPr>
              <w:rPr>
                <w:rFonts w:ascii="Arial" w:hAnsi="Arial" w:cs="Arial"/>
                <w:b/>
                <w:sz w:val="22"/>
                <w:szCs w:val="22"/>
              </w:rPr>
            </w:pPr>
          </w:p>
        </w:tc>
      </w:tr>
      <w:tr w:rsidR="00B17545" w:rsidRPr="002F467C" w14:paraId="17900F2C" w14:textId="77777777" w:rsidTr="00A43457">
        <w:trPr>
          <w:trHeight w:val="720"/>
        </w:trPr>
        <w:tc>
          <w:tcPr>
            <w:tcW w:w="8856" w:type="dxa"/>
            <w:gridSpan w:val="5"/>
          </w:tcPr>
          <w:p w14:paraId="47410199" w14:textId="77777777" w:rsidR="00B17545" w:rsidRPr="00B34964" w:rsidRDefault="00B17545" w:rsidP="00A43457">
            <w:pPr>
              <w:rPr>
                <w:rFonts w:ascii="Arial" w:hAnsi="Arial" w:cs="Arial"/>
                <w:b/>
                <w:sz w:val="22"/>
                <w:szCs w:val="22"/>
              </w:rPr>
            </w:pPr>
            <w:r w:rsidRPr="00B34964">
              <w:rPr>
                <w:rFonts w:ascii="Arial" w:hAnsi="Arial" w:cs="Arial"/>
                <w:b/>
                <w:sz w:val="22"/>
                <w:szCs w:val="22"/>
              </w:rPr>
              <w:t>External Examiner’s comments (if relevant)</w:t>
            </w:r>
          </w:p>
          <w:p w14:paraId="23E734C2" w14:textId="77777777" w:rsidR="00B17545" w:rsidRDefault="00B17545" w:rsidP="00A43457">
            <w:pPr>
              <w:pStyle w:val="NormalWeb"/>
              <w:spacing w:before="0" w:beforeAutospacing="0" w:after="0" w:afterAutospacing="0"/>
              <w:ind w:right="-334"/>
              <w:rPr>
                <w:rFonts w:ascii="Arial" w:hAnsi="Arial" w:cs="Arial"/>
                <w:bCs/>
                <w:sz w:val="22"/>
                <w:szCs w:val="22"/>
              </w:rPr>
            </w:pPr>
          </w:p>
          <w:p w14:paraId="77DFB8B6" w14:textId="77777777" w:rsidR="00B17545" w:rsidRDefault="00B17545" w:rsidP="00A43457">
            <w:pPr>
              <w:pStyle w:val="NormalWeb"/>
              <w:spacing w:before="0" w:beforeAutospacing="0" w:after="0" w:afterAutospacing="0"/>
              <w:ind w:right="-334"/>
              <w:rPr>
                <w:rFonts w:ascii="Arial" w:hAnsi="Arial" w:cs="Arial"/>
                <w:bCs/>
                <w:sz w:val="22"/>
                <w:szCs w:val="22"/>
              </w:rPr>
            </w:pPr>
          </w:p>
          <w:p w14:paraId="5CBE0DD5" w14:textId="77777777" w:rsidR="00B17545" w:rsidRDefault="00B17545" w:rsidP="00A43457">
            <w:pPr>
              <w:pStyle w:val="NormalWeb"/>
              <w:spacing w:before="0" w:beforeAutospacing="0" w:after="0" w:afterAutospacing="0"/>
              <w:ind w:right="-334"/>
              <w:rPr>
                <w:rFonts w:ascii="Arial" w:hAnsi="Arial" w:cs="Arial"/>
                <w:bCs/>
                <w:sz w:val="22"/>
                <w:szCs w:val="22"/>
              </w:rPr>
            </w:pPr>
          </w:p>
          <w:p w14:paraId="02259DFE" w14:textId="77777777" w:rsidR="00B17545" w:rsidRDefault="00B17545" w:rsidP="00A43457">
            <w:pPr>
              <w:pStyle w:val="NormalWeb"/>
              <w:spacing w:before="0" w:beforeAutospacing="0" w:after="0" w:afterAutospacing="0"/>
              <w:ind w:right="-334"/>
              <w:rPr>
                <w:rFonts w:ascii="Arial" w:hAnsi="Arial" w:cs="Arial"/>
                <w:bCs/>
                <w:sz w:val="22"/>
                <w:szCs w:val="22"/>
              </w:rPr>
            </w:pPr>
          </w:p>
          <w:p w14:paraId="782AC52E"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p w14:paraId="1BDB607D"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p w14:paraId="4A115FAB" w14:textId="77777777" w:rsidR="00B17545" w:rsidRPr="00230F35" w:rsidRDefault="00B17545" w:rsidP="00A43457">
            <w:pPr>
              <w:pStyle w:val="NormalWeb"/>
              <w:spacing w:before="0" w:beforeAutospacing="0" w:after="0" w:afterAutospacing="0"/>
              <w:ind w:right="-334"/>
              <w:rPr>
                <w:rFonts w:ascii="Arial" w:hAnsi="Arial" w:cs="Arial"/>
                <w:bCs/>
                <w:sz w:val="22"/>
                <w:szCs w:val="22"/>
              </w:rPr>
            </w:pPr>
          </w:p>
        </w:tc>
      </w:tr>
      <w:tr w:rsidR="00B17545" w:rsidRPr="002F467C" w14:paraId="71CF7DAD" w14:textId="77777777" w:rsidTr="00A43457">
        <w:trPr>
          <w:trHeight w:val="720"/>
        </w:trPr>
        <w:tc>
          <w:tcPr>
            <w:tcW w:w="5211" w:type="dxa"/>
            <w:gridSpan w:val="2"/>
          </w:tcPr>
          <w:p w14:paraId="0CA2BB9E" w14:textId="77777777" w:rsidR="00B17545" w:rsidRPr="00230F35" w:rsidRDefault="00B17545" w:rsidP="00A43457">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A044B74" w14:textId="77777777" w:rsidR="00B17545" w:rsidRPr="00230F35" w:rsidRDefault="00B17545" w:rsidP="00A43457">
            <w:pPr>
              <w:rPr>
                <w:rFonts w:ascii="Arial" w:hAnsi="Arial" w:cs="Arial"/>
                <w:sz w:val="22"/>
                <w:szCs w:val="22"/>
              </w:rPr>
            </w:pPr>
            <w:r w:rsidRPr="00230F35">
              <w:rPr>
                <w:rFonts w:ascii="Arial" w:hAnsi="Arial" w:cs="Arial"/>
                <w:sz w:val="22"/>
                <w:szCs w:val="22"/>
              </w:rPr>
              <w:t>Date:</w:t>
            </w:r>
          </w:p>
        </w:tc>
      </w:tr>
    </w:tbl>
    <w:p w14:paraId="40153C33" w14:textId="77777777" w:rsidR="00B17545" w:rsidRPr="00D67BF8" w:rsidRDefault="00B17545" w:rsidP="00B17545">
      <w:pPr>
        <w:pStyle w:val="NormalWeb"/>
        <w:spacing w:before="0" w:beforeAutospacing="0" w:after="0" w:afterAutospacing="0"/>
        <w:ind w:right="-334"/>
        <w:rPr>
          <w:rFonts w:ascii="Trebuchet MS" w:hAnsi="Trebuchet MS" w:cs="Tahoma"/>
          <w:bCs/>
          <w:sz w:val="24"/>
          <w:szCs w:val="24"/>
        </w:rPr>
      </w:pPr>
    </w:p>
    <w:p w14:paraId="6D060560" w14:textId="52486AD2" w:rsidR="00B17545" w:rsidRDefault="00B17545">
      <w:pPr>
        <w:rPr>
          <w:rFonts w:asciiTheme="majorHAnsi" w:eastAsiaTheme="majorEastAsia" w:hAnsiTheme="majorHAnsi" w:cstheme="majorBidi"/>
          <w:spacing w:val="-10"/>
          <w:kern w:val="28"/>
          <w:sz w:val="56"/>
          <w:szCs w:val="56"/>
          <w:lang w:val="en-GB"/>
        </w:rPr>
      </w:pPr>
      <w:r>
        <w:rPr>
          <w:lang w:val="en-GB"/>
        </w:rPr>
        <w:br w:type="page"/>
      </w:r>
    </w:p>
    <w:p w14:paraId="468F7EE1" w14:textId="1B092F49" w:rsidR="0002379D" w:rsidRPr="00191088" w:rsidRDefault="00191088" w:rsidP="00B17545">
      <w:pPr>
        <w:pStyle w:val="Title"/>
        <w:jc w:val="center"/>
        <w:rPr>
          <w:lang w:val="en-GB"/>
        </w:rPr>
      </w:pPr>
      <w:r w:rsidRPr="00191088">
        <w:rPr>
          <w:lang w:val="en-GB"/>
        </w:rPr>
        <w:lastRenderedPageBreak/>
        <w:t>Analyse</w:t>
      </w:r>
      <w:r w:rsidR="0002379D" w:rsidRPr="00191088">
        <w:rPr>
          <w:lang w:val="en-GB"/>
        </w:rPr>
        <w:t xml:space="preserve"> the connections between theurgy, philosophy and magic.</w:t>
      </w:r>
    </w:p>
    <w:p w14:paraId="3BAB6CCD" w14:textId="77777777" w:rsidR="0002379D" w:rsidRPr="00191088" w:rsidRDefault="0002379D">
      <w:pPr>
        <w:rPr>
          <w:lang w:val="en-GB"/>
        </w:rPr>
      </w:pPr>
    </w:p>
    <w:p w14:paraId="636A0DDA" w14:textId="77777777" w:rsidR="00E651AE" w:rsidRDefault="00E651AE">
      <w:pPr>
        <w:rPr>
          <w:lang w:val="en-GB"/>
        </w:rPr>
      </w:pPr>
    </w:p>
    <w:p w14:paraId="75B254EE" w14:textId="72DE7F4C" w:rsidR="00FC443B" w:rsidRDefault="00191088">
      <w:pPr>
        <w:rPr>
          <w:lang w:val="en-GB"/>
        </w:rPr>
      </w:pPr>
      <w:r w:rsidRPr="00191088">
        <w:rPr>
          <w:lang w:val="en-GB"/>
        </w:rPr>
        <w:t xml:space="preserve">This paper intends </w:t>
      </w:r>
      <w:r>
        <w:rPr>
          <w:lang w:val="en-GB"/>
        </w:rPr>
        <w:t xml:space="preserve">to analyse the complex </w:t>
      </w:r>
      <w:r w:rsidR="00CD69A1">
        <w:rPr>
          <w:lang w:val="en-GB"/>
        </w:rPr>
        <w:t>intersections</w:t>
      </w:r>
      <w:r>
        <w:rPr>
          <w:lang w:val="en-GB"/>
        </w:rPr>
        <w:t xml:space="preserve"> between theurgy, philosophy and magic in the ancient Graeco-Roman</w:t>
      </w:r>
      <w:r w:rsidR="000564AD">
        <w:rPr>
          <w:lang w:val="en-GB"/>
        </w:rPr>
        <w:t xml:space="preserve"> </w:t>
      </w:r>
      <w:r>
        <w:rPr>
          <w:lang w:val="en-GB"/>
        </w:rPr>
        <w:t>World</w:t>
      </w:r>
      <w:r w:rsidR="00262259">
        <w:rPr>
          <w:lang w:val="en-GB"/>
        </w:rPr>
        <w:t xml:space="preserve">, </w:t>
      </w:r>
      <w:r w:rsidR="00CD69A1">
        <w:rPr>
          <w:lang w:val="en-GB"/>
        </w:rPr>
        <w:t xml:space="preserve">first </w:t>
      </w:r>
      <w:r w:rsidR="00262259">
        <w:rPr>
          <w:lang w:val="en-GB"/>
        </w:rPr>
        <w:t xml:space="preserve">providing evidence to the existence of the forementioned connections and </w:t>
      </w:r>
      <w:r w:rsidR="00CD69A1">
        <w:rPr>
          <w:lang w:val="en-GB"/>
        </w:rPr>
        <w:t xml:space="preserve">secondly </w:t>
      </w:r>
      <w:r>
        <w:rPr>
          <w:lang w:val="en-GB"/>
        </w:rPr>
        <w:t>identify</w:t>
      </w:r>
      <w:r w:rsidR="00262259">
        <w:rPr>
          <w:lang w:val="en-GB"/>
        </w:rPr>
        <w:t>ing</w:t>
      </w:r>
      <w:r>
        <w:rPr>
          <w:lang w:val="en-GB"/>
        </w:rPr>
        <w:t xml:space="preserve"> the most important areas </w:t>
      </w:r>
      <w:r w:rsidR="0064558A">
        <w:rPr>
          <w:lang w:val="en-GB"/>
        </w:rPr>
        <w:t>where those connections are</w:t>
      </w:r>
      <w:r>
        <w:rPr>
          <w:lang w:val="en-GB"/>
        </w:rPr>
        <w:t>.</w:t>
      </w:r>
      <w:r w:rsidR="00C40615">
        <w:rPr>
          <w:lang w:val="en-GB"/>
        </w:rPr>
        <w:t xml:space="preserve"> </w:t>
      </w:r>
      <w:r w:rsidR="00FC443B">
        <w:rPr>
          <w:lang w:val="en-GB"/>
        </w:rPr>
        <w:t xml:space="preserve">When attempting to examine these </w:t>
      </w:r>
      <w:r w:rsidR="0064558A">
        <w:rPr>
          <w:lang w:val="en-GB"/>
        </w:rPr>
        <w:t>points of contact</w:t>
      </w:r>
      <w:r w:rsidR="00FC443B">
        <w:rPr>
          <w:lang w:val="en-GB"/>
        </w:rPr>
        <w:t xml:space="preserve">, </w:t>
      </w:r>
      <w:r w:rsidR="00262259">
        <w:rPr>
          <w:lang w:val="en-GB"/>
        </w:rPr>
        <w:t>scholar</w:t>
      </w:r>
      <w:r w:rsidR="00CD69A1">
        <w:rPr>
          <w:lang w:val="en-GB"/>
        </w:rPr>
        <w:t>s</w:t>
      </w:r>
      <w:r w:rsidR="00262259">
        <w:rPr>
          <w:lang w:val="en-GB"/>
        </w:rPr>
        <w:t xml:space="preserve"> </w:t>
      </w:r>
      <w:r w:rsidR="00CD69A1">
        <w:rPr>
          <w:lang w:val="en-GB"/>
        </w:rPr>
        <w:t>are</w:t>
      </w:r>
      <w:r w:rsidR="00FC443B">
        <w:rPr>
          <w:lang w:val="en-GB"/>
        </w:rPr>
        <w:t xml:space="preserve"> faced </w:t>
      </w:r>
      <w:r w:rsidR="004342A1">
        <w:rPr>
          <w:lang w:val="en-GB"/>
        </w:rPr>
        <w:t>with endless</w:t>
      </w:r>
      <w:r w:rsidR="00FC443B">
        <w:rPr>
          <w:lang w:val="en-GB"/>
        </w:rPr>
        <w:t xml:space="preserve"> layers of complexity.</w:t>
      </w:r>
      <w:r w:rsidR="0064558A">
        <w:rPr>
          <w:lang w:val="en-GB"/>
        </w:rPr>
        <w:t xml:space="preserve"> </w:t>
      </w:r>
      <w:r w:rsidR="009B50A1">
        <w:rPr>
          <w:lang w:val="en-GB"/>
        </w:rPr>
        <w:t>The</w:t>
      </w:r>
      <w:r w:rsidR="00322767">
        <w:rPr>
          <w:lang w:val="en-GB"/>
        </w:rPr>
        <w:t xml:space="preserve"> c</w:t>
      </w:r>
      <w:r w:rsidR="00C40615">
        <w:rPr>
          <w:lang w:val="en-GB"/>
        </w:rPr>
        <w:t xml:space="preserve">ategories available for the investigation </w:t>
      </w:r>
      <w:r w:rsidR="00322767">
        <w:rPr>
          <w:lang w:val="en-GB"/>
        </w:rPr>
        <w:t>are often</w:t>
      </w:r>
      <w:r w:rsidR="0040403E">
        <w:rPr>
          <w:lang w:val="en-GB"/>
        </w:rPr>
        <w:t xml:space="preserve"> </w:t>
      </w:r>
      <w:r w:rsidR="00322767">
        <w:rPr>
          <w:lang w:val="en-GB"/>
        </w:rPr>
        <w:t xml:space="preserve">misleading, </w:t>
      </w:r>
      <w:r w:rsidR="00FC443B">
        <w:rPr>
          <w:lang w:val="en-GB"/>
        </w:rPr>
        <w:t xml:space="preserve">fuzzy, </w:t>
      </w:r>
      <w:r w:rsidR="00322767">
        <w:rPr>
          <w:lang w:val="en-GB"/>
        </w:rPr>
        <w:t xml:space="preserve">loaded with </w:t>
      </w:r>
      <w:r w:rsidR="00FC443B">
        <w:rPr>
          <w:lang w:val="en-GB"/>
        </w:rPr>
        <w:t>culturally biased assumption</w:t>
      </w:r>
      <w:r w:rsidR="0040403E">
        <w:rPr>
          <w:lang w:val="en-GB"/>
        </w:rPr>
        <w:t>s</w:t>
      </w:r>
      <w:r w:rsidR="00322767">
        <w:rPr>
          <w:lang w:val="en-GB"/>
        </w:rPr>
        <w:t xml:space="preserve">: </w:t>
      </w:r>
      <w:r w:rsidR="0040403E">
        <w:rPr>
          <w:lang w:val="en-GB"/>
        </w:rPr>
        <w:t xml:space="preserve">a real </w:t>
      </w:r>
      <w:r w:rsidR="00FC443B">
        <w:rPr>
          <w:lang w:val="en-GB"/>
        </w:rPr>
        <w:t>terminology</w:t>
      </w:r>
      <w:r w:rsidR="00CD69A1">
        <w:rPr>
          <w:lang w:val="en-GB"/>
        </w:rPr>
        <w:t>’s</w:t>
      </w:r>
      <w:r w:rsidR="00FC443B">
        <w:rPr>
          <w:lang w:val="en-GB"/>
        </w:rPr>
        <w:t xml:space="preserve"> Babylon</w:t>
      </w:r>
      <w:r w:rsidR="00322767">
        <w:rPr>
          <w:lang w:val="en-GB"/>
        </w:rPr>
        <w:t xml:space="preserve">. </w:t>
      </w:r>
      <w:r w:rsidR="009721C5">
        <w:rPr>
          <w:lang w:val="en-GB"/>
        </w:rPr>
        <w:t>Circumscribing</w:t>
      </w:r>
      <w:r w:rsidR="00C40615">
        <w:rPr>
          <w:lang w:val="en-GB"/>
        </w:rPr>
        <w:t xml:space="preserve"> the subject matter is consequently crucial. T</w:t>
      </w:r>
      <w:r w:rsidR="0064558A">
        <w:rPr>
          <w:lang w:val="en-GB"/>
        </w:rPr>
        <w:t xml:space="preserve">his </w:t>
      </w:r>
      <w:r w:rsidR="009721C5">
        <w:rPr>
          <w:lang w:val="en-GB"/>
        </w:rPr>
        <w:t>analysis</w:t>
      </w:r>
      <w:r w:rsidR="0064558A">
        <w:rPr>
          <w:lang w:val="en-GB"/>
        </w:rPr>
        <w:t xml:space="preserve"> </w:t>
      </w:r>
      <w:r w:rsidR="009721C5">
        <w:rPr>
          <w:lang w:val="en-GB"/>
        </w:rPr>
        <w:t>focuses on</w:t>
      </w:r>
      <w:r w:rsidR="00B61F72">
        <w:rPr>
          <w:lang w:val="en-GB"/>
        </w:rPr>
        <w:t xml:space="preserve"> l</w:t>
      </w:r>
      <w:r w:rsidR="009721C5">
        <w:rPr>
          <w:lang w:val="en-GB"/>
        </w:rPr>
        <w:t xml:space="preserve">ate </w:t>
      </w:r>
      <w:r w:rsidR="00B61F72">
        <w:rPr>
          <w:lang w:val="en-GB"/>
        </w:rPr>
        <w:t>a</w:t>
      </w:r>
      <w:r w:rsidR="009721C5">
        <w:rPr>
          <w:lang w:val="en-GB"/>
        </w:rPr>
        <w:t>ntiquity in</w:t>
      </w:r>
      <w:r w:rsidR="00F82B29">
        <w:rPr>
          <w:lang w:val="en-GB"/>
        </w:rPr>
        <w:t xml:space="preserve"> the G</w:t>
      </w:r>
      <w:r w:rsidR="00C324D4">
        <w:rPr>
          <w:lang w:val="en-GB"/>
        </w:rPr>
        <w:t>r</w:t>
      </w:r>
      <w:r w:rsidR="00F82B29">
        <w:rPr>
          <w:lang w:val="en-GB"/>
        </w:rPr>
        <w:t>a</w:t>
      </w:r>
      <w:r w:rsidR="00C324D4">
        <w:rPr>
          <w:lang w:val="en-GB"/>
        </w:rPr>
        <w:t>e</w:t>
      </w:r>
      <w:r w:rsidR="00C8777E">
        <w:rPr>
          <w:lang w:val="en-GB"/>
        </w:rPr>
        <w:t>c</w:t>
      </w:r>
      <w:r w:rsidR="00C324D4">
        <w:rPr>
          <w:lang w:val="en-GB"/>
        </w:rPr>
        <w:t>o</w:t>
      </w:r>
      <w:r w:rsidR="00F82B29">
        <w:rPr>
          <w:lang w:val="en-GB"/>
        </w:rPr>
        <w:t>-R</w:t>
      </w:r>
      <w:r w:rsidR="00C324D4">
        <w:rPr>
          <w:lang w:val="en-GB"/>
        </w:rPr>
        <w:t>oman</w:t>
      </w:r>
      <w:r w:rsidR="00F82B29">
        <w:rPr>
          <w:lang w:val="en-GB"/>
        </w:rPr>
        <w:t xml:space="preserve"> world</w:t>
      </w:r>
      <w:r w:rsidR="0064558A">
        <w:rPr>
          <w:rStyle w:val="FootnoteReference"/>
          <w:lang w:val="en-GB"/>
        </w:rPr>
        <w:footnoteReference w:id="1"/>
      </w:r>
      <w:r w:rsidR="008522FE">
        <w:rPr>
          <w:lang w:val="en-GB"/>
        </w:rPr>
        <w:t>.</w:t>
      </w:r>
      <w:r w:rsidR="00531A14">
        <w:rPr>
          <w:lang w:val="en-GB"/>
        </w:rPr>
        <w:t xml:space="preserve"> </w:t>
      </w:r>
      <w:r w:rsidR="00C40615">
        <w:rPr>
          <w:lang w:val="en-GB"/>
        </w:rPr>
        <w:t>I</w:t>
      </w:r>
      <w:r w:rsidR="0064558A">
        <w:rPr>
          <w:lang w:val="en-GB"/>
        </w:rPr>
        <w:t xml:space="preserve">t </w:t>
      </w:r>
      <w:r w:rsidR="004A15A3">
        <w:rPr>
          <w:lang w:val="en-GB"/>
        </w:rPr>
        <w:t xml:space="preserve">also </w:t>
      </w:r>
      <w:r w:rsidR="0079350A">
        <w:rPr>
          <w:lang w:val="en-GB"/>
        </w:rPr>
        <w:t>considers</w:t>
      </w:r>
      <w:r w:rsidR="00531A14">
        <w:rPr>
          <w:lang w:val="en-GB"/>
        </w:rPr>
        <w:t xml:space="preserve"> </w:t>
      </w:r>
      <w:r w:rsidR="00CD69A1">
        <w:rPr>
          <w:lang w:val="en-GB"/>
        </w:rPr>
        <w:t xml:space="preserve">religion and science, </w:t>
      </w:r>
      <w:r w:rsidR="00531A14">
        <w:rPr>
          <w:lang w:val="en-GB"/>
        </w:rPr>
        <w:t xml:space="preserve">which </w:t>
      </w:r>
      <w:r w:rsidR="0064558A">
        <w:rPr>
          <w:lang w:val="en-GB"/>
        </w:rPr>
        <w:t>are</w:t>
      </w:r>
      <w:r w:rsidR="00531A14">
        <w:rPr>
          <w:lang w:val="en-GB"/>
        </w:rPr>
        <w:t xml:space="preserve"> not part of this </w:t>
      </w:r>
      <w:r w:rsidR="0064558A">
        <w:rPr>
          <w:lang w:val="en-GB"/>
        </w:rPr>
        <w:t>study</w:t>
      </w:r>
      <w:r w:rsidR="00531A14">
        <w:rPr>
          <w:lang w:val="en-GB"/>
        </w:rPr>
        <w:t>, but whose presence and influence is simply unescapable</w:t>
      </w:r>
      <w:r w:rsidR="00CD69A1">
        <w:rPr>
          <w:lang w:val="en-GB"/>
        </w:rPr>
        <w:t>.</w:t>
      </w:r>
      <w:r w:rsidR="004D0169">
        <w:rPr>
          <w:lang w:val="en-GB"/>
        </w:rPr>
        <w:t xml:space="preserve"> </w:t>
      </w:r>
    </w:p>
    <w:p w14:paraId="7ABBB587" w14:textId="0E2FF881" w:rsidR="00531A14" w:rsidRDefault="00531A14">
      <w:pPr>
        <w:rPr>
          <w:lang w:val="en-GB"/>
        </w:rPr>
      </w:pPr>
    </w:p>
    <w:p w14:paraId="521106FD" w14:textId="0D0B0C67" w:rsidR="00105E17" w:rsidRDefault="00531A14" w:rsidP="00531A14">
      <w:pPr>
        <w:rPr>
          <w:lang w:val="en-GB"/>
        </w:rPr>
      </w:pPr>
      <w:r>
        <w:rPr>
          <w:lang w:val="en-GB"/>
        </w:rPr>
        <w:t xml:space="preserve">Scholars have </w:t>
      </w:r>
      <w:r w:rsidR="004A15A3">
        <w:rPr>
          <w:lang w:val="en-GB"/>
        </w:rPr>
        <w:t xml:space="preserve">long </w:t>
      </w:r>
      <w:r>
        <w:rPr>
          <w:lang w:val="en-GB"/>
        </w:rPr>
        <w:t xml:space="preserve">been discussing what is the best approach when researching areas where terminology can be an epistemological </w:t>
      </w:r>
      <w:r w:rsidR="00CD69A1">
        <w:rPr>
          <w:lang w:val="en-GB"/>
        </w:rPr>
        <w:t>black hole</w:t>
      </w:r>
      <w:r>
        <w:rPr>
          <w:lang w:val="en-GB"/>
        </w:rPr>
        <w:t xml:space="preserve"> </w:t>
      </w:r>
      <w:r w:rsidR="00826058">
        <w:rPr>
          <w:lang w:val="en-GB"/>
        </w:rPr>
        <w:t>and</w:t>
      </w:r>
      <w:r>
        <w:rPr>
          <w:lang w:val="en-GB"/>
        </w:rPr>
        <w:t xml:space="preserve"> the working concepts </w:t>
      </w:r>
      <w:r w:rsidR="002F5624">
        <w:rPr>
          <w:lang w:val="en-GB"/>
        </w:rPr>
        <w:t>used</w:t>
      </w:r>
      <w:r w:rsidR="004342A1">
        <w:rPr>
          <w:lang w:val="en-GB"/>
        </w:rPr>
        <w:t xml:space="preserve"> </w:t>
      </w:r>
      <w:r>
        <w:rPr>
          <w:lang w:val="en-GB"/>
        </w:rPr>
        <w:t>do no</w:t>
      </w:r>
      <w:r w:rsidR="008522FE">
        <w:rPr>
          <w:lang w:val="en-GB"/>
        </w:rPr>
        <w:t>t entirely correspond to</w:t>
      </w:r>
      <w:r>
        <w:rPr>
          <w:lang w:val="en-GB"/>
        </w:rPr>
        <w:t xml:space="preserve"> those analysed</w:t>
      </w:r>
      <w:r w:rsidR="00826058">
        <w:rPr>
          <w:lang w:val="en-GB"/>
        </w:rPr>
        <w:t>.</w:t>
      </w:r>
      <w:r>
        <w:rPr>
          <w:lang w:val="en-GB"/>
        </w:rPr>
        <w:t xml:space="preserve"> </w:t>
      </w:r>
      <w:r w:rsidR="004342A1">
        <w:rPr>
          <w:lang w:val="en-GB"/>
        </w:rPr>
        <w:t xml:space="preserve">There is a </w:t>
      </w:r>
      <w:r w:rsidR="00826058">
        <w:rPr>
          <w:lang w:val="en-GB"/>
        </w:rPr>
        <w:t>vast literature</w:t>
      </w:r>
      <w:r w:rsidR="007B7B03" w:rsidRPr="00996C79">
        <w:rPr>
          <w:rStyle w:val="FootnoteReference"/>
          <w:lang w:val="en-GB"/>
        </w:rPr>
        <w:footnoteReference w:id="2"/>
      </w:r>
      <w:r w:rsidR="00826058">
        <w:rPr>
          <w:lang w:val="en-GB"/>
        </w:rPr>
        <w:t xml:space="preserve"> discussing whether we should adopt an etic</w:t>
      </w:r>
      <w:r w:rsidR="00085DBF">
        <w:rPr>
          <w:rStyle w:val="FootnoteReference"/>
          <w:lang w:val="en-GB"/>
        </w:rPr>
        <w:footnoteReference w:id="3"/>
      </w:r>
      <w:r w:rsidR="00826058">
        <w:rPr>
          <w:lang w:val="en-GB"/>
        </w:rPr>
        <w:t xml:space="preserve"> </w:t>
      </w:r>
      <w:r w:rsidR="00596DA3">
        <w:rPr>
          <w:lang w:val="en-GB"/>
        </w:rPr>
        <w:t>or an emic</w:t>
      </w:r>
      <w:r w:rsidR="00596DA3">
        <w:rPr>
          <w:rStyle w:val="FootnoteReference"/>
          <w:lang w:val="en-GB"/>
        </w:rPr>
        <w:footnoteReference w:id="4"/>
      </w:r>
      <w:r w:rsidR="00596DA3">
        <w:rPr>
          <w:lang w:val="en-GB"/>
        </w:rPr>
        <w:t xml:space="preserve"> approach</w:t>
      </w:r>
      <w:r w:rsidR="004342A1">
        <w:rPr>
          <w:lang w:val="en-GB"/>
        </w:rPr>
        <w:t xml:space="preserve"> or</w:t>
      </w:r>
      <w:r w:rsidR="00871635">
        <w:rPr>
          <w:lang w:val="en-GB"/>
        </w:rPr>
        <w:t xml:space="preserve"> </w:t>
      </w:r>
      <w:r w:rsidR="004A15A3">
        <w:rPr>
          <w:lang w:val="en-GB"/>
        </w:rPr>
        <w:t xml:space="preserve">whether </w:t>
      </w:r>
      <w:r w:rsidR="00871635">
        <w:rPr>
          <w:lang w:val="en-GB"/>
        </w:rPr>
        <w:t>we</w:t>
      </w:r>
      <w:r w:rsidR="00826058">
        <w:rPr>
          <w:lang w:val="en-GB"/>
        </w:rPr>
        <w:t xml:space="preserve"> should abandon terms such as magic and religion altogether</w:t>
      </w:r>
      <w:r w:rsidR="00151BEC">
        <w:rPr>
          <w:rStyle w:val="FootnoteReference"/>
          <w:lang w:val="en-GB"/>
        </w:rPr>
        <w:footnoteReference w:id="5"/>
      </w:r>
      <w:r w:rsidR="00826058">
        <w:rPr>
          <w:lang w:val="en-GB"/>
        </w:rPr>
        <w:t xml:space="preserve"> </w:t>
      </w:r>
      <w:r w:rsidR="004A15A3">
        <w:rPr>
          <w:lang w:val="en-GB"/>
        </w:rPr>
        <w:t>to</w:t>
      </w:r>
      <w:r w:rsidR="00826058">
        <w:rPr>
          <w:lang w:val="en-GB"/>
        </w:rPr>
        <w:t xml:space="preserve"> find more neutral and less culturally loaded alternatives</w:t>
      </w:r>
      <w:r w:rsidR="0079350A">
        <w:rPr>
          <w:lang w:val="en-GB"/>
        </w:rPr>
        <w:t>. U</w:t>
      </w:r>
      <w:r w:rsidR="00E1422B">
        <w:rPr>
          <w:lang w:val="en-GB"/>
        </w:rPr>
        <w:t xml:space="preserve">nfortunately, </w:t>
      </w:r>
      <w:r w:rsidR="009B50A1">
        <w:rPr>
          <w:lang w:val="en-GB"/>
        </w:rPr>
        <w:t>the</w:t>
      </w:r>
      <w:r w:rsidR="00F47182">
        <w:rPr>
          <w:lang w:val="en-GB"/>
        </w:rPr>
        <w:t xml:space="preserve"> </w:t>
      </w:r>
      <w:r w:rsidR="009721C5">
        <w:rPr>
          <w:lang w:val="en-GB"/>
        </w:rPr>
        <w:t>latter</w:t>
      </w:r>
      <w:r w:rsidR="009B50A1">
        <w:rPr>
          <w:lang w:val="en-GB"/>
        </w:rPr>
        <w:t xml:space="preserve"> </w:t>
      </w:r>
      <w:r w:rsidR="0079350A">
        <w:rPr>
          <w:lang w:val="en-GB"/>
        </w:rPr>
        <w:t xml:space="preserve">has failed </w:t>
      </w:r>
      <w:r w:rsidR="00871635">
        <w:rPr>
          <w:lang w:val="en-GB"/>
        </w:rPr>
        <w:t>to</w:t>
      </w:r>
      <w:r w:rsidR="00826058" w:rsidRPr="00191088">
        <w:rPr>
          <w:lang w:val="en-GB"/>
        </w:rPr>
        <w:t xml:space="preserve"> offer valid </w:t>
      </w:r>
      <w:r w:rsidR="0079350A" w:rsidRPr="00191088">
        <w:rPr>
          <w:lang w:val="en-GB"/>
        </w:rPr>
        <w:t>substitutes</w:t>
      </w:r>
      <w:r w:rsidR="00871635">
        <w:rPr>
          <w:rStyle w:val="FootnoteReference"/>
          <w:lang w:val="en-GB"/>
        </w:rPr>
        <w:footnoteReference w:id="6"/>
      </w:r>
      <w:r w:rsidR="00D2663A">
        <w:rPr>
          <w:lang w:val="en-GB"/>
        </w:rPr>
        <w:t xml:space="preserve"> and the previous one</w:t>
      </w:r>
      <w:r w:rsidR="00FF1F86">
        <w:rPr>
          <w:lang w:val="en-GB"/>
        </w:rPr>
        <w:t>s</w:t>
      </w:r>
      <w:r w:rsidR="00D2663A">
        <w:rPr>
          <w:lang w:val="en-GB"/>
        </w:rPr>
        <w:t xml:space="preserve"> have </w:t>
      </w:r>
      <w:r w:rsidR="00FF1F86">
        <w:rPr>
          <w:lang w:val="en-GB"/>
        </w:rPr>
        <w:lastRenderedPageBreak/>
        <w:t xml:space="preserve">shown </w:t>
      </w:r>
      <w:r w:rsidR="00D2663A">
        <w:rPr>
          <w:lang w:val="en-GB"/>
        </w:rPr>
        <w:t xml:space="preserve">several </w:t>
      </w:r>
      <w:r w:rsidR="00FF1F86">
        <w:rPr>
          <w:lang w:val="en-GB"/>
        </w:rPr>
        <w:t>limitations</w:t>
      </w:r>
      <w:r w:rsidR="00D2663A">
        <w:rPr>
          <w:lang w:val="en-GB"/>
        </w:rPr>
        <w:t xml:space="preserve"> as well</w:t>
      </w:r>
      <w:r w:rsidR="00FF1F86">
        <w:rPr>
          <w:rStyle w:val="FootnoteReference"/>
          <w:lang w:val="en-GB"/>
        </w:rPr>
        <w:footnoteReference w:id="7"/>
      </w:r>
      <w:r w:rsidR="001D6279">
        <w:rPr>
          <w:lang w:val="en-GB"/>
        </w:rPr>
        <w:t>.</w:t>
      </w:r>
      <w:r w:rsidRPr="00191088">
        <w:rPr>
          <w:lang w:val="en-GB"/>
        </w:rPr>
        <w:t xml:space="preserve"> </w:t>
      </w:r>
      <w:r w:rsidR="00E1422B">
        <w:rPr>
          <w:lang w:val="en-GB"/>
        </w:rPr>
        <w:t>T</w:t>
      </w:r>
      <w:r w:rsidR="00770A74">
        <w:rPr>
          <w:lang w:val="en-GB"/>
        </w:rPr>
        <w:t>hese terms</w:t>
      </w:r>
      <w:r w:rsidR="00C324D4">
        <w:rPr>
          <w:rStyle w:val="FootnoteReference"/>
          <w:lang w:val="en-GB"/>
        </w:rPr>
        <w:footnoteReference w:id="8"/>
      </w:r>
      <w:r w:rsidR="00E1422B">
        <w:rPr>
          <w:lang w:val="en-GB"/>
        </w:rPr>
        <w:t xml:space="preserve">, however difficult to define, </w:t>
      </w:r>
      <w:r w:rsidR="00770A74">
        <w:rPr>
          <w:lang w:val="en-GB"/>
        </w:rPr>
        <w:t xml:space="preserve">are </w:t>
      </w:r>
      <w:r w:rsidR="00C00432">
        <w:rPr>
          <w:lang w:val="en-GB"/>
        </w:rPr>
        <w:t>native</w:t>
      </w:r>
      <w:r w:rsidR="00770A74">
        <w:rPr>
          <w:lang w:val="en-GB"/>
        </w:rPr>
        <w:t xml:space="preserve"> to the ancient discourse</w:t>
      </w:r>
      <w:r w:rsidR="001D6279">
        <w:rPr>
          <w:rStyle w:val="FootnoteReference"/>
          <w:lang w:val="en-GB"/>
        </w:rPr>
        <w:footnoteReference w:id="9"/>
      </w:r>
      <w:r w:rsidR="00770A74">
        <w:rPr>
          <w:lang w:val="en-GB"/>
        </w:rPr>
        <w:t xml:space="preserve"> and cannot be </w:t>
      </w:r>
      <w:r w:rsidR="00042FFB">
        <w:rPr>
          <w:lang w:val="en-GB"/>
        </w:rPr>
        <w:t xml:space="preserve">simply </w:t>
      </w:r>
      <w:r w:rsidR="00770A74">
        <w:rPr>
          <w:lang w:val="en-GB"/>
        </w:rPr>
        <w:t>wiped out, ignored or substituted</w:t>
      </w:r>
      <w:r w:rsidR="00090616">
        <w:rPr>
          <w:lang w:val="en-GB"/>
        </w:rPr>
        <w:t xml:space="preserve">. </w:t>
      </w:r>
      <w:r w:rsidR="0085752D">
        <w:rPr>
          <w:lang w:val="en-GB"/>
        </w:rPr>
        <w:t>This paper</w:t>
      </w:r>
      <w:r w:rsidR="00770A74">
        <w:rPr>
          <w:lang w:val="en-GB"/>
        </w:rPr>
        <w:t xml:space="preserve"> therefore opts for the historicization of the</w:t>
      </w:r>
      <w:r w:rsidR="009B50A1">
        <w:rPr>
          <w:lang w:val="en-GB"/>
        </w:rPr>
        <w:t>se</w:t>
      </w:r>
      <w:r w:rsidR="00770A74">
        <w:rPr>
          <w:lang w:val="en-GB"/>
        </w:rPr>
        <w:t xml:space="preserve"> concepts </w:t>
      </w:r>
      <w:r w:rsidR="009B50A1">
        <w:rPr>
          <w:lang w:val="en-GB"/>
        </w:rPr>
        <w:t xml:space="preserve">as </w:t>
      </w:r>
      <w:r w:rsidR="00090616">
        <w:rPr>
          <w:lang w:val="en-GB"/>
        </w:rPr>
        <w:t>proposed by Otto</w:t>
      </w:r>
      <w:r w:rsidR="00090616">
        <w:rPr>
          <w:rStyle w:val="FootnoteReference"/>
          <w:lang w:val="en-GB"/>
        </w:rPr>
        <w:footnoteReference w:id="10"/>
      </w:r>
      <w:r w:rsidR="00090616">
        <w:rPr>
          <w:lang w:val="en-GB"/>
        </w:rPr>
        <w:t xml:space="preserve">, </w:t>
      </w:r>
      <w:r w:rsidR="00770A74">
        <w:rPr>
          <w:lang w:val="en-GB"/>
        </w:rPr>
        <w:t xml:space="preserve">attempting to grasp their </w:t>
      </w:r>
      <w:r w:rsidR="003350CB">
        <w:rPr>
          <w:lang w:val="en-GB"/>
        </w:rPr>
        <w:t>meaning</w:t>
      </w:r>
      <w:r w:rsidR="00770A74">
        <w:rPr>
          <w:lang w:val="en-GB"/>
        </w:rPr>
        <w:t xml:space="preserve"> as </w:t>
      </w:r>
      <w:r w:rsidR="00090616">
        <w:rPr>
          <w:lang w:val="en-GB"/>
        </w:rPr>
        <w:t>understood</w:t>
      </w:r>
      <w:r w:rsidR="00770A74">
        <w:rPr>
          <w:lang w:val="en-GB"/>
        </w:rPr>
        <w:t xml:space="preserve"> by the people at the time</w:t>
      </w:r>
      <w:r w:rsidR="00090616">
        <w:rPr>
          <w:rStyle w:val="FootnoteReference"/>
          <w:lang w:val="en-GB"/>
        </w:rPr>
        <w:footnoteReference w:id="11"/>
      </w:r>
      <w:r w:rsidR="00770A74">
        <w:rPr>
          <w:lang w:val="en-GB"/>
        </w:rPr>
        <w:t xml:space="preserve">. </w:t>
      </w:r>
    </w:p>
    <w:p w14:paraId="69E61248" w14:textId="77777777" w:rsidR="00800E13" w:rsidRDefault="00800E13" w:rsidP="00531A14">
      <w:pPr>
        <w:rPr>
          <w:lang w:val="en-GB"/>
        </w:rPr>
      </w:pPr>
    </w:p>
    <w:p w14:paraId="5BBF0729" w14:textId="4E9DEE0B" w:rsidR="00105E17" w:rsidRDefault="004342A1" w:rsidP="005C4849">
      <w:pPr>
        <w:pStyle w:val="Heading1"/>
        <w:rPr>
          <w:lang w:val="en-GB"/>
        </w:rPr>
      </w:pPr>
      <w:r>
        <w:rPr>
          <w:lang w:val="en-GB"/>
        </w:rPr>
        <w:t>P</w:t>
      </w:r>
      <w:r w:rsidR="00105E17" w:rsidRPr="00105E17">
        <w:rPr>
          <w:lang w:val="en-GB"/>
        </w:rPr>
        <w:t>hilosophy, theurgy and magic</w:t>
      </w:r>
      <w:r w:rsidR="004A15A3">
        <w:rPr>
          <w:lang w:val="en-GB"/>
        </w:rPr>
        <w:t xml:space="preserve"> -</w:t>
      </w:r>
      <w:r w:rsidR="00684917">
        <w:rPr>
          <w:lang w:val="en-GB"/>
        </w:rPr>
        <w:t xml:space="preserve"> </w:t>
      </w:r>
      <w:r w:rsidR="00105E17" w:rsidRPr="00105E17">
        <w:rPr>
          <w:lang w:val="en-GB"/>
        </w:rPr>
        <w:t>a brief overview</w:t>
      </w:r>
    </w:p>
    <w:p w14:paraId="1E44C156" w14:textId="77777777" w:rsidR="005C4849" w:rsidRPr="005C4849" w:rsidRDefault="005C4849" w:rsidP="005C4849">
      <w:pPr>
        <w:rPr>
          <w:lang w:val="en-GB"/>
        </w:rPr>
      </w:pPr>
    </w:p>
    <w:p w14:paraId="7B620D09" w14:textId="5746C946" w:rsidR="001D30A1" w:rsidRDefault="00D766CE" w:rsidP="00105E17">
      <w:pPr>
        <w:rPr>
          <w:lang w:val="en-GB"/>
        </w:rPr>
      </w:pPr>
      <w:r>
        <w:rPr>
          <w:lang w:val="en-GB"/>
        </w:rPr>
        <w:t>To avoid succumbing to what Remus call</w:t>
      </w:r>
      <w:r w:rsidR="009721C5">
        <w:rPr>
          <w:lang w:val="en-GB"/>
        </w:rPr>
        <w:t>ed</w:t>
      </w:r>
      <w:r>
        <w:rPr>
          <w:lang w:val="en-GB"/>
        </w:rPr>
        <w:t xml:space="preserve"> a “tyranny of terminology”</w:t>
      </w:r>
      <w:r>
        <w:rPr>
          <w:rStyle w:val="FootnoteReference"/>
          <w:lang w:val="en-GB"/>
        </w:rPr>
        <w:footnoteReference w:id="12"/>
      </w:r>
      <w:r>
        <w:rPr>
          <w:lang w:val="en-GB"/>
        </w:rPr>
        <w:t>, i</w:t>
      </w:r>
      <w:r w:rsidR="00EA2AB8">
        <w:rPr>
          <w:lang w:val="en-GB"/>
        </w:rPr>
        <w:t>t</w:t>
      </w:r>
      <w:r w:rsidR="001D30A1">
        <w:rPr>
          <w:lang w:val="en-GB"/>
        </w:rPr>
        <w:t xml:space="preserve"> i</w:t>
      </w:r>
      <w:r w:rsidR="00EA2AB8">
        <w:rPr>
          <w:lang w:val="en-GB"/>
        </w:rPr>
        <w:t xml:space="preserve">s beneficial to </w:t>
      </w:r>
      <w:r w:rsidR="002F5624">
        <w:rPr>
          <w:lang w:val="en-GB"/>
        </w:rPr>
        <w:t xml:space="preserve">start </w:t>
      </w:r>
      <w:r w:rsidR="001D30A1">
        <w:rPr>
          <w:lang w:val="en-GB"/>
        </w:rPr>
        <w:t>outlin</w:t>
      </w:r>
      <w:r w:rsidR="002F5624">
        <w:rPr>
          <w:lang w:val="en-GB"/>
        </w:rPr>
        <w:t>ing</w:t>
      </w:r>
      <w:r w:rsidR="001D30A1">
        <w:rPr>
          <w:lang w:val="en-GB"/>
        </w:rPr>
        <w:t xml:space="preserve"> the terms of the discussion, even if only broadly and </w:t>
      </w:r>
      <w:r w:rsidR="002F5624">
        <w:rPr>
          <w:lang w:val="en-GB"/>
        </w:rPr>
        <w:t xml:space="preserve">certainly </w:t>
      </w:r>
      <w:r w:rsidR="001D30A1">
        <w:rPr>
          <w:lang w:val="en-GB"/>
        </w:rPr>
        <w:t>non-comprehensively</w:t>
      </w:r>
      <w:r w:rsidR="004A15A3">
        <w:rPr>
          <w:lang w:val="en-GB"/>
        </w:rPr>
        <w:t>, although</w:t>
      </w:r>
      <w:r w:rsidR="00E1422B">
        <w:rPr>
          <w:lang w:val="en-GB"/>
        </w:rPr>
        <w:t xml:space="preserve"> </w:t>
      </w:r>
      <w:r w:rsidR="004A15A3">
        <w:rPr>
          <w:lang w:val="en-GB"/>
        </w:rPr>
        <w:t>t</w:t>
      </w:r>
      <w:r w:rsidR="00E1422B">
        <w:rPr>
          <w:lang w:val="en-GB"/>
        </w:rPr>
        <w:t xml:space="preserve">here will be no attempt to reach conclusive definitions. As Fowler rightly pointed out, the issue is far too complex </w:t>
      </w:r>
      <w:r w:rsidR="00FF1F86">
        <w:rPr>
          <w:lang w:val="en-GB"/>
        </w:rPr>
        <w:t>and should</w:t>
      </w:r>
      <w:r w:rsidR="00E1422B">
        <w:rPr>
          <w:lang w:val="en-GB"/>
        </w:rPr>
        <w:t xml:space="preserve"> be the subject of a </w:t>
      </w:r>
      <w:r w:rsidR="0079350A">
        <w:rPr>
          <w:lang w:val="en-GB"/>
        </w:rPr>
        <w:t>dedicated study</w:t>
      </w:r>
      <w:r w:rsidR="00E1422B">
        <w:rPr>
          <w:lang w:val="en-GB"/>
        </w:rPr>
        <w:t xml:space="preserve"> </w:t>
      </w:r>
      <w:r w:rsidR="00FF1F86">
        <w:rPr>
          <w:lang w:val="en-GB"/>
        </w:rPr>
        <w:t>or</w:t>
      </w:r>
      <w:r w:rsidR="00E1422B">
        <w:rPr>
          <w:lang w:val="en-GB"/>
        </w:rPr>
        <w:t xml:space="preserve"> better </w:t>
      </w:r>
      <w:r w:rsidR="00101246">
        <w:rPr>
          <w:lang w:val="en-GB"/>
        </w:rPr>
        <w:t xml:space="preserve">be </w:t>
      </w:r>
      <w:r w:rsidR="00E1422B">
        <w:rPr>
          <w:lang w:val="en-GB"/>
        </w:rPr>
        <w:t xml:space="preserve">suspended in favour of a </w:t>
      </w:r>
      <w:r w:rsidR="0079350A">
        <w:rPr>
          <w:lang w:val="en-GB"/>
        </w:rPr>
        <w:t>dive</w:t>
      </w:r>
      <w:r w:rsidR="00E1422B">
        <w:rPr>
          <w:lang w:val="en-GB"/>
        </w:rPr>
        <w:t xml:space="preserve"> </w:t>
      </w:r>
      <w:r w:rsidR="00E1422B" w:rsidRPr="00E1422B">
        <w:rPr>
          <w:i/>
          <w:iCs/>
          <w:lang w:val="en-GB"/>
        </w:rPr>
        <w:t>in medias res</w:t>
      </w:r>
      <w:r w:rsidR="00E1422B">
        <w:rPr>
          <w:rStyle w:val="FootnoteReference"/>
          <w:i/>
          <w:iCs/>
          <w:lang w:val="en-GB"/>
        </w:rPr>
        <w:footnoteReference w:id="13"/>
      </w:r>
      <w:r w:rsidR="00E1422B">
        <w:rPr>
          <w:lang w:val="en-GB"/>
        </w:rPr>
        <w:t xml:space="preserve">. </w:t>
      </w:r>
    </w:p>
    <w:p w14:paraId="063D67D9" w14:textId="77777777" w:rsidR="001D30A1" w:rsidRDefault="001D30A1" w:rsidP="00105E17">
      <w:pPr>
        <w:rPr>
          <w:lang w:val="en-GB"/>
        </w:rPr>
      </w:pPr>
    </w:p>
    <w:p w14:paraId="01D35145" w14:textId="14F7633C" w:rsidR="00105E17" w:rsidRPr="00823F43" w:rsidRDefault="006464BA" w:rsidP="00105E17">
      <w:pPr>
        <w:rPr>
          <w:lang w:val="en-US"/>
        </w:rPr>
      </w:pPr>
      <w:r>
        <w:rPr>
          <w:lang w:val="en-GB"/>
        </w:rPr>
        <w:t>In</w:t>
      </w:r>
      <w:r w:rsidR="009721C5">
        <w:rPr>
          <w:lang w:val="en-GB"/>
        </w:rPr>
        <w:t xml:space="preserve"> ancient Greece, </w:t>
      </w:r>
      <w:r>
        <w:rPr>
          <w:lang w:val="en-GB"/>
        </w:rPr>
        <w:t xml:space="preserve">philosophy </w:t>
      </w:r>
      <w:r w:rsidR="00464263">
        <w:rPr>
          <w:lang w:val="en-GB"/>
        </w:rPr>
        <w:t>was</w:t>
      </w:r>
      <w:r w:rsidR="00105E17" w:rsidRPr="00191088">
        <w:rPr>
          <w:lang w:val="en-GB"/>
        </w:rPr>
        <w:t xml:space="preserve"> not a systematic theoretical explanation of the world, but </w:t>
      </w:r>
      <w:r w:rsidR="004342A1">
        <w:rPr>
          <w:lang w:val="en-GB"/>
        </w:rPr>
        <w:t>was,</w:t>
      </w:r>
      <w:r w:rsidR="00105E17" w:rsidRPr="00191088">
        <w:rPr>
          <w:lang w:val="en-GB"/>
        </w:rPr>
        <w:t xml:space="preserve"> above all an education towards a happy life”</w:t>
      </w:r>
      <w:r w:rsidR="007841C4">
        <w:rPr>
          <w:rStyle w:val="FootnoteReference"/>
          <w:lang w:val="en-GB"/>
        </w:rPr>
        <w:footnoteReference w:id="14"/>
      </w:r>
      <w:r w:rsidR="00E1422B">
        <w:rPr>
          <w:lang w:val="en-GB"/>
        </w:rPr>
        <w:t xml:space="preserve"> that for </w:t>
      </w:r>
      <w:r w:rsidR="00386EE4">
        <w:rPr>
          <w:lang w:val="en-GB"/>
        </w:rPr>
        <w:t>Platonist</w:t>
      </w:r>
      <w:r w:rsidR="009721C5">
        <w:rPr>
          <w:lang w:val="en-GB"/>
        </w:rPr>
        <w:t>s</w:t>
      </w:r>
      <w:r w:rsidR="00386EE4">
        <w:rPr>
          <w:lang w:val="en-GB"/>
        </w:rPr>
        <w:t xml:space="preserve"> and Neoplatonist</w:t>
      </w:r>
      <w:r w:rsidR="009721C5">
        <w:rPr>
          <w:lang w:val="en-GB"/>
        </w:rPr>
        <w:t>s</w:t>
      </w:r>
      <w:r w:rsidR="00CE2DE7">
        <w:rPr>
          <w:rStyle w:val="FootnoteReference"/>
          <w:lang w:val="en-GB"/>
        </w:rPr>
        <w:footnoteReference w:id="15"/>
      </w:r>
      <w:r w:rsidR="00E1422B">
        <w:rPr>
          <w:lang w:val="en-GB"/>
        </w:rPr>
        <w:t xml:space="preserve"> </w:t>
      </w:r>
      <w:r w:rsidR="00386EE4">
        <w:rPr>
          <w:lang w:val="en-GB"/>
        </w:rPr>
        <w:t xml:space="preserve">entailed a detachment from the </w:t>
      </w:r>
      <w:r w:rsidR="0079350A">
        <w:rPr>
          <w:lang w:val="en-GB"/>
        </w:rPr>
        <w:t>physical</w:t>
      </w:r>
      <w:r w:rsidR="00386EE4">
        <w:rPr>
          <w:lang w:val="en-GB"/>
        </w:rPr>
        <w:t xml:space="preserve"> </w:t>
      </w:r>
      <w:r w:rsidR="00464263">
        <w:rPr>
          <w:lang w:val="en-GB"/>
        </w:rPr>
        <w:t>world</w:t>
      </w:r>
      <w:r w:rsidR="00386EE4">
        <w:rPr>
          <w:lang w:val="en-GB"/>
        </w:rPr>
        <w:t xml:space="preserve"> and the ascension towards the noetic realm where the fallen immortal human soul could reunite with the divine principle from which it was generated. </w:t>
      </w:r>
      <w:r w:rsidR="007B7957">
        <w:rPr>
          <w:lang w:val="en-GB"/>
        </w:rPr>
        <w:t>It presented</w:t>
      </w:r>
      <w:r w:rsidR="00105E17">
        <w:rPr>
          <w:lang w:val="en-GB"/>
        </w:rPr>
        <w:t xml:space="preserve"> a strong practical, moral and spiritual component </w:t>
      </w:r>
      <w:r w:rsidR="007B7957">
        <w:rPr>
          <w:lang w:val="en-GB"/>
        </w:rPr>
        <w:t>and</w:t>
      </w:r>
      <w:r w:rsidR="00DF3B5E">
        <w:rPr>
          <w:lang w:val="en-GB"/>
        </w:rPr>
        <w:t xml:space="preserve"> a</w:t>
      </w:r>
      <w:r w:rsidR="007B7957">
        <w:rPr>
          <w:lang w:val="en-GB"/>
        </w:rPr>
        <w:t>n essential</w:t>
      </w:r>
      <w:r w:rsidR="00432CF8">
        <w:rPr>
          <w:lang w:val="en-GB"/>
        </w:rPr>
        <w:t xml:space="preserve"> soteriological purpose, </w:t>
      </w:r>
      <w:r w:rsidR="00105E17">
        <w:rPr>
          <w:lang w:val="en-GB"/>
        </w:rPr>
        <w:t>that</w:t>
      </w:r>
      <w:r w:rsidR="00DF3B5E">
        <w:rPr>
          <w:lang w:val="en-GB"/>
        </w:rPr>
        <w:t xml:space="preserve"> </w:t>
      </w:r>
      <w:r w:rsidR="00105E17">
        <w:rPr>
          <w:lang w:val="en-GB"/>
        </w:rPr>
        <w:t>ha</w:t>
      </w:r>
      <w:r w:rsidR="004342A1">
        <w:rPr>
          <w:lang w:val="en-GB"/>
        </w:rPr>
        <w:t>s</w:t>
      </w:r>
      <w:r w:rsidR="00105E17">
        <w:rPr>
          <w:lang w:val="en-GB"/>
        </w:rPr>
        <w:t xml:space="preserve"> been lost in the present understanding of the term philosophy</w:t>
      </w:r>
      <w:r w:rsidR="00DF3B5E">
        <w:rPr>
          <w:rStyle w:val="FootnoteReference"/>
          <w:lang w:val="en-GB"/>
        </w:rPr>
        <w:footnoteReference w:id="16"/>
      </w:r>
      <w:r w:rsidR="00105E17">
        <w:rPr>
          <w:lang w:val="en-GB"/>
        </w:rPr>
        <w:t>.</w:t>
      </w:r>
      <w:r w:rsidR="00386EE4">
        <w:rPr>
          <w:lang w:val="en-GB"/>
        </w:rPr>
        <w:t xml:space="preserve"> Knowledge </w:t>
      </w:r>
      <w:r w:rsidR="00464263">
        <w:rPr>
          <w:lang w:val="en-GB"/>
        </w:rPr>
        <w:t>was</w:t>
      </w:r>
      <w:r w:rsidR="002F5624">
        <w:rPr>
          <w:lang w:val="en-GB"/>
        </w:rPr>
        <w:t xml:space="preserve"> not</w:t>
      </w:r>
      <w:r w:rsidR="00386EE4">
        <w:rPr>
          <w:lang w:val="en-GB"/>
        </w:rPr>
        <w:t xml:space="preserve"> a self-sufficient pursuit, but a </w:t>
      </w:r>
      <w:r w:rsidR="00386EE4" w:rsidRPr="00D01EFA">
        <w:rPr>
          <w:lang w:val="en-GB"/>
        </w:rPr>
        <w:t>necessity for salvation</w:t>
      </w:r>
      <w:r w:rsidR="00D01EFA" w:rsidRPr="00D01EFA">
        <w:rPr>
          <w:rStyle w:val="FootnoteReference"/>
          <w:lang w:val="en-GB"/>
        </w:rPr>
        <w:footnoteReference w:id="17"/>
      </w:r>
      <w:r w:rsidR="00386EE4">
        <w:rPr>
          <w:lang w:val="en-GB"/>
        </w:rPr>
        <w:t xml:space="preserve">. </w:t>
      </w:r>
      <w:r w:rsidR="00464263" w:rsidRPr="00191088">
        <w:rPr>
          <w:lang w:val="en-GB"/>
        </w:rPr>
        <w:t xml:space="preserve">Philosophy in antiquity </w:t>
      </w:r>
      <w:r w:rsidR="00464263">
        <w:rPr>
          <w:lang w:val="en-GB"/>
        </w:rPr>
        <w:t>was</w:t>
      </w:r>
      <w:r w:rsidR="00464263" w:rsidRPr="00191088">
        <w:rPr>
          <w:lang w:val="en-GB"/>
        </w:rPr>
        <w:t xml:space="preserve"> a </w:t>
      </w:r>
      <w:r w:rsidR="00CF0234">
        <w:rPr>
          <w:lang w:val="en-GB"/>
        </w:rPr>
        <w:t>sort</w:t>
      </w:r>
      <w:r w:rsidR="00464263" w:rsidRPr="00191088">
        <w:rPr>
          <w:lang w:val="en-GB"/>
        </w:rPr>
        <w:t xml:space="preserve"> of </w:t>
      </w:r>
      <w:r w:rsidR="00CF0234" w:rsidRPr="00191088">
        <w:rPr>
          <w:lang w:val="en-GB"/>
        </w:rPr>
        <w:t>devout</w:t>
      </w:r>
      <w:r w:rsidR="00CF0234">
        <w:rPr>
          <w:lang w:val="en-GB"/>
        </w:rPr>
        <w:t xml:space="preserve"> life </w:t>
      </w:r>
      <w:r w:rsidR="00464263" w:rsidRPr="00191088">
        <w:rPr>
          <w:lang w:val="en-GB"/>
        </w:rPr>
        <w:t>that include</w:t>
      </w:r>
      <w:r w:rsidR="00CF0234">
        <w:rPr>
          <w:lang w:val="en-GB"/>
        </w:rPr>
        <w:t xml:space="preserve">d </w:t>
      </w:r>
      <w:r w:rsidR="00464263" w:rsidRPr="00191088">
        <w:rPr>
          <w:lang w:val="en-GB"/>
        </w:rPr>
        <w:t xml:space="preserve">a </w:t>
      </w:r>
      <w:r w:rsidR="00CF0234" w:rsidRPr="00191088">
        <w:rPr>
          <w:lang w:val="en-GB"/>
        </w:rPr>
        <w:t>specific</w:t>
      </w:r>
      <w:r w:rsidR="00464263" w:rsidRPr="00191088">
        <w:rPr>
          <w:lang w:val="en-GB"/>
        </w:rPr>
        <w:t xml:space="preserve"> mode of discourse</w:t>
      </w:r>
      <w:r w:rsidR="00D01EFA">
        <w:rPr>
          <w:lang w:val="en-GB"/>
        </w:rPr>
        <w:t>, as U</w:t>
      </w:r>
      <w:r w:rsidR="00D01EFA">
        <w:rPr>
          <w:rFonts w:ascii="Calibri" w:hAnsi="Calibri" w:cs="Calibri"/>
          <w:lang w:val="en-GB"/>
        </w:rPr>
        <w:t>ždavinys</w:t>
      </w:r>
      <w:r w:rsidR="00D01EFA">
        <w:rPr>
          <w:rStyle w:val="FootnoteReference"/>
          <w:lang w:val="en-GB"/>
        </w:rPr>
        <w:t xml:space="preserve"> </w:t>
      </w:r>
      <w:r w:rsidR="009721C5">
        <w:rPr>
          <w:lang w:val="en-GB"/>
        </w:rPr>
        <w:t xml:space="preserve">beautifully </w:t>
      </w:r>
      <w:r w:rsidR="00D01EFA">
        <w:rPr>
          <w:lang w:val="en-GB"/>
        </w:rPr>
        <w:t>phrased it</w:t>
      </w:r>
      <w:r w:rsidR="00DF3B5E">
        <w:rPr>
          <w:rStyle w:val="FootnoteReference"/>
          <w:lang w:val="en-GB"/>
        </w:rPr>
        <w:footnoteReference w:id="18"/>
      </w:r>
      <w:r w:rsidR="00464263" w:rsidRPr="00191088">
        <w:rPr>
          <w:lang w:val="en-GB"/>
        </w:rPr>
        <w:t>.</w:t>
      </w:r>
      <w:r w:rsidR="00CD730F">
        <w:rPr>
          <w:lang w:val="en-GB"/>
        </w:rPr>
        <w:t xml:space="preserve"> </w:t>
      </w:r>
    </w:p>
    <w:p w14:paraId="12B8BCA0" w14:textId="77777777" w:rsidR="00614BEA" w:rsidRDefault="00614BEA" w:rsidP="00105E17">
      <w:pPr>
        <w:rPr>
          <w:lang w:val="en-US"/>
        </w:rPr>
      </w:pPr>
    </w:p>
    <w:p w14:paraId="590A43A0" w14:textId="18DF59CE" w:rsidR="00386EE4" w:rsidRDefault="00105E17" w:rsidP="00105E17">
      <w:pPr>
        <w:rPr>
          <w:lang w:val="en-GB"/>
        </w:rPr>
      </w:pPr>
      <w:r>
        <w:rPr>
          <w:lang w:val="en-GB"/>
        </w:rPr>
        <w:lastRenderedPageBreak/>
        <w:t xml:space="preserve">Theurgy </w:t>
      </w:r>
      <w:r w:rsidR="00A1396D">
        <w:rPr>
          <w:lang w:val="en-GB"/>
        </w:rPr>
        <w:t>l</w:t>
      </w:r>
      <w:r w:rsidR="00A1396D">
        <w:rPr>
          <w:lang w:val="en-GB"/>
        </w:rPr>
        <w:t>iterally</w:t>
      </w:r>
      <w:r w:rsidR="00A1396D">
        <w:rPr>
          <w:lang w:val="en-GB"/>
        </w:rPr>
        <w:t xml:space="preserve"> </w:t>
      </w:r>
      <w:r>
        <w:rPr>
          <w:lang w:val="en-GB"/>
        </w:rPr>
        <w:t>means “</w:t>
      </w:r>
      <w:r w:rsidRPr="00105E17">
        <w:rPr>
          <w:lang w:val="en-GB"/>
        </w:rPr>
        <w:t>god-working</w:t>
      </w:r>
      <w:r>
        <w:rPr>
          <w:lang w:val="en-GB"/>
        </w:rPr>
        <w:t>”,</w:t>
      </w:r>
      <w:r w:rsidRPr="00105E17">
        <w:rPr>
          <w:lang w:val="en-GB"/>
        </w:rPr>
        <w:t xml:space="preserve"> “doing divine things”</w:t>
      </w:r>
      <w:r w:rsidR="00CD730F">
        <w:rPr>
          <w:rStyle w:val="FootnoteReference"/>
          <w:lang w:val="en-GB"/>
        </w:rPr>
        <w:footnoteReference w:id="19"/>
      </w:r>
      <w:r>
        <w:rPr>
          <w:lang w:val="en-GB"/>
        </w:rPr>
        <w:t>.</w:t>
      </w:r>
      <w:r w:rsidR="00015F8C">
        <w:rPr>
          <w:lang w:val="en-GB"/>
        </w:rPr>
        <w:t xml:space="preserve"> I</w:t>
      </w:r>
      <w:r w:rsidR="00CD730F">
        <w:rPr>
          <w:lang w:val="en-GB"/>
        </w:rPr>
        <w:t xml:space="preserve">n </w:t>
      </w:r>
      <w:r w:rsidR="00CD730F" w:rsidRPr="00CD730F">
        <w:rPr>
          <w:i/>
          <w:iCs/>
          <w:lang w:val="en-GB"/>
        </w:rPr>
        <w:t>Divination and Theurgy in Neoplatonism</w:t>
      </w:r>
      <w:r w:rsidR="00CD730F">
        <w:rPr>
          <w:lang w:val="en-GB"/>
        </w:rPr>
        <w:t xml:space="preserve">, </w:t>
      </w:r>
      <w:r w:rsidR="00015F8C">
        <w:rPr>
          <w:lang w:val="en-GB"/>
        </w:rPr>
        <w:t xml:space="preserve">Addey </w:t>
      </w:r>
      <w:r w:rsidR="00CF0234">
        <w:rPr>
          <w:lang w:val="en-GB"/>
        </w:rPr>
        <w:t>described</w:t>
      </w:r>
      <w:r w:rsidR="00CD730F">
        <w:rPr>
          <w:lang w:val="en-GB"/>
        </w:rPr>
        <w:t xml:space="preserve"> </w:t>
      </w:r>
      <w:r w:rsidR="00F210C3">
        <w:rPr>
          <w:lang w:val="en-GB"/>
        </w:rPr>
        <w:t>t</w:t>
      </w:r>
      <w:r w:rsidRPr="00105E17">
        <w:rPr>
          <w:lang w:val="en-GB"/>
        </w:rPr>
        <w:t xml:space="preserve">heurgy </w:t>
      </w:r>
      <w:r w:rsidR="00CF0234">
        <w:rPr>
          <w:lang w:val="en-GB"/>
        </w:rPr>
        <w:t xml:space="preserve">as </w:t>
      </w:r>
      <w:r w:rsidRPr="00105E17">
        <w:rPr>
          <w:lang w:val="en-GB"/>
        </w:rPr>
        <w:t>a way of lif</w:t>
      </w:r>
      <w:r w:rsidR="00F210C3">
        <w:rPr>
          <w:lang w:val="en-GB"/>
        </w:rPr>
        <w:t xml:space="preserve">e </w:t>
      </w:r>
      <w:r w:rsidR="0046069D">
        <w:rPr>
          <w:lang w:val="en-GB"/>
        </w:rPr>
        <w:t xml:space="preserve">that “had to </w:t>
      </w:r>
      <w:r w:rsidR="0046069D" w:rsidRPr="00105E17">
        <w:rPr>
          <w:lang w:val="en-GB"/>
        </w:rPr>
        <w:t>be experienced rather than just talked about</w:t>
      </w:r>
      <w:r w:rsidR="0046069D">
        <w:rPr>
          <w:lang w:val="en-GB"/>
        </w:rPr>
        <w:t>”</w:t>
      </w:r>
      <w:r w:rsidR="00D24A63">
        <w:rPr>
          <w:rStyle w:val="FootnoteReference"/>
          <w:lang w:val="en-GB"/>
        </w:rPr>
        <w:footnoteReference w:id="20"/>
      </w:r>
      <w:r w:rsidR="0046069D">
        <w:rPr>
          <w:lang w:val="en-GB"/>
        </w:rPr>
        <w:t xml:space="preserve"> and that was </w:t>
      </w:r>
      <w:r w:rsidR="00F210C3">
        <w:rPr>
          <w:lang w:val="en-GB"/>
        </w:rPr>
        <w:t xml:space="preserve">characterised by the cultivation of </w:t>
      </w:r>
      <w:r w:rsidR="009721C5">
        <w:rPr>
          <w:lang w:val="en-GB"/>
        </w:rPr>
        <w:t>moral</w:t>
      </w:r>
      <w:r w:rsidR="00F210C3">
        <w:rPr>
          <w:lang w:val="en-GB"/>
        </w:rPr>
        <w:t xml:space="preserve"> and intellectual capacities</w:t>
      </w:r>
      <w:r w:rsidR="009721C5">
        <w:rPr>
          <w:lang w:val="en-GB"/>
        </w:rPr>
        <w:t xml:space="preserve"> together with</w:t>
      </w:r>
      <w:r w:rsidR="00F210C3">
        <w:rPr>
          <w:lang w:val="en-GB"/>
        </w:rPr>
        <w:t xml:space="preserve"> the adoption of </w:t>
      </w:r>
      <w:r w:rsidRPr="00105E17">
        <w:rPr>
          <w:lang w:val="en-GB"/>
        </w:rPr>
        <w:t xml:space="preserve">a </w:t>
      </w:r>
      <w:r w:rsidR="00CF0234">
        <w:rPr>
          <w:lang w:val="en-GB"/>
        </w:rPr>
        <w:t>set</w:t>
      </w:r>
      <w:r w:rsidRPr="00105E17">
        <w:rPr>
          <w:lang w:val="en-GB"/>
        </w:rPr>
        <w:t xml:space="preserve"> of ritual practices</w:t>
      </w:r>
      <w:r w:rsidR="00F210C3">
        <w:rPr>
          <w:lang w:val="en-GB"/>
        </w:rPr>
        <w:t xml:space="preserve"> aimed to use </w:t>
      </w:r>
      <w:r w:rsidR="00F210C3" w:rsidRPr="00CF0234">
        <w:rPr>
          <w:lang w:val="en-GB"/>
        </w:rPr>
        <w:t>symbols</w:t>
      </w:r>
      <w:r w:rsidR="00F210C3">
        <w:rPr>
          <w:lang w:val="en-GB"/>
        </w:rPr>
        <w:t xml:space="preserve"> to reawaken the soul’s ontological connection with the gods</w:t>
      </w:r>
      <w:r w:rsidR="00CD730F">
        <w:rPr>
          <w:rStyle w:val="FootnoteReference"/>
          <w:lang w:val="en-GB"/>
        </w:rPr>
        <w:footnoteReference w:id="21"/>
      </w:r>
      <w:r w:rsidR="00CD730F">
        <w:rPr>
          <w:lang w:val="en-GB"/>
        </w:rPr>
        <w:t>.</w:t>
      </w:r>
      <w:r w:rsidRPr="00105E17">
        <w:rPr>
          <w:lang w:val="en-GB"/>
        </w:rPr>
        <w:t xml:space="preserve">  Iamblichus</w:t>
      </w:r>
      <w:r w:rsidR="00CD730F">
        <w:rPr>
          <w:lang w:val="en-GB"/>
        </w:rPr>
        <w:t xml:space="preserve">, </w:t>
      </w:r>
      <w:r w:rsidR="00592D95">
        <w:rPr>
          <w:lang w:val="en-GB"/>
        </w:rPr>
        <w:t>one of the most prominent theorists of theurgy,</w:t>
      </w:r>
      <w:r w:rsidR="00AA5D16">
        <w:rPr>
          <w:lang w:val="en-GB"/>
        </w:rPr>
        <w:t xml:space="preserve"> in his</w:t>
      </w:r>
      <w:r w:rsidR="00CD730F">
        <w:rPr>
          <w:lang w:val="en-GB"/>
        </w:rPr>
        <w:t xml:space="preserve"> </w:t>
      </w:r>
      <w:r w:rsidR="00AA5D16" w:rsidRPr="00AA5D16">
        <w:rPr>
          <w:i/>
          <w:iCs/>
          <w:lang w:val="en-GB"/>
        </w:rPr>
        <w:t>opus magna</w:t>
      </w:r>
      <w:r w:rsidR="00CD730F">
        <w:rPr>
          <w:lang w:val="en-GB"/>
        </w:rPr>
        <w:t xml:space="preserve"> known as </w:t>
      </w:r>
      <w:r w:rsidR="00CD730F" w:rsidRPr="00AA5D16">
        <w:rPr>
          <w:i/>
          <w:iCs/>
          <w:lang w:val="en-GB"/>
        </w:rPr>
        <w:t>De Mysteriis</w:t>
      </w:r>
      <w:r w:rsidR="00CD730F">
        <w:rPr>
          <w:lang w:val="en-GB"/>
        </w:rPr>
        <w:t>,</w:t>
      </w:r>
      <w:r w:rsidR="00F47182">
        <w:rPr>
          <w:lang w:val="en-GB"/>
        </w:rPr>
        <w:t xml:space="preserve"> </w:t>
      </w:r>
      <w:r w:rsidR="003C018E">
        <w:rPr>
          <w:lang w:val="en-GB"/>
        </w:rPr>
        <w:t>composed approximately between 280 and 305</w:t>
      </w:r>
      <w:r w:rsidR="003C018E">
        <w:rPr>
          <w:rStyle w:val="FootnoteReference"/>
          <w:lang w:val="en-GB"/>
        </w:rPr>
        <w:footnoteReference w:id="22"/>
      </w:r>
      <w:r w:rsidR="003C018E">
        <w:rPr>
          <w:lang w:val="en-GB"/>
        </w:rPr>
        <w:t xml:space="preserve">, </w:t>
      </w:r>
      <w:r w:rsidR="00F47182">
        <w:rPr>
          <w:lang w:val="en-GB"/>
        </w:rPr>
        <w:t>e</w:t>
      </w:r>
      <w:r w:rsidR="00D00E33">
        <w:rPr>
          <w:lang w:val="en-GB"/>
        </w:rPr>
        <w:t>xplained that philosophy deal</w:t>
      </w:r>
      <w:r w:rsidR="00F210C3">
        <w:rPr>
          <w:lang w:val="en-GB"/>
        </w:rPr>
        <w:t>t</w:t>
      </w:r>
      <w:r w:rsidR="00D00E33">
        <w:rPr>
          <w:lang w:val="en-GB"/>
        </w:rPr>
        <w:t xml:space="preserve"> with the secondary level of reality, where analysis and reasoning are well suited to capture the plurality and changeability of the material world</w:t>
      </w:r>
      <w:r w:rsidR="009721C5">
        <w:rPr>
          <w:rStyle w:val="FootnoteReference"/>
          <w:lang w:val="en-GB"/>
        </w:rPr>
        <w:footnoteReference w:id="23"/>
      </w:r>
      <w:r w:rsidR="00D00E33">
        <w:rPr>
          <w:lang w:val="en-GB"/>
        </w:rPr>
        <w:t>, while theurgy deal</w:t>
      </w:r>
      <w:r w:rsidR="00F210C3">
        <w:rPr>
          <w:lang w:val="en-GB"/>
        </w:rPr>
        <w:t>t</w:t>
      </w:r>
      <w:r w:rsidR="00D00E33">
        <w:rPr>
          <w:lang w:val="en-GB"/>
        </w:rPr>
        <w:t xml:space="preserve"> with the divine, the immutable and ineffab</w:t>
      </w:r>
      <w:r w:rsidR="00F210C3">
        <w:rPr>
          <w:lang w:val="en-GB"/>
        </w:rPr>
        <w:t>le</w:t>
      </w:r>
      <w:r w:rsidR="00D00E33">
        <w:rPr>
          <w:lang w:val="en-GB"/>
        </w:rPr>
        <w:t>,</w:t>
      </w:r>
      <w:r w:rsidR="00F210C3">
        <w:rPr>
          <w:lang w:val="en-GB"/>
        </w:rPr>
        <w:t xml:space="preserve"> beyond </w:t>
      </w:r>
      <w:r w:rsidR="00D00E33">
        <w:rPr>
          <w:lang w:val="en-GB"/>
        </w:rPr>
        <w:t>human knowledge</w:t>
      </w:r>
      <w:r w:rsidR="00D01EFA">
        <w:rPr>
          <w:rStyle w:val="FootnoteReference"/>
          <w:lang w:val="en-GB"/>
        </w:rPr>
        <w:footnoteReference w:id="24"/>
      </w:r>
      <w:r w:rsidR="00D00E33">
        <w:rPr>
          <w:lang w:val="en-GB"/>
        </w:rPr>
        <w:t xml:space="preserve">. </w:t>
      </w:r>
    </w:p>
    <w:p w14:paraId="5EF33D90" w14:textId="348D99DA" w:rsidR="00DA1AF1" w:rsidRDefault="00DA1AF1" w:rsidP="00105E17">
      <w:pPr>
        <w:rPr>
          <w:lang w:val="en-GB"/>
        </w:rPr>
      </w:pPr>
    </w:p>
    <w:p w14:paraId="51E74C96" w14:textId="7B1B9978" w:rsidR="00726ABD" w:rsidRDefault="00DA1AF1" w:rsidP="00726ABD">
      <w:pPr>
        <w:rPr>
          <w:lang w:val="en-GB"/>
        </w:rPr>
      </w:pPr>
      <w:r>
        <w:rPr>
          <w:lang w:val="en-GB"/>
        </w:rPr>
        <w:t>Magic is a Greek term of Persian origin</w:t>
      </w:r>
      <w:r w:rsidR="0010037F">
        <w:rPr>
          <w:rStyle w:val="FootnoteReference"/>
          <w:lang w:val="en-GB"/>
        </w:rPr>
        <w:footnoteReference w:id="25"/>
      </w:r>
      <w:r w:rsidR="009721C5">
        <w:rPr>
          <w:lang w:val="en-GB"/>
        </w:rPr>
        <w:t xml:space="preserve"> with a</w:t>
      </w:r>
      <w:r>
        <w:rPr>
          <w:lang w:val="en-GB"/>
        </w:rPr>
        <w:t xml:space="preserve"> complex semantic history</w:t>
      </w:r>
      <w:r w:rsidR="0010037F">
        <w:rPr>
          <w:lang w:val="en-GB"/>
        </w:rPr>
        <w:t xml:space="preserve"> which spans over 2,500 years</w:t>
      </w:r>
      <w:r>
        <w:rPr>
          <w:lang w:val="en-GB"/>
        </w:rPr>
        <w:t xml:space="preserve">, </w:t>
      </w:r>
      <w:r w:rsidR="002F5624">
        <w:rPr>
          <w:lang w:val="en-GB"/>
        </w:rPr>
        <w:t>presenting</w:t>
      </w:r>
      <w:r>
        <w:rPr>
          <w:lang w:val="en-GB"/>
        </w:rPr>
        <w:t xml:space="preserve"> a contradict</w:t>
      </w:r>
      <w:r w:rsidR="007B7957">
        <w:rPr>
          <w:lang w:val="en-GB"/>
        </w:rPr>
        <w:t>ory connotation</w:t>
      </w:r>
      <w:r>
        <w:rPr>
          <w:lang w:val="en-GB"/>
        </w:rPr>
        <w:t xml:space="preserve"> already in Antiquity</w:t>
      </w:r>
      <w:r w:rsidR="0010037F">
        <w:rPr>
          <w:rStyle w:val="FootnoteReference"/>
          <w:lang w:val="en-GB"/>
        </w:rPr>
        <w:footnoteReference w:id="26"/>
      </w:r>
      <w:r w:rsidR="007B7957">
        <w:rPr>
          <w:lang w:val="en-GB"/>
        </w:rPr>
        <w:t>. I</w:t>
      </w:r>
      <w:r>
        <w:rPr>
          <w:lang w:val="en-GB"/>
        </w:rPr>
        <w:t>t</w:t>
      </w:r>
      <w:r w:rsidR="007B7957">
        <w:rPr>
          <w:lang w:val="en-GB"/>
        </w:rPr>
        <w:t xml:space="preserve"> is </w:t>
      </w:r>
      <w:r w:rsidR="00614BEA">
        <w:rPr>
          <w:lang w:val="en-GB"/>
        </w:rPr>
        <w:t xml:space="preserve">probably </w:t>
      </w:r>
      <w:r>
        <w:rPr>
          <w:lang w:val="en-GB"/>
        </w:rPr>
        <w:t xml:space="preserve">the most challenging to </w:t>
      </w:r>
      <w:r w:rsidR="0043061B">
        <w:rPr>
          <w:lang w:val="en-GB"/>
        </w:rPr>
        <w:t>outline</w:t>
      </w:r>
      <w:r w:rsidR="00CF0234">
        <w:rPr>
          <w:lang w:val="en-GB"/>
        </w:rPr>
        <w:t xml:space="preserve">. </w:t>
      </w:r>
      <w:r w:rsidR="0088168C">
        <w:rPr>
          <w:lang w:val="en-GB"/>
        </w:rPr>
        <w:t>Murray and Rosalie Wax</w:t>
      </w:r>
      <w:r w:rsidR="00800E13">
        <w:rPr>
          <w:lang w:val="en-GB"/>
        </w:rPr>
        <w:t xml:space="preserve"> recogni</w:t>
      </w:r>
      <w:r w:rsidR="0046069D">
        <w:rPr>
          <w:lang w:val="en-GB"/>
        </w:rPr>
        <w:t>se</w:t>
      </w:r>
      <w:r w:rsidR="009721C5">
        <w:rPr>
          <w:lang w:val="en-GB"/>
        </w:rPr>
        <w:t>d</w:t>
      </w:r>
      <w:r w:rsidR="00800E13">
        <w:rPr>
          <w:lang w:val="en-GB"/>
        </w:rPr>
        <w:t xml:space="preserve"> </w:t>
      </w:r>
      <w:r w:rsidR="0088168C">
        <w:rPr>
          <w:lang w:val="en-GB"/>
        </w:rPr>
        <w:t>that the creation of magic as a category is the result of the use of the term, mainly polemically, for the distinction of the other</w:t>
      </w:r>
      <w:r w:rsidR="00614BEA">
        <w:rPr>
          <w:rStyle w:val="FootnoteReference"/>
          <w:lang w:val="en-GB"/>
        </w:rPr>
        <w:footnoteReference w:id="27"/>
      </w:r>
      <w:r w:rsidR="00614BEA">
        <w:rPr>
          <w:lang w:val="en-GB"/>
        </w:rPr>
        <w:t xml:space="preserve"> </w:t>
      </w:r>
      <w:r w:rsidR="0088168C">
        <w:rPr>
          <w:lang w:val="en-GB"/>
        </w:rPr>
        <w:t>or, self-referentially, for distancing oneself from mainstream spiritual or religious practice</w:t>
      </w:r>
      <w:r w:rsidR="0088168C">
        <w:rPr>
          <w:rStyle w:val="FootnoteReference"/>
          <w:lang w:val="en-GB"/>
        </w:rPr>
        <w:footnoteReference w:id="28"/>
      </w:r>
      <w:r w:rsidR="00D25636">
        <w:rPr>
          <w:lang w:val="en-GB"/>
        </w:rPr>
        <w:t xml:space="preserve">. </w:t>
      </w:r>
      <w:r w:rsidR="009721C5">
        <w:rPr>
          <w:lang w:val="en-GB"/>
        </w:rPr>
        <w:t>It is therefore often easier to explain what magic is not rather than what it is.</w:t>
      </w:r>
    </w:p>
    <w:p w14:paraId="1F3D471F" w14:textId="77777777" w:rsidR="00E71E5C" w:rsidRDefault="00E71E5C" w:rsidP="00726ABD">
      <w:pPr>
        <w:rPr>
          <w:lang w:val="en-GB"/>
        </w:rPr>
      </w:pPr>
    </w:p>
    <w:p w14:paraId="0A6A22F4" w14:textId="345C7B06" w:rsidR="006354CF" w:rsidRPr="00813051" w:rsidRDefault="00D63288" w:rsidP="006354CF">
      <w:pPr>
        <w:rPr>
          <w:lang w:val="en-GB"/>
        </w:rPr>
      </w:pPr>
      <w:r>
        <w:rPr>
          <w:lang w:val="en-GB"/>
        </w:rPr>
        <w:t xml:space="preserve">This essay attempts to move the focus </w:t>
      </w:r>
      <w:r w:rsidR="00443124">
        <w:rPr>
          <w:lang w:val="en-GB"/>
        </w:rPr>
        <w:t xml:space="preserve">away </w:t>
      </w:r>
      <w:r>
        <w:rPr>
          <w:lang w:val="en-GB"/>
        </w:rPr>
        <w:t>from</w:t>
      </w:r>
      <w:r w:rsidR="00DB2D96" w:rsidRPr="00191088">
        <w:rPr>
          <w:lang w:val="en-GB"/>
        </w:rPr>
        <w:t xml:space="preserve"> the </w:t>
      </w:r>
      <w:r w:rsidR="00DB2D96" w:rsidRPr="00D63288">
        <w:rPr>
          <w:i/>
          <w:iCs/>
          <w:lang w:val="en-GB"/>
        </w:rPr>
        <w:t>thesis of deviance</w:t>
      </w:r>
      <w:r>
        <w:rPr>
          <w:rStyle w:val="FootnoteReference"/>
          <w:i/>
          <w:iCs/>
          <w:lang w:val="en-GB"/>
        </w:rPr>
        <w:footnoteReference w:id="29"/>
      </w:r>
      <w:r w:rsidR="00FD424D">
        <w:rPr>
          <w:i/>
          <w:iCs/>
          <w:lang w:val="en-GB"/>
        </w:rPr>
        <w:t>,</w:t>
      </w:r>
      <w:r w:rsidR="00DB2D96" w:rsidRPr="00191088">
        <w:rPr>
          <w:lang w:val="en-GB"/>
        </w:rPr>
        <w:t xml:space="preserve"> which </w:t>
      </w:r>
      <w:r>
        <w:rPr>
          <w:lang w:val="en-GB"/>
        </w:rPr>
        <w:t>cease</w:t>
      </w:r>
      <w:r w:rsidR="000E5964">
        <w:rPr>
          <w:lang w:val="en-GB"/>
        </w:rPr>
        <w:t>s</w:t>
      </w:r>
      <w:r>
        <w:rPr>
          <w:lang w:val="en-GB"/>
        </w:rPr>
        <w:t xml:space="preserve"> to be useful when </w:t>
      </w:r>
      <w:r w:rsidR="007B7957">
        <w:rPr>
          <w:lang w:val="en-GB"/>
        </w:rPr>
        <w:t>studying</w:t>
      </w:r>
      <w:r>
        <w:rPr>
          <w:lang w:val="en-GB"/>
        </w:rPr>
        <w:t xml:space="preserve"> primary sources </w:t>
      </w:r>
      <w:r w:rsidR="00443124">
        <w:rPr>
          <w:lang w:val="en-GB"/>
        </w:rPr>
        <w:t xml:space="preserve">and </w:t>
      </w:r>
      <w:r w:rsidR="00015F8C">
        <w:rPr>
          <w:lang w:val="en-GB"/>
        </w:rPr>
        <w:t xml:space="preserve">tries </w:t>
      </w:r>
      <w:r w:rsidR="00443124">
        <w:rPr>
          <w:lang w:val="en-GB"/>
        </w:rPr>
        <w:t xml:space="preserve">to go beyond </w:t>
      </w:r>
      <w:r w:rsidR="00B5714A">
        <w:rPr>
          <w:lang w:val="en-GB"/>
        </w:rPr>
        <w:t>the</w:t>
      </w:r>
      <w:r w:rsidR="00443124">
        <w:rPr>
          <w:lang w:val="en-GB"/>
        </w:rPr>
        <w:t xml:space="preserve"> </w:t>
      </w:r>
      <w:r>
        <w:rPr>
          <w:lang w:val="en-GB"/>
        </w:rPr>
        <w:t xml:space="preserve">approach to magic </w:t>
      </w:r>
      <w:r w:rsidR="00DB2D96" w:rsidRPr="00191088">
        <w:rPr>
          <w:lang w:val="en-GB"/>
        </w:rPr>
        <w:t xml:space="preserve">as a </w:t>
      </w:r>
      <w:r w:rsidR="00B5714A">
        <w:rPr>
          <w:lang w:val="en-GB"/>
        </w:rPr>
        <w:t>“</w:t>
      </w:r>
      <w:r w:rsidR="00DB2D96" w:rsidRPr="00191088">
        <w:rPr>
          <w:lang w:val="en-GB"/>
        </w:rPr>
        <w:t>residual category</w:t>
      </w:r>
      <w:r w:rsidR="00B5714A">
        <w:rPr>
          <w:lang w:val="en-GB"/>
        </w:rPr>
        <w:t>”</w:t>
      </w:r>
      <w:r w:rsidR="00B5714A">
        <w:rPr>
          <w:rStyle w:val="FootnoteReference"/>
          <w:lang w:val="en-GB"/>
        </w:rPr>
        <w:footnoteReference w:id="30"/>
      </w:r>
      <w:r w:rsidR="00DB2D96" w:rsidRPr="00191088">
        <w:rPr>
          <w:lang w:val="en-GB"/>
        </w:rPr>
        <w:t xml:space="preserve"> of science and religion.</w:t>
      </w:r>
      <w:r w:rsidR="000E5964">
        <w:rPr>
          <w:lang w:val="en-GB"/>
        </w:rPr>
        <w:t xml:space="preserve"> </w:t>
      </w:r>
      <w:r w:rsidR="00015F8C">
        <w:rPr>
          <w:lang w:val="en-GB"/>
        </w:rPr>
        <w:t>From</w:t>
      </w:r>
      <w:r w:rsidR="009721C5">
        <w:rPr>
          <w:lang w:val="en-GB"/>
        </w:rPr>
        <w:t xml:space="preserve"> this perspective</w:t>
      </w:r>
      <w:r w:rsidR="00E37612">
        <w:rPr>
          <w:lang w:val="en-GB"/>
        </w:rPr>
        <w:t>, it</w:t>
      </w:r>
      <w:r w:rsidR="0079350A">
        <w:rPr>
          <w:lang w:val="en-GB"/>
        </w:rPr>
        <w:t xml:space="preserve"> i</w:t>
      </w:r>
      <w:r w:rsidR="00E37612">
        <w:rPr>
          <w:lang w:val="en-GB"/>
        </w:rPr>
        <w:t xml:space="preserve">s possible to identify and freeze a </w:t>
      </w:r>
      <w:r w:rsidR="006354CF">
        <w:rPr>
          <w:lang w:val="en-GB"/>
        </w:rPr>
        <w:t>specific</w:t>
      </w:r>
      <w:r w:rsidR="00E37612">
        <w:rPr>
          <w:lang w:val="en-GB"/>
        </w:rPr>
        <w:t xml:space="preserve"> usage of the term</w:t>
      </w:r>
      <w:r w:rsidR="008B4568">
        <w:rPr>
          <w:rStyle w:val="FootnoteReference"/>
          <w:lang w:val="en-GB"/>
        </w:rPr>
        <w:footnoteReference w:id="31"/>
      </w:r>
      <w:r w:rsidR="009721C5">
        <w:rPr>
          <w:lang w:val="en-GB"/>
        </w:rPr>
        <w:t xml:space="preserve"> and to include </w:t>
      </w:r>
      <w:r w:rsidR="00E37612">
        <w:rPr>
          <w:lang w:val="en-GB"/>
        </w:rPr>
        <w:t>its intrinsic fuzziness and lack of clarity</w:t>
      </w:r>
      <w:r w:rsidR="00813051">
        <w:rPr>
          <w:lang w:val="en-GB"/>
        </w:rPr>
        <w:t xml:space="preserve"> as well as its polemical, dissociating aspect</w:t>
      </w:r>
      <w:r w:rsidR="0079350A">
        <w:rPr>
          <w:lang w:val="en-GB"/>
        </w:rPr>
        <w:t>s</w:t>
      </w:r>
      <w:r w:rsidR="00E37612">
        <w:rPr>
          <w:lang w:val="en-GB"/>
        </w:rPr>
        <w:t xml:space="preserve"> </w:t>
      </w:r>
      <w:r w:rsidR="00813051">
        <w:rPr>
          <w:lang w:val="en-GB"/>
        </w:rPr>
        <w:t xml:space="preserve">as </w:t>
      </w:r>
      <w:r w:rsidR="00E37612">
        <w:rPr>
          <w:lang w:val="en-GB"/>
        </w:rPr>
        <w:t xml:space="preserve">meaningful </w:t>
      </w:r>
      <w:r w:rsidR="00E71E5C">
        <w:rPr>
          <w:lang w:val="en-GB"/>
        </w:rPr>
        <w:t xml:space="preserve">and integral </w:t>
      </w:r>
      <w:r w:rsidR="00E37612">
        <w:rPr>
          <w:lang w:val="en-GB"/>
        </w:rPr>
        <w:t>part of the definition itself</w:t>
      </w:r>
      <w:r w:rsidR="004E33E8">
        <w:rPr>
          <w:lang w:val="en-GB"/>
        </w:rPr>
        <w:t xml:space="preserve">. </w:t>
      </w:r>
      <w:r w:rsidR="0046069D">
        <w:rPr>
          <w:lang w:val="en-GB"/>
        </w:rPr>
        <w:t xml:space="preserve">Scholars </w:t>
      </w:r>
      <w:r w:rsidR="00E24AAD">
        <w:rPr>
          <w:lang w:val="en-GB"/>
        </w:rPr>
        <w:t>of the like of</w:t>
      </w:r>
      <w:r w:rsidR="00830EB1">
        <w:rPr>
          <w:lang w:val="en-GB"/>
        </w:rPr>
        <w:t xml:space="preserve"> </w:t>
      </w:r>
      <w:r w:rsidR="0043061B">
        <w:rPr>
          <w:lang w:val="en-GB"/>
        </w:rPr>
        <w:t xml:space="preserve">Graf </w:t>
      </w:r>
      <w:r w:rsidR="0046069D">
        <w:rPr>
          <w:lang w:val="en-GB"/>
        </w:rPr>
        <w:t xml:space="preserve">or Hammond </w:t>
      </w:r>
      <w:r w:rsidR="0043061B">
        <w:rPr>
          <w:lang w:val="en-GB"/>
        </w:rPr>
        <w:t>describe</w:t>
      </w:r>
      <w:r w:rsidR="00830EB1">
        <w:rPr>
          <w:lang w:val="en-GB"/>
        </w:rPr>
        <w:t>d</w:t>
      </w:r>
      <w:r w:rsidR="0043061B">
        <w:rPr>
          <w:lang w:val="en-GB"/>
        </w:rPr>
        <w:t xml:space="preserve"> </w:t>
      </w:r>
      <w:r w:rsidR="00830EB1">
        <w:rPr>
          <w:lang w:val="en-GB"/>
        </w:rPr>
        <w:t>magic</w:t>
      </w:r>
      <w:r w:rsidR="0043061B">
        <w:rPr>
          <w:lang w:val="en-GB"/>
        </w:rPr>
        <w:t xml:space="preserve"> as</w:t>
      </w:r>
      <w:r w:rsidR="0046069D">
        <w:rPr>
          <w:lang w:val="en-GB"/>
        </w:rPr>
        <w:t xml:space="preserve"> a part of religion</w:t>
      </w:r>
      <w:r w:rsidR="00830EB1">
        <w:rPr>
          <w:rStyle w:val="FootnoteReference"/>
          <w:lang w:val="en-GB"/>
        </w:rPr>
        <w:footnoteReference w:id="32"/>
      </w:r>
      <w:r w:rsidR="0043061B">
        <w:rPr>
          <w:lang w:val="en-GB"/>
        </w:rPr>
        <w:t xml:space="preserve">, </w:t>
      </w:r>
      <w:r w:rsidR="00E24AAD">
        <w:rPr>
          <w:lang w:val="en-GB"/>
        </w:rPr>
        <w:t xml:space="preserve"> while </w:t>
      </w:r>
      <w:r w:rsidR="004B14D0" w:rsidRPr="00191088">
        <w:rPr>
          <w:lang w:val="en-GB"/>
        </w:rPr>
        <w:t xml:space="preserve">Mowinckel </w:t>
      </w:r>
      <w:r w:rsidR="00EA2AB8">
        <w:rPr>
          <w:lang w:val="en-GB"/>
        </w:rPr>
        <w:t xml:space="preserve">spoke of magic </w:t>
      </w:r>
      <w:r w:rsidR="00830EB1">
        <w:rPr>
          <w:lang w:val="en-GB"/>
        </w:rPr>
        <w:t>“</w:t>
      </w:r>
      <w:r w:rsidR="004B14D0" w:rsidRPr="00191088">
        <w:rPr>
          <w:lang w:val="en-GB"/>
        </w:rPr>
        <w:t xml:space="preserve">as a </w:t>
      </w:r>
      <w:r w:rsidR="004B14D0" w:rsidRPr="0079350A">
        <w:rPr>
          <w:i/>
          <w:iCs/>
          <w:lang w:val="en-GB"/>
        </w:rPr>
        <w:t>world view</w:t>
      </w:r>
      <w:r w:rsidR="004B14D0" w:rsidRPr="0079350A">
        <w:rPr>
          <w:lang w:val="en-GB"/>
        </w:rPr>
        <w:t xml:space="preserve"> </w:t>
      </w:r>
      <w:r w:rsidR="00EA2AB8" w:rsidRPr="0079350A">
        <w:rPr>
          <w:lang w:val="en-GB"/>
        </w:rPr>
        <w:t xml:space="preserve">with the emphasis upon rite </w:t>
      </w:r>
      <w:r w:rsidR="004B14D0" w:rsidRPr="0079350A">
        <w:rPr>
          <w:lang w:val="en-GB"/>
        </w:rPr>
        <w:t>rather than a kind of religion</w:t>
      </w:r>
      <w:r w:rsidR="00506077" w:rsidRPr="0079350A">
        <w:rPr>
          <w:rStyle w:val="FootnoteReference"/>
          <w:lang w:val="en-GB"/>
        </w:rPr>
        <w:footnoteReference w:id="33"/>
      </w:r>
      <w:r w:rsidR="00045A5A" w:rsidRPr="0079350A">
        <w:rPr>
          <w:lang w:val="en-GB"/>
        </w:rPr>
        <w:t>.</w:t>
      </w:r>
      <w:r w:rsidR="00045A5A">
        <w:rPr>
          <w:lang w:val="en-GB"/>
        </w:rPr>
        <w:t xml:space="preserve"> </w:t>
      </w:r>
      <w:r w:rsidR="00E24AAD">
        <w:rPr>
          <w:lang w:val="en-GB"/>
        </w:rPr>
        <w:t>Both</w:t>
      </w:r>
      <w:r w:rsidR="004E33E8">
        <w:rPr>
          <w:lang w:val="en-GB"/>
        </w:rPr>
        <w:t xml:space="preserve"> definitions show some merits and some limitations. </w:t>
      </w:r>
      <w:r w:rsidR="007B7957">
        <w:rPr>
          <w:lang w:val="en-GB"/>
        </w:rPr>
        <w:t xml:space="preserve">It is reasonable to </w:t>
      </w:r>
      <w:r w:rsidR="0079350A">
        <w:rPr>
          <w:lang w:val="en-GB"/>
        </w:rPr>
        <w:t>infer</w:t>
      </w:r>
      <w:r w:rsidR="007B7957">
        <w:rPr>
          <w:lang w:val="en-GB"/>
        </w:rPr>
        <w:t xml:space="preserve"> that </w:t>
      </w:r>
      <w:r w:rsidR="00726ABD">
        <w:rPr>
          <w:lang w:val="en-US"/>
        </w:rPr>
        <w:t>magic refer</w:t>
      </w:r>
      <w:r w:rsidR="00045A5A">
        <w:rPr>
          <w:lang w:val="en-US"/>
        </w:rPr>
        <w:t>r</w:t>
      </w:r>
      <w:r w:rsidR="00CF0234">
        <w:rPr>
          <w:lang w:val="en-US"/>
        </w:rPr>
        <w:t>ed</w:t>
      </w:r>
      <w:r w:rsidR="00726ABD">
        <w:rPr>
          <w:lang w:val="en-US"/>
        </w:rPr>
        <w:t xml:space="preserve"> to practitioners working </w:t>
      </w:r>
      <w:r w:rsidR="00FC7908">
        <w:rPr>
          <w:lang w:val="en-US"/>
        </w:rPr>
        <w:t>in the fields of religious</w:t>
      </w:r>
      <w:r w:rsidR="00E71E5C">
        <w:rPr>
          <w:lang w:val="en-US"/>
        </w:rPr>
        <w:t>/spiritual</w:t>
      </w:r>
      <w:r w:rsidR="00FC7908">
        <w:rPr>
          <w:lang w:val="en-US"/>
        </w:rPr>
        <w:t xml:space="preserve"> matters</w:t>
      </w:r>
      <w:r w:rsidR="00CF0234">
        <w:rPr>
          <w:lang w:val="en-US"/>
        </w:rPr>
        <w:t xml:space="preserve">, </w:t>
      </w:r>
      <w:r w:rsidR="00FC7908">
        <w:rPr>
          <w:lang w:val="en-US"/>
        </w:rPr>
        <w:t>practicing an</w:t>
      </w:r>
      <w:r w:rsidR="00E24AAD">
        <w:rPr>
          <w:lang w:val="en-US"/>
        </w:rPr>
        <w:t xml:space="preserve"> art </w:t>
      </w:r>
      <w:r w:rsidR="003B5E2C">
        <w:rPr>
          <w:lang w:val="en-US"/>
        </w:rPr>
        <w:t xml:space="preserve">where rituals were </w:t>
      </w:r>
      <w:r w:rsidR="00813051">
        <w:rPr>
          <w:lang w:val="en-US"/>
        </w:rPr>
        <w:t>the essential tool</w:t>
      </w:r>
      <w:r w:rsidR="00F47182">
        <w:rPr>
          <w:lang w:val="en-US"/>
        </w:rPr>
        <w:t>.</w:t>
      </w:r>
      <w:r w:rsidR="00FC7908">
        <w:rPr>
          <w:lang w:val="en-US"/>
        </w:rPr>
        <w:t xml:space="preserve"> </w:t>
      </w:r>
      <w:r w:rsidR="00813051">
        <w:rPr>
          <w:lang w:val="en-US"/>
        </w:rPr>
        <w:t xml:space="preserve">Magic was </w:t>
      </w:r>
      <w:r w:rsidR="00813051">
        <w:rPr>
          <w:lang w:val="en-US"/>
        </w:rPr>
        <w:lastRenderedPageBreak/>
        <w:t>ubiquitous and very much present in people’s lives.</w:t>
      </w:r>
      <w:r w:rsidR="007B7957">
        <w:rPr>
          <w:lang w:val="en-US"/>
        </w:rPr>
        <w:t xml:space="preserve"> However often </w:t>
      </w:r>
      <w:r w:rsidR="007B7957" w:rsidRPr="00015F8C">
        <w:rPr>
          <w:lang w:val="en-GB"/>
        </w:rPr>
        <w:t>critici</w:t>
      </w:r>
      <w:r w:rsidR="00015F8C" w:rsidRPr="00015F8C">
        <w:rPr>
          <w:lang w:val="en-GB"/>
        </w:rPr>
        <w:t>s</w:t>
      </w:r>
      <w:r w:rsidR="007B7957" w:rsidRPr="00015F8C">
        <w:rPr>
          <w:lang w:val="en-GB"/>
        </w:rPr>
        <w:t>ed</w:t>
      </w:r>
      <w:r w:rsidR="007B7957">
        <w:rPr>
          <w:lang w:val="en-US"/>
        </w:rPr>
        <w:t xml:space="preserve"> and </w:t>
      </w:r>
      <w:proofErr w:type="spellStart"/>
      <w:r w:rsidR="007B7957">
        <w:rPr>
          <w:lang w:val="en-US"/>
        </w:rPr>
        <w:t>ostraci</w:t>
      </w:r>
      <w:r w:rsidR="00015F8C">
        <w:rPr>
          <w:lang w:val="en-US"/>
        </w:rPr>
        <w:t>s</w:t>
      </w:r>
      <w:r w:rsidR="007B7957">
        <w:rPr>
          <w:lang w:val="en-US"/>
        </w:rPr>
        <w:t>ed</w:t>
      </w:r>
      <w:proofErr w:type="spellEnd"/>
      <w:r w:rsidR="007B7957">
        <w:rPr>
          <w:lang w:val="en-US"/>
        </w:rPr>
        <w:t xml:space="preserve">, </w:t>
      </w:r>
      <w:r w:rsidR="0079350A">
        <w:rPr>
          <w:lang w:val="en-US"/>
        </w:rPr>
        <w:t>it’s existence</w:t>
      </w:r>
      <w:r w:rsidR="007B7957">
        <w:rPr>
          <w:lang w:val="en-US"/>
        </w:rPr>
        <w:t xml:space="preserve"> was never disputed</w:t>
      </w:r>
      <w:r w:rsidR="002A2A27">
        <w:rPr>
          <w:rStyle w:val="FootnoteReference"/>
          <w:lang w:val="en-US"/>
        </w:rPr>
        <w:footnoteReference w:id="34"/>
      </w:r>
      <w:r w:rsidR="007B7957">
        <w:rPr>
          <w:lang w:val="en-US"/>
        </w:rPr>
        <w:t>.</w:t>
      </w:r>
    </w:p>
    <w:p w14:paraId="25AE2952" w14:textId="2573E497" w:rsidR="006354CF" w:rsidRDefault="006354CF" w:rsidP="006354CF">
      <w:pPr>
        <w:rPr>
          <w:lang w:val="en-GB"/>
        </w:rPr>
      </w:pPr>
    </w:p>
    <w:p w14:paraId="58BA73EE" w14:textId="5C10E470" w:rsidR="00105E17" w:rsidRPr="00871841" w:rsidRDefault="00C477E4" w:rsidP="00105E17">
      <w:pPr>
        <w:rPr>
          <w:lang w:val="en-US"/>
        </w:rPr>
      </w:pPr>
      <w:r>
        <w:rPr>
          <w:lang w:val="en-US"/>
        </w:rPr>
        <w:t>Philosophy</w:t>
      </w:r>
      <w:r w:rsidR="005441EB">
        <w:rPr>
          <w:lang w:val="en-US"/>
        </w:rPr>
        <w:t>, theurgy</w:t>
      </w:r>
      <w:r>
        <w:rPr>
          <w:lang w:val="en-US"/>
        </w:rPr>
        <w:t xml:space="preserve"> and magic</w:t>
      </w:r>
      <w:r w:rsidR="004D1EFB">
        <w:rPr>
          <w:lang w:val="en-US"/>
        </w:rPr>
        <w:t xml:space="preserve"> deal</w:t>
      </w:r>
      <w:r w:rsidR="00813051">
        <w:rPr>
          <w:lang w:val="en-US"/>
        </w:rPr>
        <w:t>t</w:t>
      </w:r>
      <w:r w:rsidR="00CF0234">
        <w:rPr>
          <w:lang w:val="en-US"/>
        </w:rPr>
        <w:t xml:space="preserve"> </w:t>
      </w:r>
      <w:r w:rsidR="004D1EFB">
        <w:rPr>
          <w:lang w:val="en-US"/>
        </w:rPr>
        <w:t xml:space="preserve">with the divine, they </w:t>
      </w:r>
      <w:r w:rsidR="00E24AAD">
        <w:rPr>
          <w:lang w:val="en-US"/>
        </w:rPr>
        <w:t>were</w:t>
      </w:r>
      <w:r w:rsidR="004D1EFB">
        <w:rPr>
          <w:lang w:val="en-US"/>
        </w:rPr>
        <w:t xml:space="preserve"> ways of life</w:t>
      </w:r>
      <w:r>
        <w:rPr>
          <w:lang w:val="en-US"/>
        </w:rPr>
        <w:t xml:space="preserve"> and</w:t>
      </w:r>
      <w:r w:rsidR="004D1EFB">
        <w:rPr>
          <w:lang w:val="en-US"/>
        </w:rPr>
        <w:t xml:space="preserve"> world views</w:t>
      </w:r>
      <w:r w:rsidR="00614BEA">
        <w:rPr>
          <w:lang w:val="en-US"/>
        </w:rPr>
        <w:t xml:space="preserve">, </w:t>
      </w:r>
      <w:r w:rsidR="00244DF8">
        <w:rPr>
          <w:lang w:val="en-US"/>
        </w:rPr>
        <w:t>and</w:t>
      </w:r>
      <w:r w:rsidR="004D1EFB">
        <w:rPr>
          <w:lang w:val="en-US"/>
        </w:rPr>
        <w:t xml:space="preserve"> </w:t>
      </w:r>
      <w:r w:rsidR="00244DF8">
        <w:rPr>
          <w:lang w:val="en-US"/>
        </w:rPr>
        <w:t>t</w:t>
      </w:r>
      <w:r w:rsidR="004D1EFB">
        <w:rPr>
          <w:lang w:val="en-US"/>
        </w:rPr>
        <w:t>hey all</w:t>
      </w:r>
      <w:r w:rsidR="00E24AAD">
        <w:rPr>
          <w:lang w:val="en-US"/>
        </w:rPr>
        <w:t xml:space="preserve"> were</w:t>
      </w:r>
      <w:r w:rsidR="004D1EFB">
        <w:rPr>
          <w:lang w:val="en-US"/>
        </w:rPr>
        <w:t xml:space="preserve"> </w:t>
      </w:r>
      <w:r w:rsidR="00244DF8">
        <w:rPr>
          <w:lang w:val="en-US"/>
        </w:rPr>
        <w:t>inconveniently</w:t>
      </w:r>
      <w:r w:rsidR="004D1EFB">
        <w:rPr>
          <w:lang w:val="en-US"/>
        </w:rPr>
        <w:t xml:space="preserve"> close to our concept</w:t>
      </w:r>
      <w:r w:rsidR="00244DF8">
        <w:rPr>
          <w:lang w:val="en-US"/>
        </w:rPr>
        <w:t xml:space="preserve"> </w:t>
      </w:r>
      <w:r w:rsidR="004D1EFB">
        <w:rPr>
          <w:lang w:val="en-US"/>
        </w:rPr>
        <w:t>of religion.</w:t>
      </w:r>
      <w:r w:rsidR="00F47182" w:rsidRPr="00871841">
        <w:rPr>
          <w:lang w:val="en-US"/>
        </w:rPr>
        <w:t xml:space="preserve"> </w:t>
      </w:r>
    </w:p>
    <w:p w14:paraId="33C759ED" w14:textId="01D1AA2D" w:rsidR="00105E17" w:rsidRDefault="00105E17" w:rsidP="00105E17">
      <w:pPr>
        <w:rPr>
          <w:lang w:val="en-GB"/>
        </w:rPr>
      </w:pPr>
    </w:p>
    <w:p w14:paraId="618F4A7F" w14:textId="2FFB210D" w:rsidR="00D21AC0" w:rsidRPr="00D21AC0" w:rsidRDefault="00D21AC0" w:rsidP="00710ADE">
      <w:pPr>
        <w:pStyle w:val="Heading1"/>
        <w:rPr>
          <w:lang w:val="en-GB"/>
        </w:rPr>
      </w:pPr>
      <w:r w:rsidRPr="00D21AC0">
        <w:rPr>
          <w:lang w:val="en-GB"/>
        </w:rPr>
        <w:t>Philosophy</w:t>
      </w:r>
    </w:p>
    <w:p w14:paraId="65FC5F55" w14:textId="77777777" w:rsidR="00531A14" w:rsidRPr="00191088" w:rsidRDefault="00531A14" w:rsidP="00531A14">
      <w:pPr>
        <w:rPr>
          <w:lang w:val="en-GB"/>
        </w:rPr>
      </w:pPr>
    </w:p>
    <w:p w14:paraId="06E6B6B8" w14:textId="08E8EFF0" w:rsidR="006354CF" w:rsidRPr="00191088" w:rsidRDefault="006354CF" w:rsidP="006354CF">
      <w:pPr>
        <w:rPr>
          <w:lang w:val="en-GB"/>
        </w:rPr>
      </w:pPr>
      <w:r>
        <w:rPr>
          <w:lang w:val="en-GB"/>
        </w:rPr>
        <w:t>U</w:t>
      </w:r>
      <w:r>
        <w:rPr>
          <w:rFonts w:ascii="Calibri" w:hAnsi="Calibri" w:cs="Calibri"/>
          <w:lang w:val="en-GB"/>
        </w:rPr>
        <w:t xml:space="preserve">ždavinys </w:t>
      </w:r>
      <w:r w:rsidR="00871841">
        <w:rPr>
          <w:rFonts w:ascii="Calibri" w:hAnsi="Calibri" w:cs="Calibri"/>
          <w:lang w:val="en-GB"/>
        </w:rPr>
        <w:t>argued that</w:t>
      </w:r>
      <w:r w:rsidR="00871841">
        <w:rPr>
          <w:lang w:val="en-GB"/>
        </w:rPr>
        <w:t xml:space="preserve"> </w:t>
      </w:r>
      <w:r w:rsidRPr="00191088">
        <w:rPr>
          <w:lang w:val="en-GB"/>
        </w:rPr>
        <w:t>“Ancient Hellenic and modern European “philosophy”</w:t>
      </w:r>
      <w:r w:rsidR="00C477E4">
        <w:rPr>
          <w:rStyle w:val="FootnoteReference"/>
          <w:lang w:val="en-GB"/>
        </w:rPr>
        <w:footnoteReference w:id="35"/>
      </w:r>
      <w:r w:rsidRPr="00191088">
        <w:rPr>
          <w:lang w:val="en-GB"/>
        </w:rPr>
        <w:t xml:space="preserve"> have nothing in common but the name”</w:t>
      </w:r>
      <w:r w:rsidR="00D24A63">
        <w:rPr>
          <w:lang w:val="en-GB"/>
        </w:rPr>
        <w:t>,</w:t>
      </w:r>
      <w:r w:rsidR="00871841">
        <w:rPr>
          <w:rStyle w:val="FootnoteReference"/>
          <w:lang w:val="en-GB"/>
        </w:rPr>
        <w:footnoteReference w:id="36"/>
      </w:r>
      <w:r w:rsidR="00813051">
        <w:rPr>
          <w:lang w:val="en-GB"/>
        </w:rPr>
        <w:t xml:space="preserve"> referring to the exclusive privilege of the philosophical discourse over</w:t>
      </w:r>
      <w:r w:rsidR="00D24A63">
        <w:rPr>
          <w:lang w:val="en-GB"/>
        </w:rPr>
        <w:t>,</w:t>
      </w:r>
      <w:r w:rsidR="00813051">
        <w:rPr>
          <w:lang w:val="en-GB"/>
        </w:rPr>
        <w:t xml:space="preserve"> and to the exclusion of all other</w:t>
      </w:r>
      <w:r w:rsidR="002B5326">
        <w:rPr>
          <w:lang w:val="en-GB"/>
        </w:rPr>
        <w:t xml:space="preserve"> aspects in </w:t>
      </w:r>
      <w:r w:rsidR="00614BEA">
        <w:rPr>
          <w:lang w:val="en-GB"/>
        </w:rPr>
        <w:t>contemporary</w:t>
      </w:r>
      <w:r w:rsidR="002B5326">
        <w:rPr>
          <w:lang w:val="en-GB"/>
        </w:rPr>
        <w:t xml:space="preserve"> philosophy</w:t>
      </w:r>
      <w:r w:rsidR="00887F2D">
        <w:rPr>
          <w:rStyle w:val="FootnoteReference"/>
          <w:lang w:val="en-GB"/>
        </w:rPr>
        <w:footnoteReference w:id="37"/>
      </w:r>
      <w:r w:rsidR="00813051">
        <w:rPr>
          <w:lang w:val="en-GB"/>
        </w:rPr>
        <w:t xml:space="preserve">. Thus, </w:t>
      </w:r>
      <w:r w:rsidR="006740FC">
        <w:rPr>
          <w:lang w:val="en-GB"/>
        </w:rPr>
        <w:t>t</w:t>
      </w:r>
      <w:r w:rsidR="002D583F">
        <w:rPr>
          <w:lang w:val="en-GB"/>
        </w:rPr>
        <w:t>he use of the term “philosophy” uncontextuali</w:t>
      </w:r>
      <w:r w:rsidR="00015F8C">
        <w:rPr>
          <w:lang w:val="en-GB"/>
        </w:rPr>
        <w:t>z</w:t>
      </w:r>
      <w:r w:rsidR="002D583F">
        <w:rPr>
          <w:lang w:val="en-GB"/>
        </w:rPr>
        <w:t xml:space="preserve">ed is highly problematic, particularly when analysing its connections with categories such as theurgy and magic. </w:t>
      </w:r>
    </w:p>
    <w:p w14:paraId="1BA1F35F" w14:textId="77777777" w:rsidR="001F7015" w:rsidRPr="00191088" w:rsidRDefault="001F7015" w:rsidP="006354CF">
      <w:pPr>
        <w:rPr>
          <w:lang w:val="en-GB"/>
        </w:rPr>
      </w:pPr>
    </w:p>
    <w:p w14:paraId="51448230" w14:textId="09906B82" w:rsidR="001F7015" w:rsidRDefault="00C477E4" w:rsidP="001F7015">
      <w:pPr>
        <w:rPr>
          <w:lang w:val="en-GB"/>
        </w:rPr>
      </w:pPr>
      <w:r>
        <w:rPr>
          <w:lang w:val="en-GB"/>
        </w:rPr>
        <w:t>This</w:t>
      </w:r>
      <w:r w:rsidR="00244DF8">
        <w:rPr>
          <w:lang w:val="en-GB"/>
        </w:rPr>
        <w:t xml:space="preserve"> essay </w:t>
      </w:r>
      <w:r w:rsidR="00813051">
        <w:rPr>
          <w:lang w:val="en-GB"/>
        </w:rPr>
        <w:t xml:space="preserve">refers to </w:t>
      </w:r>
      <w:r w:rsidR="00244DF8">
        <w:rPr>
          <w:lang w:val="en-GB"/>
        </w:rPr>
        <w:t>p</w:t>
      </w:r>
      <w:r w:rsidR="001F7015">
        <w:rPr>
          <w:lang w:val="en-GB"/>
        </w:rPr>
        <w:t xml:space="preserve">hilosophy </w:t>
      </w:r>
      <w:r w:rsidR="003A23C9">
        <w:rPr>
          <w:lang w:val="en-GB"/>
        </w:rPr>
        <w:t>as</w:t>
      </w:r>
      <w:r w:rsidR="001F7015">
        <w:rPr>
          <w:lang w:val="en-GB"/>
        </w:rPr>
        <w:t xml:space="preserve"> </w:t>
      </w:r>
      <w:r w:rsidR="002B5326">
        <w:rPr>
          <w:lang w:val="en-GB"/>
        </w:rPr>
        <w:t xml:space="preserve">Platonists </w:t>
      </w:r>
      <w:r w:rsidR="002D583F">
        <w:rPr>
          <w:lang w:val="en-GB"/>
        </w:rPr>
        <w:t>intended it</w:t>
      </w:r>
      <w:r w:rsidR="003A23C9">
        <w:rPr>
          <w:lang w:val="en-GB"/>
        </w:rPr>
        <w:t xml:space="preserve">: </w:t>
      </w:r>
      <w:r w:rsidR="001F7015">
        <w:rPr>
          <w:lang w:val="en-GB"/>
        </w:rPr>
        <w:t xml:space="preserve">a </w:t>
      </w:r>
      <w:r w:rsidR="006740FC">
        <w:rPr>
          <w:lang w:val="en-GB"/>
        </w:rPr>
        <w:t xml:space="preserve">morally exemplary </w:t>
      </w:r>
      <w:r w:rsidR="001F7015">
        <w:rPr>
          <w:lang w:val="en-GB"/>
        </w:rPr>
        <w:t>way of life</w:t>
      </w:r>
      <w:r w:rsidR="006740FC">
        <w:rPr>
          <w:lang w:val="en-GB"/>
        </w:rPr>
        <w:t xml:space="preserve"> characterised by </w:t>
      </w:r>
      <w:r w:rsidR="001F7015">
        <w:rPr>
          <w:lang w:val="en-GB"/>
        </w:rPr>
        <w:t xml:space="preserve">the </w:t>
      </w:r>
      <w:r w:rsidR="002D583F">
        <w:rPr>
          <w:lang w:val="en-GB"/>
        </w:rPr>
        <w:t xml:space="preserve">rational, dialectic, </w:t>
      </w:r>
      <w:r w:rsidR="001F7015">
        <w:rPr>
          <w:lang w:val="en-GB"/>
        </w:rPr>
        <w:t>theoretical discourse which we are</w:t>
      </w:r>
      <w:r>
        <w:rPr>
          <w:lang w:val="en-GB"/>
        </w:rPr>
        <w:t xml:space="preserve"> </w:t>
      </w:r>
      <w:r w:rsidR="001F7015">
        <w:rPr>
          <w:lang w:val="en-GB"/>
        </w:rPr>
        <w:t>familiar</w:t>
      </w:r>
      <w:r w:rsidR="002D583F">
        <w:rPr>
          <w:lang w:val="en-GB"/>
        </w:rPr>
        <w:t xml:space="preserve"> with</w:t>
      </w:r>
      <w:r w:rsidR="006740FC">
        <w:rPr>
          <w:rStyle w:val="FootnoteReference"/>
          <w:lang w:val="en-GB"/>
        </w:rPr>
        <w:footnoteReference w:id="38"/>
      </w:r>
      <w:r w:rsidR="00813051">
        <w:rPr>
          <w:lang w:val="en-GB"/>
        </w:rPr>
        <w:t xml:space="preserve">, stressing once more that a </w:t>
      </w:r>
      <w:r w:rsidR="001F7015" w:rsidRPr="00191088">
        <w:rPr>
          <w:lang w:val="en-GB"/>
        </w:rPr>
        <w:t>philosopher regard</w:t>
      </w:r>
      <w:r w:rsidR="00813051">
        <w:rPr>
          <w:lang w:val="en-GB"/>
        </w:rPr>
        <w:t>ed</w:t>
      </w:r>
      <w:r w:rsidR="001F7015" w:rsidRPr="00191088">
        <w:rPr>
          <w:lang w:val="en-GB"/>
        </w:rPr>
        <w:t xml:space="preserve"> himself a philosopher </w:t>
      </w:r>
      <w:r w:rsidR="00E07EE7">
        <w:rPr>
          <w:lang w:val="en-GB"/>
        </w:rPr>
        <w:t xml:space="preserve">primarily because </w:t>
      </w:r>
      <w:r w:rsidR="00E07EE7" w:rsidRPr="00191088">
        <w:rPr>
          <w:lang w:val="en-GB"/>
        </w:rPr>
        <w:t>he live</w:t>
      </w:r>
      <w:r w:rsidR="00E07EE7">
        <w:rPr>
          <w:lang w:val="en-GB"/>
        </w:rPr>
        <w:t>d</w:t>
      </w:r>
      <w:r w:rsidR="00E07EE7" w:rsidRPr="00191088">
        <w:rPr>
          <w:lang w:val="en-GB"/>
        </w:rPr>
        <w:t xml:space="preserve"> philosophically</w:t>
      </w:r>
      <w:r w:rsidR="00E07EE7">
        <w:rPr>
          <w:rStyle w:val="FootnoteReference"/>
          <w:lang w:val="en-GB"/>
        </w:rPr>
        <w:footnoteReference w:id="39"/>
      </w:r>
      <w:r w:rsidR="00E07EE7">
        <w:rPr>
          <w:lang w:val="en-GB"/>
        </w:rPr>
        <w:t xml:space="preserve"> and </w:t>
      </w:r>
      <w:r w:rsidR="001F7015" w:rsidRPr="00191088">
        <w:rPr>
          <w:lang w:val="en-GB"/>
        </w:rPr>
        <w:t>not because he develop</w:t>
      </w:r>
      <w:r w:rsidR="00E07EE7">
        <w:rPr>
          <w:lang w:val="en-GB"/>
        </w:rPr>
        <w:t>ed</w:t>
      </w:r>
      <w:r w:rsidR="001F7015" w:rsidRPr="00191088">
        <w:rPr>
          <w:lang w:val="en-GB"/>
        </w:rPr>
        <w:t xml:space="preserve"> a philosophical discourse</w:t>
      </w:r>
      <w:r w:rsidR="00C8777E">
        <w:rPr>
          <w:rStyle w:val="FootnoteReference"/>
          <w:lang w:val="en-GB"/>
        </w:rPr>
        <w:footnoteReference w:id="40"/>
      </w:r>
      <w:r w:rsidR="00E24AAD">
        <w:rPr>
          <w:lang w:val="en-GB"/>
        </w:rPr>
        <w:t>.</w:t>
      </w:r>
      <w:r w:rsidR="001425E7">
        <w:rPr>
          <w:lang w:val="en-GB"/>
        </w:rPr>
        <w:t xml:space="preserve"> </w:t>
      </w:r>
    </w:p>
    <w:p w14:paraId="5C8DECD3" w14:textId="77777777" w:rsidR="00E52808" w:rsidRPr="00191088" w:rsidRDefault="00E52808" w:rsidP="001F7015">
      <w:pPr>
        <w:rPr>
          <w:lang w:val="en-GB"/>
        </w:rPr>
      </w:pPr>
    </w:p>
    <w:p w14:paraId="4AB5EB2C" w14:textId="66388D2A" w:rsidR="001F7015" w:rsidRDefault="00C8777E" w:rsidP="001F7015">
      <w:pPr>
        <w:rPr>
          <w:lang w:val="en-GB"/>
        </w:rPr>
      </w:pPr>
      <w:r>
        <w:rPr>
          <w:lang w:val="en-GB"/>
        </w:rPr>
        <w:t>For the ancient Greek</w:t>
      </w:r>
      <w:r w:rsidR="00CE0DB1">
        <w:rPr>
          <w:lang w:val="en-GB"/>
        </w:rPr>
        <w:t>s,</w:t>
      </w:r>
      <w:r w:rsidR="004962EA">
        <w:rPr>
          <w:lang w:val="en-GB"/>
        </w:rPr>
        <w:t xml:space="preserve"> </w:t>
      </w:r>
      <w:r w:rsidR="000E5B79">
        <w:rPr>
          <w:lang w:val="en-GB"/>
        </w:rPr>
        <w:t>philosophy was a practice meant to transform the soul through spiritual exercise</w:t>
      </w:r>
      <w:r w:rsidR="004962EA">
        <w:rPr>
          <w:lang w:val="en-GB"/>
        </w:rPr>
        <w:t xml:space="preserve">, </w:t>
      </w:r>
      <w:r w:rsidR="000E5B79">
        <w:rPr>
          <w:lang w:val="en-GB"/>
        </w:rPr>
        <w:t>purifying it from the corruption of life</w:t>
      </w:r>
      <w:r w:rsidR="004962EA">
        <w:rPr>
          <w:lang w:val="en-GB"/>
        </w:rPr>
        <w:t>. Philosophical knowledge start</w:t>
      </w:r>
      <w:r w:rsidR="006740FC">
        <w:rPr>
          <w:lang w:val="en-GB"/>
        </w:rPr>
        <w:t>ed</w:t>
      </w:r>
      <w:r w:rsidR="004962EA">
        <w:rPr>
          <w:lang w:val="en-GB"/>
        </w:rPr>
        <w:t xml:space="preserve"> from the </w:t>
      </w:r>
      <w:r w:rsidR="00E07EE7">
        <w:rPr>
          <w:lang w:val="en-GB"/>
        </w:rPr>
        <w:t>F</w:t>
      </w:r>
      <w:r w:rsidR="004962EA">
        <w:rPr>
          <w:lang w:val="en-GB"/>
        </w:rPr>
        <w:t>orms embodied in the world of generation which act</w:t>
      </w:r>
      <w:r w:rsidR="006740FC">
        <w:rPr>
          <w:lang w:val="en-GB"/>
        </w:rPr>
        <w:t>ed</w:t>
      </w:r>
      <w:r w:rsidR="004962EA">
        <w:rPr>
          <w:lang w:val="en-GB"/>
        </w:rPr>
        <w:t xml:space="preserve"> as memory triggers to </w:t>
      </w:r>
      <w:r w:rsidR="004962EA">
        <w:rPr>
          <w:lang w:val="en-GB"/>
        </w:rPr>
        <w:lastRenderedPageBreak/>
        <w:t>then progressively detach itself from it</w:t>
      </w:r>
      <w:r w:rsidR="002B5326">
        <w:rPr>
          <w:lang w:val="en-GB"/>
        </w:rPr>
        <w:t>,</w:t>
      </w:r>
      <w:r w:rsidR="004962EA">
        <w:rPr>
          <w:lang w:val="en-GB"/>
        </w:rPr>
        <w:t xml:space="preserve"> in pursue of the realm of the ineffable and suprarational</w:t>
      </w:r>
      <w:r w:rsidR="00C477E4">
        <w:rPr>
          <w:rStyle w:val="FootnoteReference"/>
          <w:lang w:val="en-GB"/>
        </w:rPr>
        <w:footnoteReference w:id="41"/>
      </w:r>
      <w:r w:rsidR="004962EA">
        <w:rPr>
          <w:lang w:val="en-GB"/>
        </w:rPr>
        <w:t>.</w:t>
      </w:r>
      <w:r w:rsidR="00503B5E">
        <w:rPr>
          <w:lang w:val="en-GB"/>
        </w:rPr>
        <w:t xml:space="preserve"> This climb </w:t>
      </w:r>
      <w:r w:rsidR="00E24AAD">
        <w:rPr>
          <w:lang w:val="en-GB"/>
        </w:rPr>
        <w:t>was</w:t>
      </w:r>
      <w:r w:rsidR="00503B5E">
        <w:rPr>
          <w:lang w:val="en-GB"/>
        </w:rPr>
        <w:t xml:space="preserve"> made through </w:t>
      </w:r>
      <w:r w:rsidR="00503B5E" w:rsidRPr="00D85429">
        <w:rPr>
          <w:i/>
          <w:iCs/>
          <w:lang w:val="en-GB"/>
        </w:rPr>
        <w:t>dianoia</w:t>
      </w:r>
      <w:r w:rsidR="00503B5E">
        <w:rPr>
          <w:lang w:val="en-GB"/>
        </w:rPr>
        <w:t xml:space="preserve">, dialectic </w:t>
      </w:r>
      <w:r w:rsidR="00E24AAD">
        <w:rPr>
          <w:lang w:val="en-GB"/>
        </w:rPr>
        <w:t xml:space="preserve">reasoning which </w:t>
      </w:r>
      <w:r w:rsidR="00E07EE7">
        <w:rPr>
          <w:lang w:val="en-GB"/>
        </w:rPr>
        <w:t>was</w:t>
      </w:r>
      <w:r w:rsidR="00E24AAD">
        <w:rPr>
          <w:lang w:val="en-GB"/>
        </w:rPr>
        <w:t xml:space="preserve"> not, </w:t>
      </w:r>
      <w:r w:rsidR="004962EA">
        <w:rPr>
          <w:lang w:val="en-GB"/>
        </w:rPr>
        <w:t>U</w:t>
      </w:r>
      <w:r w:rsidR="004962EA">
        <w:rPr>
          <w:rFonts w:ascii="Calibri" w:hAnsi="Calibri" w:cs="Calibri"/>
          <w:lang w:val="en-GB"/>
        </w:rPr>
        <w:t>ždavinys</w:t>
      </w:r>
      <w:r w:rsidR="004962EA" w:rsidRPr="00191088">
        <w:rPr>
          <w:lang w:val="en-GB"/>
        </w:rPr>
        <w:t xml:space="preserve"> </w:t>
      </w:r>
      <w:r w:rsidR="004962EA">
        <w:rPr>
          <w:lang w:val="en-GB"/>
        </w:rPr>
        <w:t>argued</w:t>
      </w:r>
      <w:r w:rsidR="00E24AAD">
        <w:rPr>
          <w:lang w:val="en-GB"/>
        </w:rPr>
        <w:t>,</w:t>
      </w:r>
      <w:r w:rsidR="004962EA">
        <w:rPr>
          <w:lang w:val="en-GB"/>
        </w:rPr>
        <w:t xml:space="preserve"> </w:t>
      </w:r>
      <w:r w:rsidR="00F164B6" w:rsidRPr="00191088">
        <w:rPr>
          <w:lang w:val="en-GB"/>
        </w:rPr>
        <w:t>the art of refutation, but the science of purification</w:t>
      </w:r>
      <w:r w:rsidR="00CC2980">
        <w:rPr>
          <w:rStyle w:val="FootnoteReference"/>
          <w:lang w:val="en-GB"/>
        </w:rPr>
        <w:footnoteReference w:id="42"/>
      </w:r>
      <w:r w:rsidR="00E24AAD">
        <w:rPr>
          <w:lang w:val="en-GB"/>
        </w:rPr>
        <w:t>.</w:t>
      </w:r>
      <w:r w:rsidR="00CC2980">
        <w:rPr>
          <w:lang w:val="en-GB"/>
        </w:rPr>
        <w:t xml:space="preserve"> The dialectic </w:t>
      </w:r>
      <w:r w:rsidR="000E5B79">
        <w:rPr>
          <w:lang w:val="en-GB"/>
        </w:rPr>
        <w:t xml:space="preserve">discourse is of great importance, yet philosophy </w:t>
      </w:r>
      <w:r w:rsidR="001F7015" w:rsidRPr="00191088">
        <w:rPr>
          <w:lang w:val="en-GB"/>
        </w:rPr>
        <w:t xml:space="preserve">must </w:t>
      </w:r>
      <w:r w:rsidR="00E07EE7">
        <w:rPr>
          <w:lang w:val="en-GB"/>
        </w:rPr>
        <w:t>never</w:t>
      </w:r>
      <w:r w:rsidR="001F7015" w:rsidRPr="00191088">
        <w:rPr>
          <w:lang w:val="en-GB"/>
        </w:rPr>
        <w:t xml:space="preserve"> be reduced to </w:t>
      </w:r>
      <w:r w:rsidR="00CC2980">
        <w:rPr>
          <w:lang w:val="en-GB"/>
        </w:rPr>
        <w:t>it</w:t>
      </w:r>
      <w:r w:rsidR="004C12F2">
        <w:rPr>
          <w:lang w:val="en-GB"/>
        </w:rPr>
        <w:t xml:space="preserve">. </w:t>
      </w:r>
    </w:p>
    <w:p w14:paraId="45B00BEA" w14:textId="38A21D93" w:rsidR="00BB15DB" w:rsidRDefault="00BB15DB" w:rsidP="00D21AC0">
      <w:pPr>
        <w:rPr>
          <w:lang w:val="en-GB"/>
        </w:rPr>
      </w:pPr>
    </w:p>
    <w:p w14:paraId="3A12A697" w14:textId="5F50AAD9" w:rsidR="002113B0" w:rsidRDefault="00A30E4B" w:rsidP="00D21AC0">
      <w:pPr>
        <w:rPr>
          <w:lang w:val="en-GB"/>
        </w:rPr>
      </w:pPr>
      <w:r>
        <w:rPr>
          <w:lang w:val="en-GB"/>
        </w:rPr>
        <w:t xml:space="preserve">In the myth of the Cave in </w:t>
      </w:r>
      <w:r w:rsidRPr="00E07EE7">
        <w:rPr>
          <w:i/>
          <w:iCs/>
          <w:lang w:val="en-GB"/>
        </w:rPr>
        <w:t>Republic</w:t>
      </w:r>
      <w:r w:rsidR="00A55CEE">
        <w:rPr>
          <w:rStyle w:val="FootnoteReference"/>
          <w:lang w:val="en-GB"/>
        </w:rPr>
        <w:footnoteReference w:id="43"/>
      </w:r>
      <w:r>
        <w:rPr>
          <w:lang w:val="en-GB"/>
        </w:rPr>
        <w:t xml:space="preserve">, Plato introduced his explanation of </w:t>
      </w:r>
      <w:r w:rsidR="002B5326">
        <w:rPr>
          <w:lang w:val="en-GB"/>
        </w:rPr>
        <w:t xml:space="preserve">the </w:t>
      </w:r>
      <w:r>
        <w:rPr>
          <w:lang w:val="en-GB"/>
        </w:rPr>
        <w:t xml:space="preserve">human epistemological condition and indicated the way </w:t>
      </w:r>
      <w:r w:rsidR="002B5326">
        <w:rPr>
          <w:lang w:val="en-GB"/>
        </w:rPr>
        <w:t xml:space="preserve">to </w:t>
      </w:r>
      <w:r>
        <w:rPr>
          <w:lang w:val="en-GB"/>
        </w:rPr>
        <w:t xml:space="preserve">achieve true knowledge. The cavern is a metaphor for the world of generation and the images projected on the wall of the cavern correspond to images </w:t>
      </w:r>
      <w:r w:rsidRPr="00A55CEE">
        <w:rPr>
          <w:lang w:val="en-GB"/>
        </w:rPr>
        <w:t>(</w:t>
      </w:r>
      <w:r w:rsidR="00C508B2" w:rsidRPr="00A55CEE">
        <w:rPr>
          <w:i/>
          <w:iCs/>
          <w:lang w:val="en-GB"/>
        </w:rPr>
        <w:t>eikones</w:t>
      </w:r>
      <w:r w:rsidR="00C508B2" w:rsidRPr="008804B1">
        <w:rPr>
          <w:i/>
          <w:iCs/>
          <w:lang w:val="en-GB"/>
        </w:rPr>
        <w:t>)</w:t>
      </w:r>
      <w:r w:rsidR="00C508B2">
        <w:rPr>
          <w:lang w:val="en-GB"/>
        </w:rPr>
        <w:t xml:space="preserve"> of the eternal Forms </w:t>
      </w:r>
      <w:r w:rsidR="00C508B2" w:rsidRPr="00A55CEE">
        <w:rPr>
          <w:lang w:val="en-GB"/>
        </w:rPr>
        <w:t>(</w:t>
      </w:r>
      <w:r w:rsidR="00C508B2" w:rsidRPr="00A55CEE">
        <w:rPr>
          <w:i/>
          <w:iCs/>
          <w:lang w:val="en-GB"/>
        </w:rPr>
        <w:t>eide</w:t>
      </w:r>
      <w:r w:rsidR="00C508B2" w:rsidRPr="00A55CEE">
        <w:rPr>
          <w:lang w:val="en-GB"/>
        </w:rPr>
        <w:t>)</w:t>
      </w:r>
      <w:r w:rsidR="00045AC8">
        <w:rPr>
          <w:lang w:val="en-GB"/>
        </w:rPr>
        <w:t xml:space="preserve"> which are outside the cavern</w:t>
      </w:r>
      <w:r w:rsidR="00C508B2">
        <w:rPr>
          <w:lang w:val="en-GB"/>
        </w:rPr>
        <w:t xml:space="preserve">. </w:t>
      </w:r>
      <w:r w:rsidR="00B8169F">
        <w:rPr>
          <w:lang w:val="en-GB"/>
        </w:rPr>
        <w:t xml:space="preserve">Education, for Plato, was remembering </w:t>
      </w:r>
      <w:r w:rsidR="00B8169F" w:rsidRPr="00A55CEE">
        <w:rPr>
          <w:lang w:val="en-GB"/>
        </w:rPr>
        <w:t>through</w:t>
      </w:r>
      <w:r w:rsidR="00C508B2" w:rsidRPr="00A55CEE">
        <w:rPr>
          <w:i/>
          <w:iCs/>
          <w:lang w:val="en-GB"/>
        </w:rPr>
        <w:t xml:space="preserve"> eikones</w:t>
      </w:r>
      <w:r w:rsidR="00B8169F" w:rsidRPr="00A55CEE">
        <w:rPr>
          <w:lang w:val="en-GB"/>
        </w:rPr>
        <w:t>/</w:t>
      </w:r>
      <w:r w:rsidR="00C508B2" w:rsidRPr="00A55CEE">
        <w:rPr>
          <w:i/>
          <w:iCs/>
          <w:lang w:val="en-GB"/>
        </w:rPr>
        <w:t>sumb</w:t>
      </w:r>
      <w:r w:rsidR="008804B1" w:rsidRPr="00A55CEE">
        <w:rPr>
          <w:i/>
          <w:iCs/>
          <w:lang w:val="en-GB"/>
        </w:rPr>
        <w:t>o</w:t>
      </w:r>
      <w:r w:rsidR="00C508B2" w:rsidRPr="00A55CEE">
        <w:rPr>
          <w:i/>
          <w:iCs/>
          <w:lang w:val="en-GB"/>
        </w:rPr>
        <w:t>la</w:t>
      </w:r>
      <w:r w:rsidR="00C508B2">
        <w:rPr>
          <w:lang w:val="en-GB"/>
        </w:rPr>
        <w:t xml:space="preserve"> </w:t>
      </w:r>
      <w:r w:rsidR="00B8169F">
        <w:rPr>
          <w:lang w:val="en-GB"/>
        </w:rPr>
        <w:t>what we knew before incarnation</w:t>
      </w:r>
      <w:r w:rsidR="00B8169F">
        <w:rPr>
          <w:rStyle w:val="FootnoteReference"/>
          <w:lang w:val="en-GB"/>
        </w:rPr>
        <w:footnoteReference w:id="44"/>
      </w:r>
      <w:r w:rsidR="00B8169F">
        <w:rPr>
          <w:lang w:val="en-GB"/>
        </w:rPr>
        <w:t xml:space="preserve"> and </w:t>
      </w:r>
      <w:r w:rsidR="00045AC8">
        <w:rPr>
          <w:lang w:val="en-GB"/>
        </w:rPr>
        <w:t xml:space="preserve">recognising </w:t>
      </w:r>
      <w:r w:rsidR="00B8169F">
        <w:rPr>
          <w:lang w:val="en-GB"/>
        </w:rPr>
        <w:t>it as T</w:t>
      </w:r>
      <w:r w:rsidR="00045AC8">
        <w:rPr>
          <w:lang w:val="en-GB"/>
        </w:rPr>
        <w:t xml:space="preserve">ruth as opposed </w:t>
      </w:r>
      <w:r w:rsidR="00B8169F">
        <w:rPr>
          <w:lang w:val="en-GB"/>
        </w:rPr>
        <w:t xml:space="preserve">to the world of appearances. This recognition </w:t>
      </w:r>
      <w:r w:rsidR="00045AC8">
        <w:rPr>
          <w:lang w:val="en-GB"/>
        </w:rPr>
        <w:t>require</w:t>
      </w:r>
      <w:r w:rsidR="00B8169F">
        <w:rPr>
          <w:lang w:val="en-GB"/>
        </w:rPr>
        <w:t>d</w:t>
      </w:r>
      <w:r w:rsidR="00045AC8">
        <w:rPr>
          <w:lang w:val="en-GB"/>
        </w:rPr>
        <w:t xml:space="preserve"> practice</w:t>
      </w:r>
      <w:r w:rsidR="00045AC8">
        <w:rPr>
          <w:rStyle w:val="FootnoteReference"/>
          <w:lang w:val="en-GB"/>
        </w:rPr>
        <w:footnoteReference w:id="45"/>
      </w:r>
      <w:r w:rsidR="00045AC8">
        <w:rPr>
          <w:lang w:val="en-GB"/>
        </w:rPr>
        <w:t xml:space="preserve">. </w:t>
      </w:r>
      <w:r w:rsidR="00F47182">
        <w:rPr>
          <w:lang w:val="en-GB"/>
        </w:rPr>
        <w:t xml:space="preserve"> </w:t>
      </w:r>
      <w:r w:rsidR="008804B1">
        <w:rPr>
          <w:lang w:val="en-GB"/>
        </w:rPr>
        <w:t>And theurgy c</w:t>
      </w:r>
      <w:r w:rsidR="00B8169F">
        <w:rPr>
          <w:lang w:val="en-GB"/>
        </w:rPr>
        <w:t>ame</w:t>
      </w:r>
      <w:r w:rsidR="008804B1">
        <w:rPr>
          <w:lang w:val="en-GB"/>
        </w:rPr>
        <w:t xml:space="preserve"> in to assist.</w:t>
      </w:r>
    </w:p>
    <w:p w14:paraId="34B73AE6" w14:textId="77777777" w:rsidR="00B80594" w:rsidRDefault="00B80594" w:rsidP="00D21AC0">
      <w:pPr>
        <w:rPr>
          <w:lang w:val="en-GB"/>
        </w:rPr>
      </w:pPr>
    </w:p>
    <w:p w14:paraId="18ADE611" w14:textId="6E1106F5" w:rsidR="00710ADE" w:rsidRDefault="00B8169F" w:rsidP="00710ADE">
      <w:pPr>
        <w:pStyle w:val="Heading1"/>
        <w:rPr>
          <w:lang w:val="en-GB"/>
        </w:rPr>
      </w:pPr>
      <w:r>
        <w:rPr>
          <w:lang w:val="en-GB"/>
        </w:rPr>
        <w:t xml:space="preserve">The </w:t>
      </w:r>
      <w:r w:rsidR="00E07EE7">
        <w:rPr>
          <w:lang w:val="en-GB"/>
        </w:rPr>
        <w:t>convergence point</w:t>
      </w:r>
      <w:r>
        <w:rPr>
          <w:lang w:val="en-GB"/>
        </w:rPr>
        <w:t xml:space="preserve">: </w:t>
      </w:r>
      <w:r w:rsidRPr="00C34833">
        <w:rPr>
          <w:i/>
          <w:iCs/>
          <w:lang w:val="en-GB"/>
        </w:rPr>
        <w:t>sumbola</w:t>
      </w:r>
      <w:r>
        <w:rPr>
          <w:lang w:val="en-GB"/>
        </w:rPr>
        <w:t xml:space="preserve"> as embodiment of the divine</w:t>
      </w:r>
    </w:p>
    <w:p w14:paraId="002DE8F5" w14:textId="7C4EC103" w:rsidR="00710ADE" w:rsidRDefault="00710ADE" w:rsidP="001D7192">
      <w:pPr>
        <w:rPr>
          <w:lang w:val="en-GB"/>
        </w:rPr>
      </w:pPr>
    </w:p>
    <w:p w14:paraId="744F9144" w14:textId="0AFE91F6" w:rsidR="00710ADE" w:rsidRDefault="002113B0" w:rsidP="001D7192">
      <w:pPr>
        <w:rPr>
          <w:lang w:val="en-GB"/>
        </w:rPr>
      </w:pPr>
      <w:r>
        <w:rPr>
          <w:lang w:val="en-GB"/>
        </w:rPr>
        <w:t>Platonists believed that purification</w:t>
      </w:r>
      <w:r w:rsidR="000F4912">
        <w:rPr>
          <w:lang w:val="en-GB"/>
        </w:rPr>
        <w:t xml:space="preserve">, </w:t>
      </w:r>
      <w:r w:rsidR="00CC2980">
        <w:rPr>
          <w:lang w:val="en-GB"/>
        </w:rPr>
        <w:t xml:space="preserve">that </w:t>
      </w:r>
      <w:r w:rsidR="000F4912">
        <w:rPr>
          <w:lang w:val="en-GB"/>
        </w:rPr>
        <w:t xml:space="preserve">is the exit from the cavern and the abandonment of its limited viewpoint, </w:t>
      </w:r>
      <w:r>
        <w:rPr>
          <w:lang w:val="en-GB"/>
        </w:rPr>
        <w:t>was a necessary step for the ascent of the soul and that purity “may only be attained through knowledge”</w:t>
      </w:r>
      <w:r w:rsidR="000F4912">
        <w:rPr>
          <w:rStyle w:val="FootnoteReference"/>
          <w:lang w:val="en-GB"/>
        </w:rPr>
        <w:footnoteReference w:id="46"/>
      </w:r>
      <w:r w:rsidR="00B8169F">
        <w:rPr>
          <w:lang w:val="en-GB"/>
        </w:rPr>
        <w:t xml:space="preserve"> </w:t>
      </w:r>
      <w:r w:rsidR="00BA41D5">
        <w:rPr>
          <w:lang w:val="en-GB"/>
        </w:rPr>
        <w:t xml:space="preserve">achieved initially through </w:t>
      </w:r>
      <w:r w:rsidR="00BA41D5" w:rsidRPr="00E07EE7">
        <w:rPr>
          <w:i/>
          <w:iCs/>
          <w:lang w:val="en-GB"/>
        </w:rPr>
        <w:t>dianoia</w:t>
      </w:r>
      <w:r w:rsidR="00BA41D5">
        <w:rPr>
          <w:lang w:val="en-GB"/>
        </w:rPr>
        <w:t xml:space="preserve"> u</w:t>
      </w:r>
      <w:r w:rsidR="00D64989">
        <w:rPr>
          <w:lang w:val="en-GB"/>
        </w:rPr>
        <w:t>sing</w:t>
      </w:r>
      <w:r w:rsidR="00BA41D5">
        <w:rPr>
          <w:lang w:val="en-GB"/>
        </w:rPr>
        <w:t xml:space="preserve"> </w:t>
      </w:r>
      <w:r w:rsidR="00710ADE" w:rsidRPr="00710ADE">
        <w:rPr>
          <w:lang w:val="en-GB"/>
        </w:rPr>
        <w:t>symbols</w:t>
      </w:r>
      <w:r w:rsidR="000F4912">
        <w:rPr>
          <w:lang w:val="en-GB"/>
        </w:rPr>
        <w:t xml:space="preserve"> (the images of Plato’s cavern)</w:t>
      </w:r>
      <w:r w:rsidR="00314A47">
        <w:rPr>
          <w:lang w:val="en-GB"/>
        </w:rPr>
        <w:t>, intended as the manifestations of the gods within the physical world</w:t>
      </w:r>
      <w:r w:rsidR="00710ADE" w:rsidRPr="00710ADE">
        <w:rPr>
          <w:lang w:val="en-GB"/>
        </w:rPr>
        <w:t>.</w:t>
      </w:r>
    </w:p>
    <w:p w14:paraId="2C7F7CBC" w14:textId="31E10F71" w:rsidR="0084120B" w:rsidRDefault="0084120B" w:rsidP="001D7192">
      <w:pPr>
        <w:rPr>
          <w:lang w:val="en-GB"/>
        </w:rPr>
      </w:pPr>
    </w:p>
    <w:p w14:paraId="221A1F0B" w14:textId="30CF705F" w:rsidR="0084120B" w:rsidRPr="001053E9" w:rsidRDefault="0084120B" w:rsidP="001053E9">
      <w:pPr>
        <w:jc w:val="center"/>
        <w:rPr>
          <w:sz w:val="22"/>
          <w:szCs w:val="22"/>
          <w:lang w:val="en-GB"/>
        </w:rPr>
      </w:pPr>
      <w:r w:rsidRPr="001053E9">
        <w:rPr>
          <w:i/>
          <w:iCs/>
          <w:sz w:val="22"/>
          <w:szCs w:val="22"/>
          <w:lang w:val="en-GB"/>
        </w:rPr>
        <w:t>“Neither the outward nor the inward psychic seer is capable of seeing without images</w:t>
      </w:r>
      <w:r w:rsidR="003650C7">
        <w:rPr>
          <w:i/>
          <w:iCs/>
          <w:sz w:val="22"/>
          <w:szCs w:val="22"/>
          <w:lang w:val="en-GB"/>
        </w:rPr>
        <w:t>.</w:t>
      </w:r>
      <w:r w:rsidRPr="001053E9">
        <w:rPr>
          <w:i/>
          <w:iCs/>
          <w:sz w:val="22"/>
          <w:szCs w:val="22"/>
          <w:lang w:val="en-GB"/>
        </w:rPr>
        <w:t>”</w:t>
      </w:r>
      <w:r w:rsidR="00C34833">
        <w:rPr>
          <w:i/>
          <w:iCs/>
          <w:sz w:val="22"/>
          <w:szCs w:val="22"/>
          <w:lang w:val="en-GB"/>
        </w:rPr>
        <w:t xml:space="preserve"> </w:t>
      </w:r>
      <w:r w:rsidR="00C34833" w:rsidRPr="00C34833">
        <w:rPr>
          <w:i/>
          <w:iCs/>
          <w:sz w:val="22"/>
          <w:szCs w:val="22"/>
          <w:lang w:val="en-GB"/>
        </w:rPr>
        <w:t>U</w:t>
      </w:r>
      <w:r w:rsidR="00C34833" w:rsidRPr="00C34833">
        <w:rPr>
          <w:rFonts w:ascii="Calibri" w:hAnsi="Calibri" w:cs="Calibri"/>
          <w:i/>
          <w:iCs/>
          <w:sz w:val="22"/>
          <w:szCs w:val="22"/>
          <w:lang w:val="en-GB"/>
        </w:rPr>
        <w:t>ždavinys</w:t>
      </w:r>
      <w:r w:rsidR="00C34833" w:rsidRPr="001053E9">
        <w:rPr>
          <w:rStyle w:val="FootnoteReference"/>
          <w:i/>
          <w:iCs/>
          <w:sz w:val="22"/>
          <w:szCs w:val="22"/>
          <w:lang w:val="en-GB"/>
        </w:rPr>
        <w:t xml:space="preserve"> </w:t>
      </w:r>
      <w:r w:rsidR="001053E9" w:rsidRPr="001053E9">
        <w:rPr>
          <w:rStyle w:val="FootnoteReference"/>
          <w:i/>
          <w:iCs/>
          <w:sz w:val="22"/>
          <w:szCs w:val="22"/>
          <w:lang w:val="en-GB"/>
        </w:rPr>
        <w:footnoteReference w:id="47"/>
      </w:r>
      <w:r w:rsidRPr="001053E9">
        <w:rPr>
          <w:sz w:val="22"/>
          <w:szCs w:val="22"/>
          <w:lang w:val="en-GB"/>
        </w:rPr>
        <w:t xml:space="preserve"> </w:t>
      </w:r>
    </w:p>
    <w:p w14:paraId="03E25EA3" w14:textId="1E553BD4" w:rsidR="00703D0E" w:rsidRDefault="00703D0E" w:rsidP="00703D0E">
      <w:pPr>
        <w:rPr>
          <w:lang w:val="en-GB"/>
        </w:rPr>
      </w:pPr>
    </w:p>
    <w:p w14:paraId="19EB7419" w14:textId="3099462B" w:rsidR="00D64989" w:rsidRDefault="00E07EE7" w:rsidP="00710ADE">
      <w:pPr>
        <w:rPr>
          <w:lang w:val="en-GB"/>
        </w:rPr>
      </w:pPr>
      <w:r>
        <w:rPr>
          <w:lang w:val="en-GB"/>
        </w:rPr>
        <w:t xml:space="preserve">Because of the simultaneous transcendence and immanence of the divine, </w:t>
      </w:r>
      <w:r w:rsidR="00A55CEE" w:rsidRPr="007E716B">
        <w:rPr>
          <w:lang w:val="en-GB"/>
        </w:rPr>
        <w:t>U</w:t>
      </w:r>
      <w:r w:rsidR="00A55CEE" w:rsidRPr="007E716B">
        <w:rPr>
          <w:rFonts w:ascii="Calibri" w:hAnsi="Calibri" w:cs="Calibri"/>
          <w:lang w:val="en-GB"/>
        </w:rPr>
        <w:t>ždaviny</w:t>
      </w:r>
      <w:r w:rsidR="00A55CEE">
        <w:rPr>
          <w:rFonts w:ascii="Calibri" w:hAnsi="Calibri" w:cs="Calibri"/>
          <w:lang w:val="en-GB"/>
        </w:rPr>
        <w:t>s</w:t>
      </w:r>
      <w:r w:rsidR="00A55CEE">
        <w:rPr>
          <w:lang w:val="en-GB"/>
        </w:rPr>
        <w:t xml:space="preserve"> </w:t>
      </w:r>
      <w:r w:rsidR="00101246">
        <w:rPr>
          <w:lang w:val="en-GB"/>
        </w:rPr>
        <w:t>emphasised</w:t>
      </w:r>
      <w:r>
        <w:rPr>
          <w:lang w:val="en-GB"/>
        </w:rPr>
        <w:t>:</w:t>
      </w:r>
      <w:r w:rsidR="001053E9">
        <w:rPr>
          <w:lang w:val="en-GB"/>
        </w:rPr>
        <w:t xml:space="preserve"> </w:t>
      </w:r>
      <w:r w:rsidR="003650C7">
        <w:rPr>
          <w:lang w:val="en-GB"/>
        </w:rPr>
        <w:t>“</w:t>
      </w:r>
      <w:r w:rsidR="00703D0E" w:rsidRPr="001053E9">
        <w:rPr>
          <w:i/>
          <w:iCs/>
          <w:lang w:val="en-GB"/>
        </w:rPr>
        <w:t>Sumbola</w:t>
      </w:r>
      <w:r w:rsidR="00703D0E" w:rsidRPr="00191088">
        <w:rPr>
          <w:lang w:val="en-GB"/>
        </w:rPr>
        <w:t xml:space="preserve">, understood in this metaphysical sense, are not </w:t>
      </w:r>
      <w:r>
        <w:rPr>
          <w:lang w:val="en-GB"/>
        </w:rPr>
        <w:t xml:space="preserve">simply traces of or </w:t>
      </w:r>
      <w:r w:rsidR="00703D0E" w:rsidRPr="00191088">
        <w:rPr>
          <w:lang w:val="en-GB"/>
        </w:rPr>
        <w:t>arbitrary signs, but ontological traces of the divine”</w:t>
      </w:r>
      <w:r w:rsidR="001053E9">
        <w:rPr>
          <w:rStyle w:val="FootnoteReference"/>
          <w:lang w:val="en-GB"/>
        </w:rPr>
        <w:footnoteReference w:id="48"/>
      </w:r>
      <w:r w:rsidR="00703D0E" w:rsidRPr="00191088">
        <w:rPr>
          <w:lang w:val="en-GB"/>
        </w:rPr>
        <w:t xml:space="preserve">. </w:t>
      </w:r>
      <w:r w:rsidR="00152F13" w:rsidRPr="007E716B">
        <w:rPr>
          <w:lang w:val="en-GB"/>
        </w:rPr>
        <w:t>U</w:t>
      </w:r>
      <w:r w:rsidR="00152F13" w:rsidRPr="007E716B">
        <w:rPr>
          <w:rFonts w:ascii="Calibri" w:hAnsi="Calibri" w:cs="Calibri"/>
          <w:lang w:val="en-GB"/>
        </w:rPr>
        <w:t>ždaviny</w:t>
      </w:r>
      <w:r w:rsidR="00152F13">
        <w:rPr>
          <w:rFonts w:ascii="Calibri" w:hAnsi="Calibri" w:cs="Calibri"/>
          <w:lang w:val="en-GB"/>
        </w:rPr>
        <w:t>s</w:t>
      </w:r>
      <w:r w:rsidR="00152F13" w:rsidRPr="00191088">
        <w:rPr>
          <w:lang w:val="en-GB"/>
        </w:rPr>
        <w:t xml:space="preserve"> </w:t>
      </w:r>
      <w:r w:rsidR="00152F13">
        <w:rPr>
          <w:lang w:val="en-GB"/>
        </w:rPr>
        <w:t>noted</w:t>
      </w:r>
      <w:r w:rsidR="00E17666">
        <w:rPr>
          <w:rStyle w:val="FootnoteReference"/>
          <w:lang w:val="en-GB"/>
        </w:rPr>
        <w:footnoteReference w:id="49"/>
      </w:r>
      <w:r>
        <w:rPr>
          <w:lang w:val="en-GB"/>
        </w:rPr>
        <w:t xml:space="preserve"> that s</w:t>
      </w:r>
      <w:r w:rsidR="003A3978" w:rsidRPr="00191088">
        <w:rPr>
          <w:lang w:val="en-GB"/>
        </w:rPr>
        <w:t xml:space="preserve">ymbolic language </w:t>
      </w:r>
      <w:r w:rsidR="00D643C8">
        <w:rPr>
          <w:lang w:val="en-GB"/>
        </w:rPr>
        <w:t xml:space="preserve">in Neoplatonism </w:t>
      </w:r>
      <w:r w:rsidR="003A3978" w:rsidRPr="00191088">
        <w:rPr>
          <w:lang w:val="en-GB"/>
        </w:rPr>
        <w:t>represent</w:t>
      </w:r>
      <w:r w:rsidR="00D643C8">
        <w:rPr>
          <w:lang w:val="en-GB"/>
        </w:rPr>
        <w:t>ed</w:t>
      </w:r>
      <w:r w:rsidR="003A3978" w:rsidRPr="00191088">
        <w:rPr>
          <w:lang w:val="en-GB"/>
        </w:rPr>
        <w:t xml:space="preserve"> </w:t>
      </w:r>
      <w:r w:rsidR="00D643C8">
        <w:rPr>
          <w:lang w:val="en-GB"/>
        </w:rPr>
        <w:t>what was</w:t>
      </w:r>
      <w:r w:rsidR="003A3978" w:rsidRPr="00191088">
        <w:rPr>
          <w:lang w:val="en-GB"/>
        </w:rPr>
        <w:t xml:space="preserve"> beyond representation</w:t>
      </w:r>
      <w:r w:rsidR="00D643C8">
        <w:rPr>
          <w:lang w:val="en-GB"/>
        </w:rPr>
        <w:t xml:space="preserve">. “It </w:t>
      </w:r>
      <w:r w:rsidR="003A3978" w:rsidRPr="00191088">
        <w:rPr>
          <w:lang w:val="en-GB"/>
        </w:rPr>
        <w:t>sho</w:t>
      </w:r>
      <w:r w:rsidR="001360F7">
        <w:rPr>
          <w:lang w:val="en-GB"/>
        </w:rPr>
        <w:t>ws</w:t>
      </w:r>
      <w:r w:rsidR="003A3978" w:rsidRPr="00191088">
        <w:rPr>
          <w:lang w:val="en-GB"/>
        </w:rPr>
        <w:t xml:space="preserve"> the bodiless by means of bodies and serves as a ladder for ascent </w:t>
      </w:r>
      <w:r w:rsidR="001360F7">
        <w:rPr>
          <w:lang w:val="en-GB"/>
        </w:rPr>
        <w:t>to</w:t>
      </w:r>
      <w:r w:rsidR="003A3978" w:rsidRPr="00191088">
        <w:rPr>
          <w:lang w:val="en-GB"/>
        </w:rPr>
        <w:t xml:space="preserve"> the divine”</w:t>
      </w:r>
      <w:r w:rsidR="00152F13">
        <w:rPr>
          <w:rStyle w:val="FootnoteReference"/>
          <w:lang w:val="en-GB"/>
        </w:rPr>
        <w:footnoteReference w:id="50"/>
      </w:r>
      <w:r>
        <w:rPr>
          <w:lang w:val="en-GB"/>
        </w:rPr>
        <w:t xml:space="preserve">. </w:t>
      </w:r>
    </w:p>
    <w:p w14:paraId="202168BB" w14:textId="77777777" w:rsidR="00D64989" w:rsidRDefault="00D64989" w:rsidP="00710ADE">
      <w:pPr>
        <w:rPr>
          <w:lang w:val="en-GB"/>
        </w:rPr>
      </w:pPr>
    </w:p>
    <w:p w14:paraId="6DA228D6" w14:textId="5D59F9DE" w:rsidR="00DB4410" w:rsidRDefault="00E07EE7" w:rsidP="00710ADE">
      <w:pPr>
        <w:rPr>
          <w:lang w:val="en-GB"/>
        </w:rPr>
      </w:pPr>
      <w:r>
        <w:rPr>
          <w:lang w:val="en-GB"/>
        </w:rPr>
        <w:t>The theory of symbols</w:t>
      </w:r>
      <w:r w:rsidR="00D643C8">
        <w:rPr>
          <w:lang w:val="en-GB"/>
        </w:rPr>
        <w:t xml:space="preserve"> </w:t>
      </w:r>
      <w:r w:rsidR="00DB4410">
        <w:rPr>
          <w:lang w:val="en-GB"/>
        </w:rPr>
        <w:t>was</w:t>
      </w:r>
      <w:r w:rsidR="00152F13">
        <w:rPr>
          <w:lang w:val="en-GB"/>
        </w:rPr>
        <w:t xml:space="preserve"> what made theurgy not only possible but necessary to attain </w:t>
      </w:r>
      <w:r w:rsidR="003650C7">
        <w:rPr>
          <w:lang w:val="en-GB"/>
        </w:rPr>
        <w:t>complete</w:t>
      </w:r>
      <w:r w:rsidR="00152F13">
        <w:rPr>
          <w:lang w:val="en-GB"/>
        </w:rPr>
        <w:t xml:space="preserve"> “knowledge”.</w:t>
      </w:r>
      <w:r w:rsidR="0031294B">
        <w:rPr>
          <w:lang w:val="en-GB"/>
        </w:rPr>
        <w:t xml:space="preserve"> </w:t>
      </w:r>
      <w:r w:rsidR="0031294B" w:rsidRPr="0031294B">
        <w:rPr>
          <w:i/>
          <w:iCs/>
          <w:lang w:val="en-GB"/>
        </w:rPr>
        <w:t>Sumbola</w:t>
      </w:r>
      <w:r w:rsidR="0031294B" w:rsidRPr="00191088">
        <w:rPr>
          <w:lang w:val="en-GB"/>
        </w:rPr>
        <w:t xml:space="preserve"> </w:t>
      </w:r>
      <w:r w:rsidR="00DB4410">
        <w:rPr>
          <w:lang w:val="en-GB"/>
        </w:rPr>
        <w:t>were</w:t>
      </w:r>
      <w:r w:rsidR="0031294B" w:rsidRPr="00191088">
        <w:rPr>
          <w:lang w:val="en-GB"/>
        </w:rPr>
        <w:t xml:space="preserve"> the physical expression of the divine “chains” </w:t>
      </w:r>
      <w:r>
        <w:rPr>
          <w:lang w:val="en-GB"/>
        </w:rPr>
        <w:t xml:space="preserve">which </w:t>
      </w:r>
      <w:r w:rsidR="003650C7">
        <w:rPr>
          <w:lang w:val="en-GB"/>
        </w:rPr>
        <w:t xml:space="preserve">ontologically </w:t>
      </w:r>
      <w:r>
        <w:rPr>
          <w:lang w:val="en-GB"/>
        </w:rPr>
        <w:t>connect</w:t>
      </w:r>
      <w:r w:rsidR="00DB4410">
        <w:rPr>
          <w:lang w:val="en-GB"/>
        </w:rPr>
        <w:t>ed</w:t>
      </w:r>
      <w:r>
        <w:rPr>
          <w:lang w:val="en-GB"/>
        </w:rPr>
        <w:t xml:space="preserve"> the entire cosmos</w:t>
      </w:r>
      <w:r w:rsidR="0031294B" w:rsidRPr="00191088">
        <w:rPr>
          <w:lang w:val="en-GB"/>
        </w:rPr>
        <w:t xml:space="preserve"> to the gods</w:t>
      </w:r>
      <w:r w:rsidR="00F74C19">
        <w:rPr>
          <w:rStyle w:val="FootnoteReference"/>
          <w:lang w:val="en-GB"/>
        </w:rPr>
        <w:footnoteReference w:id="51"/>
      </w:r>
      <w:r>
        <w:rPr>
          <w:lang w:val="en-GB"/>
        </w:rPr>
        <w:t>. T</w:t>
      </w:r>
      <w:r w:rsidR="0031294B">
        <w:rPr>
          <w:lang w:val="en-GB"/>
        </w:rPr>
        <w:t xml:space="preserve">his specific </w:t>
      </w:r>
      <w:r w:rsidR="00601F6B">
        <w:rPr>
          <w:lang w:val="en-GB"/>
        </w:rPr>
        <w:t xml:space="preserve">use of </w:t>
      </w:r>
      <w:r w:rsidR="00601F6B" w:rsidRPr="00152F13">
        <w:rPr>
          <w:i/>
          <w:iCs/>
          <w:lang w:val="en-GB"/>
        </w:rPr>
        <w:t>sumbola</w:t>
      </w:r>
      <w:r w:rsidR="00601F6B">
        <w:rPr>
          <w:lang w:val="en-GB"/>
        </w:rPr>
        <w:t xml:space="preserve"> </w:t>
      </w:r>
      <w:r w:rsidR="00DB4410">
        <w:rPr>
          <w:lang w:val="en-GB"/>
        </w:rPr>
        <w:t>was</w:t>
      </w:r>
      <w:r w:rsidR="00601F6B">
        <w:rPr>
          <w:lang w:val="en-GB"/>
        </w:rPr>
        <w:t xml:space="preserve"> one of the </w:t>
      </w:r>
      <w:r w:rsidR="00D643C8">
        <w:rPr>
          <w:lang w:val="en-GB"/>
        </w:rPr>
        <w:t xml:space="preserve">main </w:t>
      </w:r>
      <w:r w:rsidR="00601F6B">
        <w:rPr>
          <w:lang w:val="en-GB"/>
        </w:rPr>
        <w:t>connecti</w:t>
      </w:r>
      <w:r w:rsidR="0084120B">
        <w:rPr>
          <w:lang w:val="en-GB"/>
        </w:rPr>
        <w:t>on</w:t>
      </w:r>
      <w:r w:rsidR="00601F6B">
        <w:rPr>
          <w:lang w:val="en-GB"/>
        </w:rPr>
        <w:t xml:space="preserve"> points between philosophy and theurgy. </w:t>
      </w:r>
      <w:r w:rsidR="00601F6B" w:rsidRPr="0031294B">
        <w:rPr>
          <w:i/>
          <w:iCs/>
          <w:lang w:val="en-GB"/>
        </w:rPr>
        <w:t>Sumbola</w:t>
      </w:r>
      <w:r w:rsidR="00601F6B">
        <w:rPr>
          <w:lang w:val="en-GB"/>
        </w:rPr>
        <w:t xml:space="preserve"> </w:t>
      </w:r>
      <w:r w:rsidR="00DB4410">
        <w:rPr>
          <w:lang w:val="en-GB"/>
        </w:rPr>
        <w:t>were</w:t>
      </w:r>
      <w:r w:rsidR="00601F6B">
        <w:rPr>
          <w:lang w:val="en-GB"/>
        </w:rPr>
        <w:t xml:space="preserve"> there for the philosopher</w:t>
      </w:r>
      <w:r w:rsidR="00102927">
        <w:rPr>
          <w:lang w:val="en-GB"/>
        </w:rPr>
        <w:t>s</w:t>
      </w:r>
      <w:r w:rsidR="00601F6B">
        <w:rPr>
          <w:lang w:val="en-GB"/>
        </w:rPr>
        <w:t xml:space="preserve"> to rem</w:t>
      </w:r>
      <w:r w:rsidR="00DB4410">
        <w:rPr>
          <w:lang w:val="en-GB"/>
        </w:rPr>
        <w:t>ember</w:t>
      </w:r>
      <w:r w:rsidR="00601F6B">
        <w:rPr>
          <w:lang w:val="en-GB"/>
        </w:rPr>
        <w:t xml:space="preserve">, </w:t>
      </w:r>
      <w:r w:rsidR="003650C7">
        <w:rPr>
          <w:lang w:val="en-GB"/>
        </w:rPr>
        <w:t xml:space="preserve">to </w:t>
      </w:r>
      <w:r w:rsidR="00601F6B">
        <w:rPr>
          <w:lang w:val="en-GB"/>
        </w:rPr>
        <w:t xml:space="preserve">help </w:t>
      </w:r>
      <w:r w:rsidR="00DB4410">
        <w:rPr>
          <w:lang w:val="en-GB"/>
        </w:rPr>
        <w:t xml:space="preserve">them </w:t>
      </w:r>
      <w:r w:rsidR="003650C7">
        <w:rPr>
          <w:lang w:val="en-GB"/>
        </w:rPr>
        <w:t>reach</w:t>
      </w:r>
      <w:r w:rsidR="00601F6B">
        <w:rPr>
          <w:lang w:val="en-GB"/>
        </w:rPr>
        <w:t xml:space="preserve"> the divine realm of the Forms and </w:t>
      </w:r>
      <w:r w:rsidR="00601F6B">
        <w:rPr>
          <w:lang w:val="en-GB"/>
        </w:rPr>
        <w:lastRenderedPageBreak/>
        <w:t>the One. The theurgist</w:t>
      </w:r>
      <w:r w:rsidR="00D643C8">
        <w:rPr>
          <w:lang w:val="en-GB"/>
        </w:rPr>
        <w:t xml:space="preserve"> </w:t>
      </w:r>
      <w:r w:rsidR="00601F6B">
        <w:rPr>
          <w:lang w:val="en-GB"/>
        </w:rPr>
        <w:t>expand</w:t>
      </w:r>
      <w:r w:rsidR="00D643C8">
        <w:rPr>
          <w:lang w:val="en-GB"/>
        </w:rPr>
        <w:t>ed</w:t>
      </w:r>
      <w:r w:rsidR="00601F6B">
        <w:rPr>
          <w:lang w:val="en-GB"/>
        </w:rPr>
        <w:t xml:space="preserve"> the utilisation of </w:t>
      </w:r>
      <w:r w:rsidR="00601F6B" w:rsidRPr="00D643C8">
        <w:rPr>
          <w:i/>
          <w:iCs/>
          <w:lang w:val="en-GB"/>
        </w:rPr>
        <w:t>sumbola</w:t>
      </w:r>
      <w:r w:rsidR="00601F6B">
        <w:rPr>
          <w:lang w:val="en-GB"/>
        </w:rPr>
        <w:t>, adopting them in their ritual practi</w:t>
      </w:r>
      <w:r w:rsidR="003650C7">
        <w:rPr>
          <w:lang w:val="en-GB"/>
        </w:rPr>
        <w:t>c</w:t>
      </w:r>
      <w:r w:rsidR="00601F6B">
        <w:rPr>
          <w:lang w:val="en-GB"/>
        </w:rPr>
        <w:t xml:space="preserve">es as active tools </w:t>
      </w:r>
      <w:r w:rsidR="00314A47">
        <w:rPr>
          <w:lang w:val="en-GB"/>
        </w:rPr>
        <w:t xml:space="preserve">to </w:t>
      </w:r>
      <w:r w:rsidR="00DB4410">
        <w:rPr>
          <w:lang w:val="en-GB"/>
        </w:rPr>
        <w:t xml:space="preserve">take </w:t>
      </w:r>
      <w:r w:rsidR="00314A47">
        <w:rPr>
          <w:lang w:val="en-GB"/>
        </w:rPr>
        <w:t xml:space="preserve">knowledge </w:t>
      </w:r>
      <w:r w:rsidR="00DB4410">
        <w:rPr>
          <w:lang w:val="en-GB"/>
        </w:rPr>
        <w:t xml:space="preserve">into the territories of the unintelligible </w:t>
      </w:r>
      <w:r w:rsidR="00314A47">
        <w:rPr>
          <w:lang w:val="en-GB"/>
        </w:rPr>
        <w:t xml:space="preserve">and </w:t>
      </w:r>
      <w:r w:rsidR="00601F6B">
        <w:rPr>
          <w:lang w:val="en-GB"/>
        </w:rPr>
        <w:t>to accomplish the ultimate goal of reunion with the divine.</w:t>
      </w:r>
      <w:r w:rsidR="00DB4410">
        <w:rPr>
          <w:lang w:val="en-GB"/>
        </w:rPr>
        <w:t xml:space="preserve"> </w:t>
      </w:r>
      <w:r w:rsidR="00183FCF">
        <w:rPr>
          <w:lang w:val="en-GB"/>
        </w:rPr>
        <w:t xml:space="preserve">Symbols intended as gateways </w:t>
      </w:r>
      <w:r w:rsidR="00DB4410">
        <w:rPr>
          <w:lang w:val="en-GB"/>
        </w:rPr>
        <w:t>allowed the theurgist to venture</w:t>
      </w:r>
      <w:r w:rsidR="00183FCF">
        <w:rPr>
          <w:lang w:val="en-GB"/>
        </w:rPr>
        <w:t xml:space="preserve"> </w:t>
      </w:r>
      <w:r w:rsidR="00DB4410">
        <w:rPr>
          <w:lang w:val="en-GB"/>
        </w:rPr>
        <w:t xml:space="preserve">into a </w:t>
      </w:r>
      <w:r w:rsidR="00183FCF">
        <w:rPr>
          <w:lang w:val="en-GB"/>
        </w:rPr>
        <w:t xml:space="preserve">realm which </w:t>
      </w:r>
      <w:r w:rsidR="00DB4410">
        <w:rPr>
          <w:lang w:val="en-GB"/>
        </w:rPr>
        <w:t>was</w:t>
      </w:r>
      <w:r w:rsidR="00183FCF">
        <w:rPr>
          <w:lang w:val="en-GB"/>
        </w:rPr>
        <w:t xml:space="preserve"> beyond representation and language, a world that </w:t>
      </w:r>
      <w:r w:rsidR="00DB4410">
        <w:rPr>
          <w:lang w:val="en-GB"/>
        </w:rPr>
        <w:t>was</w:t>
      </w:r>
      <w:r w:rsidR="00183FCF">
        <w:rPr>
          <w:lang w:val="en-GB"/>
        </w:rPr>
        <w:t xml:space="preserve"> difficult to comprehend and that require</w:t>
      </w:r>
      <w:r w:rsidR="00DB4410">
        <w:rPr>
          <w:lang w:val="en-GB"/>
        </w:rPr>
        <w:t>d</w:t>
      </w:r>
      <w:r w:rsidR="00183FCF">
        <w:rPr>
          <w:lang w:val="en-GB"/>
        </w:rPr>
        <w:t xml:space="preserve">, in addition to purification, a specific preparation to </w:t>
      </w:r>
      <w:r w:rsidR="00656423">
        <w:rPr>
          <w:lang w:val="en-GB"/>
        </w:rPr>
        <w:t>facilitate</w:t>
      </w:r>
      <w:r w:rsidR="003650C7">
        <w:rPr>
          <w:lang w:val="en-GB"/>
        </w:rPr>
        <w:t xml:space="preserve"> </w:t>
      </w:r>
      <w:r w:rsidR="00D64989">
        <w:rPr>
          <w:lang w:val="en-GB"/>
        </w:rPr>
        <w:t>its</w:t>
      </w:r>
      <w:r w:rsidR="003650C7">
        <w:rPr>
          <w:lang w:val="en-GB"/>
        </w:rPr>
        <w:t xml:space="preserve"> </w:t>
      </w:r>
      <w:r w:rsidR="00102927">
        <w:rPr>
          <w:lang w:val="en-GB"/>
        </w:rPr>
        <w:t>assimilation</w:t>
      </w:r>
      <w:r w:rsidR="00183FCF">
        <w:rPr>
          <w:lang w:val="en-GB"/>
        </w:rPr>
        <w:t xml:space="preserve">. </w:t>
      </w:r>
    </w:p>
    <w:p w14:paraId="4D5D3CC4" w14:textId="77777777" w:rsidR="00DB4410" w:rsidRDefault="00DB4410" w:rsidP="00710ADE">
      <w:pPr>
        <w:rPr>
          <w:lang w:val="en-GB"/>
        </w:rPr>
      </w:pPr>
    </w:p>
    <w:p w14:paraId="2A02E9C1" w14:textId="5D914924" w:rsidR="00DB2D96" w:rsidRDefault="00183FCF" w:rsidP="00710ADE">
      <w:pPr>
        <w:rPr>
          <w:lang w:val="en-GB"/>
        </w:rPr>
      </w:pPr>
      <w:r>
        <w:rPr>
          <w:lang w:val="en-GB"/>
        </w:rPr>
        <w:t>Theurgy</w:t>
      </w:r>
      <w:r w:rsidR="00101246">
        <w:rPr>
          <w:lang w:val="en-GB"/>
        </w:rPr>
        <w:t xml:space="preserve"> </w:t>
      </w:r>
      <w:r w:rsidR="0058466D">
        <w:rPr>
          <w:lang w:val="en-GB"/>
        </w:rPr>
        <w:t>ma</w:t>
      </w:r>
      <w:r w:rsidR="00656423">
        <w:rPr>
          <w:lang w:val="en-GB"/>
        </w:rPr>
        <w:t>de</w:t>
      </w:r>
      <w:r w:rsidR="0058466D">
        <w:rPr>
          <w:lang w:val="en-GB"/>
        </w:rPr>
        <w:t xml:space="preserve"> use of symbols in rituals and actively work</w:t>
      </w:r>
      <w:r w:rsidR="00656423">
        <w:rPr>
          <w:lang w:val="en-GB"/>
        </w:rPr>
        <w:t>ed</w:t>
      </w:r>
      <w:r w:rsidR="0058466D">
        <w:rPr>
          <w:lang w:val="en-GB"/>
        </w:rPr>
        <w:t xml:space="preserve"> with them according to divine love and sympathy as real </w:t>
      </w:r>
      <w:r w:rsidR="0031294B">
        <w:rPr>
          <w:lang w:val="en-GB"/>
        </w:rPr>
        <w:t>entryways</w:t>
      </w:r>
      <w:r w:rsidR="0058466D">
        <w:rPr>
          <w:lang w:val="en-GB"/>
        </w:rPr>
        <w:t xml:space="preserve"> to the ineffable realm of the gods. Anything in the realm of generation </w:t>
      </w:r>
      <w:r w:rsidR="00DB4410">
        <w:rPr>
          <w:lang w:val="en-GB"/>
        </w:rPr>
        <w:t>could</w:t>
      </w:r>
      <w:r w:rsidR="0058466D">
        <w:rPr>
          <w:lang w:val="en-GB"/>
        </w:rPr>
        <w:t xml:space="preserve"> be a symbol</w:t>
      </w:r>
      <w:r w:rsidR="00DB4410">
        <w:rPr>
          <w:lang w:val="en-GB"/>
        </w:rPr>
        <w:t>:</w:t>
      </w:r>
      <w:r w:rsidR="0058466D">
        <w:rPr>
          <w:lang w:val="en-GB"/>
        </w:rPr>
        <w:t xml:space="preserve"> </w:t>
      </w:r>
      <w:r>
        <w:rPr>
          <w:lang w:val="en-GB"/>
        </w:rPr>
        <w:t xml:space="preserve">an image, an object, </w:t>
      </w:r>
      <w:r w:rsidR="0058466D" w:rsidRPr="00191088">
        <w:rPr>
          <w:lang w:val="en-GB"/>
        </w:rPr>
        <w:t xml:space="preserve">stones, plants, herbs, </w:t>
      </w:r>
      <w:r w:rsidR="0058466D">
        <w:rPr>
          <w:lang w:val="en-GB"/>
        </w:rPr>
        <w:t>gems</w:t>
      </w:r>
      <w:r w:rsidR="008949CD">
        <w:rPr>
          <w:rStyle w:val="FootnoteReference"/>
          <w:lang w:val="en-GB"/>
        </w:rPr>
        <w:footnoteReference w:id="52"/>
      </w:r>
      <w:r>
        <w:rPr>
          <w:lang w:val="en-GB"/>
        </w:rPr>
        <w:t>, numbers, sounds and omens</w:t>
      </w:r>
      <w:r>
        <w:rPr>
          <w:rStyle w:val="FootnoteReference"/>
          <w:lang w:val="en-GB"/>
        </w:rPr>
        <w:footnoteReference w:id="53"/>
      </w:r>
      <w:r w:rsidR="00D643C8">
        <w:rPr>
          <w:lang w:val="en-GB"/>
        </w:rPr>
        <w:t xml:space="preserve">. </w:t>
      </w:r>
      <w:r w:rsidR="0058466D">
        <w:rPr>
          <w:lang w:val="en-GB"/>
        </w:rPr>
        <w:t xml:space="preserve"> </w:t>
      </w:r>
      <w:r w:rsidR="00D64989">
        <w:rPr>
          <w:lang w:val="en-GB"/>
        </w:rPr>
        <w:t>Magic</w:t>
      </w:r>
      <w:r w:rsidR="00DB4410">
        <w:rPr>
          <w:lang w:val="en-GB"/>
        </w:rPr>
        <w:t xml:space="preserve"> </w:t>
      </w:r>
      <w:r w:rsidR="00101246">
        <w:rPr>
          <w:lang w:val="en-GB"/>
        </w:rPr>
        <w:t>too</w:t>
      </w:r>
      <w:r w:rsidR="00DB4410">
        <w:rPr>
          <w:lang w:val="en-GB"/>
        </w:rPr>
        <w:t xml:space="preserve"> ma</w:t>
      </w:r>
      <w:r w:rsidR="00101246">
        <w:rPr>
          <w:lang w:val="en-GB"/>
        </w:rPr>
        <w:t>de</w:t>
      </w:r>
      <w:r w:rsidR="00DB4410">
        <w:rPr>
          <w:lang w:val="en-GB"/>
        </w:rPr>
        <w:t xml:space="preserve"> use of symbols and objects in a very similar way</w:t>
      </w:r>
      <w:r w:rsidR="00102927">
        <w:rPr>
          <w:rStyle w:val="FootnoteReference"/>
          <w:lang w:val="en-GB"/>
        </w:rPr>
        <w:footnoteReference w:id="54"/>
      </w:r>
      <w:r w:rsidR="00DB4410">
        <w:rPr>
          <w:lang w:val="en-GB"/>
        </w:rPr>
        <w:t xml:space="preserve">.  So, it can be concluded that the theory of </w:t>
      </w:r>
      <w:r w:rsidR="00DB4410" w:rsidRPr="00C34833">
        <w:rPr>
          <w:i/>
          <w:iCs/>
          <w:lang w:val="en-GB"/>
        </w:rPr>
        <w:t>sumbola</w:t>
      </w:r>
      <w:r w:rsidR="00DB4410">
        <w:rPr>
          <w:lang w:val="en-GB"/>
        </w:rPr>
        <w:t xml:space="preserve"> is the keystone </w:t>
      </w:r>
      <w:r w:rsidR="00D64989">
        <w:rPr>
          <w:lang w:val="en-GB"/>
        </w:rPr>
        <w:t>of</w:t>
      </w:r>
      <w:r w:rsidR="00DB4410">
        <w:rPr>
          <w:lang w:val="en-GB"/>
        </w:rPr>
        <w:t xml:space="preserve"> the connection between philosophy, theurgy and magic. </w:t>
      </w:r>
    </w:p>
    <w:p w14:paraId="29AFCC03" w14:textId="77777777" w:rsidR="00B80594" w:rsidRDefault="00B80594" w:rsidP="00710ADE">
      <w:pPr>
        <w:rPr>
          <w:lang w:val="en-GB"/>
        </w:rPr>
      </w:pPr>
    </w:p>
    <w:p w14:paraId="2DD9A16C" w14:textId="71E44754" w:rsidR="00703D0E" w:rsidRDefault="00703D0E" w:rsidP="00C850FC">
      <w:pPr>
        <w:pStyle w:val="Heading1"/>
        <w:rPr>
          <w:lang w:val="en-GB"/>
        </w:rPr>
      </w:pPr>
      <w:r>
        <w:rPr>
          <w:lang w:val="en-GB"/>
        </w:rPr>
        <w:t xml:space="preserve">Theurgy </w:t>
      </w:r>
      <w:r w:rsidR="00666D54">
        <w:rPr>
          <w:lang w:val="en-GB"/>
        </w:rPr>
        <w:t xml:space="preserve">- </w:t>
      </w:r>
      <w:r>
        <w:rPr>
          <w:lang w:val="en-GB"/>
        </w:rPr>
        <w:t xml:space="preserve">the summit of </w:t>
      </w:r>
      <w:r w:rsidR="00314A47">
        <w:rPr>
          <w:lang w:val="en-GB"/>
        </w:rPr>
        <w:t>Platoni</w:t>
      </w:r>
      <w:r w:rsidR="00D64989">
        <w:rPr>
          <w:lang w:val="en-GB"/>
        </w:rPr>
        <w:t>c</w:t>
      </w:r>
      <w:r w:rsidR="00314A47">
        <w:rPr>
          <w:lang w:val="en-GB"/>
        </w:rPr>
        <w:t xml:space="preserve"> </w:t>
      </w:r>
      <w:r w:rsidR="00B80594">
        <w:rPr>
          <w:lang w:val="en-GB"/>
        </w:rPr>
        <w:t>Knowle</w:t>
      </w:r>
      <w:r>
        <w:rPr>
          <w:lang w:val="en-GB"/>
        </w:rPr>
        <w:t>dge</w:t>
      </w:r>
    </w:p>
    <w:p w14:paraId="0E667BD0" w14:textId="77777777" w:rsidR="00703D0E" w:rsidRPr="00191088" w:rsidRDefault="00703D0E" w:rsidP="00703D0E">
      <w:pPr>
        <w:rPr>
          <w:lang w:val="en-GB"/>
        </w:rPr>
      </w:pPr>
    </w:p>
    <w:p w14:paraId="36E8E970" w14:textId="4A64D1DB" w:rsidR="00915E2E" w:rsidRDefault="00D643C8" w:rsidP="00703D0E">
      <w:pPr>
        <w:rPr>
          <w:lang w:val="en-GB"/>
        </w:rPr>
      </w:pPr>
      <w:r>
        <w:rPr>
          <w:lang w:val="en-GB"/>
        </w:rPr>
        <w:t>T</w:t>
      </w:r>
      <w:r w:rsidR="00EF66EF">
        <w:rPr>
          <w:lang w:val="en-GB"/>
        </w:rPr>
        <w:t>heurgy sprang out of Neoplatonism</w:t>
      </w:r>
      <w:r w:rsidR="008949CD">
        <w:rPr>
          <w:lang w:val="en-GB"/>
        </w:rPr>
        <w:t>, with which it shar</w:t>
      </w:r>
      <w:r w:rsidR="00D64989">
        <w:rPr>
          <w:lang w:val="en-GB"/>
        </w:rPr>
        <w:t>ed</w:t>
      </w:r>
      <w:r w:rsidR="00F47182">
        <w:rPr>
          <w:lang w:val="en-GB"/>
        </w:rPr>
        <w:t xml:space="preserve"> t</w:t>
      </w:r>
      <w:r w:rsidR="00865B4D">
        <w:rPr>
          <w:lang w:val="en-GB"/>
        </w:rPr>
        <w:t xml:space="preserve">he same epistemological, </w:t>
      </w:r>
      <w:r w:rsidR="008949CD">
        <w:rPr>
          <w:lang w:val="en-GB"/>
        </w:rPr>
        <w:t>metaphysic</w:t>
      </w:r>
      <w:r w:rsidR="00865B4D">
        <w:rPr>
          <w:lang w:val="en-GB"/>
        </w:rPr>
        <w:t>al</w:t>
      </w:r>
      <w:r w:rsidR="008949CD">
        <w:rPr>
          <w:lang w:val="en-GB"/>
        </w:rPr>
        <w:t xml:space="preserve"> and cosmolog</w:t>
      </w:r>
      <w:r w:rsidR="00865B4D">
        <w:rPr>
          <w:lang w:val="en-GB"/>
        </w:rPr>
        <w:t>ical framework</w:t>
      </w:r>
      <w:r>
        <w:rPr>
          <w:lang w:val="en-GB"/>
        </w:rPr>
        <w:t xml:space="preserve">. It </w:t>
      </w:r>
      <w:r w:rsidR="00D64989">
        <w:rPr>
          <w:lang w:val="en-GB"/>
        </w:rPr>
        <w:t>was</w:t>
      </w:r>
      <w:r w:rsidR="00865B4D">
        <w:rPr>
          <w:lang w:val="en-GB"/>
        </w:rPr>
        <w:t xml:space="preserve"> </w:t>
      </w:r>
      <w:r w:rsidR="00601F6B">
        <w:rPr>
          <w:lang w:val="en-GB"/>
        </w:rPr>
        <w:t>a real spin-out of philo</w:t>
      </w:r>
      <w:r w:rsidR="00C34833">
        <w:rPr>
          <w:lang w:val="en-GB"/>
        </w:rPr>
        <w:t xml:space="preserve">sophy’s </w:t>
      </w:r>
      <w:r w:rsidR="008949CD">
        <w:rPr>
          <w:lang w:val="en-GB"/>
        </w:rPr>
        <w:t xml:space="preserve">intrinsic </w:t>
      </w:r>
      <w:r w:rsidR="00865B4D">
        <w:rPr>
          <w:lang w:val="en-GB"/>
        </w:rPr>
        <w:t>limitations</w:t>
      </w:r>
      <w:r>
        <w:rPr>
          <w:lang w:val="en-GB"/>
        </w:rPr>
        <w:t>,</w:t>
      </w:r>
      <w:r w:rsidR="00865B4D">
        <w:rPr>
          <w:lang w:val="en-GB"/>
        </w:rPr>
        <w:t xml:space="preserve"> which were openly </w:t>
      </w:r>
      <w:r w:rsidR="0031294B">
        <w:rPr>
          <w:lang w:val="en-GB"/>
        </w:rPr>
        <w:t>recognised</w:t>
      </w:r>
      <w:r w:rsidR="00865B4D">
        <w:rPr>
          <w:lang w:val="en-GB"/>
        </w:rPr>
        <w:t xml:space="preserve"> by the Neoplatonist</w:t>
      </w:r>
      <w:r w:rsidR="00C34833">
        <w:rPr>
          <w:lang w:val="en-GB"/>
        </w:rPr>
        <w:t xml:space="preserve">s </w:t>
      </w:r>
      <w:r w:rsidR="00865B4D">
        <w:rPr>
          <w:lang w:val="en-GB"/>
        </w:rPr>
        <w:t xml:space="preserve">who </w:t>
      </w:r>
      <w:r>
        <w:rPr>
          <w:lang w:val="en-GB"/>
        </w:rPr>
        <w:t xml:space="preserve">serenely admitted the </w:t>
      </w:r>
      <w:r w:rsidR="00D64989">
        <w:rPr>
          <w:lang w:val="en-GB"/>
        </w:rPr>
        <w:t>limits</w:t>
      </w:r>
      <w:r>
        <w:rPr>
          <w:lang w:val="en-GB"/>
        </w:rPr>
        <w:t xml:space="preserve"> </w:t>
      </w:r>
      <w:r w:rsidR="00F47182">
        <w:rPr>
          <w:lang w:val="en-GB"/>
        </w:rPr>
        <w:t xml:space="preserve">of </w:t>
      </w:r>
      <w:r w:rsidR="00D64989">
        <w:rPr>
          <w:lang w:val="en-GB"/>
        </w:rPr>
        <w:t xml:space="preserve">human </w:t>
      </w:r>
      <w:r w:rsidR="00865B4D">
        <w:rPr>
          <w:lang w:val="en-GB"/>
        </w:rPr>
        <w:t>knowledge.</w:t>
      </w:r>
      <w:r w:rsidR="00C630AA">
        <w:rPr>
          <w:lang w:val="en-GB"/>
        </w:rPr>
        <w:t xml:space="preserve"> </w:t>
      </w:r>
      <w:r w:rsidR="00865B4D">
        <w:rPr>
          <w:lang w:val="en-GB"/>
        </w:rPr>
        <w:t xml:space="preserve">The substrate of </w:t>
      </w:r>
      <w:r w:rsidR="00F47182">
        <w:rPr>
          <w:lang w:val="en-GB"/>
        </w:rPr>
        <w:t>t</w:t>
      </w:r>
      <w:r w:rsidR="0031294B">
        <w:rPr>
          <w:lang w:val="en-GB"/>
        </w:rPr>
        <w:t>heurgy and philosophy</w:t>
      </w:r>
      <w:r>
        <w:rPr>
          <w:lang w:val="en-GB"/>
        </w:rPr>
        <w:t xml:space="preserve"> was</w:t>
      </w:r>
      <w:r w:rsidR="00865B4D">
        <w:rPr>
          <w:lang w:val="en-GB"/>
        </w:rPr>
        <w:t xml:space="preserve"> identical, </w:t>
      </w:r>
      <w:r w:rsidR="00EF66EF">
        <w:rPr>
          <w:lang w:val="en-GB"/>
        </w:rPr>
        <w:t>beyond the</w:t>
      </w:r>
      <w:r w:rsidR="00601F6B">
        <w:rPr>
          <w:lang w:val="en-GB"/>
        </w:rPr>
        <w:t xml:space="preserve"> subtle</w:t>
      </w:r>
      <w:r w:rsidR="00EF66EF">
        <w:rPr>
          <w:lang w:val="en-GB"/>
        </w:rPr>
        <w:t xml:space="preserve"> </w:t>
      </w:r>
      <w:r w:rsidR="00601F6B">
        <w:rPr>
          <w:lang w:val="en-GB"/>
        </w:rPr>
        <w:t>variances</w:t>
      </w:r>
      <w:r w:rsidR="00015F8C">
        <w:rPr>
          <w:lang w:val="en-GB"/>
        </w:rPr>
        <w:t xml:space="preserve"> </w:t>
      </w:r>
      <w:r w:rsidR="00D64989">
        <w:rPr>
          <w:lang w:val="en-GB"/>
        </w:rPr>
        <w:t>developed</w:t>
      </w:r>
      <w:r w:rsidR="00015F8C">
        <w:rPr>
          <w:lang w:val="en-GB"/>
        </w:rPr>
        <w:t xml:space="preserve"> by different thinkers</w:t>
      </w:r>
      <w:r w:rsidR="00D64989">
        <w:rPr>
          <w:lang w:val="en-GB"/>
        </w:rPr>
        <w:t>.</w:t>
      </w:r>
    </w:p>
    <w:p w14:paraId="26DE9503" w14:textId="418EC004" w:rsidR="00703D0E" w:rsidRDefault="00EF66EF" w:rsidP="00703D0E">
      <w:pPr>
        <w:rPr>
          <w:lang w:val="en-GB"/>
        </w:rPr>
      </w:pPr>
      <w:r w:rsidRPr="00CD044B">
        <w:rPr>
          <w:lang w:val="en-GB"/>
        </w:rPr>
        <w:lastRenderedPageBreak/>
        <w:t xml:space="preserve">The need for theurgy </w:t>
      </w:r>
      <w:r w:rsidR="0058466D" w:rsidRPr="00CD044B">
        <w:rPr>
          <w:lang w:val="en-GB"/>
        </w:rPr>
        <w:t>can be traced back to</w:t>
      </w:r>
      <w:r w:rsidRPr="00CD044B">
        <w:rPr>
          <w:lang w:val="en-GB"/>
        </w:rPr>
        <w:t xml:space="preserve"> Plato’s work</w:t>
      </w:r>
      <w:r w:rsidR="00C2358B">
        <w:rPr>
          <w:rStyle w:val="FootnoteReference"/>
          <w:lang w:val="en-GB"/>
        </w:rPr>
        <w:footnoteReference w:id="55"/>
      </w:r>
      <w:r w:rsidRPr="00CD044B">
        <w:rPr>
          <w:lang w:val="en-GB"/>
        </w:rPr>
        <w:t xml:space="preserve">, even though </w:t>
      </w:r>
      <w:r w:rsidR="0058466D" w:rsidRPr="00CD044B">
        <w:rPr>
          <w:lang w:val="en-GB"/>
        </w:rPr>
        <w:t>theurgy</w:t>
      </w:r>
      <w:r w:rsidRPr="00CD044B">
        <w:rPr>
          <w:lang w:val="en-GB"/>
        </w:rPr>
        <w:t xml:space="preserve"> </w:t>
      </w:r>
      <w:proofErr w:type="spellStart"/>
      <w:r w:rsidRPr="00CD044B">
        <w:rPr>
          <w:lang w:val="en-GB"/>
        </w:rPr>
        <w:t>w</w:t>
      </w:r>
      <w:r w:rsidR="00015F8C">
        <w:rPr>
          <w:lang w:val="en-GB"/>
        </w:rPr>
        <w:t>oul</w:t>
      </w:r>
      <w:proofErr w:type="spellEnd"/>
      <w:r w:rsidRPr="00CD044B">
        <w:rPr>
          <w:lang w:val="en-GB"/>
        </w:rPr>
        <w:t xml:space="preserve"> enter the scene only centuries </w:t>
      </w:r>
      <w:r w:rsidR="00314A47" w:rsidRPr="00CD044B">
        <w:rPr>
          <w:lang w:val="en-GB"/>
        </w:rPr>
        <w:t>later</w:t>
      </w:r>
      <w:r w:rsidR="00C630AA">
        <w:rPr>
          <w:rStyle w:val="FootnoteReference"/>
          <w:lang w:val="en-GB"/>
        </w:rPr>
        <w:footnoteReference w:id="56"/>
      </w:r>
      <w:r w:rsidR="00C2358B" w:rsidRPr="00C2358B">
        <w:rPr>
          <w:lang w:val="en-US"/>
        </w:rPr>
        <w:t xml:space="preserve">. </w:t>
      </w:r>
      <w:r w:rsidR="00C2358B">
        <w:rPr>
          <w:lang w:val="en-GB"/>
        </w:rPr>
        <w:t>Theurgy</w:t>
      </w:r>
      <w:r w:rsidR="00015F8C">
        <w:rPr>
          <w:lang w:val="en-GB"/>
        </w:rPr>
        <w:t xml:space="preserve">’s </w:t>
      </w:r>
      <w:r w:rsidR="00015F8C" w:rsidRPr="00015F8C">
        <w:rPr>
          <w:i/>
          <w:iCs/>
          <w:lang w:val="en-GB"/>
        </w:rPr>
        <w:t>raison d’être</w:t>
      </w:r>
      <w:r w:rsidR="00C2358B">
        <w:rPr>
          <w:lang w:val="en-GB"/>
        </w:rPr>
        <w:t xml:space="preserve"> was </w:t>
      </w:r>
      <w:r w:rsidR="00865B4D">
        <w:rPr>
          <w:lang w:val="en-GB"/>
        </w:rPr>
        <w:t>inherently</w:t>
      </w:r>
      <w:r w:rsidR="00C2358B">
        <w:rPr>
          <w:lang w:val="en-GB"/>
        </w:rPr>
        <w:t xml:space="preserve"> comprised within the limitations that contemplation of symbols</w:t>
      </w:r>
      <w:r w:rsidR="00865B4D">
        <w:rPr>
          <w:lang w:val="en-GB"/>
        </w:rPr>
        <w:t xml:space="preserve"> </w:t>
      </w:r>
      <w:r w:rsidR="00C2358B">
        <w:rPr>
          <w:lang w:val="en-GB"/>
        </w:rPr>
        <w:t xml:space="preserve">and </w:t>
      </w:r>
      <w:r w:rsidR="00C2358B" w:rsidRPr="00C34833">
        <w:rPr>
          <w:i/>
          <w:iCs/>
          <w:lang w:val="en-GB"/>
        </w:rPr>
        <w:t>dianoia</w:t>
      </w:r>
      <w:r w:rsidR="00C2358B">
        <w:rPr>
          <w:lang w:val="en-GB"/>
        </w:rPr>
        <w:t xml:space="preserve"> </w:t>
      </w:r>
      <w:r w:rsidR="00D64989">
        <w:rPr>
          <w:lang w:val="en-GB"/>
        </w:rPr>
        <w:t>presented</w:t>
      </w:r>
      <w:r w:rsidR="00C2358B">
        <w:rPr>
          <w:lang w:val="en-GB"/>
        </w:rPr>
        <w:t xml:space="preserve">. </w:t>
      </w:r>
      <w:r w:rsidR="00A140B3">
        <w:rPr>
          <w:lang w:val="en-GB"/>
        </w:rPr>
        <w:t>Neoplatonism did not see a contradiction in theorising the existence of rational and supra-rational</w:t>
      </w:r>
      <w:r w:rsidR="00652B55">
        <w:rPr>
          <w:lang w:val="en-GB"/>
        </w:rPr>
        <w:t xml:space="preserve"> </w:t>
      </w:r>
      <w:r w:rsidR="00A140B3">
        <w:rPr>
          <w:lang w:val="en-GB"/>
        </w:rPr>
        <w:t>knowledge, which was intended, as</w:t>
      </w:r>
      <w:r w:rsidR="0031294B">
        <w:rPr>
          <w:lang w:val="en-GB"/>
        </w:rPr>
        <w:t xml:space="preserve"> Addey noted,</w:t>
      </w:r>
      <w:r w:rsidR="00A140B3">
        <w:rPr>
          <w:lang w:val="en-GB"/>
        </w:rPr>
        <w:t xml:space="preserve"> </w:t>
      </w:r>
      <w:r w:rsidR="00D643C8">
        <w:rPr>
          <w:lang w:val="en-GB"/>
        </w:rPr>
        <w:t xml:space="preserve">as </w:t>
      </w:r>
      <w:r w:rsidR="00A140B3">
        <w:rPr>
          <w:lang w:val="en-GB"/>
        </w:rPr>
        <w:t>the culmination of rational</w:t>
      </w:r>
      <w:r w:rsidR="00865B4D">
        <w:rPr>
          <w:lang w:val="en-GB"/>
        </w:rPr>
        <w:t xml:space="preserve"> thought</w:t>
      </w:r>
      <w:r w:rsidR="00015F8C">
        <w:rPr>
          <w:lang w:val="en-GB"/>
        </w:rPr>
        <w:t xml:space="preserve"> </w:t>
      </w:r>
      <w:r w:rsidR="00A140B3">
        <w:rPr>
          <w:lang w:val="en-GB"/>
        </w:rPr>
        <w:t xml:space="preserve">rather </w:t>
      </w:r>
      <w:r w:rsidR="00015F8C">
        <w:rPr>
          <w:lang w:val="en-GB"/>
        </w:rPr>
        <w:t>than “</w:t>
      </w:r>
      <w:r w:rsidR="00A140B3">
        <w:rPr>
          <w:lang w:val="en-GB"/>
        </w:rPr>
        <w:t>the lack thereof</w:t>
      </w:r>
      <w:r w:rsidR="00C34833">
        <w:rPr>
          <w:lang w:val="en-GB"/>
        </w:rPr>
        <w:t>”</w:t>
      </w:r>
      <w:r w:rsidR="00A140B3">
        <w:rPr>
          <w:rStyle w:val="FootnoteReference"/>
          <w:lang w:val="en-GB"/>
        </w:rPr>
        <w:footnoteReference w:id="57"/>
      </w:r>
      <w:r w:rsidR="00A140B3">
        <w:rPr>
          <w:lang w:val="en-GB"/>
        </w:rPr>
        <w:t>.</w:t>
      </w:r>
      <w:r w:rsidR="00D64989">
        <w:rPr>
          <w:lang w:val="en-GB"/>
        </w:rPr>
        <w:t xml:space="preserve"> </w:t>
      </w:r>
      <w:r w:rsidR="00A85A20">
        <w:rPr>
          <w:lang w:val="en-GB"/>
        </w:rPr>
        <w:t>Hence</w:t>
      </w:r>
      <w:r w:rsidR="00D64989">
        <w:rPr>
          <w:lang w:val="en-GB"/>
        </w:rPr>
        <w:t xml:space="preserve">, </w:t>
      </w:r>
      <w:r w:rsidR="00015F8C">
        <w:rPr>
          <w:lang w:val="en-GB"/>
        </w:rPr>
        <w:t xml:space="preserve">where </w:t>
      </w:r>
      <w:r w:rsidR="00D64989">
        <w:rPr>
          <w:lang w:val="en-GB"/>
        </w:rPr>
        <w:t>human rationality ended</w:t>
      </w:r>
      <w:r w:rsidR="00015F8C">
        <w:rPr>
          <w:lang w:val="en-GB"/>
        </w:rPr>
        <w:t>,</w:t>
      </w:r>
      <w:r w:rsidR="00D64989">
        <w:rPr>
          <w:lang w:val="en-GB"/>
        </w:rPr>
        <w:t xml:space="preserve"> the supra-rational began. </w:t>
      </w:r>
    </w:p>
    <w:p w14:paraId="4149F813" w14:textId="4DBEC07A" w:rsidR="00B776D2" w:rsidRDefault="00B776D2" w:rsidP="00703D0E">
      <w:pPr>
        <w:rPr>
          <w:lang w:val="en-GB"/>
        </w:rPr>
      </w:pPr>
    </w:p>
    <w:p w14:paraId="2A46A93F" w14:textId="3F8801B4" w:rsidR="00B71CB4" w:rsidRPr="00191088" w:rsidRDefault="00652B55" w:rsidP="00B71CB4">
      <w:pPr>
        <w:rPr>
          <w:lang w:val="en-GB"/>
        </w:rPr>
      </w:pPr>
      <w:r>
        <w:rPr>
          <w:lang w:val="en-GB"/>
        </w:rPr>
        <w:t>Thus</w:t>
      </w:r>
      <w:r w:rsidR="00B776D2">
        <w:rPr>
          <w:lang w:val="en-GB"/>
        </w:rPr>
        <w:t>,</w:t>
      </w:r>
      <w:r w:rsidR="00703D0E">
        <w:rPr>
          <w:lang w:val="en-GB"/>
        </w:rPr>
        <w:t xml:space="preserve"> </w:t>
      </w:r>
      <w:r w:rsidR="00A85A20">
        <w:rPr>
          <w:lang w:val="en-GB"/>
        </w:rPr>
        <w:t>t</w:t>
      </w:r>
      <w:r w:rsidR="00703D0E">
        <w:rPr>
          <w:lang w:val="en-GB"/>
        </w:rPr>
        <w:t xml:space="preserve">heurgy </w:t>
      </w:r>
      <w:r w:rsidR="00A85A20">
        <w:rPr>
          <w:lang w:val="en-GB"/>
        </w:rPr>
        <w:t xml:space="preserve">entered the scene </w:t>
      </w:r>
      <w:r w:rsidR="00703D0E">
        <w:rPr>
          <w:lang w:val="en-GB"/>
        </w:rPr>
        <w:t>to help the</w:t>
      </w:r>
      <w:r w:rsidR="00A40E12">
        <w:rPr>
          <w:lang w:val="en-GB"/>
        </w:rPr>
        <w:t xml:space="preserve"> philosopher, now</w:t>
      </w:r>
      <w:r w:rsidR="00A140B3">
        <w:rPr>
          <w:lang w:val="en-GB"/>
        </w:rPr>
        <w:t xml:space="preserve"> </w:t>
      </w:r>
      <w:r w:rsidR="00A40E12">
        <w:rPr>
          <w:lang w:val="en-GB"/>
        </w:rPr>
        <w:t xml:space="preserve">theurgist, </w:t>
      </w:r>
      <w:r w:rsidR="00D643C8">
        <w:rPr>
          <w:lang w:val="en-GB"/>
        </w:rPr>
        <w:t xml:space="preserve">to </w:t>
      </w:r>
      <w:r w:rsidR="00B776D2">
        <w:rPr>
          <w:lang w:val="en-GB"/>
        </w:rPr>
        <w:t>experienc</w:t>
      </w:r>
      <w:r w:rsidR="00865B4D">
        <w:rPr>
          <w:lang w:val="en-GB"/>
        </w:rPr>
        <w:t>e</w:t>
      </w:r>
      <w:r w:rsidR="00B776D2">
        <w:rPr>
          <w:lang w:val="en-GB"/>
        </w:rPr>
        <w:t xml:space="preserve"> </w:t>
      </w:r>
      <w:r w:rsidR="00EF66EF">
        <w:rPr>
          <w:lang w:val="en-GB"/>
        </w:rPr>
        <w:t>the ineffable</w:t>
      </w:r>
      <w:r w:rsidR="00F47182">
        <w:rPr>
          <w:lang w:val="en-GB"/>
        </w:rPr>
        <w:t xml:space="preserve"> and </w:t>
      </w:r>
      <w:r w:rsidR="00EF66EF">
        <w:rPr>
          <w:lang w:val="en-GB"/>
        </w:rPr>
        <w:t>unintelligible</w:t>
      </w:r>
      <w:r w:rsidR="00F47182">
        <w:rPr>
          <w:lang w:val="en-GB"/>
        </w:rPr>
        <w:t>.</w:t>
      </w:r>
      <w:r w:rsidR="00EF66EF">
        <w:rPr>
          <w:lang w:val="en-GB"/>
        </w:rPr>
        <w:t xml:space="preserve"> </w:t>
      </w:r>
      <w:r w:rsidR="00A40E12">
        <w:rPr>
          <w:lang w:val="en-GB"/>
        </w:rPr>
        <w:t xml:space="preserve">Iamblichus, in the </w:t>
      </w:r>
      <w:r w:rsidR="00A40E12" w:rsidRPr="004D3A2C">
        <w:rPr>
          <w:i/>
          <w:iCs/>
          <w:lang w:val="en-GB"/>
        </w:rPr>
        <w:t>De Mysteriis</w:t>
      </w:r>
      <w:r w:rsidR="00A40E12">
        <w:rPr>
          <w:lang w:val="en-GB"/>
        </w:rPr>
        <w:t>, clearly stated that the theurgist must be a philosopher and must have accomplished th</w:t>
      </w:r>
      <w:r w:rsidR="00015F8C">
        <w:rPr>
          <w:lang w:val="en-GB"/>
        </w:rPr>
        <w:t xml:space="preserve">e </w:t>
      </w:r>
      <w:r w:rsidR="00A40E12">
        <w:rPr>
          <w:lang w:val="en-GB"/>
        </w:rPr>
        <w:t xml:space="preserve">path of purification that makes him apt to receive the divine. But philosophy alone </w:t>
      </w:r>
      <w:r w:rsidR="00865B4D">
        <w:rPr>
          <w:lang w:val="en-GB"/>
        </w:rPr>
        <w:t>d</w:t>
      </w:r>
      <w:r w:rsidR="00A85A20">
        <w:rPr>
          <w:lang w:val="en-GB"/>
        </w:rPr>
        <w:t>id</w:t>
      </w:r>
      <w:r w:rsidR="00865B4D">
        <w:rPr>
          <w:lang w:val="en-GB"/>
        </w:rPr>
        <w:t xml:space="preserve"> not suffice</w:t>
      </w:r>
      <w:r w:rsidR="00A40E12">
        <w:rPr>
          <w:lang w:val="en-GB"/>
        </w:rPr>
        <w:t>.</w:t>
      </w:r>
      <w:r w:rsidR="00865B4D">
        <w:rPr>
          <w:lang w:val="en-GB"/>
        </w:rPr>
        <w:t xml:space="preserve"> </w:t>
      </w:r>
      <w:r w:rsidR="00A140B3">
        <w:rPr>
          <w:lang w:val="en-GB"/>
        </w:rPr>
        <w:t xml:space="preserve">For </w:t>
      </w:r>
      <w:r w:rsidR="00B776D2" w:rsidRPr="00191088">
        <w:rPr>
          <w:lang w:val="en-GB"/>
        </w:rPr>
        <w:t>Iamblichus</w:t>
      </w:r>
      <w:r w:rsidR="00CD044B">
        <w:rPr>
          <w:lang w:val="en-GB"/>
        </w:rPr>
        <w:t xml:space="preserve"> and </w:t>
      </w:r>
      <w:r w:rsidR="00B776D2" w:rsidRPr="00191088">
        <w:rPr>
          <w:lang w:val="en-GB"/>
        </w:rPr>
        <w:t>Proclus</w:t>
      </w:r>
      <w:r w:rsidR="00865B4D">
        <w:rPr>
          <w:lang w:val="en-GB"/>
        </w:rPr>
        <w:t xml:space="preserve">, </w:t>
      </w:r>
      <w:r w:rsidR="00B776D2" w:rsidRPr="00191088">
        <w:rPr>
          <w:lang w:val="en-GB"/>
        </w:rPr>
        <w:t xml:space="preserve">full access to the </w:t>
      </w:r>
      <w:r w:rsidR="00823F43">
        <w:rPr>
          <w:lang w:val="en-GB"/>
        </w:rPr>
        <w:t>divine</w:t>
      </w:r>
      <w:r w:rsidR="00B776D2" w:rsidRPr="00191088">
        <w:rPr>
          <w:lang w:val="en-GB"/>
        </w:rPr>
        <w:t xml:space="preserve"> </w:t>
      </w:r>
      <w:r w:rsidR="00A85A20">
        <w:rPr>
          <w:lang w:val="en-GB"/>
        </w:rPr>
        <w:t>could</w:t>
      </w:r>
      <w:r w:rsidR="00B776D2" w:rsidRPr="00191088">
        <w:rPr>
          <w:lang w:val="en-GB"/>
        </w:rPr>
        <w:t xml:space="preserve"> be achieved only by a revelation and theophany which transcend</w:t>
      </w:r>
      <w:r w:rsidR="00A85A20">
        <w:rPr>
          <w:lang w:val="en-GB"/>
        </w:rPr>
        <w:t>ed</w:t>
      </w:r>
      <w:r w:rsidR="00B776D2" w:rsidRPr="00191088">
        <w:rPr>
          <w:lang w:val="en-GB"/>
        </w:rPr>
        <w:t xml:space="preserve"> our discursive knowledge of the Forms. </w:t>
      </w:r>
      <w:r w:rsidR="008506D4">
        <w:rPr>
          <w:lang w:val="en-GB"/>
        </w:rPr>
        <w:t>Addey concluded</w:t>
      </w:r>
      <w:r w:rsidR="00823F43">
        <w:rPr>
          <w:lang w:val="en-GB"/>
        </w:rPr>
        <w:t xml:space="preserve"> that theurgy and philosophy </w:t>
      </w:r>
      <w:r w:rsidR="00B71CB4">
        <w:rPr>
          <w:lang w:val="en-GB"/>
        </w:rPr>
        <w:t>can be</w:t>
      </w:r>
      <w:r w:rsidR="00767B53">
        <w:rPr>
          <w:lang w:val="en-GB"/>
        </w:rPr>
        <w:t xml:space="preserve"> </w:t>
      </w:r>
      <w:r w:rsidR="00823F43">
        <w:rPr>
          <w:lang w:val="en-GB"/>
        </w:rPr>
        <w:t>“</w:t>
      </w:r>
      <w:r w:rsidR="00F17B13">
        <w:rPr>
          <w:lang w:val="en-GB"/>
        </w:rPr>
        <w:t>viewed as part of a continuum rather than as mutually exclusive alternatives”</w:t>
      </w:r>
      <w:r w:rsidR="00B71CB4">
        <w:rPr>
          <w:rStyle w:val="FootnoteReference"/>
          <w:lang w:val="en-GB"/>
        </w:rPr>
        <w:footnoteReference w:id="58"/>
      </w:r>
      <w:r w:rsidR="00F17B13">
        <w:rPr>
          <w:lang w:val="en-GB"/>
        </w:rPr>
        <w:t xml:space="preserve">. </w:t>
      </w:r>
    </w:p>
    <w:p w14:paraId="72699E3C" w14:textId="77777777" w:rsidR="002723B4" w:rsidRDefault="002723B4" w:rsidP="00A40E12">
      <w:pPr>
        <w:rPr>
          <w:lang w:val="en-GB"/>
        </w:rPr>
      </w:pPr>
    </w:p>
    <w:p w14:paraId="15F721C1" w14:textId="72F070C5" w:rsidR="008F249C" w:rsidRPr="00191088" w:rsidRDefault="00B71CB4" w:rsidP="00EA496F">
      <w:pPr>
        <w:rPr>
          <w:lang w:val="en-GB"/>
        </w:rPr>
      </w:pPr>
      <w:r>
        <w:rPr>
          <w:lang w:val="en-GB"/>
        </w:rPr>
        <w:t xml:space="preserve">Philosophy and theurgy shared </w:t>
      </w:r>
      <w:r w:rsidR="00827B0F">
        <w:rPr>
          <w:lang w:val="en-GB"/>
        </w:rPr>
        <w:t xml:space="preserve">the same </w:t>
      </w:r>
      <w:r>
        <w:rPr>
          <w:lang w:val="en-GB"/>
        </w:rPr>
        <w:t>objective</w:t>
      </w:r>
      <w:r w:rsidR="00823F43">
        <w:rPr>
          <w:lang w:val="en-GB"/>
        </w:rPr>
        <w:t>:</w:t>
      </w:r>
      <w:r w:rsidR="00A85A20">
        <w:rPr>
          <w:lang w:val="en-GB"/>
        </w:rPr>
        <w:t xml:space="preserve"> reuniting with the divine</w:t>
      </w:r>
      <w:r w:rsidR="00A969AE">
        <w:rPr>
          <w:rStyle w:val="FootnoteReference"/>
          <w:lang w:val="en-GB"/>
        </w:rPr>
        <w:footnoteReference w:id="59"/>
      </w:r>
      <w:r w:rsidR="00823F43">
        <w:rPr>
          <w:lang w:val="en-GB"/>
        </w:rPr>
        <w:t>.</w:t>
      </w:r>
      <w:r w:rsidR="00827B0F">
        <w:rPr>
          <w:lang w:val="en-GB"/>
        </w:rPr>
        <w:t xml:space="preserve"> In this perspective, the relationship between philosophy </w:t>
      </w:r>
      <w:r w:rsidR="002723B4">
        <w:rPr>
          <w:lang w:val="en-GB"/>
        </w:rPr>
        <w:t>and theurgy was</w:t>
      </w:r>
      <w:r w:rsidR="00827B0F">
        <w:rPr>
          <w:lang w:val="en-GB"/>
        </w:rPr>
        <w:t xml:space="preserve"> integrative and anagogic</w:t>
      </w:r>
      <w:r w:rsidR="008B6B94">
        <w:rPr>
          <w:rStyle w:val="FootnoteReference"/>
          <w:lang w:val="en-GB"/>
        </w:rPr>
        <w:footnoteReference w:id="60"/>
      </w:r>
      <w:r w:rsidR="008B6B94">
        <w:rPr>
          <w:lang w:val="en-GB"/>
        </w:rPr>
        <w:t>.</w:t>
      </w:r>
      <w:r w:rsidR="00827B0F" w:rsidRPr="00191088">
        <w:rPr>
          <w:lang w:val="en-GB"/>
        </w:rPr>
        <w:t xml:space="preserve"> </w:t>
      </w:r>
      <w:r w:rsidR="008B6B94">
        <w:rPr>
          <w:lang w:val="en-GB"/>
        </w:rPr>
        <w:t xml:space="preserve"> </w:t>
      </w:r>
      <w:r w:rsidR="00A85A20">
        <w:rPr>
          <w:lang w:val="en-GB"/>
        </w:rPr>
        <w:t>T</w:t>
      </w:r>
      <w:r w:rsidR="00A73B1A">
        <w:rPr>
          <w:lang w:val="en-GB"/>
        </w:rPr>
        <w:t xml:space="preserve">hey also </w:t>
      </w:r>
      <w:r w:rsidR="00823F43">
        <w:rPr>
          <w:lang w:val="en-GB"/>
        </w:rPr>
        <w:t>had no material or earthly purposes</w:t>
      </w:r>
      <w:r w:rsidR="00A85A20">
        <w:rPr>
          <w:lang w:val="en-GB"/>
        </w:rPr>
        <w:t xml:space="preserve"> and this</w:t>
      </w:r>
      <w:r w:rsidR="00101246">
        <w:rPr>
          <w:lang w:val="en-GB"/>
        </w:rPr>
        <w:t xml:space="preserve">, </w:t>
      </w:r>
      <w:r w:rsidR="00101246">
        <w:rPr>
          <w:lang w:val="en-GB"/>
        </w:rPr>
        <w:t xml:space="preserve">for Iamblichus, </w:t>
      </w:r>
      <w:r w:rsidR="00A85A20">
        <w:rPr>
          <w:lang w:val="en-GB"/>
        </w:rPr>
        <w:t xml:space="preserve">was the differentiating aspect, setting apart </w:t>
      </w:r>
      <w:r w:rsidR="00823F43">
        <w:rPr>
          <w:lang w:val="en-GB"/>
        </w:rPr>
        <w:t xml:space="preserve">theurgy and </w:t>
      </w:r>
      <w:r w:rsidR="00823F43" w:rsidRPr="002723B4">
        <w:rPr>
          <w:i/>
          <w:iCs/>
          <w:lang w:val="en-GB"/>
        </w:rPr>
        <w:t>goeteia</w:t>
      </w:r>
      <w:r w:rsidR="00823F43">
        <w:rPr>
          <w:rStyle w:val="FootnoteReference"/>
          <w:lang w:val="en-GB"/>
        </w:rPr>
        <w:footnoteReference w:id="61"/>
      </w:r>
      <w:r w:rsidR="00823F43">
        <w:rPr>
          <w:lang w:val="en-GB"/>
        </w:rPr>
        <w:t xml:space="preserve">. </w:t>
      </w:r>
      <w:r w:rsidR="00BF6C43">
        <w:rPr>
          <w:lang w:val="en-GB"/>
        </w:rPr>
        <w:t>Iamblichus achieved the harmonization of Platonic epistemology and ritual practice through the conceptualisation of the anagogic inner power of symbols that, in his view, help</w:t>
      </w:r>
      <w:r w:rsidR="00823F43">
        <w:rPr>
          <w:lang w:val="en-GB"/>
        </w:rPr>
        <w:t>ed</w:t>
      </w:r>
      <w:r w:rsidR="00BF6C43">
        <w:rPr>
          <w:lang w:val="en-GB"/>
        </w:rPr>
        <w:t xml:space="preserve"> humankind not simply </w:t>
      </w:r>
      <w:r w:rsidR="00BF6C43">
        <w:rPr>
          <w:lang w:val="en-GB"/>
        </w:rPr>
        <w:lastRenderedPageBreak/>
        <w:t>reminding them of what they ha</w:t>
      </w:r>
      <w:r w:rsidR="00101246">
        <w:rPr>
          <w:lang w:val="en-GB"/>
        </w:rPr>
        <w:t>d</w:t>
      </w:r>
      <w:r w:rsidR="00BF6C43">
        <w:rPr>
          <w:lang w:val="en-GB"/>
        </w:rPr>
        <w:t xml:space="preserve"> forgotten, but through their innate, anagogical power in virtue of their ontological connection </w:t>
      </w:r>
      <w:r w:rsidR="001B6CFD">
        <w:rPr>
          <w:lang w:val="en-GB"/>
        </w:rPr>
        <w:t>to</w:t>
      </w:r>
      <w:r w:rsidR="00BF6C43">
        <w:rPr>
          <w:lang w:val="en-GB"/>
        </w:rPr>
        <w:t xml:space="preserve"> the </w:t>
      </w:r>
      <w:r w:rsidR="00A85A20">
        <w:rPr>
          <w:lang w:val="en-GB"/>
        </w:rPr>
        <w:t>One</w:t>
      </w:r>
      <w:r w:rsidR="001360F7">
        <w:rPr>
          <w:rStyle w:val="FootnoteReference"/>
          <w:lang w:val="en-GB"/>
        </w:rPr>
        <w:footnoteReference w:id="62"/>
      </w:r>
      <w:r w:rsidR="00BF6C43">
        <w:rPr>
          <w:lang w:val="en-GB"/>
        </w:rPr>
        <w:t xml:space="preserve">. </w:t>
      </w:r>
    </w:p>
    <w:p w14:paraId="2EE9548B" w14:textId="77777777" w:rsidR="00801197" w:rsidRDefault="00801197" w:rsidP="00710ADE">
      <w:pPr>
        <w:rPr>
          <w:lang w:val="en-GB"/>
        </w:rPr>
      </w:pPr>
    </w:p>
    <w:p w14:paraId="15191CD7" w14:textId="01371D65" w:rsidR="007844A8" w:rsidRDefault="008F249C" w:rsidP="00CC15CB">
      <w:pPr>
        <w:rPr>
          <w:lang w:val="en-GB"/>
        </w:rPr>
      </w:pPr>
      <w:r>
        <w:rPr>
          <w:lang w:val="en-GB"/>
        </w:rPr>
        <w:t xml:space="preserve">For contemporary scholars, influenced by the Western </w:t>
      </w:r>
      <w:r w:rsidR="00DF5402">
        <w:rPr>
          <w:lang w:val="en-GB"/>
        </w:rPr>
        <w:t>m</w:t>
      </w:r>
      <w:r>
        <w:rPr>
          <w:lang w:val="en-GB"/>
        </w:rPr>
        <w:t>yth of Greece as the cradle of rational thinking</w:t>
      </w:r>
      <w:r>
        <w:rPr>
          <w:rStyle w:val="FootnoteReference"/>
          <w:lang w:val="en-GB"/>
        </w:rPr>
        <w:footnoteReference w:id="63"/>
      </w:r>
      <w:r w:rsidR="00DF5402">
        <w:rPr>
          <w:lang w:val="en-GB"/>
        </w:rPr>
        <w:t>, the</w:t>
      </w:r>
      <w:r w:rsidR="00A40E12">
        <w:rPr>
          <w:lang w:val="en-GB"/>
        </w:rPr>
        <w:t xml:space="preserve"> most striking </w:t>
      </w:r>
      <w:r w:rsidR="00EA496F">
        <w:rPr>
          <w:lang w:val="en-GB"/>
        </w:rPr>
        <w:t>apparent</w:t>
      </w:r>
      <w:r w:rsidR="004D3A2C">
        <w:rPr>
          <w:lang w:val="en-GB"/>
        </w:rPr>
        <w:t xml:space="preserve"> and disturbing</w:t>
      </w:r>
      <w:r w:rsidR="00EA496F">
        <w:rPr>
          <w:lang w:val="en-GB"/>
        </w:rPr>
        <w:t xml:space="preserve"> </w:t>
      </w:r>
      <w:r w:rsidR="00A40E12">
        <w:rPr>
          <w:lang w:val="en-GB"/>
        </w:rPr>
        <w:t>diffe</w:t>
      </w:r>
      <w:r w:rsidR="00801197">
        <w:rPr>
          <w:lang w:val="en-GB"/>
        </w:rPr>
        <w:t xml:space="preserve">rence between philosophy and </w:t>
      </w:r>
      <w:r w:rsidR="00EA496F">
        <w:rPr>
          <w:lang w:val="en-GB"/>
        </w:rPr>
        <w:t>t</w:t>
      </w:r>
      <w:r w:rsidR="00801197">
        <w:rPr>
          <w:lang w:val="en-GB"/>
        </w:rPr>
        <w:t xml:space="preserve">heurgy seems to be the emphasis that theurgy placed on rituals. </w:t>
      </w:r>
      <w:r w:rsidR="00EA496F">
        <w:rPr>
          <w:lang w:val="en-GB"/>
        </w:rPr>
        <w:t xml:space="preserve">At a closer look though, </w:t>
      </w:r>
      <w:r w:rsidR="00C361B1">
        <w:rPr>
          <w:lang w:val="en-GB"/>
        </w:rPr>
        <w:t xml:space="preserve">rituals revealed to be an </w:t>
      </w:r>
      <w:r w:rsidR="00A85A20">
        <w:rPr>
          <w:lang w:val="en-GB"/>
        </w:rPr>
        <w:t xml:space="preserve">enhancement </w:t>
      </w:r>
      <w:r w:rsidR="00C361B1">
        <w:rPr>
          <w:lang w:val="en-GB"/>
        </w:rPr>
        <w:t>o</w:t>
      </w:r>
      <w:r w:rsidR="00A85A20">
        <w:rPr>
          <w:lang w:val="en-GB"/>
        </w:rPr>
        <w:t>f</w:t>
      </w:r>
      <w:r w:rsidR="00C361B1">
        <w:rPr>
          <w:lang w:val="en-GB"/>
        </w:rPr>
        <w:t xml:space="preserve"> the work on </w:t>
      </w:r>
      <w:r w:rsidR="00A85A20">
        <w:rPr>
          <w:lang w:val="en-GB"/>
        </w:rPr>
        <w:t>P</w:t>
      </w:r>
      <w:r w:rsidR="00C361B1">
        <w:rPr>
          <w:lang w:val="en-GB"/>
        </w:rPr>
        <w:t>latonic ideas</w:t>
      </w:r>
      <w:r w:rsidR="006D7879">
        <w:rPr>
          <w:lang w:val="en-GB"/>
        </w:rPr>
        <w:t>.</w:t>
      </w:r>
      <w:r w:rsidR="004D3A2C">
        <w:rPr>
          <w:lang w:val="en-GB"/>
        </w:rPr>
        <w:t xml:space="preserve"> </w:t>
      </w:r>
      <w:r w:rsidR="006D7879">
        <w:rPr>
          <w:lang w:val="en-GB"/>
        </w:rPr>
        <w:t>The limits of rationality indicated by Plat</w:t>
      </w:r>
      <w:r w:rsidR="00DE7229">
        <w:rPr>
          <w:lang w:val="en-GB"/>
        </w:rPr>
        <w:t>o</w:t>
      </w:r>
      <w:r w:rsidR="006D7879">
        <w:rPr>
          <w:lang w:val="en-GB"/>
        </w:rPr>
        <w:t xml:space="preserve"> </w:t>
      </w:r>
      <w:r w:rsidR="00DE7229">
        <w:rPr>
          <w:lang w:val="en-GB"/>
        </w:rPr>
        <w:t>represent</w:t>
      </w:r>
      <w:r w:rsidR="00A85A20">
        <w:rPr>
          <w:lang w:val="en-GB"/>
        </w:rPr>
        <w:t>ed</w:t>
      </w:r>
      <w:r w:rsidR="006D7879">
        <w:rPr>
          <w:lang w:val="en-GB"/>
        </w:rPr>
        <w:t xml:space="preserve"> the </w:t>
      </w:r>
      <w:r w:rsidR="00DE7229">
        <w:rPr>
          <w:lang w:val="en-GB"/>
        </w:rPr>
        <w:t xml:space="preserve">opening </w:t>
      </w:r>
      <w:r w:rsidR="006D7879">
        <w:rPr>
          <w:lang w:val="en-GB"/>
        </w:rPr>
        <w:t>door to allusive and symbolic language</w:t>
      </w:r>
      <w:r w:rsidR="005920C4">
        <w:rPr>
          <w:rStyle w:val="FootnoteReference"/>
          <w:lang w:val="en-GB"/>
        </w:rPr>
        <w:footnoteReference w:id="64"/>
      </w:r>
      <w:r w:rsidR="006D7879">
        <w:rPr>
          <w:lang w:val="en-GB"/>
        </w:rPr>
        <w:t xml:space="preserve">. </w:t>
      </w:r>
      <w:r w:rsidR="007E651B">
        <w:rPr>
          <w:lang w:val="en-GB"/>
        </w:rPr>
        <w:t xml:space="preserve">Human </w:t>
      </w:r>
      <w:r w:rsidR="007E651B" w:rsidRPr="00191088">
        <w:rPr>
          <w:lang w:val="en-GB"/>
        </w:rPr>
        <w:t>language</w:t>
      </w:r>
      <w:r w:rsidR="007E651B">
        <w:rPr>
          <w:lang w:val="en-GB"/>
        </w:rPr>
        <w:t>,</w:t>
      </w:r>
      <w:r w:rsidR="007E651B" w:rsidRPr="00191088">
        <w:rPr>
          <w:lang w:val="en-GB"/>
        </w:rPr>
        <w:t xml:space="preserve"> </w:t>
      </w:r>
      <w:r w:rsidR="007E651B">
        <w:rPr>
          <w:lang w:val="en-GB"/>
        </w:rPr>
        <w:t xml:space="preserve">with its </w:t>
      </w:r>
      <w:r w:rsidR="007E651B" w:rsidRPr="00191088">
        <w:rPr>
          <w:lang w:val="en-GB"/>
        </w:rPr>
        <w:t>polysemous structure</w:t>
      </w:r>
      <w:r w:rsidR="007E651B">
        <w:rPr>
          <w:lang w:val="en-GB"/>
        </w:rPr>
        <w:t>,</w:t>
      </w:r>
      <w:r w:rsidR="007E651B" w:rsidRPr="00191088">
        <w:rPr>
          <w:lang w:val="en-GB"/>
        </w:rPr>
        <w:t xml:space="preserve"> </w:t>
      </w:r>
      <w:r w:rsidR="00A85A20">
        <w:rPr>
          <w:lang w:val="en-GB"/>
        </w:rPr>
        <w:t>was</w:t>
      </w:r>
      <w:r w:rsidR="007E651B" w:rsidRPr="00191088">
        <w:rPr>
          <w:lang w:val="en-GB"/>
        </w:rPr>
        <w:t xml:space="preserve"> </w:t>
      </w:r>
      <w:r w:rsidR="00015F8C">
        <w:rPr>
          <w:lang w:val="en-GB"/>
        </w:rPr>
        <w:t xml:space="preserve">only </w:t>
      </w:r>
      <w:r w:rsidR="007E651B">
        <w:rPr>
          <w:lang w:val="en-GB"/>
        </w:rPr>
        <w:t xml:space="preserve">adequate to express </w:t>
      </w:r>
      <w:r w:rsidR="007E651B" w:rsidRPr="00191088">
        <w:rPr>
          <w:lang w:val="en-GB"/>
        </w:rPr>
        <w:t>the polysemous world it mirror</w:t>
      </w:r>
      <w:r w:rsidR="004D3A2C">
        <w:rPr>
          <w:lang w:val="en-GB"/>
        </w:rPr>
        <w:t>ed</w:t>
      </w:r>
      <w:r w:rsidR="007E651B">
        <w:rPr>
          <w:rStyle w:val="FootnoteReference"/>
          <w:lang w:val="en-GB"/>
        </w:rPr>
        <w:footnoteReference w:id="65"/>
      </w:r>
      <w:r w:rsidR="007E651B">
        <w:rPr>
          <w:lang w:val="en-GB"/>
        </w:rPr>
        <w:t xml:space="preserve"> and produce</w:t>
      </w:r>
      <w:r w:rsidR="00A85A20">
        <w:rPr>
          <w:lang w:val="en-GB"/>
        </w:rPr>
        <w:t>d</w:t>
      </w:r>
      <w:r w:rsidR="007E651B">
        <w:rPr>
          <w:lang w:val="en-GB"/>
        </w:rPr>
        <w:t xml:space="preserve"> an inevitable</w:t>
      </w:r>
      <w:r w:rsidR="007E651B" w:rsidRPr="00191088">
        <w:rPr>
          <w:lang w:val="en-GB"/>
        </w:rPr>
        <w:t xml:space="preserve"> distort</w:t>
      </w:r>
      <w:r w:rsidR="007E651B">
        <w:rPr>
          <w:lang w:val="en-GB"/>
        </w:rPr>
        <w:t xml:space="preserve">ion and fragmentation of </w:t>
      </w:r>
      <w:r w:rsidR="007E651B" w:rsidRPr="00191088">
        <w:rPr>
          <w:lang w:val="en-GB"/>
        </w:rPr>
        <w:t>reality</w:t>
      </w:r>
      <w:r w:rsidR="007E651B">
        <w:rPr>
          <w:lang w:val="en-GB"/>
        </w:rPr>
        <w:t xml:space="preserve"> which </w:t>
      </w:r>
      <w:r w:rsidR="00A85A20">
        <w:rPr>
          <w:lang w:val="en-GB"/>
        </w:rPr>
        <w:t>is</w:t>
      </w:r>
      <w:r w:rsidR="007E651B">
        <w:rPr>
          <w:lang w:val="en-GB"/>
        </w:rPr>
        <w:t xml:space="preserve"> </w:t>
      </w:r>
      <w:r w:rsidR="00015F8C">
        <w:rPr>
          <w:lang w:val="en-GB"/>
        </w:rPr>
        <w:t>completely</w:t>
      </w:r>
      <w:r w:rsidR="007E651B">
        <w:rPr>
          <w:lang w:val="en-GB"/>
        </w:rPr>
        <w:t xml:space="preserve"> defective when it comes to express the One</w:t>
      </w:r>
      <w:r w:rsidR="007E651B" w:rsidRPr="00191088">
        <w:rPr>
          <w:lang w:val="en-GB"/>
        </w:rPr>
        <w:t>.</w:t>
      </w:r>
      <w:r w:rsidR="007E651B">
        <w:rPr>
          <w:lang w:val="en-GB"/>
        </w:rPr>
        <w:t xml:space="preserve"> </w:t>
      </w:r>
      <w:r w:rsidR="007E651B" w:rsidRPr="00191088">
        <w:rPr>
          <w:lang w:val="en-GB"/>
        </w:rPr>
        <w:t xml:space="preserve"> </w:t>
      </w:r>
      <w:r w:rsidR="00EA496F">
        <w:rPr>
          <w:lang w:val="en-GB"/>
        </w:rPr>
        <w:t>Language fails us and therefore the theurgist opt</w:t>
      </w:r>
      <w:r w:rsidR="00AE4A34">
        <w:rPr>
          <w:lang w:val="en-GB"/>
        </w:rPr>
        <w:t>ed</w:t>
      </w:r>
      <w:r w:rsidR="00EA496F">
        <w:rPr>
          <w:lang w:val="en-GB"/>
        </w:rPr>
        <w:t xml:space="preserve"> for </w:t>
      </w:r>
      <w:r w:rsidR="00EA496F" w:rsidRPr="004D3A2C">
        <w:rPr>
          <w:i/>
          <w:iCs/>
          <w:lang w:val="en-GB"/>
        </w:rPr>
        <w:t>experienc</w:t>
      </w:r>
      <w:r w:rsidR="00AE4A34" w:rsidRPr="004D3A2C">
        <w:rPr>
          <w:i/>
          <w:iCs/>
          <w:lang w:val="en-GB"/>
        </w:rPr>
        <w:t>ing</w:t>
      </w:r>
      <w:r w:rsidR="00EA496F">
        <w:rPr>
          <w:lang w:val="en-GB"/>
        </w:rPr>
        <w:t xml:space="preserve"> </w:t>
      </w:r>
      <w:r w:rsidR="0077306B">
        <w:rPr>
          <w:lang w:val="en-GB"/>
        </w:rPr>
        <w:t>within</w:t>
      </w:r>
      <w:r w:rsidR="00EA496F">
        <w:rPr>
          <w:lang w:val="en-GB"/>
        </w:rPr>
        <w:t xml:space="preserve"> ritual practise.  </w:t>
      </w:r>
      <w:r w:rsidR="00553E30">
        <w:rPr>
          <w:lang w:val="en-GB"/>
        </w:rPr>
        <w:t xml:space="preserve">Seen in this perspective, </w:t>
      </w:r>
      <w:r w:rsidR="00C374AC">
        <w:rPr>
          <w:lang w:val="en-GB"/>
        </w:rPr>
        <w:t>w</w:t>
      </w:r>
      <w:r w:rsidR="00922DDC">
        <w:rPr>
          <w:lang w:val="en-GB"/>
        </w:rPr>
        <w:t>hat appeared as “</w:t>
      </w:r>
      <w:r w:rsidR="004D3A2C">
        <w:rPr>
          <w:lang w:val="en-GB"/>
        </w:rPr>
        <w:t>bizarre</w:t>
      </w:r>
      <w:r w:rsidR="00922DDC">
        <w:rPr>
          <w:lang w:val="en-GB"/>
        </w:rPr>
        <w:t>”</w:t>
      </w:r>
      <w:r w:rsidR="00BC2F09">
        <w:rPr>
          <w:lang w:val="en-GB"/>
        </w:rPr>
        <w:t xml:space="preserve"> </w:t>
      </w:r>
      <w:r w:rsidR="00922DDC">
        <w:rPr>
          <w:lang w:val="en-GB"/>
        </w:rPr>
        <w:t xml:space="preserve">theurgic </w:t>
      </w:r>
      <w:r w:rsidR="00BC2F09">
        <w:rPr>
          <w:lang w:val="en-GB"/>
        </w:rPr>
        <w:t xml:space="preserve">ritual practices </w:t>
      </w:r>
      <w:r w:rsidR="00101246">
        <w:rPr>
          <w:lang w:val="en-GB"/>
        </w:rPr>
        <w:t>have been</w:t>
      </w:r>
      <w:r w:rsidR="00BC2F09">
        <w:rPr>
          <w:lang w:val="en-GB"/>
        </w:rPr>
        <w:t xml:space="preserve"> normalised. </w:t>
      </w:r>
      <w:r w:rsidR="00A373ED">
        <w:rPr>
          <w:lang w:val="en-GB"/>
        </w:rPr>
        <w:t>The way to the divine</w:t>
      </w:r>
      <w:r w:rsidR="00CC15CB">
        <w:rPr>
          <w:lang w:val="en-GB"/>
        </w:rPr>
        <w:t xml:space="preserve"> </w:t>
      </w:r>
      <w:r w:rsidR="004A3022">
        <w:rPr>
          <w:lang w:val="en-GB"/>
        </w:rPr>
        <w:t>was</w:t>
      </w:r>
      <w:r w:rsidR="00CC15CB">
        <w:rPr>
          <w:lang w:val="en-GB"/>
        </w:rPr>
        <w:t xml:space="preserve"> </w:t>
      </w:r>
      <w:r w:rsidR="00922DDC">
        <w:rPr>
          <w:lang w:val="en-GB"/>
        </w:rPr>
        <w:t xml:space="preserve">undeniably </w:t>
      </w:r>
      <w:r w:rsidR="00CC15CB">
        <w:rPr>
          <w:lang w:val="en-GB"/>
        </w:rPr>
        <w:t xml:space="preserve">marked by </w:t>
      </w:r>
      <w:r w:rsidR="00A373ED">
        <w:rPr>
          <w:lang w:val="en-GB"/>
        </w:rPr>
        <w:t>symbols and rituals</w:t>
      </w:r>
      <w:r w:rsidR="00922DDC">
        <w:rPr>
          <w:lang w:val="en-GB"/>
        </w:rPr>
        <w:t>.</w:t>
      </w:r>
    </w:p>
    <w:p w14:paraId="3BE6E43F" w14:textId="23CF1CEE" w:rsidR="001E7BDC" w:rsidRDefault="001E7BDC" w:rsidP="00565FD5">
      <w:pPr>
        <w:rPr>
          <w:lang w:val="en-GB"/>
        </w:rPr>
      </w:pPr>
    </w:p>
    <w:p w14:paraId="56898A98" w14:textId="505DBF3F" w:rsidR="00AC49AE" w:rsidRDefault="00BA4A26" w:rsidP="007844A8">
      <w:pPr>
        <w:rPr>
          <w:lang w:val="en-GB"/>
        </w:rPr>
      </w:pPr>
      <w:r>
        <w:rPr>
          <w:lang w:val="en-GB"/>
        </w:rPr>
        <w:t>Trying</w:t>
      </w:r>
      <w:r w:rsidR="001E7BDC">
        <w:rPr>
          <w:lang w:val="en-GB"/>
        </w:rPr>
        <w:t xml:space="preserve"> to understand w</w:t>
      </w:r>
      <w:r w:rsidR="00101246">
        <w:rPr>
          <w:lang w:val="en-GB"/>
        </w:rPr>
        <w:t>hich</w:t>
      </w:r>
      <w:r w:rsidR="001E7BDC">
        <w:rPr>
          <w:lang w:val="en-GB"/>
        </w:rPr>
        <w:t xml:space="preserve"> ritual</w:t>
      </w:r>
      <w:r w:rsidR="00AB109E">
        <w:rPr>
          <w:lang w:val="en-GB"/>
        </w:rPr>
        <w:t>s</w:t>
      </w:r>
      <w:r w:rsidR="001E7BDC">
        <w:rPr>
          <w:lang w:val="en-GB"/>
        </w:rPr>
        <w:t xml:space="preserve"> were part of theurgy, </w:t>
      </w:r>
      <w:r w:rsidR="00AB109E">
        <w:rPr>
          <w:lang w:val="en-GB"/>
        </w:rPr>
        <w:t>p</w:t>
      </w:r>
      <w:r w:rsidR="001E7BDC">
        <w:rPr>
          <w:lang w:val="en-GB"/>
        </w:rPr>
        <w:t xml:space="preserve">roves daunting </w:t>
      </w:r>
      <w:r>
        <w:rPr>
          <w:lang w:val="en-GB"/>
        </w:rPr>
        <w:t xml:space="preserve">because, </w:t>
      </w:r>
      <w:r w:rsidR="004D3A2C">
        <w:rPr>
          <w:lang w:val="en-GB"/>
        </w:rPr>
        <w:t xml:space="preserve">as </w:t>
      </w:r>
      <w:r>
        <w:rPr>
          <w:lang w:val="en-GB"/>
        </w:rPr>
        <w:t>G. Shaw noted</w:t>
      </w:r>
      <w:r w:rsidR="004C7A66">
        <w:rPr>
          <w:lang w:val="en-GB"/>
        </w:rPr>
        <w:t>,</w:t>
      </w:r>
      <w:r>
        <w:rPr>
          <w:lang w:val="en-GB"/>
        </w:rPr>
        <w:t xml:space="preserve"> n</w:t>
      </w:r>
      <w:r w:rsidRPr="00191088">
        <w:rPr>
          <w:lang w:val="en-GB"/>
        </w:rPr>
        <w:t>either Iamblichus nor his</w:t>
      </w:r>
      <w:r>
        <w:rPr>
          <w:lang w:val="en-GB"/>
        </w:rPr>
        <w:t xml:space="preserve"> </w:t>
      </w:r>
      <w:r w:rsidRPr="00191088">
        <w:rPr>
          <w:lang w:val="en-GB"/>
        </w:rPr>
        <w:t>successors provide</w:t>
      </w:r>
      <w:r>
        <w:rPr>
          <w:lang w:val="en-GB"/>
        </w:rPr>
        <w:t>d</w:t>
      </w:r>
      <w:r w:rsidRPr="00191088">
        <w:rPr>
          <w:lang w:val="en-GB"/>
        </w:rPr>
        <w:t xml:space="preserve"> concrete examples</w:t>
      </w:r>
      <w:r>
        <w:rPr>
          <w:rStyle w:val="FootnoteReference"/>
          <w:lang w:val="en-GB"/>
        </w:rPr>
        <w:footnoteReference w:id="66"/>
      </w:r>
      <w:r w:rsidR="00AB109E">
        <w:rPr>
          <w:lang w:val="en-GB"/>
        </w:rPr>
        <w:t>.</w:t>
      </w:r>
      <w:r w:rsidR="00A85A20">
        <w:rPr>
          <w:lang w:val="en-GB"/>
        </w:rPr>
        <w:t xml:space="preserve"> </w:t>
      </w:r>
      <w:r w:rsidR="004D3A2C">
        <w:rPr>
          <w:lang w:val="en-GB"/>
        </w:rPr>
        <w:t>Yet, t</w:t>
      </w:r>
      <w:r w:rsidR="004C7A66">
        <w:rPr>
          <w:lang w:val="en-GB"/>
        </w:rPr>
        <w:t>he similarities between theurgic and magical rituals bec</w:t>
      </w:r>
      <w:r w:rsidR="00BD2F63">
        <w:rPr>
          <w:lang w:val="en-GB"/>
        </w:rPr>
        <w:t>a</w:t>
      </w:r>
      <w:r w:rsidR="004C7A66">
        <w:rPr>
          <w:lang w:val="en-GB"/>
        </w:rPr>
        <w:t>me evident to scholars since the early days</w:t>
      </w:r>
      <w:r w:rsidR="00BD2F63">
        <w:rPr>
          <w:rStyle w:val="FootnoteReference"/>
          <w:lang w:val="en-GB"/>
        </w:rPr>
        <w:footnoteReference w:id="67"/>
      </w:r>
      <w:r w:rsidR="00AB109E">
        <w:rPr>
          <w:lang w:val="en-GB"/>
        </w:rPr>
        <w:t>.</w:t>
      </w:r>
      <w:r w:rsidR="00BD2F63">
        <w:rPr>
          <w:lang w:val="en-GB"/>
        </w:rPr>
        <w:t xml:space="preserve"> </w:t>
      </w:r>
      <w:r w:rsidR="001E50F3">
        <w:rPr>
          <w:lang w:val="en-GB"/>
        </w:rPr>
        <w:t>As Addey noted, many theurgic rituals were derived from religious tradition (oracles, invocations, prayers, use of statues for divination</w:t>
      </w:r>
      <w:r w:rsidR="004A3022">
        <w:rPr>
          <w:lang w:val="en-GB"/>
        </w:rPr>
        <w:t>)</w:t>
      </w:r>
      <w:r w:rsidR="001E50F3">
        <w:rPr>
          <w:lang w:val="en-GB"/>
        </w:rPr>
        <w:t>, while others, such as “unknowable names” were magical techniques</w:t>
      </w:r>
      <w:r w:rsidR="001E50F3">
        <w:rPr>
          <w:rStyle w:val="FootnoteReference"/>
          <w:lang w:val="en-GB"/>
        </w:rPr>
        <w:footnoteReference w:id="68"/>
      </w:r>
      <w:r w:rsidR="001E50F3">
        <w:rPr>
          <w:lang w:val="en-GB"/>
        </w:rPr>
        <w:t xml:space="preserve"> . </w:t>
      </w:r>
    </w:p>
    <w:p w14:paraId="1F23AECE" w14:textId="77777777" w:rsidR="00BC498E" w:rsidRDefault="00BC498E" w:rsidP="008434F8">
      <w:pPr>
        <w:pStyle w:val="Heading1"/>
        <w:rPr>
          <w:lang w:val="en-GB"/>
        </w:rPr>
      </w:pPr>
    </w:p>
    <w:p w14:paraId="4335D23A" w14:textId="2424497B" w:rsidR="00AC49AE" w:rsidRPr="00A23822" w:rsidRDefault="00AC49AE" w:rsidP="008434F8">
      <w:pPr>
        <w:pStyle w:val="Heading1"/>
        <w:rPr>
          <w:lang w:val="en-GB"/>
        </w:rPr>
      </w:pPr>
      <w:r w:rsidRPr="00A23822">
        <w:rPr>
          <w:lang w:val="en-GB"/>
        </w:rPr>
        <w:t xml:space="preserve">Magic </w:t>
      </w:r>
    </w:p>
    <w:p w14:paraId="02CEDA29" w14:textId="77777777" w:rsidR="00AC49AE" w:rsidRDefault="00AC49AE" w:rsidP="00AC49AE">
      <w:pPr>
        <w:rPr>
          <w:b/>
          <w:bCs/>
          <w:lang w:val="en-GB"/>
        </w:rPr>
      </w:pPr>
    </w:p>
    <w:p w14:paraId="5493F743" w14:textId="3A6F5E45" w:rsidR="00AC49AE" w:rsidRPr="00D76F38" w:rsidRDefault="00AC49AE" w:rsidP="00AC49AE">
      <w:pPr>
        <w:rPr>
          <w:lang w:val="en-US"/>
        </w:rPr>
      </w:pPr>
      <w:r>
        <w:rPr>
          <w:lang w:val="en-GB"/>
        </w:rPr>
        <w:t>Rituals were essential to both theurgy and magic</w:t>
      </w:r>
      <w:r w:rsidR="00B73A1C">
        <w:rPr>
          <w:lang w:val="en-GB"/>
        </w:rPr>
        <w:t>.</w:t>
      </w:r>
      <w:r>
        <w:rPr>
          <w:lang w:val="en-GB"/>
        </w:rPr>
        <w:t xml:space="preserve"> Iamblichus </w:t>
      </w:r>
      <w:r w:rsidR="00B73A1C">
        <w:rPr>
          <w:lang w:val="en-GB"/>
        </w:rPr>
        <w:t xml:space="preserve">believed they diverged because </w:t>
      </w:r>
      <w:r>
        <w:rPr>
          <w:lang w:val="en-GB"/>
        </w:rPr>
        <w:t>magicians’ rituals stopped at the horizontal level of sympathy while theurgic ones exploited vertical sympathy</w:t>
      </w:r>
      <w:r w:rsidR="00101246">
        <w:rPr>
          <w:lang w:val="en-GB"/>
        </w:rPr>
        <w:t xml:space="preserve"> too</w:t>
      </w:r>
      <w:r>
        <w:rPr>
          <w:lang w:val="en-GB"/>
        </w:rPr>
        <w:t>, that is</w:t>
      </w:r>
      <w:r w:rsidR="00015F8C">
        <w:rPr>
          <w:lang w:val="en-GB"/>
        </w:rPr>
        <w:t>,</w:t>
      </w:r>
      <w:r>
        <w:rPr>
          <w:lang w:val="en-GB"/>
        </w:rPr>
        <w:t xml:space="preserve"> they related the sympathy inherent in the </w:t>
      </w:r>
      <w:r w:rsidR="004D3A2C">
        <w:rPr>
          <w:lang w:val="en-GB"/>
        </w:rPr>
        <w:t>world</w:t>
      </w:r>
      <w:r>
        <w:rPr>
          <w:lang w:val="en-GB"/>
        </w:rPr>
        <w:t xml:space="preserve"> to its divine cause.</w:t>
      </w:r>
      <w:r w:rsidRPr="00D76F38">
        <w:rPr>
          <w:lang w:val="en-US"/>
        </w:rPr>
        <w:t xml:space="preserve"> </w:t>
      </w:r>
    </w:p>
    <w:p w14:paraId="66307AA4" w14:textId="77777777" w:rsidR="00AB109E" w:rsidRDefault="00AB109E" w:rsidP="00AC49AE">
      <w:pPr>
        <w:rPr>
          <w:lang w:val="en-US"/>
        </w:rPr>
      </w:pPr>
    </w:p>
    <w:p w14:paraId="16086990" w14:textId="4AA6218B" w:rsidR="00AC49AE" w:rsidRPr="003716EC" w:rsidRDefault="00AC49AE" w:rsidP="00AC49AE">
      <w:pPr>
        <w:rPr>
          <w:lang w:val="en-GB"/>
        </w:rPr>
      </w:pPr>
      <w:r>
        <w:rPr>
          <w:lang w:val="en-GB"/>
        </w:rPr>
        <w:lastRenderedPageBreak/>
        <w:t>Iamblichus</w:t>
      </w:r>
      <w:r w:rsidR="00C374AC">
        <w:rPr>
          <w:lang w:val="en-GB"/>
        </w:rPr>
        <w:t xml:space="preserve"> </w:t>
      </w:r>
      <w:r>
        <w:rPr>
          <w:lang w:val="en-GB"/>
        </w:rPr>
        <w:t xml:space="preserve">did not use the term </w:t>
      </w:r>
      <w:r w:rsidRPr="000147E7">
        <w:rPr>
          <w:i/>
          <w:iCs/>
          <w:lang w:val="en-GB"/>
        </w:rPr>
        <w:t>mageia</w:t>
      </w:r>
      <w:r>
        <w:rPr>
          <w:lang w:val="en-GB"/>
        </w:rPr>
        <w:t xml:space="preserve">, but differentiated theurgy from </w:t>
      </w:r>
      <w:r w:rsidRPr="000147E7">
        <w:rPr>
          <w:i/>
          <w:iCs/>
          <w:lang w:val="en-GB"/>
        </w:rPr>
        <w:t>goeteia</w:t>
      </w:r>
      <w:r>
        <w:rPr>
          <w:lang w:val="en-GB"/>
        </w:rPr>
        <w:t>, a term with derogatory meaning</w:t>
      </w:r>
      <w:r>
        <w:rPr>
          <w:rStyle w:val="FootnoteReference"/>
          <w:lang w:val="en-GB"/>
        </w:rPr>
        <w:footnoteReference w:id="69"/>
      </w:r>
      <w:r>
        <w:rPr>
          <w:lang w:val="en-GB"/>
        </w:rPr>
        <w:t xml:space="preserve">, whose major differences compared </w:t>
      </w:r>
      <w:r w:rsidR="00101246">
        <w:rPr>
          <w:lang w:val="en-GB"/>
        </w:rPr>
        <w:t>with</w:t>
      </w:r>
      <w:r>
        <w:rPr>
          <w:lang w:val="en-GB"/>
        </w:rPr>
        <w:t xml:space="preserve"> theurgy are to be found, according to Addey, in the way the practitioners lived, in their lack of philosophical and ethical preparation, in the way they used the symbol</w:t>
      </w:r>
      <w:r w:rsidR="00C374AC">
        <w:rPr>
          <w:lang w:val="en-GB"/>
        </w:rPr>
        <w:t>s</w:t>
      </w:r>
      <w:r>
        <w:rPr>
          <w:lang w:val="en-GB"/>
        </w:rPr>
        <w:t xml:space="preserve">, and </w:t>
      </w:r>
      <w:r w:rsidR="00101246">
        <w:rPr>
          <w:lang w:val="en-GB"/>
        </w:rPr>
        <w:t xml:space="preserve">in </w:t>
      </w:r>
      <w:r>
        <w:rPr>
          <w:lang w:val="en-GB"/>
        </w:rPr>
        <w:t xml:space="preserve">the fact that the practitioners of </w:t>
      </w:r>
      <w:r w:rsidRPr="006F121C">
        <w:rPr>
          <w:i/>
          <w:iCs/>
          <w:lang w:val="en-GB"/>
        </w:rPr>
        <w:t>goeteia</w:t>
      </w:r>
      <w:r>
        <w:rPr>
          <w:lang w:val="en-GB"/>
        </w:rPr>
        <w:t xml:space="preserve"> believed, unlike the theurgists, that their powers belonged to them alone instead of considering them a gift of the gods</w:t>
      </w:r>
      <w:r>
        <w:rPr>
          <w:rStyle w:val="FootnoteReference"/>
          <w:lang w:val="en-GB"/>
        </w:rPr>
        <w:footnoteReference w:id="70"/>
      </w:r>
      <w:r>
        <w:rPr>
          <w:lang w:val="en-GB"/>
        </w:rPr>
        <w:t xml:space="preserve">. </w:t>
      </w:r>
    </w:p>
    <w:p w14:paraId="4989210F" w14:textId="77777777" w:rsidR="00AC49AE" w:rsidRDefault="00AC49AE" w:rsidP="00AC49AE">
      <w:pPr>
        <w:rPr>
          <w:lang w:val="en-GB"/>
        </w:rPr>
      </w:pPr>
    </w:p>
    <w:p w14:paraId="6086C61F" w14:textId="3FF67EA6" w:rsidR="00B05D14" w:rsidRPr="00F24C33" w:rsidRDefault="00AC49AE" w:rsidP="00B05D14">
      <w:pPr>
        <w:rPr>
          <w:highlight w:val="yellow"/>
          <w:lang w:val="en-GB"/>
        </w:rPr>
      </w:pPr>
      <w:r>
        <w:rPr>
          <w:lang w:val="en-GB"/>
        </w:rPr>
        <w:t xml:space="preserve">Betz described the </w:t>
      </w:r>
      <w:r w:rsidR="00B05D14">
        <w:rPr>
          <w:lang w:val="en-GB"/>
        </w:rPr>
        <w:t xml:space="preserve">magician </w:t>
      </w:r>
      <w:r>
        <w:rPr>
          <w:lang w:val="en-GB"/>
        </w:rPr>
        <w:t xml:space="preserve">as a “crisis manager, miracle healer and </w:t>
      </w:r>
      <w:r w:rsidR="00F24C33">
        <w:rPr>
          <w:lang w:val="en-GB"/>
        </w:rPr>
        <w:t>inflictor</w:t>
      </w:r>
      <w:r>
        <w:rPr>
          <w:lang w:val="en-GB"/>
        </w:rPr>
        <w:t xml:space="preserve"> of damages”,  an “all-purpose therapist and agent of worried, troubled, and troublesome souls”</w:t>
      </w:r>
      <w:r>
        <w:rPr>
          <w:rStyle w:val="FootnoteReference"/>
          <w:lang w:val="en-GB"/>
        </w:rPr>
        <w:footnoteReference w:id="71"/>
      </w:r>
      <w:r>
        <w:rPr>
          <w:lang w:val="en-GB"/>
        </w:rPr>
        <w:t>.  Fowler described magic as “the use of spells, charms, and other artificial means to enlist the support of supernatural powers in the furtherance of one’s aims”</w:t>
      </w:r>
      <w:r>
        <w:rPr>
          <w:rStyle w:val="FootnoteReference"/>
          <w:lang w:val="en-GB"/>
        </w:rPr>
        <w:footnoteReference w:id="72"/>
      </w:r>
      <w:r w:rsidR="00C10AFC">
        <w:rPr>
          <w:lang w:val="en-GB"/>
        </w:rPr>
        <w:t xml:space="preserve">. </w:t>
      </w:r>
      <w:r w:rsidR="00F24C33">
        <w:rPr>
          <w:lang w:val="en-GB"/>
        </w:rPr>
        <w:t xml:space="preserve"> </w:t>
      </w:r>
      <w:r w:rsidR="00B05D14">
        <w:rPr>
          <w:lang w:val="en-GB"/>
        </w:rPr>
        <w:t xml:space="preserve">According to Otto, </w:t>
      </w:r>
      <w:r w:rsidR="00B05D14" w:rsidRPr="00191088">
        <w:rPr>
          <w:lang w:val="en-GB"/>
        </w:rPr>
        <w:t>Taylor</w:t>
      </w:r>
      <w:r w:rsidR="00B05D14">
        <w:rPr>
          <w:lang w:val="en-GB"/>
        </w:rPr>
        <w:t xml:space="preserve">’s </w:t>
      </w:r>
      <w:r w:rsidR="00B05D14" w:rsidRPr="00191088">
        <w:rPr>
          <w:lang w:val="en-GB"/>
        </w:rPr>
        <w:t>def</w:t>
      </w:r>
      <w:r w:rsidR="00B05D14">
        <w:rPr>
          <w:lang w:val="en-GB"/>
        </w:rPr>
        <w:t>inition</w:t>
      </w:r>
      <w:r w:rsidR="00B05D14" w:rsidRPr="00191088">
        <w:rPr>
          <w:lang w:val="en-GB"/>
        </w:rPr>
        <w:t xml:space="preserve"> of religion as “belief in spiritual beings”</w:t>
      </w:r>
      <w:r w:rsidR="00B05D14">
        <w:rPr>
          <w:lang w:val="en-GB"/>
        </w:rPr>
        <w:t xml:space="preserve">, could cover </w:t>
      </w:r>
      <w:r w:rsidR="00B05D14" w:rsidRPr="00191088">
        <w:rPr>
          <w:lang w:val="en-GB"/>
        </w:rPr>
        <w:t>most of the material labelled as “magic” in Classical Studies</w:t>
      </w:r>
      <w:r w:rsidR="00B05D14">
        <w:rPr>
          <w:rStyle w:val="FootnoteReference"/>
          <w:lang w:val="en-GB"/>
        </w:rPr>
        <w:footnoteReference w:id="73"/>
      </w:r>
      <w:r w:rsidR="00B05D14">
        <w:rPr>
          <w:lang w:val="en-GB"/>
        </w:rPr>
        <w:t xml:space="preserve">. It is impossible to miss the similarity between Taylor’s definition of religion and </w:t>
      </w:r>
      <w:r w:rsidR="00B05D14" w:rsidRPr="00191088">
        <w:rPr>
          <w:lang w:val="en-GB"/>
        </w:rPr>
        <w:t>Xenophon</w:t>
      </w:r>
      <w:r w:rsidR="00015F8C">
        <w:rPr>
          <w:lang w:val="en-GB"/>
        </w:rPr>
        <w:t>’s</w:t>
      </w:r>
      <w:r w:rsidR="00B05D14">
        <w:rPr>
          <w:lang w:val="en-GB"/>
        </w:rPr>
        <w:t xml:space="preserve"> definition of magic as</w:t>
      </w:r>
      <w:r w:rsidR="00B05D14" w:rsidRPr="00191088">
        <w:rPr>
          <w:lang w:val="en-GB"/>
        </w:rPr>
        <w:t xml:space="preserve"> “expertise in things concerning the gods”</w:t>
      </w:r>
      <w:r w:rsidR="00B05D14">
        <w:rPr>
          <w:rStyle w:val="FootnoteReference"/>
          <w:lang w:val="en-GB"/>
        </w:rPr>
        <w:footnoteReference w:id="74"/>
      </w:r>
      <w:r w:rsidR="00B05D14">
        <w:rPr>
          <w:lang w:val="en-GB"/>
        </w:rPr>
        <w:t>. Fowlers argued that the characteristics noted for magic are also “found in some important Greek rituals that are not normally thought as magical”</w:t>
      </w:r>
      <w:r w:rsidR="00B05D14">
        <w:rPr>
          <w:rStyle w:val="FootnoteReference"/>
          <w:lang w:val="en-GB"/>
        </w:rPr>
        <w:footnoteReference w:id="75"/>
      </w:r>
      <w:r w:rsidR="00B05D14">
        <w:rPr>
          <w:lang w:val="en-GB"/>
        </w:rPr>
        <w:t>, but are based on the same principles of sympathetic magic</w:t>
      </w:r>
      <w:r w:rsidR="00B05D14">
        <w:rPr>
          <w:rStyle w:val="FootnoteReference"/>
          <w:lang w:val="en-GB"/>
        </w:rPr>
        <w:footnoteReference w:id="76"/>
      </w:r>
      <w:r w:rsidR="00B05D14">
        <w:rPr>
          <w:lang w:val="en-GB"/>
        </w:rPr>
        <w:t>. In fact, there is, between the two, a “fluidity of boundaries and much similarity of language and technique”</w:t>
      </w:r>
      <w:r w:rsidR="00B05D14">
        <w:rPr>
          <w:rStyle w:val="FootnoteReference"/>
          <w:lang w:val="en-GB"/>
        </w:rPr>
        <w:footnoteReference w:id="77"/>
      </w:r>
      <w:r w:rsidR="00101246">
        <w:rPr>
          <w:lang w:val="en-GB"/>
        </w:rPr>
        <w:t>, making it</w:t>
      </w:r>
      <w:r w:rsidR="00B05D14">
        <w:rPr>
          <w:lang w:val="en-GB"/>
        </w:rPr>
        <w:t xml:space="preserve"> possible to </w:t>
      </w:r>
      <w:r w:rsidR="00AF11E9">
        <w:rPr>
          <w:lang w:val="en-GB"/>
        </w:rPr>
        <w:t xml:space="preserve">tentatively </w:t>
      </w:r>
      <w:r w:rsidR="00B05D14">
        <w:rPr>
          <w:lang w:val="en-GB"/>
        </w:rPr>
        <w:t xml:space="preserve">conclude with Fowler that “the distinction between “magic” and religion does not lie so much in the substance of the ritual </w:t>
      </w:r>
      <w:r w:rsidR="00B05D14" w:rsidRPr="00F24C33">
        <w:rPr>
          <w:lang w:val="en-GB"/>
        </w:rPr>
        <w:t xml:space="preserve">acts </w:t>
      </w:r>
      <w:r w:rsidR="00F24C33" w:rsidRPr="00F24C33">
        <w:rPr>
          <w:lang w:val="en-GB"/>
        </w:rPr>
        <w:t>but</w:t>
      </w:r>
      <w:r w:rsidR="00B05D14" w:rsidRPr="00F24C33">
        <w:rPr>
          <w:lang w:val="en-GB"/>
        </w:rPr>
        <w:t xml:space="preserve"> in their social context</w:t>
      </w:r>
      <w:r w:rsidR="00B05D14">
        <w:rPr>
          <w:lang w:val="en-GB"/>
        </w:rPr>
        <w:t>”</w:t>
      </w:r>
      <w:r w:rsidR="00B05D14">
        <w:rPr>
          <w:rStyle w:val="FootnoteReference"/>
          <w:lang w:val="en-GB"/>
        </w:rPr>
        <w:footnoteReference w:id="78"/>
      </w:r>
      <w:r w:rsidR="00B05D14">
        <w:rPr>
          <w:lang w:val="en-GB"/>
        </w:rPr>
        <w:t>.</w:t>
      </w:r>
      <w:r w:rsidR="004D3A2C">
        <w:rPr>
          <w:lang w:val="en-GB"/>
        </w:rPr>
        <w:t xml:space="preserve"> The same consideration could be applied to magic and theurgy.</w:t>
      </w:r>
    </w:p>
    <w:p w14:paraId="58EAE4CE" w14:textId="77777777" w:rsidR="00AC49AE" w:rsidRDefault="00AC49AE" w:rsidP="00AC49AE">
      <w:pPr>
        <w:rPr>
          <w:lang w:val="en-GB"/>
        </w:rPr>
      </w:pPr>
    </w:p>
    <w:p w14:paraId="002B62C5" w14:textId="2ECF94DB" w:rsidR="00A73B38" w:rsidRDefault="00101246" w:rsidP="00AC49AE">
      <w:pPr>
        <w:rPr>
          <w:lang w:val="en-GB"/>
        </w:rPr>
      </w:pPr>
      <w:r>
        <w:rPr>
          <w:lang w:val="en-GB"/>
        </w:rPr>
        <w:t>Through time, m</w:t>
      </w:r>
      <w:r w:rsidR="00F24C33">
        <w:rPr>
          <w:lang w:val="en-GB"/>
        </w:rPr>
        <w:t xml:space="preserve">agic </w:t>
      </w:r>
      <w:r>
        <w:rPr>
          <w:lang w:val="en-GB"/>
        </w:rPr>
        <w:t>remained a</w:t>
      </w:r>
      <w:r w:rsidR="00F24C33">
        <w:rPr>
          <w:lang w:val="en-GB"/>
        </w:rPr>
        <w:t xml:space="preserve"> constant in all societies in all times</w:t>
      </w:r>
      <w:r w:rsidR="004A3022">
        <w:rPr>
          <w:rStyle w:val="FootnoteReference"/>
          <w:lang w:val="en-GB"/>
        </w:rPr>
        <w:footnoteReference w:id="79"/>
      </w:r>
      <w:r w:rsidR="00F24C33">
        <w:rPr>
          <w:lang w:val="en-GB"/>
        </w:rPr>
        <w:t xml:space="preserve"> and regardless of our best efforts </w:t>
      </w:r>
      <w:r w:rsidR="004D3A2C">
        <w:rPr>
          <w:lang w:val="en-GB"/>
        </w:rPr>
        <w:t>to</w:t>
      </w:r>
      <w:r w:rsidR="00F24C33">
        <w:rPr>
          <w:lang w:val="en-GB"/>
        </w:rPr>
        <w:t xml:space="preserve"> dismiss it as irrational nonsense, “underworld of religion”</w:t>
      </w:r>
      <w:r w:rsidR="00F24C33">
        <w:rPr>
          <w:rStyle w:val="FootnoteReference"/>
          <w:lang w:val="en-GB"/>
        </w:rPr>
        <w:footnoteReference w:id="80"/>
      </w:r>
      <w:r w:rsidR="00F24C33">
        <w:rPr>
          <w:lang w:val="en-GB"/>
        </w:rPr>
        <w:t>,  and ridicule it as “hocus-pocus”</w:t>
      </w:r>
      <w:r w:rsidR="00F24C33">
        <w:rPr>
          <w:rStyle w:val="FootnoteReference"/>
          <w:lang w:val="en-GB"/>
        </w:rPr>
        <w:footnoteReference w:id="81"/>
      </w:r>
      <w:r w:rsidR="00F24C33">
        <w:rPr>
          <w:lang w:val="en-GB"/>
        </w:rPr>
        <w:t xml:space="preserve"> and “silly and harmless nonsense”</w:t>
      </w:r>
      <w:r w:rsidR="00F24C33">
        <w:rPr>
          <w:rStyle w:val="FootnoteReference"/>
          <w:lang w:val="en-GB"/>
        </w:rPr>
        <w:footnoteReference w:id="82"/>
      </w:r>
      <w:r w:rsidR="00F24C33">
        <w:rPr>
          <w:lang w:val="en-GB"/>
        </w:rPr>
        <w:t>, it seems an unescapable phenomenon we have to measure ourselves with. As</w:t>
      </w:r>
      <w:r w:rsidR="00F24C33" w:rsidRPr="00F24C33">
        <w:rPr>
          <w:rStyle w:val="CommentReference"/>
          <w:lang w:val="en-US"/>
        </w:rPr>
        <w:t xml:space="preserve"> </w:t>
      </w:r>
      <w:r w:rsidR="00F24C33">
        <w:rPr>
          <w:lang w:val="en-GB"/>
        </w:rPr>
        <w:t>Barb admitted, “There are few human activities in the history of which an unbroken chain of tradition from the remotest antiquity to our days can be traced more clearly and conclusively than in the Magic Arts”</w:t>
      </w:r>
      <w:r w:rsidR="00F24C33">
        <w:rPr>
          <w:rStyle w:val="FootnoteReference"/>
          <w:lang w:val="en-GB"/>
        </w:rPr>
        <w:footnoteReference w:id="83"/>
      </w:r>
      <w:r w:rsidR="00F24C33">
        <w:rPr>
          <w:lang w:val="en-GB"/>
        </w:rPr>
        <w:t>. In Antiquity everyone believed in magic</w:t>
      </w:r>
      <w:r w:rsidR="00F24C33">
        <w:rPr>
          <w:rStyle w:val="FootnoteReference"/>
          <w:lang w:val="en-GB"/>
        </w:rPr>
        <w:footnoteReference w:id="84"/>
      </w:r>
      <w:r w:rsidR="00F24C33">
        <w:rPr>
          <w:lang w:val="en-GB"/>
        </w:rPr>
        <w:t xml:space="preserve"> because for the Greeks, concurring with Flower, “there was no such </w:t>
      </w:r>
      <w:r w:rsidR="00F24C33">
        <w:rPr>
          <w:lang w:val="en-GB"/>
        </w:rPr>
        <w:lastRenderedPageBreak/>
        <w:t>thing as ‘coincidence’”</w:t>
      </w:r>
      <w:r w:rsidR="00F24C33">
        <w:rPr>
          <w:rStyle w:val="FootnoteReference"/>
          <w:lang w:val="en-GB"/>
        </w:rPr>
        <w:footnoteReference w:id="85"/>
      </w:r>
      <w:r w:rsidR="00F24C33">
        <w:rPr>
          <w:lang w:val="en-GB"/>
        </w:rPr>
        <w:t xml:space="preserve"> and even events that could be easily explained by mechanical causes admitted </w:t>
      </w:r>
      <w:r w:rsidR="004A3022">
        <w:rPr>
          <w:lang w:val="en-GB"/>
        </w:rPr>
        <w:t xml:space="preserve">as well </w:t>
      </w:r>
      <w:r w:rsidR="00F24C33">
        <w:rPr>
          <w:lang w:val="en-GB"/>
        </w:rPr>
        <w:t xml:space="preserve">volitional causes as part of the explanation. </w:t>
      </w:r>
    </w:p>
    <w:p w14:paraId="04BB24E2" w14:textId="77777777" w:rsidR="00A73B38" w:rsidRDefault="00A73B38" w:rsidP="00AC49AE">
      <w:pPr>
        <w:rPr>
          <w:lang w:val="en-GB"/>
        </w:rPr>
      </w:pPr>
    </w:p>
    <w:p w14:paraId="79332269" w14:textId="3CBF4605" w:rsidR="00AC49AE" w:rsidRDefault="00F24C33" w:rsidP="00AC49AE">
      <w:pPr>
        <w:rPr>
          <w:lang w:val="en-GB"/>
        </w:rPr>
      </w:pPr>
      <w:r>
        <w:rPr>
          <w:lang w:val="en-GB"/>
        </w:rPr>
        <w:t>M</w:t>
      </w:r>
      <w:r w:rsidR="00AC49AE" w:rsidRPr="006E6B68">
        <w:rPr>
          <w:i/>
          <w:iCs/>
          <w:lang w:val="en-GB"/>
        </w:rPr>
        <w:t>ageia</w:t>
      </w:r>
      <w:r w:rsidR="00AC49AE">
        <w:rPr>
          <w:lang w:val="en-GB"/>
        </w:rPr>
        <w:t xml:space="preserve"> lied within a borderline or borderless area of Ancient spirituality which spanned between and encompassed religion, theurgy, philosophy and even science and medicine</w:t>
      </w:r>
      <w:r w:rsidR="004A3022">
        <w:rPr>
          <w:rStyle w:val="FootnoteReference"/>
          <w:lang w:val="en-GB"/>
        </w:rPr>
        <w:footnoteReference w:id="86"/>
      </w:r>
      <w:r w:rsidR="00F47182">
        <w:rPr>
          <w:lang w:val="en-GB"/>
        </w:rPr>
        <w:t>.</w:t>
      </w:r>
      <w:r w:rsidR="00AC49AE">
        <w:rPr>
          <w:lang w:val="en-GB"/>
        </w:rPr>
        <w:t xml:space="preserve"> </w:t>
      </w:r>
      <w:r>
        <w:rPr>
          <w:lang w:val="en-GB"/>
        </w:rPr>
        <w:t xml:space="preserve">This unique placement </w:t>
      </w:r>
      <w:r w:rsidR="00A73B38">
        <w:rPr>
          <w:lang w:val="en-GB"/>
        </w:rPr>
        <w:t xml:space="preserve">is what makes it simultaneously painfully challenging and infinitely interesting to research. </w:t>
      </w:r>
      <w:r w:rsidR="00F62768">
        <w:rPr>
          <w:lang w:val="en-GB"/>
        </w:rPr>
        <w:t>After the curse tablets</w:t>
      </w:r>
      <w:r w:rsidR="00F47182">
        <w:rPr>
          <w:lang w:val="en-GB"/>
        </w:rPr>
        <w:t xml:space="preserve"> </w:t>
      </w:r>
      <w:r w:rsidR="00A73B38">
        <w:rPr>
          <w:lang w:val="en-GB"/>
        </w:rPr>
        <w:t xml:space="preserve">were </w:t>
      </w:r>
      <w:r w:rsidR="00F47182">
        <w:rPr>
          <w:lang w:val="en-GB"/>
        </w:rPr>
        <w:t>d</w:t>
      </w:r>
      <w:r w:rsidR="00F62768">
        <w:rPr>
          <w:lang w:val="en-GB"/>
        </w:rPr>
        <w:t>iscovered in the 18</w:t>
      </w:r>
      <w:r w:rsidR="00F62768" w:rsidRPr="00391516">
        <w:rPr>
          <w:vertAlign w:val="superscript"/>
          <w:lang w:val="en-GB"/>
        </w:rPr>
        <w:t>th</w:t>
      </w:r>
      <w:r w:rsidR="00F62768">
        <w:rPr>
          <w:lang w:val="en-GB"/>
        </w:rPr>
        <w:t xml:space="preserve"> century</w:t>
      </w:r>
      <w:r w:rsidR="00F62768">
        <w:rPr>
          <w:rStyle w:val="FootnoteReference"/>
          <w:lang w:val="en-GB"/>
        </w:rPr>
        <w:footnoteReference w:id="87"/>
      </w:r>
      <w:r w:rsidR="00F62768">
        <w:rPr>
          <w:lang w:val="en-GB"/>
        </w:rPr>
        <w:t xml:space="preserve">, it is the discovery of the </w:t>
      </w:r>
      <w:r w:rsidR="00F62768" w:rsidRPr="00DD464F">
        <w:rPr>
          <w:i/>
          <w:iCs/>
          <w:lang w:val="en-GB"/>
        </w:rPr>
        <w:t>Papyri Graeco Magicae</w:t>
      </w:r>
      <w:r w:rsidR="00F62768">
        <w:rPr>
          <w:rStyle w:val="FootnoteReference"/>
          <w:i/>
          <w:iCs/>
          <w:lang w:val="en-GB"/>
        </w:rPr>
        <w:footnoteReference w:id="88"/>
      </w:r>
      <w:r w:rsidR="00F62768">
        <w:rPr>
          <w:lang w:val="en-GB"/>
        </w:rPr>
        <w:t xml:space="preserve"> t</w:t>
      </w:r>
      <w:r w:rsidR="00F47182">
        <w:rPr>
          <w:lang w:val="en-GB"/>
        </w:rPr>
        <w:t xml:space="preserve">hat transformed </w:t>
      </w:r>
      <w:r w:rsidR="00A73B38">
        <w:rPr>
          <w:lang w:val="en-GB"/>
        </w:rPr>
        <w:t>t</w:t>
      </w:r>
      <w:r w:rsidR="00F62768">
        <w:rPr>
          <w:lang w:val="en-GB"/>
        </w:rPr>
        <w:t>he study of Ancient Magic</w:t>
      </w:r>
      <w:r w:rsidR="003C3468">
        <w:rPr>
          <w:rStyle w:val="FootnoteReference"/>
          <w:lang w:val="en-GB"/>
        </w:rPr>
        <w:footnoteReference w:id="89"/>
      </w:r>
      <w:r w:rsidR="00F62768">
        <w:rPr>
          <w:lang w:val="en-GB"/>
        </w:rPr>
        <w:t xml:space="preserve">. </w:t>
      </w:r>
      <w:r w:rsidR="00AC49AE">
        <w:rPr>
          <w:lang w:val="en-GB"/>
        </w:rPr>
        <w:t xml:space="preserve">The texts </w:t>
      </w:r>
      <w:r w:rsidR="00CB7791">
        <w:rPr>
          <w:lang w:val="en-GB"/>
        </w:rPr>
        <w:t>of the PGM</w:t>
      </w:r>
      <w:r w:rsidR="005C259A">
        <w:rPr>
          <w:rStyle w:val="FootnoteReference"/>
          <w:lang w:val="en-GB"/>
        </w:rPr>
        <w:footnoteReference w:id="90"/>
      </w:r>
      <w:r w:rsidR="00CB7791">
        <w:rPr>
          <w:lang w:val="en-GB"/>
        </w:rPr>
        <w:t xml:space="preserve"> </w:t>
      </w:r>
      <w:r w:rsidR="00AC49AE">
        <w:rPr>
          <w:lang w:val="en-GB"/>
        </w:rPr>
        <w:t xml:space="preserve">date </w:t>
      </w:r>
      <w:r w:rsidR="00E37327">
        <w:rPr>
          <w:lang w:val="en-GB"/>
        </w:rPr>
        <w:t xml:space="preserve">from </w:t>
      </w:r>
      <w:r w:rsidR="00B709E4">
        <w:rPr>
          <w:lang w:val="en-GB"/>
        </w:rPr>
        <w:t xml:space="preserve">the </w:t>
      </w:r>
      <w:r w:rsidR="00E37327">
        <w:rPr>
          <w:lang w:val="en-GB"/>
        </w:rPr>
        <w:t>2</w:t>
      </w:r>
      <w:r w:rsidR="00E37327" w:rsidRPr="00E37327">
        <w:rPr>
          <w:vertAlign w:val="superscript"/>
          <w:lang w:val="en-GB"/>
        </w:rPr>
        <w:t>nd</w:t>
      </w:r>
      <w:r w:rsidR="00E37327">
        <w:rPr>
          <w:lang w:val="en-GB"/>
        </w:rPr>
        <w:t xml:space="preserve"> to </w:t>
      </w:r>
      <w:r w:rsidR="00B709E4">
        <w:rPr>
          <w:lang w:val="en-GB"/>
        </w:rPr>
        <w:t xml:space="preserve">the </w:t>
      </w:r>
      <w:r w:rsidR="00E37327">
        <w:rPr>
          <w:lang w:val="en-GB"/>
        </w:rPr>
        <w:t>5</w:t>
      </w:r>
      <w:r w:rsidR="00E37327" w:rsidRPr="00E37327">
        <w:rPr>
          <w:vertAlign w:val="superscript"/>
          <w:lang w:val="en-GB"/>
        </w:rPr>
        <w:t>th</w:t>
      </w:r>
      <w:r w:rsidR="00E37327">
        <w:rPr>
          <w:lang w:val="en-GB"/>
        </w:rPr>
        <w:t xml:space="preserve"> century CE</w:t>
      </w:r>
      <w:r w:rsidR="00F47182">
        <w:rPr>
          <w:lang w:val="en-GB"/>
        </w:rPr>
        <w:t xml:space="preserve"> and contain </w:t>
      </w:r>
      <w:r w:rsidR="00AC49AE">
        <w:rPr>
          <w:lang w:val="en-GB"/>
        </w:rPr>
        <w:t xml:space="preserve">recipes for </w:t>
      </w:r>
      <w:r w:rsidR="00C374AC">
        <w:rPr>
          <w:lang w:val="en-GB"/>
        </w:rPr>
        <w:t>spells</w:t>
      </w:r>
      <w:r w:rsidR="00F62768">
        <w:rPr>
          <w:lang w:val="en-GB"/>
        </w:rPr>
        <w:t xml:space="preserve">, </w:t>
      </w:r>
      <w:r w:rsidR="00AC49AE">
        <w:rPr>
          <w:lang w:val="en-GB"/>
        </w:rPr>
        <w:t>methods for securing control over natural forces</w:t>
      </w:r>
      <w:r w:rsidR="00AC49AE">
        <w:rPr>
          <w:rStyle w:val="FootnoteReference"/>
          <w:lang w:val="en-GB"/>
        </w:rPr>
        <w:footnoteReference w:id="91"/>
      </w:r>
      <w:r w:rsidR="00AC49AE">
        <w:rPr>
          <w:lang w:val="en-GB"/>
        </w:rPr>
        <w:t>, supplications</w:t>
      </w:r>
      <w:r w:rsidR="00CB7791">
        <w:rPr>
          <w:lang w:val="en-GB"/>
        </w:rPr>
        <w:t>,</w:t>
      </w:r>
      <w:r w:rsidR="00AC49AE">
        <w:rPr>
          <w:lang w:val="en-GB"/>
        </w:rPr>
        <w:t xml:space="preserve"> threats and injunctions to deities and daemons, ways to make people well</w:t>
      </w:r>
      <w:r w:rsidR="00020D1D">
        <w:rPr>
          <w:rStyle w:val="FootnoteReference"/>
          <w:lang w:val="en-GB"/>
        </w:rPr>
        <w:footnoteReference w:id="92"/>
      </w:r>
      <w:r w:rsidR="00AC49AE">
        <w:rPr>
          <w:lang w:val="en-GB"/>
        </w:rPr>
        <w:t xml:space="preserve"> </w:t>
      </w:r>
      <w:r w:rsidR="00C374AC">
        <w:rPr>
          <w:lang w:val="en-GB"/>
        </w:rPr>
        <w:t>or</w:t>
      </w:r>
      <w:r w:rsidR="00AC49AE">
        <w:rPr>
          <w:lang w:val="en-GB"/>
        </w:rPr>
        <w:t xml:space="preserve"> to make them ill</w:t>
      </w:r>
      <w:r w:rsidR="00AC49AE">
        <w:rPr>
          <w:rStyle w:val="FootnoteReference"/>
          <w:lang w:val="en-GB"/>
        </w:rPr>
        <w:footnoteReference w:id="93"/>
      </w:r>
      <w:r w:rsidR="00AC49AE">
        <w:rPr>
          <w:lang w:val="en-GB"/>
        </w:rPr>
        <w:t xml:space="preserve">. </w:t>
      </w:r>
      <w:r w:rsidR="00E37327">
        <w:rPr>
          <w:lang w:val="en-GB"/>
        </w:rPr>
        <w:t>According to the curator, Hans Dieter Betz, the material come from Graeco-Roman Egypt and therefore reflects a broad cultural and religious pluralism with texts in Greek, Demotic or Coptic</w:t>
      </w:r>
      <w:r w:rsidR="00E37327">
        <w:rPr>
          <w:rStyle w:val="FootnoteReference"/>
          <w:lang w:val="en-GB"/>
        </w:rPr>
        <w:footnoteReference w:id="94"/>
      </w:r>
      <w:r w:rsidR="00E37327">
        <w:rPr>
          <w:lang w:val="en-GB"/>
        </w:rPr>
        <w:t xml:space="preserve">. </w:t>
      </w:r>
      <w:r w:rsidR="00AC49AE">
        <w:rPr>
          <w:lang w:val="en-GB"/>
        </w:rPr>
        <w:t>In agreement with Otto, Remus argued that the “Papyri came to be labelled “magical” because the practitioners</w:t>
      </w:r>
      <w:r w:rsidR="00A73B38">
        <w:rPr>
          <w:lang w:val="en-GB"/>
        </w:rPr>
        <w:t xml:space="preserve">… </w:t>
      </w:r>
      <w:r w:rsidR="00AC49AE">
        <w:rPr>
          <w:lang w:val="en-GB"/>
        </w:rPr>
        <w:t xml:space="preserve">call themselves </w:t>
      </w:r>
      <w:r w:rsidR="00AC49AE" w:rsidRPr="00865C3B">
        <w:rPr>
          <w:i/>
          <w:iCs/>
          <w:lang w:val="en-GB"/>
        </w:rPr>
        <w:t>magoi</w:t>
      </w:r>
      <w:r w:rsidR="00AC49AE">
        <w:rPr>
          <w:lang w:val="en-GB"/>
        </w:rPr>
        <w:t xml:space="preserve"> and their craft </w:t>
      </w:r>
      <w:r w:rsidR="00AC49AE" w:rsidRPr="00865C3B">
        <w:rPr>
          <w:i/>
          <w:iCs/>
          <w:lang w:val="en-GB"/>
        </w:rPr>
        <w:t>mageia</w:t>
      </w:r>
      <w:r w:rsidR="00AC49AE">
        <w:rPr>
          <w:lang w:val="en-GB"/>
        </w:rPr>
        <w:t>”</w:t>
      </w:r>
      <w:r w:rsidR="00AC49AE">
        <w:rPr>
          <w:rStyle w:val="FootnoteReference"/>
          <w:lang w:val="en-GB"/>
        </w:rPr>
        <w:footnoteReference w:id="95"/>
      </w:r>
      <w:r w:rsidR="00AC49AE">
        <w:rPr>
          <w:lang w:val="en-GB"/>
        </w:rPr>
        <w:t xml:space="preserve"> </w:t>
      </w:r>
      <w:r w:rsidR="00E37327">
        <w:rPr>
          <w:lang w:val="en-GB"/>
        </w:rPr>
        <w:t xml:space="preserve"> and </w:t>
      </w:r>
      <w:r w:rsidR="00AC49AE">
        <w:rPr>
          <w:lang w:val="en-GB"/>
        </w:rPr>
        <w:t xml:space="preserve">because “moderns recognized in these texts characteristics of what, as a result of a long history, they had come to call </w:t>
      </w:r>
      <w:r w:rsidR="00300EDE">
        <w:rPr>
          <w:lang w:val="en-GB"/>
        </w:rPr>
        <w:t>‘</w:t>
      </w:r>
      <w:r w:rsidR="00AC49AE">
        <w:rPr>
          <w:lang w:val="en-GB"/>
        </w:rPr>
        <w:t>magic</w:t>
      </w:r>
      <w:r w:rsidR="00300EDE">
        <w:rPr>
          <w:lang w:val="en-GB"/>
        </w:rPr>
        <w:t>’</w:t>
      </w:r>
      <w:r w:rsidR="00AC49AE">
        <w:rPr>
          <w:lang w:val="en-GB"/>
        </w:rPr>
        <w:t>”</w:t>
      </w:r>
      <w:r w:rsidR="00300EDE">
        <w:rPr>
          <w:rStyle w:val="FootnoteReference"/>
          <w:lang w:val="en-GB"/>
        </w:rPr>
        <w:footnoteReference w:id="96"/>
      </w:r>
      <w:r w:rsidR="00AC49AE">
        <w:rPr>
          <w:lang w:val="en-GB"/>
        </w:rPr>
        <w:t xml:space="preserve">. </w:t>
      </w:r>
    </w:p>
    <w:p w14:paraId="48947C85" w14:textId="0379DD00" w:rsidR="001C7741" w:rsidRDefault="001C7741" w:rsidP="00AC49AE">
      <w:pPr>
        <w:rPr>
          <w:lang w:val="en-GB"/>
        </w:rPr>
      </w:pPr>
    </w:p>
    <w:p w14:paraId="752004F1" w14:textId="686A7760" w:rsidR="001C7741" w:rsidRDefault="001C7741" w:rsidP="00AC49AE">
      <w:pPr>
        <w:rPr>
          <w:lang w:val="en-GB"/>
        </w:rPr>
      </w:pPr>
    </w:p>
    <w:p w14:paraId="57729862" w14:textId="624CC0C4" w:rsidR="001C7741" w:rsidRDefault="001C7741" w:rsidP="00AC49AE">
      <w:pPr>
        <w:rPr>
          <w:lang w:val="en-GB"/>
        </w:rPr>
      </w:pPr>
    </w:p>
    <w:p w14:paraId="358BFEE3" w14:textId="77777777" w:rsidR="001C7741" w:rsidRDefault="001C7741" w:rsidP="00AC49AE">
      <w:pPr>
        <w:rPr>
          <w:lang w:val="en-GB"/>
        </w:rPr>
      </w:pPr>
    </w:p>
    <w:p w14:paraId="1908FB65" w14:textId="77777777" w:rsidR="008434F8" w:rsidRDefault="008434F8" w:rsidP="00AC49AE">
      <w:pPr>
        <w:rPr>
          <w:lang w:val="en-GB"/>
        </w:rPr>
      </w:pPr>
    </w:p>
    <w:p w14:paraId="39BC03B1" w14:textId="3926F897" w:rsidR="00AC49AE" w:rsidRDefault="00AC49AE" w:rsidP="008434F8">
      <w:pPr>
        <w:pStyle w:val="Heading1"/>
        <w:rPr>
          <w:lang w:val="en-GB"/>
        </w:rPr>
      </w:pPr>
      <w:r w:rsidRPr="00A23822">
        <w:rPr>
          <w:lang w:val="en-GB"/>
        </w:rPr>
        <w:lastRenderedPageBreak/>
        <w:t>Theurgy and Magic</w:t>
      </w:r>
    </w:p>
    <w:p w14:paraId="7CE6665A" w14:textId="77777777" w:rsidR="00AC49AE" w:rsidRDefault="00AC49AE" w:rsidP="00AC49AE">
      <w:pPr>
        <w:rPr>
          <w:lang w:val="en-GB"/>
        </w:rPr>
      </w:pPr>
    </w:p>
    <w:p w14:paraId="2DF18EB8" w14:textId="53BBD1BE" w:rsidR="00AC49AE" w:rsidRPr="00974FFF" w:rsidRDefault="00AC49AE" w:rsidP="00AC49AE">
      <w:pPr>
        <w:rPr>
          <w:lang w:val="en-GB"/>
        </w:rPr>
      </w:pPr>
      <w:r>
        <w:rPr>
          <w:lang w:val="en-GB"/>
        </w:rPr>
        <w:t>The difference between theurgy and magic</w:t>
      </w:r>
      <w:r w:rsidR="00CB7791">
        <w:rPr>
          <w:lang w:val="en-GB"/>
        </w:rPr>
        <w:t xml:space="preserve"> as described by Iamblichus</w:t>
      </w:r>
      <w:r>
        <w:rPr>
          <w:lang w:val="en-GB"/>
        </w:rPr>
        <w:t xml:space="preserve"> have been identified earlier</w:t>
      </w:r>
      <w:r>
        <w:rPr>
          <w:rStyle w:val="FootnoteReference"/>
          <w:lang w:val="en-GB"/>
        </w:rPr>
        <w:footnoteReference w:id="97"/>
      </w:r>
      <w:r>
        <w:rPr>
          <w:lang w:val="en-GB"/>
        </w:rPr>
        <w:t xml:space="preserve">. </w:t>
      </w:r>
      <w:r w:rsidR="00E37327">
        <w:rPr>
          <w:lang w:val="en-GB"/>
        </w:rPr>
        <w:t>As per the commonalities, Nock had noted that “these papyri have much in common with Neoplatonic theurgy”</w:t>
      </w:r>
      <w:r w:rsidR="00E37327">
        <w:rPr>
          <w:rStyle w:val="FootnoteReference"/>
          <w:lang w:val="en-GB"/>
        </w:rPr>
        <w:footnoteReference w:id="98"/>
      </w:r>
      <w:r w:rsidR="00305A45">
        <w:rPr>
          <w:lang w:val="en-GB"/>
        </w:rPr>
        <w:t>. It is</w:t>
      </w:r>
      <w:r w:rsidR="00300EDE">
        <w:rPr>
          <w:lang w:val="en-GB"/>
        </w:rPr>
        <w:t xml:space="preserve"> not surprising</w:t>
      </w:r>
      <w:r w:rsidR="00305A45">
        <w:rPr>
          <w:lang w:val="en-GB"/>
        </w:rPr>
        <w:t xml:space="preserve"> </w:t>
      </w:r>
      <w:r w:rsidR="00B709E4">
        <w:rPr>
          <w:lang w:val="en-GB"/>
        </w:rPr>
        <w:t>having established</w:t>
      </w:r>
      <w:r w:rsidR="00300EDE">
        <w:rPr>
          <w:lang w:val="en-GB"/>
        </w:rPr>
        <w:t xml:space="preserve"> </w:t>
      </w:r>
      <w:r w:rsidR="00E37327">
        <w:rPr>
          <w:lang w:val="en-GB"/>
        </w:rPr>
        <w:t xml:space="preserve">magic’s tendency towards </w:t>
      </w:r>
      <w:r w:rsidR="00A73B38">
        <w:rPr>
          <w:lang w:val="en-GB"/>
        </w:rPr>
        <w:t xml:space="preserve">carefree </w:t>
      </w:r>
      <w:r>
        <w:rPr>
          <w:lang w:val="en-GB"/>
        </w:rPr>
        <w:t>syncretic appropriation</w:t>
      </w:r>
      <w:r w:rsidR="001C7741">
        <w:rPr>
          <w:rStyle w:val="FootnoteReference"/>
          <w:lang w:val="en-GB"/>
        </w:rPr>
        <w:footnoteReference w:id="99"/>
      </w:r>
      <w:r w:rsidR="00A73B38">
        <w:rPr>
          <w:lang w:val="en-GB"/>
        </w:rPr>
        <w:t>.</w:t>
      </w:r>
      <w:r>
        <w:rPr>
          <w:lang w:val="en-GB"/>
        </w:rPr>
        <w:t xml:space="preserve"> </w:t>
      </w:r>
    </w:p>
    <w:p w14:paraId="38BB7037" w14:textId="77777777" w:rsidR="00AC49AE" w:rsidRDefault="00AC49AE" w:rsidP="00AC49AE">
      <w:pPr>
        <w:rPr>
          <w:lang w:val="en-GB"/>
        </w:rPr>
      </w:pPr>
    </w:p>
    <w:p w14:paraId="09CCC6B3" w14:textId="41FB5B55" w:rsidR="00AC49AE" w:rsidRDefault="00AC49AE" w:rsidP="00AC49AE">
      <w:pPr>
        <w:rPr>
          <w:lang w:val="en-GB"/>
        </w:rPr>
      </w:pPr>
      <w:r>
        <w:rPr>
          <w:lang w:val="en-GB"/>
        </w:rPr>
        <w:t>Theurgy and magic are both ways to connect to the divine</w:t>
      </w:r>
      <w:r w:rsidR="007E7B47">
        <w:rPr>
          <w:lang w:val="en-GB"/>
        </w:rPr>
        <w:t>.</w:t>
      </w:r>
      <w:r>
        <w:rPr>
          <w:lang w:val="en-GB"/>
        </w:rPr>
        <w:t xml:space="preserve"> Exactly as in theurgy, </w:t>
      </w:r>
      <w:r w:rsidRPr="00191088">
        <w:rPr>
          <w:lang w:val="en-GB"/>
        </w:rPr>
        <w:t xml:space="preserve">all </w:t>
      </w:r>
      <w:r w:rsidR="00E37327">
        <w:rPr>
          <w:lang w:val="en-GB"/>
        </w:rPr>
        <w:t xml:space="preserve">magical </w:t>
      </w:r>
      <w:r w:rsidRPr="00191088">
        <w:rPr>
          <w:lang w:val="en-GB"/>
        </w:rPr>
        <w:t>rituals are addressed to gods. To quote again Taylor</w:t>
      </w:r>
      <w:r w:rsidR="00CB7791">
        <w:rPr>
          <w:lang w:val="en-GB"/>
        </w:rPr>
        <w:t>’s definition of religion as</w:t>
      </w:r>
      <w:r w:rsidRPr="00191088">
        <w:rPr>
          <w:lang w:val="en-GB"/>
        </w:rPr>
        <w:t xml:space="preserve"> a </w:t>
      </w:r>
      <w:r w:rsidRPr="00191088">
        <w:rPr>
          <w:i/>
          <w:iCs/>
          <w:lang w:val="en-GB"/>
        </w:rPr>
        <w:t>belief in spiritual beings</w:t>
      </w:r>
      <w:r w:rsidR="00CB7791">
        <w:rPr>
          <w:i/>
          <w:iCs/>
          <w:lang w:val="en-GB"/>
        </w:rPr>
        <w:t xml:space="preserve">, </w:t>
      </w:r>
      <w:r w:rsidRPr="00191088">
        <w:rPr>
          <w:lang w:val="en-GB"/>
        </w:rPr>
        <w:t xml:space="preserve"> </w:t>
      </w:r>
      <w:r w:rsidR="00CB7791">
        <w:rPr>
          <w:lang w:val="en-GB"/>
        </w:rPr>
        <w:t>this is</w:t>
      </w:r>
      <w:r w:rsidRPr="00191088">
        <w:rPr>
          <w:lang w:val="en-GB"/>
        </w:rPr>
        <w:t xml:space="preserve"> the core concept that unites all ritual</w:t>
      </w:r>
      <w:r w:rsidR="00A73B38">
        <w:rPr>
          <w:lang w:val="en-GB"/>
        </w:rPr>
        <w:t>s</w:t>
      </w:r>
      <w:r w:rsidRPr="00191088">
        <w:rPr>
          <w:lang w:val="en-GB"/>
        </w:rPr>
        <w:t xml:space="preserve"> of the PGM. The gods are the granter </w:t>
      </w:r>
      <w:r w:rsidR="00CB7791">
        <w:rPr>
          <w:lang w:val="en-GB"/>
        </w:rPr>
        <w:t>of</w:t>
      </w:r>
      <w:r w:rsidRPr="00191088">
        <w:rPr>
          <w:lang w:val="en-GB"/>
        </w:rPr>
        <w:t xml:space="preserve"> the requests and the magician is only a mediator</w:t>
      </w:r>
      <w:r w:rsidR="00A503BE">
        <w:rPr>
          <w:rStyle w:val="FootnoteReference"/>
          <w:lang w:val="en-GB"/>
        </w:rPr>
        <w:footnoteReference w:id="100"/>
      </w:r>
      <w:r w:rsidRPr="00191088">
        <w:rPr>
          <w:lang w:val="en-GB"/>
        </w:rPr>
        <w:t>.</w:t>
      </w:r>
      <w:r w:rsidR="00A503BE">
        <w:rPr>
          <w:lang w:val="en-GB"/>
        </w:rPr>
        <w:t xml:space="preserve"> </w:t>
      </w:r>
      <w:r w:rsidR="003A3C25">
        <w:rPr>
          <w:lang w:val="en-GB"/>
        </w:rPr>
        <w:t>Iamblichus would have agreed</w:t>
      </w:r>
      <w:r w:rsidR="003A3C25">
        <w:rPr>
          <w:rStyle w:val="FootnoteReference"/>
          <w:lang w:val="en-GB"/>
        </w:rPr>
        <w:footnoteReference w:id="101"/>
      </w:r>
      <w:r w:rsidR="003A3C25">
        <w:rPr>
          <w:lang w:val="en-GB"/>
        </w:rPr>
        <w:t xml:space="preserve">, however magicians thought they could somehow </w:t>
      </w:r>
      <w:r w:rsidR="00300EDE">
        <w:rPr>
          <w:lang w:val="en-GB"/>
        </w:rPr>
        <w:t>influence</w:t>
      </w:r>
      <w:r w:rsidR="003A3C25">
        <w:rPr>
          <w:lang w:val="en-GB"/>
        </w:rPr>
        <w:t xml:space="preserve"> deities </w:t>
      </w:r>
      <w:r w:rsidR="00305A45">
        <w:rPr>
          <w:lang w:val="en-GB"/>
        </w:rPr>
        <w:t>whilst</w:t>
      </w:r>
      <w:r w:rsidR="003A3C25">
        <w:rPr>
          <w:lang w:val="en-GB"/>
        </w:rPr>
        <w:t xml:space="preserve"> theurgists did not. </w:t>
      </w:r>
    </w:p>
    <w:p w14:paraId="352DFD08" w14:textId="4050DF7E" w:rsidR="003A3C25" w:rsidRDefault="003A3C25" w:rsidP="00AC49AE">
      <w:pPr>
        <w:rPr>
          <w:lang w:val="en-GB"/>
        </w:rPr>
      </w:pPr>
    </w:p>
    <w:p w14:paraId="0FEF76E7" w14:textId="3214A6C0" w:rsidR="00AC49AE" w:rsidRDefault="003A3C25" w:rsidP="00A73B38">
      <w:pPr>
        <w:rPr>
          <w:lang w:val="en-GB"/>
        </w:rPr>
      </w:pPr>
      <w:r>
        <w:rPr>
          <w:lang w:val="en-GB"/>
        </w:rPr>
        <w:t>Both magicians and theurgists</w:t>
      </w:r>
      <w:r w:rsidR="00F74C19">
        <w:rPr>
          <w:rStyle w:val="FootnoteReference"/>
          <w:lang w:val="en-GB"/>
        </w:rPr>
        <w:footnoteReference w:id="102"/>
      </w:r>
      <w:r>
        <w:rPr>
          <w:lang w:val="en-GB"/>
        </w:rPr>
        <w:t xml:space="preserve"> practitioners believed in the process of divinisation through their practise</w:t>
      </w:r>
      <w:r>
        <w:rPr>
          <w:rStyle w:val="FootnoteReference"/>
          <w:lang w:val="en-GB"/>
        </w:rPr>
        <w:footnoteReference w:id="103"/>
      </w:r>
      <w:r>
        <w:rPr>
          <w:lang w:val="en-GB"/>
        </w:rPr>
        <w:t>. Betz commented that “the magician must become a god himself, for only a god or ‘divine man’ can be the friend and companion of a deity”</w:t>
      </w:r>
      <w:r>
        <w:rPr>
          <w:rStyle w:val="FootnoteReference"/>
          <w:lang w:val="en-GB"/>
        </w:rPr>
        <w:footnoteReference w:id="104"/>
      </w:r>
      <w:r>
        <w:rPr>
          <w:lang w:val="en-GB"/>
        </w:rPr>
        <w:t xml:space="preserve">. Nock spoke about </w:t>
      </w:r>
      <w:r w:rsidRPr="00974FFF">
        <w:rPr>
          <w:i/>
          <w:iCs/>
          <w:lang w:val="en-GB"/>
        </w:rPr>
        <w:t>ignota pietas</w:t>
      </w:r>
      <w:r>
        <w:rPr>
          <w:lang w:val="en-GB"/>
        </w:rPr>
        <w:t xml:space="preserve"> in PGM referring to the process called </w:t>
      </w:r>
      <w:r>
        <w:rPr>
          <w:lang w:val="en-GB"/>
        </w:rPr>
        <w:sym w:font="Symbol" w:char="F073"/>
      </w:r>
      <w:r>
        <w:rPr>
          <w:lang w:val="en-GB"/>
        </w:rPr>
        <w:sym w:font="Symbol" w:char="F075"/>
      </w:r>
      <w:r>
        <w:rPr>
          <w:lang w:val="en-GB"/>
        </w:rPr>
        <w:sym w:font="Symbol" w:char="F073"/>
      </w:r>
      <w:r>
        <w:rPr>
          <w:lang w:val="en-GB"/>
        </w:rPr>
        <w:sym w:font="Symbol" w:char="F074"/>
      </w:r>
      <w:r>
        <w:rPr>
          <w:lang w:val="en-GB"/>
        </w:rPr>
        <w:sym w:font="Symbol" w:char="F061"/>
      </w:r>
      <w:r>
        <w:rPr>
          <w:lang w:val="en-GB"/>
        </w:rPr>
        <w:sym w:font="Symbol" w:char="F073"/>
      </w:r>
      <w:r>
        <w:rPr>
          <w:lang w:val="en-GB"/>
        </w:rPr>
        <w:sym w:font="Symbol" w:char="F069"/>
      </w:r>
      <w:r>
        <w:rPr>
          <w:lang w:val="en-GB"/>
        </w:rPr>
        <w:sym w:font="Symbol" w:char="F056"/>
      </w:r>
      <w:r>
        <w:rPr>
          <w:lang w:val="en-GB"/>
        </w:rPr>
        <w:t xml:space="preserve"> </w:t>
      </w:r>
      <w:r>
        <w:rPr>
          <w:lang w:val="en-GB"/>
        </w:rPr>
        <w:sym w:font="Symbol" w:char="F070"/>
      </w:r>
      <w:r>
        <w:rPr>
          <w:lang w:val="en-GB"/>
        </w:rPr>
        <w:sym w:font="Symbol" w:char="F072"/>
      </w:r>
      <w:r>
        <w:rPr>
          <w:lang w:val="en-GB"/>
        </w:rPr>
        <w:sym w:font="Symbol" w:char="F06F"/>
      </w:r>
      <w:r>
        <w:rPr>
          <w:lang w:val="en-GB"/>
        </w:rPr>
        <w:sym w:font="Symbol" w:char="F056"/>
      </w:r>
      <w:r>
        <w:rPr>
          <w:lang w:val="en-GB"/>
        </w:rPr>
        <w:t xml:space="preserve"> </w:t>
      </w:r>
      <w:r>
        <w:rPr>
          <w:lang w:val="en-GB"/>
        </w:rPr>
        <w:sym w:font="Symbol" w:char="F048"/>
      </w:r>
      <w:r>
        <w:rPr>
          <w:lang w:val="en-GB"/>
        </w:rPr>
        <w:sym w:font="Symbol" w:char="F06C"/>
      </w:r>
      <w:r>
        <w:rPr>
          <w:lang w:val="en-GB"/>
        </w:rPr>
        <w:sym w:font="Symbol" w:char="F069"/>
      </w:r>
      <w:r>
        <w:rPr>
          <w:lang w:val="en-GB"/>
        </w:rPr>
        <w:sym w:font="Symbol" w:char="F06F"/>
      </w:r>
      <w:r>
        <w:rPr>
          <w:lang w:val="en-GB"/>
        </w:rPr>
        <w:sym w:font="Symbol" w:char="F06E"/>
      </w:r>
      <w:r>
        <w:rPr>
          <w:lang w:val="en-GB"/>
        </w:rPr>
        <w:t>, where the magician acquired a god-like nature</w:t>
      </w:r>
      <w:r>
        <w:rPr>
          <w:rStyle w:val="FootnoteReference"/>
          <w:lang w:val="en-GB"/>
        </w:rPr>
        <w:footnoteReference w:id="105"/>
      </w:r>
      <w:r>
        <w:rPr>
          <w:lang w:val="en-GB"/>
        </w:rPr>
        <w:t>. Nock found this concept also in prayers where the magician, addressing Hermes, recite</w:t>
      </w:r>
      <w:r w:rsidR="00A73B38">
        <w:rPr>
          <w:lang w:val="en-GB"/>
        </w:rPr>
        <w:t>d</w:t>
      </w:r>
      <w:r>
        <w:rPr>
          <w:lang w:val="en-GB"/>
        </w:rPr>
        <w:t>: “I am thee and thou art I… Thy name is mine, my name is thine, for I am thy image”</w:t>
      </w:r>
      <w:r>
        <w:rPr>
          <w:rStyle w:val="FootnoteReference"/>
          <w:lang w:val="en-GB"/>
        </w:rPr>
        <w:footnoteReference w:id="106"/>
      </w:r>
      <w:r>
        <w:rPr>
          <w:lang w:val="en-GB"/>
        </w:rPr>
        <w:t>.</w:t>
      </w:r>
    </w:p>
    <w:p w14:paraId="50817FEC" w14:textId="77777777" w:rsidR="00A73B38" w:rsidRDefault="00A73B38" w:rsidP="00A73B38">
      <w:pPr>
        <w:rPr>
          <w:lang w:val="en-GB"/>
        </w:rPr>
      </w:pPr>
    </w:p>
    <w:p w14:paraId="34BC50AF" w14:textId="313A9CB7" w:rsidR="00AC49AE" w:rsidRPr="003824B5" w:rsidRDefault="00AC49AE" w:rsidP="00AC49AE">
      <w:pPr>
        <w:rPr>
          <w:lang w:val="en-GB"/>
        </w:rPr>
      </w:pPr>
      <w:r>
        <w:rPr>
          <w:lang w:val="en-GB"/>
        </w:rPr>
        <w:t xml:space="preserve">Magic and theurgy are considered divine and sacred </w:t>
      </w:r>
      <w:r w:rsidR="00CB7791">
        <w:rPr>
          <w:lang w:val="en-GB"/>
        </w:rPr>
        <w:t>by those who</w:t>
      </w:r>
      <w:r w:rsidR="00A73B38">
        <w:rPr>
          <w:lang w:val="en-GB"/>
        </w:rPr>
        <w:t xml:space="preserve"> practise t</w:t>
      </w:r>
      <w:r w:rsidR="00CB7791">
        <w:rPr>
          <w:lang w:val="en-GB"/>
        </w:rPr>
        <w:t>hem</w:t>
      </w:r>
      <w:r w:rsidR="00A503BE">
        <w:rPr>
          <w:lang w:val="en-GB"/>
        </w:rPr>
        <w:t xml:space="preserve">. </w:t>
      </w:r>
      <w:r>
        <w:rPr>
          <w:lang w:val="en-GB"/>
        </w:rPr>
        <w:t xml:space="preserve">Remus </w:t>
      </w:r>
      <w:r w:rsidR="003A3C25">
        <w:rPr>
          <w:lang w:val="en-GB"/>
        </w:rPr>
        <w:t>argued</w:t>
      </w:r>
      <w:r>
        <w:rPr>
          <w:lang w:val="en-GB"/>
        </w:rPr>
        <w:t xml:space="preserve"> that magic </w:t>
      </w:r>
      <w:r w:rsidR="00CB7791">
        <w:rPr>
          <w:lang w:val="en-GB"/>
        </w:rPr>
        <w:t xml:space="preserve">was kept </w:t>
      </w:r>
      <w:r>
        <w:rPr>
          <w:lang w:val="en-GB"/>
        </w:rPr>
        <w:t>secr</w:t>
      </w:r>
      <w:r w:rsidR="00A503BE">
        <w:rPr>
          <w:lang w:val="en-GB"/>
        </w:rPr>
        <w:t xml:space="preserve">et </w:t>
      </w:r>
      <w:r>
        <w:rPr>
          <w:lang w:val="en-GB"/>
        </w:rPr>
        <w:t xml:space="preserve">because </w:t>
      </w:r>
      <w:r w:rsidR="00490418">
        <w:rPr>
          <w:lang w:val="en-GB"/>
        </w:rPr>
        <w:t>it</w:t>
      </w:r>
      <w:r>
        <w:rPr>
          <w:lang w:val="en-GB"/>
        </w:rPr>
        <w:t xml:space="preserve"> was considered divine and a</w:t>
      </w:r>
      <w:r w:rsidR="00CB7791">
        <w:rPr>
          <w:lang w:val="en-GB"/>
        </w:rPr>
        <w:t xml:space="preserve"> </w:t>
      </w:r>
      <w:r>
        <w:rPr>
          <w:lang w:val="en-GB"/>
        </w:rPr>
        <w:t>gift from the gods</w:t>
      </w:r>
      <w:r>
        <w:rPr>
          <w:rStyle w:val="FootnoteReference"/>
          <w:lang w:val="en-GB"/>
        </w:rPr>
        <w:footnoteReference w:id="107"/>
      </w:r>
      <w:r>
        <w:rPr>
          <w:lang w:val="en-GB"/>
        </w:rPr>
        <w:t xml:space="preserve">. Its </w:t>
      </w:r>
      <w:r w:rsidR="00CB7791">
        <w:rPr>
          <w:lang w:val="en-GB"/>
        </w:rPr>
        <w:t>origins</w:t>
      </w:r>
      <w:r>
        <w:rPr>
          <w:lang w:val="en-GB"/>
        </w:rPr>
        <w:t xml:space="preserve"> w</w:t>
      </w:r>
      <w:r w:rsidR="00CB7791">
        <w:rPr>
          <w:lang w:val="en-GB"/>
        </w:rPr>
        <w:t>ere</w:t>
      </w:r>
      <w:r>
        <w:rPr>
          <w:lang w:val="en-GB"/>
        </w:rPr>
        <w:t xml:space="preserve"> traced back to “the gods themselves”</w:t>
      </w:r>
      <w:r>
        <w:rPr>
          <w:rStyle w:val="FootnoteReference"/>
          <w:lang w:val="en-GB"/>
        </w:rPr>
        <w:footnoteReference w:id="108"/>
      </w:r>
      <w:r>
        <w:rPr>
          <w:lang w:val="en-GB"/>
        </w:rPr>
        <w:t>, specifically Hermes-Thot</w:t>
      </w:r>
      <w:r w:rsidR="00BB49CB">
        <w:rPr>
          <w:rStyle w:val="FootnoteReference"/>
          <w:lang w:val="en-GB"/>
        </w:rPr>
        <w:footnoteReference w:id="109"/>
      </w:r>
      <w:r>
        <w:rPr>
          <w:lang w:val="en-GB"/>
        </w:rPr>
        <w:t>. Theurgists believed that their practi</w:t>
      </w:r>
      <w:r w:rsidR="00305A45">
        <w:rPr>
          <w:lang w:val="en-GB"/>
        </w:rPr>
        <w:t>c</w:t>
      </w:r>
      <w:r>
        <w:rPr>
          <w:lang w:val="en-GB"/>
        </w:rPr>
        <w:t xml:space="preserve">e was </w:t>
      </w:r>
      <w:r w:rsidR="00305A45">
        <w:rPr>
          <w:lang w:val="en-GB"/>
        </w:rPr>
        <w:t xml:space="preserve">a </w:t>
      </w:r>
      <w:r>
        <w:rPr>
          <w:lang w:val="en-GB"/>
        </w:rPr>
        <w:t xml:space="preserve">gift </w:t>
      </w:r>
      <w:r w:rsidR="00305A45">
        <w:rPr>
          <w:lang w:val="en-GB"/>
        </w:rPr>
        <w:t xml:space="preserve">from god </w:t>
      </w:r>
      <w:r>
        <w:rPr>
          <w:lang w:val="en-GB"/>
        </w:rPr>
        <w:t>and that the knowledge they acquire</w:t>
      </w:r>
      <w:r w:rsidR="00490418">
        <w:rPr>
          <w:lang w:val="en-GB"/>
        </w:rPr>
        <w:t>d</w:t>
      </w:r>
      <w:r>
        <w:rPr>
          <w:lang w:val="en-GB"/>
        </w:rPr>
        <w:t xml:space="preserve"> was divine. </w:t>
      </w:r>
      <w:r w:rsidR="00CB7791">
        <w:rPr>
          <w:lang w:val="en-GB"/>
        </w:rPr>
        <w:t xml:space="preserve">They called </w:t>
      </w:r>
      <w:r w:rsidR="00305A45">
        <w:rPr>
          <w:lang w:val="en-GB"/>
        </w:rPr>
        <w:t>it</w:t>
      </w:r>
      <w:r w:rsidR="00CB7791">
        <w:rPr>
          <w:lang w:val="en-GB"/>
        </w:rPr>
        <w:t xml:space="preserve"> </w:t>
      </w:r>
      <w:r w:rsidR="00A503BE">
        <w:rPr>
          <w:lang w:val="en-GB"/>
        </w:rPr>
        <w:t>“</w:t>
      </w:r>
      <w:r w:rsidR="00CB7791">
        <w:rPr>
          <w:lang w:val="en-GB"/>
        </w:rPr>
        <w:t>god’s work</w:t>
      </w:r>
      <w:r w:rsidR="00A503BE">
        <w:rPr>
          <w:lang w:val="en-GB"/>
        </w:rPr>
        <w:t>”</w:t>
      </w:r>
      <w:r w:rsidR="00CB7791">
        <w:rPr>
          <w:lang w:val="en-GB"/>
        </w:rPr>
        <w:t xml:space="preserve">. </w:t>
      </w:r>
    </w:p>
    <w:p w14:paraId="37701EB2" w14:textId="77777777" w:rsidR="00AC49AE" w:rsidRDefault="00AC49AE" w:rsidP="00AC49AE">
      <w:pPr>
        <w:pStyle w:val="Heading3"/>
        <w:rPr>
          <w:lang w:val="en-GB"/>
        </w:rPr>
      </w:pPr>
    </w:p>
    <w:p w14:paraId="5F9EFFE5" w14:textId="6082209C" w:rsidR="00AC49AE" w:rsidRDefault="00AC49AE" w:rsidP="00AC49AE">
      <w:pPr>
        <w:rPr>
          <w:lang w:val="en-GB"/>
        </w:rPr>
      </w:pPr>
      <w:r>
        <w:rPr>
          <w:lang w:val="en-GB"/>
        </w:rPr>
        <w:t xml:space="preserve">Magic and theurgy were considered </w:t>
      </w:r>
      <w:r w:rsidR="00300EDE">
        <w:rPr>
          <w:lang w:val="en-GB"/>
        </w:rPr>
        <w:t>“</w:t>
      </w:r>
      <w:r>
        <w:rPr>
          <w:lang w:val="en-GB"/>
        </w:rPr>
        <w:t>religions</w:t>
      </w:r>
      <w:r w:rsidR="00300EDE">
        <w:rPr>
          <w:lang w:val="en-GB"/>
        </w:rPr>
        <w:t>”</w:t>
      </w:r>
      <w:r>
        <w:rPr>
          <w:lang w:val="en-GB"/>
        </w:rPr>
        <w:t xml:space="preserve"> by those who practise</w:t>
      </w:r>
      <w:r w:rsidR="00B709E4">
        <w:rPr>
          <w:lang w:val="en-GB"/>
        </w:rPr>
        <w:t>d</w:t>
      </w:r>
      <w:r>
        <w:rPr>
          <w:lang w:val="en-GB"/>
        </w:rPr>
        <w:t xml:space="preserve"> them</w:t>
      </w:r>
      <w:r w:rsidR="00A503BE">
        <w:rPr>
          <w:lang w:val="en-GB"/>
        </w:rPr>
        <w:t xml:space="preserve">. </w:t>
      </w:r>
      <w:r>
        <w:rPr>
          <w:lang w:val="en-GB"/>
        </w:rPr>
        <w:t xml:space="preserve">Betz commented, referring to </w:t>
      </w:r>
      <w:r w:rsidR="00CB7791">
        <w:rPr>
          <w:lang w:val="en-GB"/>
        </w:rPr>
        <w:t xml:space="preserve">the </w:t>
      </w:r>
      <w:r>
        <w:rPr>
          <w:lang w:val="en-GB"/>
        </w:rPr>
        <w:t>magicians</w:t>
      </w:r>
      <w:r w:rsidR="003A3C25">
        <w:rPr>
          <w:lang w:val="en-GB"/>
        </w:rPr>
        <w:t>,</w:t>
      </w:r>
      <w:r>
        <w:rPr>
          <w:lang w:val="en-GB"/>
        </w:rPr>
        <w:t xml:space="preserve"> that “They lacked what we would call </w:t>
      </w:r>
      <w:r w:rsidR="003A3C25">
        <w:rPr>
          <w:lang w:val="en-GB"/>
        </w:rPr>
        <w:t>‘</w:t>
      </w:r>
      <w:r>
        <w:rPr>
          <w:lang w:val="en-GB"/>
        </w:rPr>
        <w:t>religion</w:t>
      </w:r>
      <w:r w:rsidR="003A3C25">
        <w:rPr>
          <w:lang w:val="en-GB"/>
        </w:rPr>
        <w:t>’”</w:t>
      </w:r>
      <w:r w:rsidR="00AA5857">
        <w:rPr>
          <w:lang w:val="en-GB"/>
        </w:rPr>
        <w:t xml:space="preserve"> but t</w:t>
      </w:r>
      <w:r>
        <w:rPr>
          <w:lang w:val="en-GB"/>
        </w:rPr>
        <w:t xml:space="preserve">hey possessed a “religion that worked”, </w:t>
      </w:r>
      <w:r w:rsidR="00AA5857">
        <w:rPr>
          <w:lang w:val="en-GB"/>
        </w:rPr>
        <w:t>i.e.</w:t>
      </w:r>
      <w:r>
        <w:rPr>
          <w:lang w:val="en-GB"/>
        </w:rPr>
        <w:t xml:space="preserve"> magic</w:t>
      </w:r>
      <w:r>
        <w:rPr>
          <w:rStyle w:val="FootnoteReference"/>
          <w:lang w:val="en-GB"/>
        </w:rPr>
        <w:footnoteReference w:id="110"/>
      </w:r>
      <w:r>
        <w:rPr>
          <w:lang w:val="en-GB"/>
        </w:rPr>
        <w:t>. It is not far-fetched to apply this same consideration to theurgy. It</w:t>
      </w:r>
      <w:r w:rsidR="003A3C25">
        <w:rPr>
          <w:lang w:val="en-GB"/>
        </w:rPr>
        <w:t xml:space="preserve"> i</w:t>
      </w:r>
      <w:r>
        <w:rPr>
          <w:lang w:val="en-GB"/>
        </w:rPr>
        <w:t xml:space="preserve">s </w:t>
      </w:r>
      <w:r w:rsidR="00A503BE">
        <w:rPr>
          <w:lang w:val="en-GB"/>
        </w:rPr>
        <w:t xml:space="preserve">also </w:t>
      </w:r>
      <w:r>
        <w:rPr>
          <w:lang w:val="en-GB"/>
        </w:rPr>
        <w:t xml:space="preserve">possible to suggest, along with Graf and Himmelfarb, that magicians were aware of </w:t>
      </w:r>
      <w:r w:rsidR="00AA5857">
        <w:rPr>
          <w:lang w:val="en-GB"/>
        </w:rPr>
        <w:t>being</w:t>
      </w:r>
      <w:r>
        <w:rPr>
          <w:lang w:val="en-GB"/>
        </w:rPr>
        <w:t xml:space="preserve"> outside the </w:t>
      </w:r>
      <w:r w:rsidR="003A3C25">
        <w:rPr>
          <w:lang w:val="en-GB"/>
        </w:rPr>
        <w:t>public cult</w:t>
      </w:r>
      <w:r>
        <w:rPr>
          <w:lang w:val="en-GB"/>
        </w:rPr>
        <w:t xml:space="preserve"> and</w:t>
      </w:r>
      <w:r w:rsidR="003A3C25">
        <w:rPr>
          <w:lang w:val="en-GB"/>
        </w:rPr>
        <w:t>, to establish a clear identity,</w:t>
      </w:r>
      <w:r>
        <w:rPr>
          <w:lang w:val="en-GB"/>
        </w:rPr>
        <w:t xml:space="preserve"> they </w:t>
      </w:r>
      <w:r w:rsidR="003A3C25">
        <w:rPr>
          <w:lang w:val="en-GB"/>
        </w:rPr>
        <w:t xml:space="preserve">adopted </w:t>
      </w:r>
      <w:r w:rsidR="00EA67BC">
        <w:rPr>
          <w:lang w:val="en-GB"/>
        </w:rPr>
        <w:t>reversal methods compared to the official ones</w:t>
      </w:r>
      <w:r>
        <w:rPr>
          <w:rStyle w:val="FootnoteReference"/>
          <w:lang w:val="en-GB"/>
        </w:rPr>
        <w:footnoteReference w:id="111"/>
      </w:r>
      <w:r>
        <w:rPr>
          <w:lang w:val="en-GB"/>
        </w:rPr>
        <w:t xml:space="preserve">. </w:t>
      </w:r>
      <w:r w:rsidR="00305A45">
        <w:rPr>
          <w:lang w:val="en-GB"/>
        </w:rPr>
        <w:t>Similarly</w:t>
      </w:r>
      <w:r w:rsidR="00CB7791">
        <w:rPr>
          <w:lang w:val="en-GB"/>
        </w:rPr>
        <w:t xml:space="preserve"> </w:t>
      </w:r>
      <w:r w:rsidR="00315D28">
        <w:rPr>
          <w:lang w:val="en-GB"/>
        </w:rPr>
        <w:t>t</w:t>
      </w:r>
      <w:r>
        <w:rPr>
          <w:lang w:val="en-GB"/>
        </w:rPr>
        <w:t xml:space="preserve">heurgists went </w:t>
      </w:r>
      <w:r w:rsidR="00B709E4">
        <w:rPr>
          <w:lang w:val="en-GB"/>
        </w:rPr>
        <w:t xml:space="preserve">to </w:t>
      </w:r>
      <w:r w:rsidR="00315D28">
        <w:rPr>
          <w:lang w:val="en-GB"/>
        </w:rPr>
        <w:t xml:space="preserve">great </w:t>
      </w:r>
      <w:r>
        <w:rPr>
          <w:lang w:val="en-GB"/>
        </w:rPr>
        <w:t>lengths to theorise their system of belief, where the distinctive elements in relation to public cults were very clearly emphasised</w:t>
      </w:r>
      <w:r w:rsidR="00EA67BC">
        <w:rPr>
          <w:lang w:val="en-GB"/>
        </w:rPr>
        <w:t xml:space="preserve">, </w:t>
      </w:r>
      <w:r w:rsidR="00305A45">
        <w:rPr>
          <w:lang w:val="en-GB"/>
        </w:rPr>
        <w:t>i.e.</w:t>
      </w:r>
      <w:r w:rsidR="00EA67BC">
        <w:rPr>
          <w:lang w:val="en-GB"/>
        </w:rPr>
        <w:t xml:space="preserve"> the rejection of </w:t>
      </w:r>
      <w:r w:rsidR="00490418">
        <w:rPr>
          <w:lang w:val="en-GB"/>
        </w:rPr>
        <w:t>all</w:t>
      </w:r>
      <w:r w:rsidR="00EA67BC">
        <w:rPr>
          <w:lang w:val="en-GB"/>
        </w:rPr>
        <w:t xml:space="preserve"> practices that implied the </w:t>
      </w:r>
      <w:r w:rsidR="00EA67BC" w:rsidRPr="00EA67BC">
        <w:rPr>
          <w:i/>
          <w:iCs/>
          <w:lang w:val="en-GB"/>
        </w:rPr>
        <w:t>do ut des</w:t>
      </w:r>
      <w:r w:rsidR="00EA67BC">
        <w:rPr>
          <w:lang w:val="en-GB"/>
        </w:rPr>
        <w:t xml:space="preserve"> </w:t>
      </w:r>
      <w:r w:rsidR="00AA5857">
        <w:rPr>
          <w:lang w:val="en-GB"/>
        </w:rPr>
        <w:t>principle</w:t>
      </w:r>
      <w:r w:rsidR="00EA67BC">
        <w:rPr>
          <w:lang w:val="en-GB"/>
        </w:rPr>
        <w:t xml:space="preserve"> as </w:t>
      </w:r>
      <w:r w:rsidR="00B709E4">
        <w:rPr>
          <w:lang w:val="en-GB"/>
        </w:rPr>
        <w:t xml:space="preserve">the </w:t>
      </w:r>
      <w:r w:rsidR="00EA67BC">
        <w:rPr>
          <w:lang w:val="en-GB"/>
        </w:rPr>
        <w:t xml:space="preserve">core </w:t>
      </w:r>
      <w:r w:rsidR="00AA5857">
        <w:rPr>
          <w:lang w:val="en-GB"/>
        </w:rPr>
        <w:t xml:space="preserve">idea </w:t>
      </w:r>
      <w:r w:rsidR="00EA67BC">
        <w:rPr>
          <w:lang w:val="en-GB"/>
        </w:rPr>
        <w:t xml:space="preserve">of </w:t>
      </w:r>
      <w:r w:rsidR="00AA5857">
        <w:rPr>
          <w:lang w:val="en-GB"/>
        </w:rPr>
        <w:t xml:space="preserve">the relationship between </w:t>
      </w:r>
      <w:r w:rsidR="00EA67BC">
        <w:rPr>
          <w:lang w:val="en-GB"/>
        </w:rPr>
        <w:t>human</w:t>
      </w:r>
      <w:r w:rsidR="00AA5857">
        <w:rPr>
          <w:lang w:val="en-GB"/>
        </w:rPr>
        <w:t xml:space="preserve"> beings</w:t>
      </w:r>
      <w:r w:rsidR="00EA67BC">
        <w:rPr>
          <w:lang w:val="en-GB"/>
        </w:rPr>
        <w:t xml:space="preserve"> and </w:t>
      </w:r>
      <w:r w:rsidR="00AA5857">
        <w:rPr>
          <w:lang w:val="en-GB"/>
        </w:rPr>
        <w:t>god.</w:t>
      </w:r>
      <w:r w:rsidR="00EA67BC">
        <w:rPr>
          <w:lang w:val="en-GB"/>
        </w:rPr>
        <w:t xml:space="preserve"> </w:t>
      </w:r>
      <w:r>
        <w:rPr>
          <w:lang w:val="en-GB"/>
        </w:rPr>
        <w:t xml:space="preserve"> </w:t>
      </w:r>
    </w:p>
    <w:p w14:paraId="13579525" w14:textId="77777777" w:rsidR="00AC49AE" w:rsidRDefault="00AC49AE" w:rsidP="00AC49AE">
      <w:pPr>
        <w:pStyle w:val="Heading3"/>
        <w:rPr>
          <w:lang w:val="en-GB"/>
        </w:rPr>
      </w:pPr>
    </w:p>
    <w:p w14:paraId="25920E2C" w14:textId="7C8EABAF" w:rsidR="00AC49AE" w:rsidRDefault="00E35321" w:rsidP="00AC49AE">
      <w:pPr>
        <w:rPr>
          <w:lang w:val="en-GB"/>
        </w:rPr>
      </w:pPr>
      <w:r>
        <w:rPr>
          <w:lang w:val="en-GB"/>
        </w:rPr>
        <w:t>Magic was by nature secretive</w:t>
      </w:r>
      <w:r>
        <w:rPr>
          <w:rStyle w:val="FootnoteReference"/>
          <w:lang w:val="en-GB"/>
        </w:rPr>
        <w:footnoteReference w:id="112"/>
      </w:r>
      <w:r>
        <w:rPr>
          <w:lang w:val="en-GB"/>
        </w:rPr>
        <w:t xml:space="preserve"> because it was </w:t>
      </w:r>
      <w:r w:rsidR="009C46D7">
        <w:rPr>
          <w:lang w:val="en-GB"/>
        </w:rPr>
        <w:t>considered</w:t>
      </w:r>
      <w:r w:rsidR="00AC49AE">
        <w:rPr>
          <w:lang w:val="en-GB"/>
        </w:rPr>
        <w:t xml:space="preserve"> sacred</w:t>
      </w:r>
      <w:r w:rsidR="00EA67BC">
        <w:rPr>
          <w:rStyle w:val="FootnoteReference"/>
          <w:lang w:val="en-GB"/>
        </w:rPr>
        <w:footnoteReference w:id="113"/>
      </w:r>
      <w:r w:rsidR="00AC49AE">
        <w:rPr>
          <w:lang w:val="en-GB"/>
        </w:rPr>
        <w:t xml:space="preserve"> </w:t>
      </w:r>
      <w:r w:rsidR="009C46D7">
        <w:rPr>
          <w:lang w:val="en-GB"/>
        </w:rPr>
        <w:t>and therefore needed</w:t>
      </w:r>
      <w:r w:rsidR="00AC49AE">
        <w:rPr>
          <w:lang w:val="en-GB"/>
        </w:rPr>
        <w:t xml:space="preserve"> </w:t>
      </w:r>
      <w:r w:rsidR="00EA67BC">
        <w:rPr>
          <w:lang w:val="en-GB"/>
        </w:rPr>
        <w:t xml:space="preserve">to </w:t>
      </w:r>
      <w:r w:rsidR="00AC49AE">
        <w:rPr>
          <w:lang w:val="en-GB"/>
        </w:rPr>
        <w:t>be protected from profanation</w:t>
      </w:r>
      <w:r w:rsidR="009C46D7">
        <w:rPr>
          <w:lang w:val="en-GB"/>
        </w:rPr>
        <w:t xml:space="preserve"> which would have occurred if</w:t>
      </w:r>
      <w:r w:rsidR="00AC49AE">
        <w:rPr>
          <w:lang w:val="en-GB"/>
        </w:rPr>
        <w:t xml:space="preserve"> sacred rites </w:t>
      </w:r>
      <w:r w:rsidR="00EA67BC">
        <w:rPr>
          <w:lang w:val="en-GB"/>
        </w:rPr>
        <w:t xml:space="preserve">were </w:t>
      </w:r>
      <w:r w:rsidR="009C46D7">
        <w:rPr>
          <w:lang w:val="en-GB"/>
        </w:rPr>
        <w:t xml:space="preserve">of public </w:t>
      </w:r>
      <w:r w:rsidR="00EA67BC">
        <w:rPr>
          <w:lang w:val="en-GB"/>
        </w:rPr>
        <w:t>domain</w:t>
      </w:r>
      <w:r w:rsidR="009C46D7">
        <w:rPr>
          <w:rStyle w:val="FootnoteReference"/>
          <w:lang w:val="en-GB"/>
        </w:rPr>
        <w:footnoteReference w:id="114"/>
      </w:r>
      <w:r w:rsidR="009C46D7">
        <w:rPr>
          <w:lang w:val="en-GB"/>
        </w:rPr>
        <w:t xml:space="preserve">. </w:t>
      </w:r>
      <w:r>
        <w:rPr>
          <w:lang w:val="en-GB"/>
        </w:rPr>
        <w:t xml:space="preserve"> </w:t>
      </w:r>
      <w:r w:rsidR="00F47182">
        <w:rPr>
          <w:lang w:val="en-GB"/>
        </w:rPr>
        <w:t xml:space="preserve">Magic and </w:t>
      </w:r>
      <w:r w:rsidR="00AA5857">
        <w:rPr>
          <w:lang w:val="en-GB"/>
        </w:rPr>
        <w:t>t</w:t>
      </w:r>
      <w:r w:rsidR="00F47182">
        <w:rPr>
          <w:lang w:val="en-GB"/>
        </w:rPr>
        <w:t>heurgy b</w:t>
      </w:r>
      <w:r w:rsidR="009C46D7">
        <w:rPr>
          <w:lang w:val="en-GB"/>
        </w:rPr>
        <w:t>oth required initiation</w:t>
      </w:r>
      <w:r w:rsidR="00EA67BC">
        <w:rPr>
          <w:rStyle w:val="FootnoteReference"/>
          <w:lang w:val="en-GB"/>
        </w:rPr>
        <w:footnoteReference w:id="115"/>
      </w:r>
      <w:r w:rsidR="009C46D7">
        <w:rPr>
          <w:lang w:val="en-GB"/>
        </w:rPr>
        <w:t xml:space="preserve">. </w:t>
      </w:r>
      <w:r w:rsidR="00F47182">
        <w:rPr>
          <w:lang w:val="en-GB"/>
        </w:rPr>
        <w:t>I</w:t>
      </w:r>
      <w:r w:rsidR="00764CF4">
        <w:rPr>
          <w:lang w:val="en-GB"/>
        </w:rPr>
        <w:t>nitiation rites were common in ancient religions and mysteries</w:t>
      </w:r>
      <w:r w:rsidR="00764CF4">
        <w:rPr>
          <w:rStyle w:val="FootnoteReference"/>
          <w:lang w:val="en-GB"/>
        </w:rPr>
        <w:footnoteReference w:id="116"/>
      </w:r>
      <w:r w:rsidR="00764CF4">
        <w:rPr>
          <w:lang w:val="en-GB"/>
        </w:rPr>
        <w:t xml:space="preserve">. Both the magician and the theurgist </w:t>
      </w:r>
      <w:r w:rsidR="00DF64BE">
        <w:rPr>
          <w:lang w:val="en-GB"/>
        </w:rPr>
        <w:t>called themselves</w:t>
      </w:r>
      <w:r w:rsidR="00764CF4">
        <w:rPr>
          <w:lang w:val="en-GB"/>
        </w:rPr>
        <w:t xml:space="preserve"> ‘mystagogues’</w:t>
      </w:r>
      <w:r w:rsidR="00C820B5">
        <w:rPr>
          <w:rStyle w:val="FootnoteReference"/>
          <w:lang w:val="en-GB"/>
        </w:rPr>
        <w:footnoteReference w:id="117"/>
      </w:r>
      <w:r w:rsidR="00DF64BE">
        <w:rPr>
          <w:lang w:val="en-GB"/>
        </w:rPr>
        <w:t>, thus recognising their proximity to the mystery cults</w:t>
      </w:r>
      <w:r w:rsidR="00AA5857">
        <w:rPr>
          <w:lang w:val="en-GB"/>
        </w:rPr>
        <w:t xml:space="preserve"> and their ritual practice</w:t>
      </w:r>
      <w:r w:rsidR="00764CF4">
        <w:rPr>
          <w:lang w:val="en-GB"/>
        </w:rPr>
        <w:t xml:space="preserve">. </w:t>
      </w:r>
      <w:r w:rsidR="00016106">
        <w:rPr>
          <w:lang w:val="en-GB"/>
        </w:rPr>
        <w:t>Iamblichus clearly spoke of the necess</w:t>
      </w:r>
      <w:r w:rsidR="00AA5857">
        <w:rPr>
          <w:lang w:val="en-GB"/>
        </w:rPr>
        <w:t>ity</w:t>
      </w:r>
      <w:r w:rsidR="00016106">
        <w:rPr>
          <w:lang w:val="en-GB"/>
        </w:rPr>
        <w:t xml:space="preserve"> of purification and preparation</w:t>
      </w:r>
      <w:r w:rsidR="00490418">
        <w:rPr>
          <w:rStyle w:val="FootnoteReference"/>
          <w:lang w:val="en-GB"/>
        </w:rPr>
        <w:footnoteReference w:id="118"/>
      </w:r>
      <w:r w:rsidR="00016106">
        <w:rPr>
          <w:lang w:val="en-GB"/>
        </w:rPr>
        <w:t xml:space="preserve">. Moreover, in his extensive treatise on </w:t>
      </w:r>
      <w:r w:rsidR="00EA67BC">
        <w:rPr>
          <w:lang w:val="en-GB"/>
        </w:rPr>
        <w:t>t</w:t>
      </w:r>
      <w:r w:rsidR="00016106">
        <w:rPr>
          <w:lang w:val="en-GB"/>
        </w:rPr>
        <w:t xml:space="preserve">heurgy, </w:t>
      </w:r>
      <w:r w:rsidR="00EA67BC">
        <w:rPr>
          <w:lang w:val="en-GB"/>
        </w:rPr>
        <w:t xml:space="preserve">he </w:t>
      </w:r>
      <w:r w:rsidR="00963CA2">
        <w:rPr>
          <w:lang w:val="en-GB"/>
        </w:rPr>
        <w:t xml:space="preserve">purposely </w:t>
      </w:r>
      <w:r w:rsidR="00EA67BC">
        <w:rPr>
          <w:lang w:val="en-GB"/>
        </w:rPr>
        <w:t>did not disclose</w:t>
      </w:r>
      <w:r w:rsidR="00016106">
        <w:rPr>
          <w:lang w:val="en-GB"/>
        </w:rPr>
        <w:t xml:space="preserve"> </w:t>
      </w:r>
      <w:r w:rsidR="00EA67BC">
        <w:rPr>
          <w:lang w:val="en-GB"/>
        </w:rPr>
        <w:t>much</w:t>
      </w:r>
      <w:r w:rsidR="00016106">
        <w:rPr>
          <w:lang w:val="en-GB"/>
        </w:rPr>
        <w:t xml:space="preserve"> </w:t>
      </w:r>
      <w:r w:rsidR="00EA67BC">
        <w:rPr>
          <w:lang w:val="en-GB"/>
        </w:rPr>
        <w:t>about</w:t>
      </w:r>
      <w:r w:rsidR="00016106">
        <w:rPr>
          <w:lang w:val="en-GB"/>
        </w:rPr>
        <w:t xml:space="preserve"> the secret rituals</w:t>
      </w:r>
      <w:r w:rsidR="003F6471">
        <w:rPr>
          <w:rStyle w:val="FootnoteReference"/>
          <w:lang w:val="en-GB"/>
        </w:rPr>
        <w:footnoteReference w:id="119"/>
      </w:r>
      <w:r w:rsidR="00016106">
        <w:rPr>
          <w:lang w:val="en-GB"/>
        </w:rPr>
        <w:t>.</w:t>
      </w:r>
    </w:p>
    <w:p w14:paraId="2383E913" w14:textId="77777777" w:rsidR="00AC49AE" w:rsidRDefault="00AC49AE" w:rsidP="00AC49AE">
      <w:pPr>
        <w:pStyle w:val="Heading3"/>
        <w:rPr>
          <w:lang w:val="en-GB"/>
        </w:rPr>
      </w:pPr>
    </w:p>
    <w:p w14:paraId="2D224873" w14:textId="70F85158" w:rsidR="00232369" w:rsidRDefault="00AA5857" w:rsidP="00232369">
      <w:pPr>
        <w:rPr>
          <w:lang w:val="en-GB"/>
        </w:rPr>
      </w:pPr>
      <w:r>
        <w:rPr>
          <w:lang w:val="en-GB"/>
        </w:rPr>
        <w:t>Magic and theurgy also shared the u</w:t>
      </w:r>
      <w:r w:rsidR="00AC49AE">
        <w:rPr>
          <w:lang w:val="en-GB"/>
        </w:rPr>
        <w:t>se of rituals</w:t>
      </w:r>
      <w:r w:rsidR="00232369">
        <w:rPr>
          <w:lang w:val="en-GB"/>
        </w:rPr>
        <w:t xml:space="preserve"> and ritual objects</w:t>
      </w:r>
      <w:r>
        <w:rPr>
          <w:lang w:val="en-GB"/>
        </w:rPr>
        <w:t xml:space="preserve">. </w:t>
      </w:r>
      <w:r w:rsidR="00232369" w:rsidRPr="00191088">
        <w:rPr>
          <w:lang w:val="en-GB"/>
        </w:rPr>
        <w:t>For</w:t>
      </w:r>
      <w:r w:rsidR="00232369">
        <w:rPr>
          <w:lang w:val="en-GB"/>
        </w:rPr>
        <w:t xml:space="preserve"> Iamblichus all things were full of gods</w:t>
      </w:r>
      <w:r w:rsidR="00232369">
        <w:rPr>
          <w:rStyle w:val="FootnoteReference"/>
          <w:lang w:val="en-GB"/>
        </w:rPr>
        <w:footnoteReference w:id="120"/>
      </w:r>
      <w:r>
        <w:rPr>
          <w:lang w:val="en-GB"/>
        </w:rPr>
        <w:t xml:space="preserve">, </w:t>
      </w:r>
      <w:r w:rsidR="00232369">
        <w:rPr>
          <w:lang w:val="en-GB"/>
        </w:rPr>
        <w:t xml:space="preserve">therefore </w:t>
      </w:r>
      <w:r w:rsidR="00232369" w:rsidRPr="00191088">
        <w:rPr>
          <w:lang w:val="en-GB"/>
        </w:rPr>
        <w:t xml:space="preserve">inanimate objects </w:t>
      </w:r>
      <w:r w:rsidR="00232369">
        <w:rPr>
          <w:lang w:val="en-GB"/>
        </w:rPr>
        <w:t xml:space="preserve">were a manifestation of the divine and this </w:t>
      </w:r>
      <w:r w:rsidR="00232369" w:rsidRPr="00191088">
        <w:rPr>
          <w:lang w:val="en-GB"/>
        </w:rPr>
        <w:t>justifie</w:t>
      </w:r>
      <w:r w:rsidR="00232369">
        <w:rPr>
          <w:lang w:val="en-GB"/>
        </w:rPr>
        <w:t>d</w:t>
      </w:r>
      <w:r w:rsidR="00232369" w:rsidRPr="00191088">
        <w:rPr>
          <w:lang w:val="en-GB"/>
        </w:rPr>
        <w:t xml:space="preserve"> their use in theurgy</w:t>
      </w:r>
      <w:r w:rsidR="00232369">
        <w:rPr>
          <w:rStyle w:val="FootnoteReference"/>
          <w:lang w:val="en-GB"/>
        </w:rPr>
        <w:footnoteReference w:id="121"/>
      </w:r>
      <w:r w:rsidR="00232369" w:rsidRPr="00191088">
        <w:rPr>
          <w:lang w:val="en-GB"/>
        </w:rPr>
        <w:t xml:space="preserve">. </w:t>
      </w:r>
      <w:r w:rsidR="00E0140E">
        <w:rPr>
          <w:lang w:val="en-GB"/>
        </w:rPr>
        <w:t>One of the most common ritual practice</w:t>
      </w:r>
      <w:r w:rsidR="00B709E4">
        <w:rPr>
          <w:lang w:val="en-GB"/>
        </w:rPr>
        <w:t>s</w:t>
      </w:r>
      <w:r w:rsidR="00E0140E">
        <w:rPr>
          <w:lang w:val="en-GB"/>
        </w:rPr>
        <w:t xml:space="preserve"> in theurgy was </w:t>
      </w:r>
      <w:r w:rsidR="00232369" w:rsidRPr="00E0140E">
        <w:rPr>
          <w:i/>
          <w:iCs/>
          <w:lang w:val="en-GB"/>
        </w:rPr>
        <w:lastRenderedPageBreak/>
        <w:t>Telestike</w:t>
      </w:r>
      <w:r w:rsidR="00232369">
        <w:rPr>
          <w:lang w:val="en-GB"/>
        </w:rPr>
        <w:t xml:space="preserve">, </w:t>
      </w:r>
      <w:r w:rsidR="00DF64BE">
        <w:rPr>
          <w:lang w:val="en-GB"/>
        </w:rPr>
        <w:t xml:space="preserve">or </w:t>
      </w:r>
      <w:r w:rsidR="00232369">
        <w:rPr>
          <w:lang w:val="en-GB"/>
        </w:rPr>
        <w:t>divination by statues, the consecration/animation of statues</w:t>
      </w:r>
      <w:r w:rsidR="00E0140E">
        <w:rPr>
          <w:lang w:val="en-GB"/>
        </w:rPr>
        <w:t xml:space="preserve"> (</w:t>
      </w:r>
      <w:r w:rsidR="00E0140E" w:rsidRPr="00DF64BE">
        <w:rPr>
          <w:i/>
          <w:iCs/>
          <w:lang w:val="en-GB"/>
        </w:rPr>
        <w:t>agalma</w:t>
      </w:r>
      <w:r w:rsidR="00E0140E">
        <w:rPr>
          <w:lang w:val="en-GB"/>
        </w:rPr>
        <w:t>)</w:t>
      </w:r>
      <w:r w:rsidR="00232369">
        <w:rPr>
          <w:lang w:val="en-GB"/>
        </w:rPr>
        <w:t xml:space="preserve"> in order to obtain oracles from the gods.</w:t>
      </w:r>
      <w:r w:rsidR="00E0140E">
        <w:rPr>
          <w:lang w:val="en-GB"/>
        </w:rPr>
        <w:t xml:space="preserve"> The peculiarity of this ritual was that the statues not only </w:t>
      </w:r>
      <w:r w:rsidR="00E0140E" w:rsidRPr="00191088">
        <w:rPr>
          <w:lang w:val="en-GB"/>
        </w:rPr>
        <w:t>function</w:t>
      </w:r>
      <w:r w:rsidR="00E0140E">
        <w:rPr>
          <w:lang w:val="en-GB"/>
        </w:rPr>
        <w:t>ed</w:t>
      </w:r>
      <w:r w:rsidR="00E0140E" w:rsidRPr="00191088">
        <w:rPr>
          <w:lang w:val="en-GB"/>
        </w:rPr>
        <w:t xml:space="preserve"> as anagogic tokens</w:t>
      </w:r>
      <w:r w:rsidR="00E0140E">
        <w:rPr>
          <w:lang w:val="en-GB"/>
        </w:rPr>
        <w:t xml:space="preserve"> but, as Collins argued</w:t>
      </w:r>
      <w:r w:rsidR="00AF18BC">
        <w:rPr>
          <w:lang w:val="en-GB"/>
        </w:rPr>
        <w:t xml:space="preserve"> in </w:t>
      </w:r>
      <w:r w:rsidR="00AF18BC" w:rsidRPr="00AF18BC">
        <w:rPr>
          <w:i/>
          <w:iCs/>
          <w:lang w:val="en-GB"/>
        </w:rPr>
        <w:t>Nature, Cause and Agency in Greek Magic</w:t>
      </w:r>
      <w:r w:rsidR="00AF18BC">
        <w:rPr>
          <w:lang w:val="en-GB"/>
        </w:rPr>
        <w:t>,</w:t>
      </w:r>
      <w:r w:rsidR="00E0140E">
        <w:rPr>
          <w:lang w:val="en-GB"/>
        </w:rPr>
        <w:t xml:space="preserve"> they were considered </w:t>
      </w:r>
      <w:r w:rsidR="006F3578">
        <w:rPr>
          <w:lang w:val="en-GB"/>
        </w:rPr>
        <w:t xml:space="preserve">as </w:t>
      </w:r>
      <w:r w:rsidR="00E0140E">
        <w:rPr>
          <w:lang w:val="en-GB"/>
        </w:rPr>
        <w:t>having agency</w:t>
      </w:r>
      <w:r w:rsidR="00E0140E" w:rsidRPr="00191088">
        <w:rPr>
          <w:lang w:val="en-GB"/>
        </w:rPr>
        <w:t>.</w:t>
      </w:r>
      <w:r w:rsidR="00AF18BC">
        <w:rPr>
          <w:lang w:val="en-GB"/>
        </w:rPr>
        <w:t xml:space="preserve"> Collins quoted Plato who thought his contemporary believed statues had a soul. This would </w:t>
      </w:r>
      <w:r w:rsidR="00305A45">
        <w:rPr>
          <w:lang w:val="en-GB"/>
        </w:rPr>
        <w:t xml:space="preserve">also </w:t>
      </w:r>
      <w:r w:rsidR="00AF18BC">
        <w:rPr>
          <w:lang w:val="en-GB"/>
        </w:rPr>
        <w:t>explain the practice of binding</w:t>
      </w:r>
      <w:r w:rsidR="00DF64BE">
        <w:rPr>
          <w:lang w:val="en-GB"/>
        </w:rPr>
        <w:t xml:space="preserve"> statues</w:t>
      </w:r>
      <w:r w:rsidR="00AF18BC">
        <w:rPr>
          <w:lang w:val="en-GB"/>
        </w:rPr>
        <w:t xml:space="preserve"> from preventing them to move</w:t>
      </w:r>
      <w:r w:rsidR="00AF18BC">
        <w:rPr>
          <w:rStyle w:val="FootnoteReference"/>
          <w:lang w:val="en-GB"/>
        </w:rPr>
        <w:footnoteReference w:id="122"/>
      </w:r>
      <w:r w:rsidR="00AF18BC">
        <w:rPr>
          <w:lang w:val="en-GB"/>
        </w:rPr>
        <w:t xml:space="preserve">.  Moreover, </w:t>
      </w:r>
      <w:r w:rsidR="00E0140E">
        <w:rPr>
          <w:lang w:val="en-GB"/>
        </w:rPr>
        <w:t>creating</w:t>
      </w:r>
      <w:r w:rsidR="00232369" w:rsidRPr="00191088">
        <w:rPr>
          <w:lang w:val="en-GB"/>
        </w:rPr>
        <w:t xml:space="preserve"> these statues, humans </w:t>
      </w:r>
      <w:r w:rsidR="00E0140E">
        <w:rPr>
          <w:lang w:val="en-GB"/>
        </w:rPr>
        <w:t>imitated the demiurgic creation and were</w:t>
      </w:r>
      <w:r w:rsidR="00232369" w:rsidRPr="00191088">
        <w:rPr>
          <w:lang w:val="en-GB"/>
        </w:rPr>
        <w:t xml:space="preserve"> reminded of their own divine origin</w:t>
      </w:r>
      <w:r w:rsidR="00232369">
        <w:rPr>
          <w:lang w:val="en-GB"/>
        </w:rPr>
        <w:t>. U</w:t>
      </w:r>
      <w:r w:rsidR="00232369">
        <w:rPr>
          <w:rFonts w:ascii="Calibri" w:hAnsi="Calibri" w:cs="Calibri"/>
          <w:lang w:val="en-GB"/>
        </w:rPr>
        <w:t>ždavinys</w:t>
      </w:r>
      <w:r w:rsidR="00E0140E">
        <w:rPr>
          <w:rFonts w:ascii="Calibri" w:hAnsi="Calibri" w:cs="Calibri"/>
          <w:lang w:val="en-GB"/>
        </w:rPr>
        <w:t xml:space="preserve"> noted how</w:t>
      </w:r>
      <w:r w:rsidR="00232369">
        <w:rPr>
          <w:lang w:val="en-GB"/>
        </w:rPr>
        <w:t xml:space="preserve"> </w:t>
      </w:r>
      <w:r w:rsidR="00E0140E" w:rsidRPr="00DF64BE">
        <w:rPr>
          <w:i/>
          <w:iCs/>
          <w:lang w:val="en-GB"/>
        </w:rPr>
        <w:t>t</w:t>
      </w:r>
      <w:r w:rsidR="00232369" w:rsidRPr="00DF64BE">
        <w:rPr>
          <w:i/>
          <w:iCs/>
          <w:lang w:val="en-GB"/>
        </w:rPr>
        <w:t>elestike</w:t>
      </w:r>
      <w:r w:rsidR="00232369" w:rsidRPr="00191088">
        <w:rPr>
          <w:lang w:val="en-GB"/>
        </w:rPr>
        <w:t xml:space="preserve"> </w:t>
      </w:r>
      <w:r w:rsidR="00E0140E">
        <w:rPr>
          <w:lang w:val="en-GB"/>
        </w:rPr>
        <w:t>was</w:t>
      </w:r>
      <w:r w:rsidR="00232369" w:rsidRPr="00191088">
        <w:rPr>
          <w:lang w:val="en-GB"/>
        </w:rPr>
        <w:t xml:space="preserve"> not a kind </w:t>
      </w:r>
      <w:r w:rsidR="00305A45">
        <w:rPr>
          <w:lang w:val="en-GB"/>
        </w:rPr>
        <w:t>of</w:t>
      </w:r>
      <w:r w:rsidR="00232369" w:rsidRPr="00191088">
        <w:rPr>
          <w:lang w:val="en-GB"/>
        </w:rPr>
        <w:t xml:space="preserve"> rustic sorcery</w:t>
      </w:r>
      <w:r w:rsidR="00E0140E">
        <w:rPr>
          <w:lang w:val="en-GB"/>
        </w:rPr>
        <w:t>, but r</w:t>
      </w:r>
      <w:r w:rsidR="00232369" w:rsidRPr="00191088">
        <w:rPr>
          <w:lang w:val="en-GB"/>
        </w:rPr>
        <w:t xml:space="preserve">ather </w:t>
      </w:r>
      <w:r w:rsidR="00E0140E">
        <w:rPr>
          <w:lang w:val="en-GB"/>
        </w:rPr>
        <w:t xml:space="preserve">a form of participation </w:t>
      </w:r>
      <w:r w:rsidR="00232369" w:rsidRPr="00191088">
        <w:rPr>
          <w:lang w:val="en-GB"/>
        </w:rPr>
        <w:t xml:space="preserve">in the </w:t>
      </w:r>
      <w:r w:rsidR="00DF64BE">
        <w:rPr>
          <w:lang w:val="en-GB"/>
        </w:rPr>
        <w:t xml:space="preserve">divine </w:t>
      </w:r>
      <w:r w:rsidR="00232369" w:rsidRPr="00191088">
        <w:rPr>
          <w:lang w:val="en-GB"/>
        </w:rPr>
        <w:t>creative energies</w:t>
      </w:r>
      <w:r w:rsidR="00E0140E">
        <w:rPr>
          <w:lang w:val="en-GB"/>
        </w:rPr>
        <w:t>.</w:t>
      </w:r>
      <w:r w:rsidR="00232369">
        <w:rPr>
          <w:rStyle w:val="FootnoteReference"/>
          <w:lang w:val="en-GB"/>
        </w:rPr>
        <w:footnoteReference w:id="123"/>
      </w:r>
      <w:r w:rsidR="00232369">
        <w:rPr>
          <w:lang w:val="en-GB"/>
        </w:rPr>
        <w:t>.</w:t>
      </w:r>
    </w:p>
    <w:p w14:paraId="33AAF21A" w14:textId="645323F2" w:rsidR="00232369" w:rsidRDefault="00232369" w:rsidP="00232369">
      <w:pPr>
        <w:rPr>
          <w:lang w:val="en-GB"/>
        </w:rPr>
      </w:pPr>
    </w:p>
    <w:p w14:paraId="1093BBBD" w14:textId="33EE44B6" w:rsidR="00AC49AE" w:rsidRPr="00191088" w:rsidRDefault="00AF18BC" w:rsidP="00AC49AE">
      <w:pPr>
        <w:rPr>
          <w:lang w:val="en-GB"/>
        </w:rPr>
      </w:pPr>
      <w:r>
        <w:rPr>
          <w:lang w:val="en-GB"/>
        </w:rPr>
        <w:t xml:space="preserve">Struck </w:t>
      </w:r>
      <w:r w:rsidR="00AA5857">
        <w:rPr>
          <w:lang w:val="en-GB"/>
        </w:rPr>
        <w:t>observed</w:t>
      </w:r>
      <w:r>
        <w:rPr>
          <w:lang w:val="en-GB"/>
        </w:rPr>
        <w:t xml:space="preserve"> how similar some of the theurgic rites </w:t>
      </w:r>
      <w:r w:rsidR="00AA5857">
        <w:rPr>
          <w:lang w:val="en-GB"/>
        </w:rPr>
        <w:t>were</w:t>
      </w:r>
      <w:r w:rsidR="00DF64BE">
        <w:rPr>
          <w:lang w:val="en-GB"/>
        </w:rPr>
        <w:t xml:space="preserve"> </w:t>
      </w:r>
      <w:r w:rsidR="00AF0481">
        <w:rPr>
          <w:lang w:val="en-GB"/>
        </w:rPr>
        <w:t>to</w:t>
      </w:r>
      <w:r>
        <w:rPr>
          <w:lang w:val="en-GB"/>
        </w:rPr>
        <w:t xml:space="preserve"> </w:t>
      </w:r>
      <w:r w:rsidR="00DF64BE">
        <w:rPr>
          <w:lang w:val="en-GB"/>
        </w:rPr>
        <w:t xml:space="preserve">the </w:t>
      </w:r>
      <w:r>
        <w:rPr>
          <w:lang w:val="en-GB"/>
        </w:rPr>
        <w:t>rituals described in the PGM</w:t>
      </w:r>
      <w:r>
        <w:rPr>
          <w:rStyle w:val="FootnoteReference"/>
          <w:lang w:val="en-GB"/>
        </w:rPr>
        <w:footnoteReference w:id="124"/>
      </w:r>
      <w:r w:rsidR="005B4425">
        <w:rPr>
          <w:lang w:val="en-GB"/>
        </w:rPr>
        <w:t xml:space="preserve">. </w:t>
      </w:r>
      <w:r w:rsidR="00DF64BE">
        <w:rPr>
          <w:lang w:val="en-GB"/>
        </w:rPr>
        <w:t xml:space="preserve">As a matter of fact, according to </w:t>
      </w:r>
      <w:r w:rsidR="005B4425">
        <w:rPr>
          <w:lang w:val="en-GB"/>
        </w:rPr>
        <w:t>Addey</w:t>
      </w:r>
      <w:r w:rsidR="00DF64BE">
        <w:rPr>
          <w:lang w:val="en-GB"/>
        </w:rPr>
        <w:t xml:space="preserve">, </w:t>
      </w:r>
      <w:r w:rsidR="005B4425">
        <w:rPr>
          <w:lang w:val="en-GB"/>
        </w:rPr>
        <w:t xml:space="preserve">both Plotinus and Iamblichus did not attack the rituals of </w:t>
      </w:r>
      <w:proofErr w:type="spellStart"/>
      <w:r w:rsidR="005B4425" w:rsidRPr="005B4425">
        <w:rPr>
          <w:i/>
          <w:iCs/>
          <w:lang w:val="en-GB"/>
        </w:rPr>
        <w:t>goeteia</w:t>
      </w:r>
      <w:proofErr w:type="spellEnd"/>
      <w:r w:rsidR="00AF0481">
        <w:rPr>
          <w:i/>
          <w:iCs/>
          <w:lang w:val="en-GB"/>
        </w:rPr>
        <w:t>,</w:t>
      </w:r>
      <w:r w:rsidR="005B4425">
        <w:rPr>
          <w:lang w:val="en-GB"/>
        </w:rPr>
        <w:t xml:space="preserve"> but only their coercive aspect</w:t>
      </w:r>
      <w:r w:rsidR="005B4425">
        <w:rPr>
          <w:rStyle w:val="FootnoteReference"/>
          <w:lang w:val="en-GB"/>
        </w:rPr>
        <w:footnoteReference w:id="125"/>
      </w:r>
      <w:r w:rsidR="005B4425">
        <w:rPr>
          <w:lang w:val="en-GB"/>
        </w:rPr>
        <w:t xml:space="preserve">. There </w:t>
      </w:r>
      <w:r w:rsidR="00AA5857">
        <w:rPr>
          <w:lang w:val="en-GB"/>
        </w:rPr>
        <w:t>was</w:t>
      </w:r>
      <w:r w:rsidR="005B4425">
        <w:rPr>
          <w:lang w:val="en-GB"/>
        </w:rPr>
        <w:t xml:space="preserve"> obviously a more pragmatic take when it c</w:t>
      </w:r>
      <w:r w:rsidR="00AA5857">
        <w:rPr>
          <w:lang w:val="en-GB"/>
        </w:rPr>
        <w:t>ame</w:t>
      </w:r>
      <w:r w:rsidR="005B4425">
        <w:rPr>
          <w:lang w:val="en-GB"/>
        </w:rPr>
        <w:t xml:space="preserve"> </w:t>
      </w:r>
      <w:r w:rsidR="00DF64BE">
        <w:rPr>
          <w:lang w:val="en-GB"/>
        </w:rPr>
        <w:t xml:space="preserve">to </w:t>
      </w:r>
      <w:r w:rsidR="005B4425">
        <w:rPr>
          <w:lang w:val="en-GB"/>
        </w:rPr>
        <w:t xml:space="preserve">the rituals </w:t>
      </w:r>
      <w:r w:rsidR="00DF64BE">
        <w:rPr>
          <w:lang w:val="en-GB"/>
        </w:rPr>
        <w:t>of</w:t>
      </w:r>
      <w:r w:rsidR="005B4425">
        <w:rPr>
          <w:lang w:val="en-GB"/>
        </w:rPr>
        <w:t xml:space="preserve"> the PGM </w:t>
      </w:r>
      <w:r w:rsidR="00DF64BE">
        <w:rPr>
          <w:lang w:val="en-GB"/>
        </w:rPr>
        <w:t>that serve</w:t>
      </w:r>
      <w:r w:rsidR="00AA5857">
        <w:rPr>
          <w:lang w:val="en-GB"/>
        </w:rPr>
        <w:t>d</w:t>
      </w:r>
      <w:r w:rsidR="00DF64BE">
        <w:rPr>
          <w:lang w:val="en-GB"/>
        </w:rPr>
        <w:t xml:space="preserve"> personal and</w:t>
      </w:r>
      <w:r w:rsidR="005B4425">
        <w:rPr>
          <w:lang w:val="en-GB"/>
        </w:rPr>
        <w:t xml:space="preserve"> </w:t>
      </w:r>
      <w:r w:rsidR="00963CA2">
        <w:rPr>
          <w:lang w:val="en-GB"/>
        </w:rPr>
        <w:t>earthly</w:t>
      </w:r>
      <w:r w:rsidR="005B4425">
        <w:rPr>
          <w:lang w:val="en-GB"/>
        </w:rPr>
        <w:t xml:space="preserve"> </w:t>
      </w:r>
      <w:r w:rsidR="00DF64BE">
        <w:rPr>
          <w:lang w:val="en-GB"/>
        </w:rPr>
        <w:t>desires</w:t>
      </w:r>
      <w:r w:rsidR="005B4425">
        <w:rPr>
          <w:rStyle w:val="FootnoteReference"/>
          <w:lang w:val="en-GB"/>
        </w:rPr>
        <w:footnoteReference w:id="126"/>
      </w:r>
      <w:r w:rsidR="005B4425">
        <w:rPr>
          <w:lang w:val="en-GB"/>
        </w:rPr>
        <w:t xml:space="preserve">. Yet, as Otto </w:t>
      </w:r>
      <w:r w:rsidR="00AA5857">
        <w:rPr>
          <w:lang w:val="en-GB"/>
        </w:rPr>
        <w:t>detected</w:t>
      </w:r>
      <w:r w:rsidR="005B4425">
        <w:rPr>
          <w:lang w:val="en-GB"/>
        </w:rPr>
        <w:t>, “</w:t>
      </w:r>
      <w:r w:rsidR="00AC49AE" w:rsidRPr="00191088">
        <w:rPr>
          <w:lang w:val="en-GB"/>
        </w:rPr>
        <w:t>these ancient “theologies” d</w:t>
      </w:r>
      <w:r w:rsidR="00963CA2">
        <w:rPr>
          <w:lang w:val="en-GB"/>
        </w:rPr>
        <w:t>o</w:t>
      </w:r>
      <w:r w:rsidR="00AC49AE" w:rsidRPr="00191088">
        <w:rPr>
          <w:lang w:val="en-GB"/>
        </w:rPr>
        <w:t xml:space="preserve"> not differ in their conceptual foundation</w:t>
      </w:r>
      <w:r w:rsidR="005B4425">
        <w:rPr>
          <w:lang w:val="en-GB"/>
        </w:rPr>
        <w:t>”</w:t>
      </w:r>
      <w:r w:rsidR="005B4425">
        <w:rPr>
          <w:rStyle w:val="FootnoteReference"/>
          <w:lang w:val="en-GB"/>
        </w:rPr>
        <w:footnoteReference w:id="127"/>
      </w:r>
      <w:r w:rsidR="00AC49AE" w:rsidRPr="00191088">
        <w:rPr>
          <w:lang w:val="en-GB"/>
        </w:rPr>
        <w:t>.</w:t>
      </w:r>
    </w:p>
    <w:p w14:paraId="4C90B05F" w14:textId="77777777" w:rsidR="00684288" w:rsidRPr="00191088" w:rsidRDefault="00684288" w:rsidP="00684288">
      <w:pPr>
        <w:rPr>
          <w:lang w:val="en-GB"/>
        </w:rPr>
      </w:pPr>
    </w:p>
    <w:p w14:paraId="38B375B6" w14:textId="25D54E49" w:rsidR="00684288" w:rsidRDefault="00684288" w:rsidP="00684288">
      <w:pPr>
        <w:rPr>
          <w:lang w:val="en-GB"/>
        </w:rPr>
      </w:pPr>
      <w:r>
        <w:rPr>
          <w:lang w:val="en-GB"/>
        </w:rPr>
        <w:t>U</w:t>
      </w:r>
      <w:r>
        <w:rPr>
          <w:rFonts w:ascii="Calibri" w:hAnsi="Calibri" w:cs="Calibri"/>
          <w:lang w:val="en-GB"/>
        </w:rPr>
        <w:t>ždavinys</w:t>
      </w:r>
      <w:r w:rsidRPr="001E7BDC">
        <w:rPr>
          <w:lang w:val="en-GB"/>
        </w:rPr>
        <w:t xml:space="preserve"> </w:t>
      </w:r>
      <w:r>
        <w:rPr>
          <w:lang w:val="en-GB"/>
        </w:rPr>
        <w:t>remarked</w:t>
      </w:r>
      <w:r w:rsidR="00DF64BE">
        <w:rPr>
          <w:lang w:val="en-GB"/>
        </w:rPr>
        <w:t xml:space="preserve"> that</w:t>
      </w:r>
      <w:r>
        <w:rPr>
          <w:lang w:val="en-GB"/>
        </w:rPr>
        <w:t xml:space="preserve"> the ample use t</w:t>
      </w:r>
      <w:r w:rsidRPr="001E7BDC">
        <w:rPr>
          <w:lang w:val="en-GB"/>
        </w:rPr>
        <w:t>heurgy</w:t>
      </w:r>
      <w:r>
        <w:rPr>
          <w:b/>
          <w:bCs/>
          <w:lang w:val="en-GB"/>
        </w:rPr>
        <w:t xml:space="preserve"> </w:t>
      </w:r>
      <w:r w:rsidRPr="001E7BDC">
        <w:rPr>
          <w:lang w:val="en-GB"/>
        </w:rPr>
        <w:t xml:space="preserve">made of </w:t>
      </w:r>
      <w:r>
        <w:rPr>
          <w:lang w:val="en-GB"/>
        </w:rPr>
        <w:t>n</w:t>
      </w:r>
      <w:r w:rsidRPr="00476486">
        <w:rPr>
          <w:lang w:val="en-GB"/>
        </w:rPr>
        <w:t>ames</w:t>
      </w:r>
      <w:r>
        <w:rPr>
          <w:lang w:val="en-GB"/>
        </w:rPr>
        <w:t>, particularly gods</w:t>
      </w:r>
      <w:r w:rsidR="00DF64BE">
        <w:rPr>
          <w:lang w:val="en-GB"/>
        </w:rPr>
        <w:t>’</w:t>
      </w:r>
      <w:r>
        <w:rPr>
          <w:lang w:val="en-GB"/>
        </w:rPr>
        <w:t xml:space="preserve"> names, was justified because they believed names were the </w:t>
      </w:r>
      <w:r w:rsidRPr="00191088">
        <w:rPr>
          <w:lang w:val="en-GB"/>
        </w:rPr>
        <w:t xml:space="preserve">eidetic expression of </w:t>
      </w:r>
      <w:r>
        <w:rPr>
          <w:lang w:val="en-GB"/>
        </w:rPr>
        <w:t>gods’</w:t>
      </w:r>
      <w:r w:rsidRPr="00191088">
        <w:rPr>
          <w:lang w:val="en-GB"/>
        </w:rPr>
        <w:t xml:space="preserve"> henadic essence</w:t>
      </w:r>
      <w:r>
        <w:rPr>
          <w:lang w:val="en-GB"/>
        </w:rPr>
        <w:t xml:space="preserve"> and</w:t>
      </w:r>
      <w:r w:rsidRPr="00191088">
        <w:rPr>
          <w:lang w:val="en-GB"/>
        </w:rPr>
        <w:t xml:space="preserve"> therefore the deity </w:t>
      </w:r>
      <w:r>
        <w:rPr>
          <w:lang w:val="en-GB"/>
        </w:rPr>
        <w:t>was</w:t>
      </w:r>
      <w:r w:rsidRPr="00191088">
        <w:rPr>
          <w:lang w:val="en-GB"/>
        </w:rPr>
        <w:t xml:space="preserve"> actually present in its name</w:t>
      </w:r>
      <w:r>
        <w:rPr>
          <w:rStyle w:val="FootnoteReference"/>
          <w:lang w:val="en-GB"/>
        </w:rPr>
        <w:footnoteReference w:id="128"/>
      </w:r>
      <w:r>
        <w:rPr>
          <w:lang w:val="en-GB"/>
        </w:rPr>
        <w:t xml:space="preserve">. According to </w:t>
      </w:r>
      <w:r w:rsidRPr="00191088">
        <w:rPr>
          <w:lang w:val="en-GB"/>
        </w:rPr>
        <w:t xml:space="preserve">Shaw, in theurgy the sacred names </w:t>
      </w:r>
      <w:r w:rsidR="00680776">
        <w:rPr>
          <w:lang w:val="en-GB"/>
        </w:rPr>
        <w:t>were</w:t>
      </w:r>
      <w:r w:rsidRPr="00191088">
        <w:rPr>
          <w:lang w:val="en-GB"/>
        </w:rPr>
        <w:t xml:space="preserve"> “bodies” of the gods, because the names of the gods </w:t>
      </w:r>
      <w:r w:rsidR="00680776">
        <w:rPr>
          <w:lang w:val="en-GB"/>
        </w:rPr>
        <w:t>were</w:t>
      </w:r>
      <w:r w:rsidRPr="00191088">
        <w:rPr>
          <w:lang w:val="en-GB"/>
        </w:rPr>
        <w:t xml:space="preserve"> individual theophanies in the same way that the cosmos was the universal theophany</w:t>
      </w:r>
      <w:r w:rsidRPr="009479BB">
        <w:rPr>
          <w:lang w:val="en-GB"/>
        </w:rPr>
        <w:t>”</w:t>
      </w:r>
      <w:r>
        <w:rPr>
          <w:rStyle w:val="FootnoteReference"/>
          <w:lang w:val="en-GB"/>
        </w:rPr>
        <w:footnoteReference w:id="129"/>
      </w:r>
      <w:r>
        <w:rPr>
          <w:lang w:val="en-GB"/>
        </w:rPr>
        <w:t>. T</w:t>
      </w:r>
      <w:r w:rsidRPr="00191088">
        <w:rPr>
          <w:lang w:val="en-GB"/>
        </w:rPr>
        <w:t xml:space="preserve">he gods </w:t>
      </w:r>
      <w:r w:rsidR="00680776">
        <w:rPr>
          <w:lang w:val="en-GB"/>
        </w:rPr>
        <w:t>were</w:t>
      </w:r>
      <w:r w:rsidRPr="00191088">
        <w:rPr>
          <w:lang w:val="en-GB"/>
        </w:rPr>
        <w:t xml:space="preserve"> beyond all representation. However, the divine names </w:t>
      </w:r>
      <w:r w:rsidR="00680776">
        <w:rPr>
          <w:lang w:val="en-GB"/>
        </w:rPr>
        <w:t>were</w:t>
      </w:r>
      <w:r w:rsidRPr="00191088">
        <w:rPr>
          <w:lang w:val="en-GB"/>
        </w:rPr>
        <w:t xml:space="preserve"> both images and symbols of the invisible gods. </w:t>
      </w:r>
      <w:r>
        <w:rPr>
          <w:lang w:val="en-GB"/>
        </w:rPr>
        <w:t xml:space="preserve">It’s impossible not to see the similarity </w:t>
      </w:r>
      <w:r w:rsidR="00997596">
        <w:rPr>
          <w:lang w:val="en-GB"/>
        </w:rPr>
        <w:t xml:space="preserve">with collective religious ideas of which we find evidence even in </w:t>
      </w:r>
      <w:r>
        <w:rPr>
          <w:lang w:val="en-GB"/>
        </w:rPr>
        <w:t xml:space="preserve">the words of the first chapter of the </w:t>
      </w:r>
      <w:r w:rsidRPr="009479BB">
        <w:rPr>
          <w:lang w:val="en-GB"/>
        </w:rPr>
        <w:t>Gospel of John, titled “The Word Became Flesh</w:t>
      </w:r>
      <w:r>
        <w:rPr>
          <w:lang w:val="en-GB"/>
        </w:rPr>
        <w:t xml:space="preserve">”:  </w:t>
      </w:r>
    </w:p>
    <w:p w14:paraId="57B7A274" w14:textId="77777777" w:rsidR="00684288" w:rsidRDefault="00684288" w:rsidP="00684288">
      <w:pPr>
        <w:rPr>
          <w:lang w:val="en-GB"/>
        </w:rPr>
      </w:pPr>
    </w:p>
    <w:p w14:paraId="3AE02617" w14:textId="09534A7B" w:rsidR="00684288" w:rsidRPr="009479BB" w:rsidRDefault="00684288" w:rsidP="00684288">
      <w:pPr>
        <w:jc w:val="center"/>
        <w:rPr>
          <w:sz w:val="21"/>
          <w:szCs w:val="21"/>
          <w:lang w:val="en-GB"/>
        </w:rPr>
      </w:pPr>
      <w:r w:rsidRPr="00684288">
        <w:rPr>
          <w:i/>
          <w:iCs/>
          <w:sz w:val="21"/>
          <w:szCs w:val="21"/>
          <w:lang w:val="en-GB"/>
        </w:rPr>
        <w:t>1</w:t>
      </w:r>
      <w:r w:rsidR="00963CA2">
        <w:rPr>
          <w:i/>
          <w:iCs/>
          <w:sz w:val="21"/>
          <w:szCs w:val="21"/>
          <w:lang w:val="en-GB"/>
        </w:rPr>
        <w:t xml:space="preserve"> </w:t>
      </w:r>
      <w:r w:rsidRPr="00684288">
        <w:rPr>
          <w:i/>
          <w:iCs/>
          <w:sz w:val="21"/>
          <w:szCs w:val="21"/>
          <w:lang w:val="en-GB"/>
        </w:rPr>
        <w:t>In the beginning was the Word, and the Word was with God, and the Word was God. </w:t>
      </w:r>
      <w:hyperlink r:id="rId8" w:history="1">
        <w:r w:rsidRPr="00684288">
          <w:rPr>
            <w:i/>
            <w:iCs/>
            <w:sz w:val="21"/>
            <w:szCs w:val="21"/>
            <w:lang w:val="en-GB"/>
          </w:rPr>
          <w:t>3</w:t>
        </w:r>
      </w:hyperlink>
      <w:r w:rsidRPr="00684288">
        <w:rPr>
          <w:i/>
          <w:iCs/>
          <w:sz w:val="21"/>
          <w:szCs w:val="21"/>
          <w:lang w:val="en-GB"/>
        </w:rPr>
        <w:t> Through him all things were made; without him nothing was made that has been made.</w:t>
      </w:r>
      <w:r w:rsidR="009479BB">
        <w:rPr>
          <w:i/>
          <w:iCs/>
          <w:sz w:val="21"/>
          <w:szCs w:val="21"/>
          <w:lang w:val="en-GB"/>
        </w:rPr>
        <w:t xml:space="preserve"> </w:t>
      </w:r>
      <w:r w:rsidR="009479BB">
        <w:rPr>
          <w:sz w:val="21"/>
          <w:szCs w:val="21"/>
          <w:lang w:val="en-GB"/>
        </w:rPr>
        <w:t>John 1:1</w:t>
      </w:r>
    </w:p>
    <w:p w14:paraId="7D62AA94" w14:textId="4D36EB66" w:rsidR="00684288" w:rsidRDefault="00684288" w:rsidP="00684288">
      <w:pPr>
        <w:rPr>
          <w:lang w:val="en-GB"/>
        </w:rPr>
      </w:pPr>
    </w:p>
    <w:p w14:paraId="766DAB17" w14:textId="04FA5380" w:rsidR="009C46D7" w:rsidRDefault="00684288" w:rsidP="009C46D7">
      <w:pPr>
        <w:rPr>
          <w:lang w:val="en-GB"/>
        </w:rPr>
      </w:pPr>
      <w:r>
        <w:rPr>
          <w:lang w:val="en-GB"/>
        </w:rPr>
        <w:t xml:space="preserve">In the PGM there is </w:t>
      </w:r>
      <w:r w:rsidR="00AF0481">
        <w:rPr>
          <w:lang w:val="en-GB"/>
        </w:rPr>
        <w:t xml:space="preserve">an </w:t>
      </w:r>
      <w:r w:rsidR="003F6471">
        <w:rPr>
          <w:lang w:val="en-GB"/>
        </w:rPr>
        <w:t>abundant</w:t>
      </w:r>
      <w:r>
        <w:rPr>
          <w:lang w:val="en-GB"/>
        </w:rPr>
        <w:t xml:space="preserve"> use of </w:t>
      </w:r>
      <w:r w:rsidRPr="00F720EF">
        <w:rPr>
          <w:i/>
          <w:iCs/>
          <w:lang w:val="en-GB"/>
        </w:rPr>
        <w:t>voces magicae</w:t>
      </w:r>
      <w:r w:rsidR="00020D1D">
        <w:rPr>
          <w:rStyle w:val="FootnoteReference"/>
          <w:i/>
          <w:iCs/>
          <w:lang w:val="en-GB"/>
        </w:rPr>
        <w:footnoteReference w:id="130"/>
      </w:r>
      <w:r>
        <w:rPr>
          <w:lang w:val="en-GB"/>
        </w:rPr>
        <w:t xml:space="preserve"> or non-Greek names of gods”</w:t>
      </w:r>
      <w:r>
        <w:rPr>
          <w:rStyle w:val="FootnoteReference"/>
          <w:lang w:val="en-GB"/>
        </w:rPr>
        <w:footnoteReference w:id="131"/>
      </w:r>
      <w:r>
        <w:rPr>
          <w:lang w:val="en-GB"/>
        </w:rPr>
        <w:t xml:space="preserve">. </w:t>
      </w:r>
      <w:r w:rsidR="00F80A50">
        <w:rPr>
          <w:lang w:val="en-GB"/>
        </w:rPr>
        <w:t xml:space="preserve"> </w:t>
      </w:r>
      <w:r w:rsidR="00A377B7">
        <w:rPr>
          <w:lang w:val="en-GB"/>
        </w:rPr>
        <w:t>R</w:t>
      </w:r>
      <w:r w:rsidR="00F80A50">
        <w:rPr>
          <w:lang w:val="en-GB"/>
        </w:rPr>
        <w:t xml:space="preserve">ecent studies have </w:t>
      </w:r>
      <w:r w:rsidR="00305A45">
        <w:rPr>
          <w:lang w:val="en-GB"/>
        </w:rPr>
        <w:t>exposed</w:t>
      </w:r>
      <w:r w:rsidR="00F80A50">
        <w:rPr>
          <w:lang w:val="en-GB"/>
        </w:rPr>
        <w:t xml:space="preserve"> how this incomprehensibility</w:t>
      </w:r>
      <w:r w:rsidR="00A377B7">
        <w:rPr>
          <w:rStyle w:val="FootnoteReference"/>
          <w:lang w:val="en-GB"/>
        </w:rPr>
        <w:footnoteReference w:id="132"/>
      </w:r>
      <w:r w:rsidR="00F80A50">
        <w:rPr>
          <w:lang w:val="en-GB"/>
        </w:rPr>
        <w:t xml:space="preserve"> was</w:t>
      </w:r>
      <w:r w:rsidR="00A377B7">
        <w:rPr>
          <w:lang w:val="en-GB"/>
        </w:rPr>
        <w:t xml:space="preserve"> not</w:t>
      </w:r>
      <w:r w:rsidR="00F80A50">
        <w:rPr>
          <w:lang w:val="en-GB"/>
        </w:rPr>
        <w:t xml:space="preserve"> relevant for theurgists or magicians. Deities needed to be addressed with their original names and if that happened </w:t>
      </w:r>
      <w:r w:rsidR="00F80A50">
        <w:rPr>
          <w:lang w:val="en-GB"/>
        </w:rPr>
        <w:lastRenderedPageBreak/>
        <w:t>to be in a foreign or coded language</w:t>
      </w:r>
      <w:r w:rsidR="00AF0481">
        <w:rPr>
          <w:lang w:val="en-GB"/>
        </w:rPr>
        <w:t>,</w:t>
      </w:r>
      <w:r w:rsidR="00F80A50">
        <w:rPr>
          <w:lang w:val="en-GB"/>
        </w:rPr>
        <w:t xml:space="preserve"> so be it</w:t>
      </w:r>
      <w:r w:rsidR="000C73BE">
        <w:rPr>
          <w:rStyle w:val="FootnoteReference"/>
          <w:lang w:val="en-GB"/>
        </w:rPr>
        <w:footnoteReference w:id="133"/>
      </w:r>
      <w:r w:rsidR="00F80A50">
        <w:rPr>
          <w:lang w:val="en-GB"/>
        </w:rPr>
        <w:t xml:space="preserve">. Iamblichus </w:t>
      </w:r>
      <w:r w:rsidR="00046DB5">
        <w:rPr>
          <w:lang w:val="en-GB"/>
        </w:rPr>
        <w:t xml:space="preserve">believed names not to be conventions, but to be directly dependent on the nature of real beings and therefore changing or translating them would equal </w:t>
      </w:r>
      <w:r w:rsidR="003F6471">
        <w:rPr>
          <w:lang w:val="en-GB"/>
        </w:rPr>
        <w:t xml:space="preserve">to </w:t>
      </w:r>
      <w:r w:rsidR="00046DB5">
        <w:rPr>
          <w:lang w:val="en-GB"/>
        </w:rPr>
        <w:t>betray</w:t>
      </w:r>
      <w:r w:rsidR="00305A45">
        <w:rPr>
          <w:lang w:val="en-GB"/>
        </w:rPr>
        <w:t>ing</w:t>
      </w:r>
      <w:r w:rsidR="00046DB5">
        <w:rPr>
          <w:lang w:val="en-GB"/>
        </w:rPr>
        <w:t xml:space="preserve"> their true nature</w:t>
      </w:r>
      <w:r w:rsidR="00A377B7">
        <w:rPr>
          <w:rStyle w:val="FootnoteReference"/>
          <w:lang w:val="en-GB"/>
        </w:rPr>
        <w:footnoteReference w:id="134"/>
      </w:r>
      <w:r w:rsidR="00046DB5">
        <w:rPr>
          <w:lang w:val="en-GB"/>
        </w:rPr>
        <w:t>. So what might</w:t>
      </w:r>
      <w:r w:rsidR="00997596">
        <w:rPr>
          <w:lang w:val="en-GB"/>
        </w:rPr>
        <w:t xml:space="preserve"> have</w:t>
      </w:r>
      <w:r w:rsidR="00046DB5">
        <w:rPr>
          <w:lang w:val="en-GB"/>
        </w:rPr>
        <w:t xml:space="preserve"> appear</w:t>
      </w:r>
      <w:r w:rsidR="00997596">
        <w:rPr>
          <w:lang w:val="en-GB"/>
        </w:rPr>
        <w:t>ed</w:t>
      </w:r>
      <w:r w:rsidR="00046DB5">
        <w:rPr>
          <w:lang w:val="en-GB"/>
        </w:rPr>
        <w:t xml:space="preserve"> as “inexplicable” or “</w:t>
      </w:r>
      <w:r w:rsidR="009657F8">
        <w:rPr>
          <w:lang w:val="en-GB"/>
        </w:rPr>
        <w:t xml:space="preserve">barbarous” </w:t>
      </w:r>
      <w:r w:rsidR="00997596">
        <w:rPr>
          <w:lang w:val="en-GB"/>
        </w:rPr>
        <w:t>was</w:t>
      </w:r>
      <w:r w:rsidR="009657F8">
        <w:rPr>
          <w:lang w:val="en-GB"/>
        </w:rPr>
        <w:t xml:space="preserve"> not only perfectly suitable</w:t>
      </w:r>
      <w:r w:rsidR="00997596">
        <w:rPr>
          <w:lang w:val="en-GB"/>
        </w:rPr>
        <w:t>,</w:t>
      </w:r>
      <w:r w:rsidR="009657F8">
        <w:rPr>
          <w:lang w:val="en-GB"/>
        </w:rPr>
        <w:t xml:space="preserve"> but the only possible choice</w:t>
      </w:r>
      <w:r w:rsidR="009657F8">
        <w:rPr>
          <w:rStyle w:val="FootnoteReference"/>
          <w:lang w:val="en-GB"/>
        </w:rPr>
        <w:footnoteReference w:id="135"/>
      </w:r>
      <w:r w:rsidR="009657F8">
        <w:rPr>
          <w:lang w:val="en-GB"/>
        </w:rPr>
        <w:t xml:space="preserve">. </w:t>
      </w:r>
      <w:r w:rsidR="00F80A50">
        <w:rPr>
          <w:lang w:val="en-GB"/>
        </w:rPr>
        <w:t xml:space="preserve">Remus </w:t>
      </w:r>
      <w:r w:rsidR="00D2098F">
        <w:rPr>
          <w:lang w:val="en-GB"/>
        </w:rPr>
        <w:t>conclude</w:t>
      </w:r>
      <w:r w:rsidR="00A377B7">
        <w:rPr>
          <w:lang w:val="en-GB"/>
        </w:rPr>
        <w:t>d</w:t>
      </w:r>
      <w:r w:rsidR="00F80A50">
        <w:rPr>
          <w:lang w:val="en-GB"/>
        </w:rPr>
        <w:t xml:space="preserve"> that they are a “system of communication” and “their literal intelligibility is not the critical factor in understanding the logic”</w:t>
      </w:r>
      <w:r w:rsidR="00046DB5">
        <w:rPr>
          <w:rStyle w:val="FootnoteReference"/>
          <w:lang w:val="en-GB"/>
        </w:rPr>
        <w:footnoteReference w:id="136"/>
      </w:r>
      <w:r w:rsidR="00D2098F">
        <w:rPr>
          <w:lang w:val="en-GB"/>
        </w:rPr>
        <w:t>.</w:t>
      </w:r>
      <w:r w:rsidR="009C46D7">
        <w:rPr>
          <w:lang w:val="en-GB"/>
        </w:rPr>
        <w:t xml:space="preserve"> </w:t>
      </w:r>
    </w:p>
    <w:p w14:paraId="0CB1C5BD" w14:textId="77777777" w:rsidR="00F80A50" w:rsidRDefault="00F80A50" w:rsidP="00684288">
      <w:pPr>
        <w:rPr>
          <w:lang w:val="en-GB"/>
        </w:rPr>
      </w:pPr>
    </w:p>
    <w:p w14:paraId="60C92C8D" w14:textId="3D8B0266" w:rsidR="00AC49AE" w:rsidRPr="003824B5" w:rsidRDefault="00D2098F" w:rsidP="00AC49AE">
      <w:pPr>
        <w:rPr>
          <w:lang w:val="en-GB"/>
        </w:rPr>
      </w:pPr>
      <w:r>
        <w:rPr>
          <w:lang w:val="en-GB"/>
        </w:rPr>
        <w:t>Pulleyin claimed that powerful names w</w:t>
      </w:r>
      <w:r w:rsidR="00A377B7">
        <w:rPr>
          <w:lang w:val="en-GB"/>
        </w:rPr>
        <w:t>ere</w:t>
      </w:r>
      <w:r>
        <w:rPr>
          <w:lang w:val="en-GB"/>
        </w:rPr>
        <w:t xml:space="preserve"> a typical phenomenon of magic and theurgy and an expression of their syncretism”</w:t>
      </w:r>
      <w:r>
        <w:rPr>
          <w:rStyle w:val="FootnoteReference"/>
          <w:lang w:val="en-GB"/>
        </w:rPr>
        <w:footnoteReference w:id="137"/>
      </w:r>
      <w:r>
        <w:rPr>
          <w:lang w:val="en-GB"/>
        </w:rPr>
        <w:t xml:space="preserve">. Olgivie, instead, </w:t>
      </w:r>
      <w:r w:rsidR="00997596">
        <w:rPr>
          <w:lang w:val="en-GB"/>
        </w:rPr>
        <w:t xml:space="preserve">appropriately </w:t>
      </w:r>
      <w:r>
        <w:rPr>
          <w:lang w:val="en-GB"/>
        </w:rPr>
        <w:t>noted that the invocation of a god by name ha</w:t>
      </w:r>
      <w:r w:rsidR="00A377B7">
        <w:rPr>
          <w:lang w:val="en-GB"/>
        </w:rPr>
        <w:t>d</w:t>
      </w:r>
      <w:r>
        <w:rPr>
          <w:lang w:val="en-GB"/>
        </w:rPr>
        <w:t xml:space="preserve"> always been a central feature of both prayer and magic. If you know the name of a god, you can make him listen. </w:t>
      </w:r>
      <w:r w:rsidR="00684288">
        <w:rPr>
          <w:lang w:val="en-GB"/>
        </w:rPr>
        <w:t>In the Old Testament, the name of Jehovah was secret, because it was too powerful. In the New Testament</w:t>
      </w:r>
      <w:r>
        <w:rPr>
          <w:lang w:val="en-GB"/>
        </w:rPr>
        <w:t>,</w:t>
      </w:r>
      <w:r w:rsidR="00684288">
        <w:rPr>
          <w:lang w:val="en-GB"/>
        </w:rPr>
        <w:t xml:space="preserve"> believers who call upon the name of the Lord </w:t>
      </w:r>
      <w:r>
        <w:rPr>
          <w:lang w:val="en-GB"/>
        </w:rPr>
        <w:t xml:space="preserve">are the ones who </w:t>
      </w:r>
      <w:r w:rsidR="00684288">
        <w:rPr>
          <w:lang w:val="en-GB"/>
        </w:rPr>
        <w:t xml:space="preserve">will be saved. </w:t>
      </w:r>
      <w:r>
        <w:rPr>
          <w:lang w:val="en-GB"/>
        </w:rPr>
        <w:t>There is ample evidence that i</w:t>
      </w:r>
      <w:r w:rsidR="00684288">
        <w:rPr>
          <w:lang w:val="en-GB"/>
        </w:rPr>
        <w:t xml:space="preserve">n Greek </w:t>
      </w:r>
      <w:r>
        <w:rPr>
          <w:lang w:val="en-GB"/>
        </w:rPr>
        <w:t xml:space="preserve">and Roman </w:t>
      </w:r>
      <w:r w:rsidR="00684288">
        <w:rPr>
          <w:lang w:val="en-GB"/>
        </w:rPr>
        <w:t xml:space="preserve">religion, </w:t>
      </w:r>
      <w:r>
        <w:rPr>
          <w:lang w:val="en-GB"/>
        </w:rPr>
        <w:t xml:space="preserve">in order to </w:t>
      </w:r>
      <w:r w:rsidR="00963CA2">
        <w:rPr>
          <w:lang w:val="en-GB"/>
        </w:rPr>
        <w:t>influence</w:t>
      </w:r>
      <w:r>
        <w:rPr>
          <w:lang w:val="en-GB"/>
        </w:rPr>
        <w:t xml:space="preserve"> a god, the worshipper needed to know their name</w:t>
      </w:r>
      <w:r w:rsidR="00997596">
        <w:rPr>
          <w:lang w:val="en-GB"/>
        </w:rPr>
        <w:t>s</w:t>
      </w:r>
      <w:r>
        <w:rPr>
          <w:lang w:val="en-GB"/>
        </w:rPr>
        <w:t>.</w:t>
      </w:r>
      <w:r w:rsidR="00684288">
        <w:rPr>
          <w:rStyle w:val="FootnoteReference"/>
          <w:lang w:val="en-GB"/>
        </w:rPr>
        <w:footnoteReference w:id="138"/>
      </w:r>
      <w:r w:rsidR="00684288">
        <w:rPr>
          <w:lang w:val="en-GB"/>
        </w:rPr>
        <w:t>.</w:t>
      </w:r>
      <w:r w:rsidR="00F80A50">
        <w:rPr>
          <w:lang w:val="en-GB"/>
        </w:rPr>
        <w:t xml:space="preserve"> It was therefore </w:t>
      </w:r>
      <w:r>
        <w:rPr>
          <w:lang w:val="en-GB"/>
        </w:rPr>
        <w:t xml:space="preserve">a </w:t>
      </w:r>
      <w:r w:rsidR="00F80A50">
        <w:rPr>
          <w:lang w:val="en-GB"/>
        </w:rPr>
        <w:t xml:space="preserve">common belief that the name was a necessary element in the communication between mankind and deities and in magic this belief </w:t>
      </w:r>
      <w:r w:rsidR="00232369">
        <w:rPr>
          <w:lang w:val="en-GB"/>
        </w:rPr>
        <w:t>was</w:t>
      </w:r>
      <w:r w:rsidR="00F80A50">
        <w:rPr>
          <w:lang w:val="en-GB"/>
        </w:rPr>
        <w:t xml:space="preserve"> expanded into trusting that</w:t>
      </w:r>
      <w:r w:rsidR="00684288">
        <w:rPr>
          <w:lang w:val="en-GB"/>
        </w:rPr>
        <w:t xml:space="preserve"> “the knowledge of a deity’s true name gives one power over him”</w:t>
      </w:r>
      <w:r w:rsidR="00684288">
        <w:rPr>
          <w:rStyle w:val="FootnoteReference"/>
          <w:lang w:val="en-GB"/>
        </w:rPr>
        <w:footnoteReference w:id="139"/>
      </w:r>
      <w:r w:rsidR="00963CA2">
        <w:rPr>
          <w:lang w:val="en-GB"/>
        </w:rPr>
        <w:t>,</w:t>
      </w:r>
      <w:r w:rsidR="00232369">
        <w:rPr>
          <w:lang w:val="en-GB"/>
        </w:rPr>
        <w:t xml:space="preserve"> </w:t>
      </w:r>
      <w:r w:rsidR="00A377B7">
        <w:rPr>
          <w:lang w:val="en-GB"/>
        </w:rPr>
        <w:t>reinforcing the</w:t>
      </w:r>
      <w:r w:rsidR="00232369">
        <w:rPr>
          <w:lang w:val="en-GB"/>
        </w:rPr>
        <w:t xml:space="preserve"> ability to influence a god through prayers and sacrifices already present in the religious cults</w:t>
      </w:r>
      <w:r w:rsidR="00684288">
        <w:rPr>
          <w:lang w:val="en-GB"/>
        </w:rPr>
        <w:t>.</w:t>
      </w:r>
      <w:r w:rsidR="00997596">
        <w:rPr>
          <w:lang w:val="en-GB"/>
        </w:rPr>
        <w:t xml:space="preserve"> </w:t>
      </w:r>
      <w:r w:rsidR="00232369">
        <w:rPr>
          <w:lang w:val="en-GB"/>
        </w:rPr>
        <w:t xml:space="preserve">In theurgy, </w:t>
      </w:r>
      <w:r w:rsidR="00F80A50">
        <w:rPr>
          <w:lang w:val="en-GB"/>
        </w:rPr>
        <w:t>Betz commented</w:t>
      </w:r>
      <w:r w:rsidR="00232369">
        <w:rPr>
          <w:lang w:val="en-GB"/>
        </w:rPr>
        <w:t>,</w:t>
      </w:r>
      <w:r w:rsidR="00F80A50">
        <w:rPr>
          <w:lang w:val="en-GB"/>
        </w:rPr>
        <w:t xml:space="preserve"> the knowledge of the secret name of the deity established the grounds for the mystical union</w:t>
      </w:r>
      <w:r w:rsidR="00997596">
        <w:rPr>
          <w:lang w:val="en-GB"/>
        </w:rPr>
        <w:t xml:space="preserve"> and,</w:t>
      </w:r>
      <w:r w:rsidR="003F6471">
        <w:rPr>
          <w:lang w:val="en-GB"/>
        </w:rPr>
        <w:t xml:space="preserve"> </w:t>
      </w:r>
      <w:r w:rsidR="00997596">
        <w:rPr>
          <w:lang w:val="en-GB"/>
        </w:rPr>
        <w:t>in</w:t>
      </w:r>
      <w:r w:rsidR="00F80A50">
        <w:rPr>
          <w:lang w:val="en-GB"/>
        </w:rPr>
        <w:t xml:space="preserve"> </w:t>
      </w:r>
      <w:r w:rsidR="00A377B7">
        <w:rPr>
          <w:lang w:val="en-GB"/>
        </w:rPr>
        <w:t xml:space="preserve">the PGM </w:t>
      </w:r>
      <w:r w:rsidR="00F80A50">
        <w:rPr>
          <w:lang w:val="en-GB"/>
        </w:rPr>
        <w:t>the magician use</w:t>
      </w:r>
      <w:r w:rsidR="00D2686C">
        <w:rPr>
          <w:lang w:val="en-GB"/>
        </w:rPr>
        <w:t>d</w:t>
      </w:r>
      <w:r w:rsidR="00F80A50">
        <w:rPr>
          <w:lang w:val="en-GB"/>
        </w:rPr>
        <w:t xml:space="preserve"> his powers to influence his destin</w:t>
      </w:r>
      <w:r w:rsidR="00963CA2">
        <w:rPr>
          <w:lang w:val="en-GB"/>
        </w:rPr>
        <w:t>y</w:t>
      </w:r>
      <w:r w:rsidR="00F80A50">
        <w:rPr>
          <w:rStyle w:val="FootnoteReference"/>
          <w:lang w:val="en-GB"/>
        </w:rPr>
        <w:footnoteReference w:id="140"/>
      </w:r>
      <w:r w:rsidR="00F80A50">
        <w:rPr>
          <w:lang w:val="en-GB"/>
        </w:rPr>
        <w:t>.</w:t>
      </w:r>
      <w:r w:rsidR="00232369">
        <w:rPr>
          <w:lang w:val="en-GB"/>
        </w:rPr>
        <w:t xml:space="preserve"> What </w:t>
      </w:r>
      <w:r w:rsidR="007734A7">
        <w:rPr>
          <w:lang w:val="en-GB"/>
        </w:rPr>
        <w:t>Platonist</w:t>
      </w:r>
      <w:r w:rsidR="00232369">
        <w:rPr>
          <w:lang w:val="en-GB"/>
        </w:rPr>
        <w:t xml:space="preserve">s </w:t>
      </w:r>
      <w:r w:rsidR="00305A45">
        <w:rPr>
          <w:lang w:val="en-GB"/>
        </w:rPr>
        <w:t>saw as</w:t>
      </w:r>
      <w:r w:rsidR="00232369">
        <w:rPr>
          <w:lang w:val="en-GB"/>
        </w:rPr>
        <w:t xml:space="preserve"> symbols </w:t>
      </w:r>
      <w:r w:rsidR="003F6471">
        <w:rPr>
          <w:lang w:val="en-GB"/>
        </w:rPr>
        <w:t xml:space="preserve">and mere shadows </w:t>
      </w:r>
      <w:r w:rsidR="00232369">
        <w:rPr>
          <w:lang w:val="en-GB"/>
        </w:rPr>
        <w:t>of the eidetic forms bec</w:t>
      </w:r>
      <w:r w:rsidR="00963CA2">
        <w:rPr>
          <w:lang w:val="en-GB"/>
        </w:rPr>
        <w:t>a</w:t>
      </w:r>
      <w:r w:rsidR="00232369">
        <w:rPr>
          <w:lang w:val="en-GB"/>
        </w:rPr>
        <w:t>me, for theurgists and magician</w:t>
      </w:r>
      <w:r w:rsidR="00963CA2">
        <w:rPr>
          <w:lang w:val="en-GB"/>
        </w:rPr>
        <w:t>s</w:t>
      </w:r>
      <w:r w:rsidR="00232369">
        <w:rPr>
          <w:lang w:val="en-GB"/>
        </w:rPr>
        <w:t xml:space="preserve">, the embodiment </w:t>
      </w:r>
      <w:r w:rsidR="00D2686C">
        <w:rPr>
          <w:lang w:val="en-GB"/>
        </w:rPr>
        <w:t xml:space="preserve">of the divine </w:t>
      </w:r>
      <w:r w:rsidR="00232369">
        <w:rPr>
          <w:lang w:val="en-GB"/>
        </w:rPr>
        <w:t xml:space="preserve">on earth. </w:t>
      </w:r>
    </w:p>
    <w:p w14:paraId="13AA9B14" w14:textId="77777777" w:rsidR="00AC49AE" w:rsidRDefault="00AC49AE" w:rsidP="00AC49AE">
      <w:pPr>
        <w:rPr>
          <w:lang w:val="en-GB"/>
        </w:rPr>
      </w:pPr>
    </w:p>
    <w:p w14:paraId="7D19564C" w14:textId="732CEFD4" w:rsidR="00AC49AE" w:rsidRDefault="00143887" w:rsidP="00AC49AE">
      <w:pPr>
        <w:rPr>
          <w:lang w:val="en-GB"/>
        </w:rPr>
      </w:pPr>
      <w:r>
        <w:rPr>
          <w:lang w:val="en-GB"/>
        </w:rPr>
        <w:t>In the myth of Er</w:t>
      </w:r>
      <w:r w:rsidR="00A1170A">
        <w:rPr>
          <w:rStyle w:val="FootnoteReference"/>
          <w:lang w:val="en-GB"/>
        </w:rPr>
        <w:footnoteReference w:id="141"/>
      </w:r>
      <w:r w:rsidR="00D2686C">
        <w:rPr>
          <w:lang w:val="en-GB"/>
        </w:rPr>
        <w:t>,</w:t>
      </w:r>
      <w:r>
        <w:rPr>
          <w:lang w:val="en-GB"/>
        </w:rPr>
        <w:t xml:space="preserve"> Plato wrote that before incarnation every soul elected its own </w:t>
      </w:r>
      <w:r w:rsidRPr="00D2686C">
        <w:rPr>
          <w:i/>
          <w:iCs/>
          <w:lang w:val="en-GB"/>
        </w:rPr>
        <w:t>daimon</w:t>
      </w:r>
      <w:r>
        <w:rPr>
          <w:lang w:val="en-GB"/>
        </w:rPr>
        <w:t xml:space="preserve"> as a guide through life</w:t>
      </w:r>
      <w:r w:rsidR="00A1170A">
        <w:rPr>
          <w:rStyle w:val="FootnoteReference"/>
          <w:lang w:val="en-GB"/>
        </w:rPr>
        <w:footnoteReference w:id="142"/>
      </w:r>
      <w:r w:rsidR="00AC49AE">
        <w:rPr>
          <w:lang w:val="en-GB"/>
        </w:rPr>
        <w:t xml:space="preserve">. </w:t>
      </w:r>
      <w:r w:rsidR="00420C38">
        <w:rPr>
          <w:lang w:val="en-GB"/>
        </w:rPr>
        <w:t>Therefore one could</w:t>
      </w:r>
      <w:r>
        <w:rPr>
          <w:lang w:val="en-GB"/>
        </w:rPr>
        <w:t xml:space="preserve"> approach th</w:t>
      </w:r>
      <w:r w:rsidR="00420C38">
        <w:rPr>
          <w:lang w:val="en-GB"/>
        </w:rPr>
        <w:t xml:space="preserve">e </w:t>
      </w:r>
      <w:r w:rsidRPr="00680776">
        <w:rPr>
          <w:i/>
          <w:iCs/>
          <w:lang w:val="en-GB"/>
        </w:rPr>
        <w:t>daimon</w:t>
      </w:r>
      <w:r>
        <w:rPr>
          <w:lang w:val="en-GB"/>
        </w:rPr>
        <w:t xml:space="preserve"> as one would approach an oracle for consultation. Self-knowledge, </w:t>
      </w:r>
      <w:r w:rsidR="00420C38">
        <w:rPr>
          <w:lang w:val="en-GB"/>
        </w:rPr>
        <w:t xml:space="preserve">once again, </w:t>
      </w:r>
      <w:r w:rsidR="00D2686C">
        <w:rPr>
          <w:lang w:val="en-GB"/>
        </w:rPr>
        <w:t>was</w:t>
      </w:r>
      <w:r w:rsidR="00420C38">
        <w:rPr>
          <w:lang w:val="en-GB"/>
        </w:rPr>
        <w:t xml:space="preserve"> not </w:t>
      </w:r>
      <w:r>
        <w:rPr>
          <w:lang w:val="en-GB"/>
        </w:rPr>
        <w:t>the outcome of philosophical examination</w:t>
      </w:r>
      <w:r w:rsidR="00420C38">
        <w:rPr>
          <w:lang w:val="en-GB"/>
        </w:rPr>
        <w:t xml:space="preserve"> but</w:t>
      </w:r>
      <w:r>
        <w:rPr>
          <w:lang w:val="en-GB"/>
        </w:rPr>
        <w:t xml:space="preserve"> was </w:t>
      </w:r>
      <w:r w:rsidR="00D2686C">
        <w:rPr>
          <w:lang w:val="en-GB"/>
        </w:rPr>
        <w:t>“</w:t>
      </w:r>
      <w:r>
        <w:rPr>
          <w:lang w:val="en-GB"/>
        </w:rPr>
        <w:t>interpreted in analogy to the oracular inquiry and reply”</w:t>
      </w:r>
      <w:r>
        <w:rPr>
          <w:rStyle w:val="FootnoteReference"/>
          <w:lang w:val="en-GB"/>
        </w:rPr>
        <w:footnoteReference w:id="143"/>
      </w:r>
      <w:r>
        <w:rPr>
          <w:lang w:val="en-GB"/>
        </w:rPr>
        <w:t xml:space="preserve">. </w:t>
      </w:r>
      <w:r w:rsidR="00420C38">
        <w:rPr>
          <w:lang w:val="en-GB"/>
        </w:rPr>
        <w:t xml:space="preserve">In the PGM, we find </w:t>
      </w:r>
      <w:r w:rsidR="00680776">
        <w:rPr>
          <w:lang w:val="en-GB"/>
        </w:rPr>
        <w:t xml:space="preserve">an </w:t>
      </w:r>
      <w:r w:rsidR="00420C38">
        <w:rPr>
          <w:lang w:val="en-GB"/>
        </w:rPr>
        <w:t>analogous concept utilised by magicians</w:t>
      </w:r>
      <w:r w:rsidR="00AC49AE">
        <w:rPr>
          <w:rStyle w:val="FootnoteReference"/>
          <w:lang w:val="en-GB"/>
        </w:rPr>
        <w:footnoteReference w:id="144"/>
      </w:r>
      <w:r w:rsidR="00420C38">
        <w:rPr>
          <w:lang w:val="en-GB"/>
        </w:rPr>
        <w:t xml:space="preserve">. </w:t>
      </w:r>
      <w:r w:rsidR="00D2686C">
        <w:rPr>
          <w:lang w:val="en-GB"/>
        </w:rPr>
        <w:t>T</w:t>
      </w:r>
      <w:r w:rsidR="00AC49AE">
        <w:rPr>
          <w:lang w:val="en-GB"/>
        </w:rPr>
        <w:t xml:space="preserve">he magician </w:t>
      </w:r>
      <w:r w:rsidR="00D2686C">
        <w:rPr>
          <w:lang w:val="en-GB"/>
        </w:rPr>
        <w:t>re</w:t>
      </w:r>
      <w:r w:rsidR="00AC49AE">
        <w:rPr>
          <w:lang w:val="en-GB"/>
        </w:rPr>
        <w:t>interpret</w:t>
      </w:r>
      <w:r w:rsidR="00D2686C">
        <w:rPr>
          <w:lang w:val="en-GB"/>
        </w:rPr>
        <w:t>ed</w:t>
      </w:r>
      <w:r w:rsidR="00AC49AE">
        <w:rPr>
          <w:lang w:val="en-GB"/>
        </w:rPr>
        <w:t xml:space="preserve"> this idea </w:t>
      </w:r>
      <w:r w:rsidR="00AF0481">
        <w:rPr>
          <w:lang w:val="en-GB"/>
        </w:rPr>
        <w:t xml:space="preserve">by </w:t>
      </w:r>
      <w:r w:rsidR="00AC49AE">
        <w:rPr>
          <w:lang w:val="en-GB"/>
        </w:rPr>
        <w:t xml:space="preserve">conjuring the personal </w:t>
      </w:r>
      <w:r w:rsidR="00AC49AE" w:rsidRPr="00D2686C">
        <w:rPr>
          <w:i/>
          <w:iCs/>
          <w:lang w:val="en-GB"/>
        </w:rPr>
        <w:t>daimon</w:t>
      </w:r>
      <w:r w:rsidR="00D0057C">
        <w:rPr>
          <w:rStyle w:val="FootnoteReference"/>
          <w:i/>
          <w:iCs/>
          <w:lang w:val="en-GB"/>
        </w:rPr>
        <w:footnoteReference w:id="145"/>
      </w:r>
      <w:r w:rsidR="00AC49AE">
        <w:rPr>
          <w:lang w:val="en-GB"/>
        </w:rPr>
        <w:t>, asking questions and receiving answers.</w:t>
      </w:r>
      <w:r w:rsidR="00D2686C">
        <w:rPr>
          <w:lang w:val="en-GB"/>
        </w:rPr>
        <w:t xml:space="preserve"> </w:t>
      </w:r>
    </w:p>
    <w:p w14:paraId="0B7392E3" w14:textId="77777777" w:rsidR="002236A1" w:rsidRPr="00191088" w:rsidRDefault="002236A1" w:rsidP="002236A1">
      <w:pPr>
        <w:rPr>
          <w:lang w:val="en-GB"/>
        </w:rPr>
      </w:pPr>
    </w:p>
    <w:p w14:paraId="79EA81BD" w14:textId="1BFB375A" w:rsidR="00680776" w:rsidRDefault="007A7BBD" w:rsidP="00FD69CD">
      <w:pPr>
        <w:rPr>
          <w:lang w:val="en-GB"/>
        </w:rPr>
      </w:pPr>
      <w:r>
        <w:rPr>
          <w:lang w:val="en-GB"/>
        </w:rPr>
        <w:t>Addey described oracles as</w:t>
      </w:r>
      <w:r w:rsidRPr="00191088">
        <w:rPr>
          <w:lang w:val="en-GB"/>
        </w:rPr>
        <w:t xml:space="preserve"> “An inspired utterance thought to be derived from a supernatural source (usually a deity) and obtained through some form of ritual, frequently utili</w:t>
      </w:r>
      <w:r w:rsidR="00997596">
        <w:rPr>
          <w:lang w:val="en-GB"/>
        </w:rPr>
        <w:t>s</w:t>
      </w:r>
      <w:r w:rsidRPr="00191088">
        <w:rPr>
          <w:lang w:val="en-GB"/>
        </w:rPr>
        <w:t>ing mythical language and epic diction”</w:t>
      </w:r>
      <w:r>
        <w:rPr>
          <w:rStyle w:val="FootnoteReference"/>
          <w:lang w:val="en-GB"/>
        </w:rPr>
        <w:footnoteReference w:id="146"/>
      </w:r>
      <w:r>
        <w:rPr>
          <w:lang w:val="en-GB"/>
        </w:rPr>
        <w:t>.  Thanks to</w:t>
      </w:r>
      <w:r w:rsidR="00420C38">
        <w:rPr>
          <w:lang w:val="en-GB"/>
        </w:rPr>
        <w:t xml:space="preserve"> th</w:t>
      </w:r>
      <w:r>
        <w:rPr>
          <w:lang w:val="en-GB"/>
        </w:rPr>
        <w:t>e</w:t>
      </w:r>
      <w:r w:rsidR="00420C38">
        <w:rPr>
          <w:lang w:val="en-GB"/>
        </w:rPr>
        <w:t xml:space="preserve"> ability of connecting and communicating with the divine</w:t>
      </w:r>
      <w:r>
        <w:rPr>
          <w:lang w:val="en-GB"/>
        </w:rPr>
        <w:t xml:space="preserve">, </w:t>
      </w:r>
      <w:r w:rsidR="00420C38">
        <w:rPr>
          <w:lang w:val="en-GB"/>
        </w:rPr>
        <w:t xml:space="preserve">divination </w:t>
      </w:r>
      <w:r>
        <w:rPr>
          <w:lang w:val="en-GB"/>
        </w:rPr>
        <w:t xml:space="preserve">is </w:t>
      </w:r>
      <w:r w:rsidR="00420C38">
        <w:rPr>
          <w:lang w:val="en-GB"/>
        </w:rPr>
        <w:t xml:space="preserve">not only possible but a natural way of interaction between mankind and </w:t>
      </w:r>
      <w:r w:rsidR="00D2686C">
        <w:rPr>
          <w:lang w:val="en-GB"/>
        </w:rPr>
        <w:t>god</w:t>
      </w:r>
      <w:r w:rsidR="00420C38">
        <w:rPr>
          <w:lang w:val="en-GB"/>
        </w:rPr>
        <w:t xml:space="preserve">. According to Lane Fox, </w:t>
      </w:r>
      <w:r w:rsidR="00DE4BE3">
        <w:rPr>
          <w:lang w:val="en-GB"/>
        </w:rPr>
        <w:t>o</w:t>
      </w:r>
      <w:r w:rsidR="00420C38" w:rsidRPr="00191088">
        <w:rPr>
          <w:lang w:val="en-GB"/>
        </w:rPr>
        <w:t xml:space="preserve">racles and philosophy were </w:t>
      </w:r>
      <w:r w:rsidR="00DE4BE3" w:rsidRPr="00191088">
        <w:rPr>
          <w:lang w:val="en-GB"/>
        </w:rPr>
        <w:t>profoundly</w:t>
      </w:r>
      <w:r w:rsidR="00420C38" w:rsidRPr="00191088">
        <w:rPr>
          <w:lang w:val="en-GB"/>
        </w:rPr>
        <w:t xml:space="preserve"> </w:t>
      </w:r>
      <w:r w:rsidR="00DE4BE3">
        <w:rPr>
          <w:lang w:val="en-GB"/>
        </w:rPr>
        <w:t>linked</w:t>
      </w:r>
      <w:r w:rsidR="00420C38" w:rsidRPr="00191088">
        <w:rPr>
          <w:lang w:val="en-GB"/>
        </w:rPr>
        <w:t xml:space="preserve"> in Antiquity”</w:t>
      </w:r>
      <w:r w:rsidR="00420C38">
        <w:rPr>
          <w:rStyle w:val="FootnoteReference"/>
          <w:lang w:val="en-GB"/>
        </w:rPr>
        <w:footnoteReference w:id="147"/>
      </w:r>
      <w:r w:rsidR="00420C38">
        <w:rPr>
          <w:lang w:val="en-GB"/>
        </w:rPr>
        <w:t xml:space="preserve"> and Addey complemented adding that many p</w:t>
      </w:r>
      <w:r w:rsidR="00420C38" w:rsidRPr="00191088">
        <w:rPr>
          <w:lang w:val="en-GB"/>
        </w:rPr>
        <w:t>hilosophers discuss</w:t>
      </w:r>
      <w:r w:rsidR="00420C38">
        <w:rPr>
          <w:lang w:val="en-GB"/>
        </w:rPr>
        <w:t>ed</w:t>
      </w:r>
      <w:r w:rsidR="00420C38" w:rsidRPr="00191088">
        <w:rPr>
          <w:lang w:val="en-GB"/>
        </w:rPr>
        <w:t xml:space="preserve"> oracles and sometimes utter</w:t>
      </w:r>
      <w:r w:rsidR="00DE4BE3">
        <w:rPr>
          <w:lang w:val="en-GB"/>
        </w:rPr>
        <w:t>ed</w:t>
      </w:r>
      <w:r w:rsidR="00420C38" w:rsidRPr="00191088">
        <w:rPr>
          <w:lang w:val="en-GB"/>
        </w:rPr>
        <w:t xml:space="preserve"> them themselves</w:t>
      </w:r>
      <w:r w:rsidR="00420C38">
        <w:rPr>
          <w:rStyle w:val="FootnoteReference"/>
          <w:lang w:val="en-GB"/>
        </w:rPr>
        <w:footnoteReference w:id="148"/>
      </w:r>
      <w:r w:rsidR="00420C38">
        <w:rPr>
          <w:lang w:val="en-GB"/>
        </w:rPr>
        <w:t>.</w:t>
      </w:r>
      <w:r w:rsidR="00FD69CD">
        <w:rPr>
          <w:lang w:val="en-GB"/>
        </w:rPr>
        <w:t xml:space="preserve"> This is no surprise if the assimilation of</w:t>
      </w:r>
      <w:r w:rsidR="00FD69CD" w:rsidRPr="00191088">
        <w:rPr>
          <w:lang w:val="en-GB"/>
        </w:rPr>
        <w:t xml:space="preserve"> divinity with truth</w:t>
      </w:r>
      <w:r w:rsidR="00FD69CD">
        <w:rPr>
          <w:lang w:val="en-GB"/>
        </w:rPr>
        <w:t>, typical of Neoplatonism</w:t>
      </w:r>
      <w:r w:rsidR="00997596">
        <w:rPr>
          <w:lang w:val="en-GB"/>
        </w:rPr>
        <w:t>,</w:t>
      </w:r>
      <w:r w:rsidR="00FD69CD">
        <w:rPr>
          <w:lang w:val="en-GB"/>
        </w:rPr>
        <w:t xml:space="preserve"> is taken into consideration</w:t>
      </w:r>
      <w:r w:rsidR="00F14CD0">
        <w:rPr>
          <w:rStyle w:val="FootnoteReference"/>
          <w:lang w:val="en-GB"/>
        </w:rPr>
        <w:footnoteReference w:id="149"/>
      </w:r>
      <w:r w:rsidR="00FD69CD">
        <w:rPr>
          <w:lang w:val="en-GB"/>
        </w:rPr>
        <w:t xml:space="preserve">. This is a major theoretical point which explains the </w:t>
      </w:r>
      <w:r w:rsidR="00DE4BE3" w:rsidRPr="00191088">
        <w:rPr>
          <w:lang w:val="en-GB"/>
        </w:rPr>
        <w:t>correlation</w:t>
      </w:r>
      <w:r w:rsidR="00FD69CD" w:rsidRPr="00191088">
        <w:rPr>
          <w:lang w:val="en-GB"/>
        </w:rPr>
        <w:t xml:space="preserve"> between rationality and ritual</w:t>
      </w:r>
      <w:r w:rsidR="00FD69CD">
        <w:rPr>
          <w:rStyle w:val="FootnoteReference"/>
          <w:lang w:val="en-GB"/>
        </w:rPr>
        <w:footnoteReference w:id="150"/>
      </w:r>
      <w:r w:rsidR="00FD69CD" w:rsidRPr="00191088">
        <w:rPr>
          <w:lang w:val="en-GB"/>
        </w:rPr>
        <w:t xml:space="preserve"> </w:t>
      </w:r>
      <w:r w:rsidR="00FD69CD">
        <w:rPr>
          <w:lang w:val="en-GB"/>
        </w:rPr>
        <w:t>and why rituals, exploiting the anagogic power of symbols</w:t>
      </w:r>
      <w:r w:rsidR="00FD69CD">
        <w:rPr>
          <w:rStyle w:val="FootnoteReference"/>
          <w:lang w:val="en-GB"/>
        </w:rPr>
        <w:footnoteReference w:id="151"/>
      </w:r>
      <w:r w:rsidR="00FD69CD">
        <w:rPr>
          <w:lang w:val="en-GB"/>
        </w:rPr>
        <w:t>, c</w:t>
      </w:r>
      <w:r w:rsidR="00997596">
        <w:rPr>
          <w:lang w:val="en-GB"/>
        </w:rPr>
        <w:t>oul</w:t>
      </w:r>
      <w:r w:rsidR="00A969AE">
        <w:rPr>
          <w:lang w:val="en-GB"/>
        </w:rPr>
        <w:t>d</w:t>
      </w:r>
      <w:r w:rsidR="00FD69CD">
        <w:rPr>
          <w:lang w:val="en-GB"/>
        </w:rPr>
        <w:t xml:space="preserve"> lead the philosopher to the Truth. Addey concluded: “R</w:t>
      </w:r>
      <w:r w:rsidR="00FD69CD" w:rsidRPr="00191088">
        <w:rPr>
          <w:lang w:val="en-GB"/>
        </w:rPr>
        <w:t>ationality and revelation were considered to be interlinked and complementary, mutually inclusive rather than mutually exclusive</w:t>
      </w:r>
      <w:r w:rsidR="00FD69CD">
        <w:rPr>
          <w:rStyle w:val="FootnoteReference"/>
          <w:lang w:val="en-GB"/>
        </w:rPr>
        <w:footnoteReference w:id="152"/>
      </w:r>
      <w:r w:rsidR="00FD69CD" w:rsidRPr="00191088">
        <w:rPr>
          <w:lang w:val="en-GB"/>
        </w:rPr>
        <w:t>”</w:t>
      </w:r>
      <w:r w:rsidR="00FD69CD">
        <w:rPr>
          <w:lang w:val="en-GB"/>
        </w:rPr>
        <w:t>.</w:t>
      </w:r>
    </w:p>
    <w:p w14:paraId="7421704D" w14:textId="52AD6F5A" w:rsidR="00FD69CD" w:rsidRDefault="00680776" w:rsidP="002236A1">
      <w:pPr>
        <w:rPr>
          <w:lang w:val="en-GB"/>
        </w:rPr>
      </w:pPr>
      <w:r>
        <w:rPr>
          <w:lang w:val="en-GB"/>
        </w:rPr>
        <w:t>Iamblichus believed to be divinely inspired</w:t>
      </w:r>
      <w:r>
        <w:rPr>
          <w:rStyle w:val="FootnoteReference"/>
          <w:lang w:val="en-GB"/>
        </w:rPr>
        <w:footnoteReference w:id="153"/>
      </w:r>
      <w:r>
        <w:rPr>
          <w:lang w:val="en-GB"/>
        </w:rPr>
        <w:t xml:space="preserve"> and considered divination </w:t>
      </w:r>
      <w:r w:rsidR="00AF0481">
        <w:rPr>
          <w:lang w:val="en-GB"/>
        </w:rPr>
        <w:t xml:space="preserve">to be </w:t>
      </w:r>
      <w:r>
        <w:rPr>
          <w:lang w:val="en-GB"/>
        </w:rPr>
        <w:t xml:space="preserve">an essential element of theurgic </w:t>
      </w:r>
      <w:r w:rsidR="00F47182">
        <w:rPr>
          <w:lang w:val="en-GB"/>
        </w:rPr>
        <w:t>rite</w:t>
      </w:r>
      <w:r>
        <w:rPr>
          <w:lang w:val="en-GB"/>
        </w:rPr>
        <w:t>s</w:t>
      </w:r>
      <w:r>
        <w:rPr>
          <w:rStyle w:val="FootnoteReference"/>
          <w:lang w:val="en-GB"/>
        </w:rPr>
        <w:footnoteReference w:id="154"/>
      </w:r>
      <w:r>
        <w:rPr>
          <w:lang w:val="en-GB"/>
        </w:rPr>
        <w:t xml:space="preserve"> </w:t>
      </w:r>
      <w:r w:rsidR="00B80594">
        <w:rPr>
          <w:lang w:val="en-GB"/>
        </w:rPr>
        <w:t>in which</w:t>
      </w:r>
      <w:r w:rsidR="00FD69CD">
        <w:rPr>
          <w:lang w:val="en-GB"/>
        </w:rPr>
        <w:t xml:space="preserve"> the theurgist became the spokesman of the gods</w:t>
      </w:r>
      <w:r w:rsidR="007A7BBD">
        <w:rPr>
          <w:lang w:val="en-GB"/>
        </w:rPr>
        <w:t>, capable of uttering the unspeakable divine truths. After having discussed at length the epistemic base on which Iamblichus theurgy rests, it is easy to see that divination was an “all-encompassing epistemological and ethical tool”</w:t>
      </w:r>
      <w:r w:rsidR="007A7BBD">
        <w:rPr>
          <w:rStyle w:val="FootnoteReference"/>
          <w:lang w:val="en-GB"/>
        </w:rPr>
        <w:footnoteReference w:id="155"/>
      </w:r>
      <w:r w:rsidR="007A7BBD">
        <w:rPr>
          <w:lang w:val="en-GB"/>
        </w:rPr>
        <w:t xml:space="preserve">, </w:t>
      </w:r>
      <w:r w:rsidR="0060366D">
        <w:rPr>
          <w:lang w:val="en-GB"/>
        </w:rPr>
        <w:t>that couldn’t be</w:t>
      </w:r>
      <w:r w:rsidR="007A7BBD">
        <w:rPr>
          <w:lang w:val="en-GB"/>
        </w:rPr>
        <w:t xml:space="preserve"> further from </w:t>
      </w:r>
      <w:r w:rsidR="00F14CD0">
        <w:rPr>
          <w:lang w:val="en-GB"/>
        </w:rPr>
        <w:t xml:space="preserve">being a mere </w:t>
      </w:r>
      <w:r w:rsidR="0060366D">
        <w:rPr>
          <w:lang w:val="en-GB"/>
        </w:rPr>
        <w:t>aberration</w:t>
      </w:r>
      <w:r w:rsidR="007A7BBD">
        <w:rPr>
          <w:lang w:val="en-GB"/>
        </w:rPr>
        <w:t xml:space="preserve"> of Neoplatonism. </w:t>
      </w:r>
    </w:p>
    <w:p w14:paraId="7C9771EB" w14:textId="77777777" w:rsidR="00266C25" w:rsidRDefault="00266C25" w:rsidP="002236A1">
      <w:pPr>
        <w:rPr>
          <w:lang w:val="en-GB"/>
        </w:rPr>
      </w:pPr>
    </w:p>
    <w:p w14:paraId="3DD36F36" w14:textId="77777777" w:rsidR="0018445B" w:rsidRPr="00A23822" w:rsidRDefault="0018445B" w:rsidP="008434F8">
      <w:pPr>
        <w:pStyle w:val="Heading1"/>
        <w:rPr>
          <w:lang w:val="en-GB"/>
        </w:rPr>
      </w:pPr>
      <w:r w:rsidRPr="00A23822">
        <w:rPr>
          <w:lang w:val="en-GB"/>
        </w:rPr>
        <w:t>Magic and philosophy</w:t>
      </w:r>
    </w:p>
    <w:p w14:paraId="5BA1AB65" w14:textId="77777777" w:rsidR="0018445B" w:rsidRDefault="0018445B" w:rsidP="0018445B">
      <w:pPr>
        <w:pStyle w:val="Heading3"/>
        <w:rPr>
          <w:lang w:val="en-GB"/>
        </w:rPr>
      </w:pPr>
    </w:p>
    <w:p w14:paraId="5072B2C0" w14:textId="6295B0A7" w:rsidR="0018445B" w:rsidRPr="00A80D74" w:rsidRDefault="0018445B" w:rsidP="0018445B">
      <w:pPr>
        <w:rPr>
          <w:lang w:val="en-GB"/>
        </w:rPr>
      </w:pPr>
      <w:r>
        <w:rPr>
          <w:lang w:val="en-GB"/>
        </w:rPr>
        <w:t xml:space="preserve">Magic is often </w:t>
      </w:r>
      <w:r w:rsidR="007A7BBD">
        <w:rPr>
          <w:lang w:val="en-GB"/>
        </w:rPr>
        <w:t>described as</w:t>
      </w:r>
      <w:r>
        <w:rPr>
          <w:lang w:val="en-GB"/>
        </w:rPr>
        <w:t xml:space="preserve"> nonsense</w:t>
      </w:r>
      <w:r w:rsidR="007A7BBD">
        <w:rPr>
          <w:lang w:val="en-GB"/>
        </w:rPr>
        <w:t xml:space="preserve"> and accused of</w:t>
      </w:r>
      <w:r>
        <w:rPr>
          <w:lang w:val="en-GB"/>
        </w:rPr>
        <w:t xml:space="preserve"> irrationality</w:t>
      </w:r>
      <w:r w:rsidR="0079379E">
        <w:rPr>
          <w:rStyle w:val="FootnoteReference"/>
          <w:lang w:val="en-GB"/>
        </w:rPr>
        <w:footnoteReference w:id="156"/>
      </w:r>
      <w:r w:rsidR="0079379E">
        <w:rPr>
          <w:lang w:val="en-GB"/>
        </w:rPr>
        <w:t xml:space="preserve"> as opposed to philosophy which is </w:t>
      </w:r>
      <w:r w:rsidR="0053036B">
        <w:rPr>
          <w:lang w:val="en-GB"/>
        </w:rPr>
        <w:t xml:space="preserve">considered </w:t>
      </w:r>
      <w:r w:rsidR="0079379E">
        <w:rPr>
          <w:lang w:val="en-GB"/>
        </w:rPr>
        <w:t xml:space="preserve">the </w:t>
      </w:r>
      <w:r w:rsidR="0060366D">
        <w:rPr>
          <w:lang w:val="en-GB"/>
        </w:rPr>
        <w:t>shrine of reason</w:t>
      </w:r>
      <w:r w:rsidR="007A7BBD">
        <w:rPr>
          <w:lang w:val="en-GB"/>
        </w:rPr>
        <w:t>.</w:t>
      </w:r>
      <w:r w:rsidR="0079379E">
        <w:rPr>
          <w:lang w:val="en-GB"/>
        </w:rPr>
        <w:t xml:space="preserve"> However, if the context is taken into consideration</w:t>
      </w:r>
      <w:r w:rsidR="001A7DFF">
        <w:rPr>
          <w:lang w:val="en-GB"/>
        </w:rPr>
        <w:t>, magic was</w:t>
      </w:r>
      <w:r w:rsidR="0079379E">
        <w:rPr>
          <w:lang w:val="en-GB"/>
        </w:rPr>
        <w:t xml:space="preserve"> considered</w:t>
      </w:r>
      <w:r w:rsidR="001A7DFF">
        <w:rPr>
          <w:lang w:val="en-GB"/>
        </w:rPr>
        <w:t xml:space="preserve"> an appropriate means to </w:t>
      </w:r>
      <w:r w:rsidR="00A80D74">
        <w:rPr>
          <w:lang w:val="en-GB"/>
        </w:rPr>
        <w:t xml:space="preserve">achieve a specific objective </w:t>
      </w:r>
      <w:r w:rsidR="0079379E">
        <w:rPr>
          <w:lang w:val="en-GB"/>
        </w:rPr>
        <w:t xml:space="preserve">by the people </w:t>
      </w:r>
      <w:r w:rsidR="0060366D">
        <w:rPr>
          <w:lang w:val="en-GB"/>
        </w:rPr>
        <w:t>who practised it</w:t>
      </w:r>
      <w:r w:rsidR="0079379E">
        <w:rPr>
          <w:lang w:val="en-GB"/>
        </w:rPr>
        <w:t xml:space="preserve"> </w:t>
      </w:r>
      <w:r w:rsidR="00A80D74">
        <w:rPr>
          <w:lang w:val="en-GB"/>
        </w:rPr>
        <w:t xml:space="preserve">and therefore it </w:t>
      </w:r>
      <w:r w:rsidR="0060366D">
        <w:rPr>
          <w:lang w:val="en-GB"/>
        </w:rPr>
        <w:t>cannot be</w:t>
      </w:r>
      <w:r w:rsidR="00A80D74">
        <w:rPr>
          <w:lang w:val="en-GB"/>
        </w:rPr>
        <w:t xml:space="preserve"> irrational</w:t>
      </w:r>
      <w:r w:rsidR="00A80D74">
        <w:rPr>
          <w:rStyle w:val="FootnoteReference"/>
          <w:lang w:val="en-GB"/>
        </w:rPr>
        <w:footnoteReference w:id="157"/>
      </w:r>
      <w:r w:rsidR="00A80D74">
        <w:rPr>
          <w:lang w:val="en-GB"/>
        </w:rPr>
        <w:t xml:space="preserve">. Gager recalled </w:t>
      </w:r>
      <w:r w:rsidRPr="00191088">
        <w:rPr>
          <w:lang w:val="en-GB"/>
        </w:rPr>
        <w:t>Origen</w:t>
      </w:r>
      <w:r w:rsidR="00A80D74">
        <w:rPr>
          <w:lang w:val="en-GB"/>
        </w:rPr>
        <w:t>’s words in this regard:</w:t>
      </w:r>
      <w:r w:rsidR="0060366D">
        <w:rPr>
          <w:lang w:val="en-GB"/>
        </w:rPr>
        <w:t xml:space="preserve"> </w:t>
      </w:r>
      <w:r w:rsidRPr="00191088">
        <w:rPr>
          <w:lang w:val="en-GB"/>
        </w:rPr>
        <w:t>“so-called magic is not… utterly incoherent, but</w:t>
      </w:r>
      <w:r w:rsidR="0060366D">
        <w:rPr>
          <w:lang w:val="en-GB"/>
        </w:rPr>
        <w:t>…</w:t>
      </w:r>
      <w:r w:rsidRPr="00191088">
        <w:rPr>
          <w:lang w:val="en-GB"/>
        </w:rPr>
        <w:t xml:space="preserve"> is a consistent system which has principles known to very few…”</w:t>
      </w:r>
      <w:r w:rsidR="00A80D74">
        <w:rPr>
          <w:rStyle w:val="FootnoteReference"/>
          <w:lang w:val="en-GB"/>
        </w:rPr>
        <w:footnoteReference w:id="158"/>
      </w:r>
      <w:r w:rsidR="00A80D74">
        <w:rPr>
          <w:lang w:val="en-GB"/>
        </w:rPr>
        <w:t xml:space="preserve">. Addey argued </w:t>
      </w:r>
      <w:r w:rsidR="0079379E">
        <w:rPr>
          <w:lang w:val="en-GB"/>
        </w:rPr>
        <w:t xml:space="preserve">conclusively </w:t>
      </w:r>
      <w:r w:rsidR="00A80D74">
        <w:rPr>
          <w:lang w:val="en-GB"/>
        </w:rPr>
        <w:t xml:space="preserve">that the model of rationality intended as an instrumental </w:t>
      </w:r>
      <w:r w:rsidR="00DE4BE3">
        <w:rPr>
          <w:lang w:val="en-GB"/>
        </w:rPr>
        <w:t>“</w:t>
      </w:r>
      <w:r w:rsidR="00A80D74">
        <w:rPr>
          <w:lang w:val="en-GB"/>
        </w:rPr>
        <w:t>means/end calculation” allow</w:t>
      </w:r>
      <w:r w:rsidR="0060366D">
        <w:rPr>
          <w:lang w:val="en-GB"/>
        </w:rPr>
        <w:t>ed</w:t>
      </w:r>
      <w:r w:rsidR="00A80D74">
        <w:rPr>
          <w:lang w:val="en-GB"/>
        </w:rPr>
        <w:t xml:space="preserve"> Neoplatonic rituals into the domain of rationality</w:t>
      </w:r>
      <w:r w:rsidR="00A80D74">
        <w:rPr>
          <w:rStyle w:val="FootnoteReference"/>
          <w:lang w:val="en-GB"/>
        </w:rPr>
        <w:footnoteReference w:id="159"/>
      </w:r>
      <w:r w:rsidR="0079379E">
        <w:rPr>
          <w:lang w:val="en-GB"/>
        </w:rPr>
        <w:t>.</w:t>
      </w:r>
    </w:p>
    <w:p w14:paraId="68A8A87C" w14:textId="77777777" w:rsidR="0018445B" w:rsidRPr="0082283F" w:rsidRDefault="0018445B" w:rsidP="0018445B">
      <w:pPr>
        <w:rPr>
          <w:lang w:val="en-GB"/>
        </w:rPr>
      </w:pPr>
    </w:p>
    <w:p w14:paraId="4E314175" w14:textId="41ED8AD1" w:rsidR="00767730" w:rsidRDefault="0079379E" w:rsidP="00767730">
      <w:pPr>
        <w:rPr>
          <w:lang w:val="en-GB"/>
        </w:rPr>
      </w:pPr>
      <w:r>
        <w:rPr>
          <w:lang w:val="en-GB"/>
        </w:rPr>
        <w:t xml:space="preserve">The other major differentiation factor between magic and philosophy is </w:t>
      </w:r>
      <w:r w:rsidR="0060366D">
        <w:rPr>
          <w:lang w:val="en-GB"/>
        </w:rPr>
        <w:t xml:space="preserve">magic’s </w:t>
      </w:r>
      <w:r>
        <w:rPr>
          <w:lang w:val="en-GB"/>
        </w:rPr>
        <w:t>apparent l</w:t>
      </w:r>
      <w:r w:rsidR="0018445B">
        <w:rPr>
          <w:lang w:val="en-GB"/>
        </w:rPr>
        <w:t>ack of theorisation and systematisation</w:t>
      </w:r>
      <w:r>
        <w:rPr>
          <w:lang w:val="en-GB"/>
        </w:rPr>
        <w:t xml:space="preserve">. </w:t>
      </w:r>
      <w:r w:rsidR="0018445B">
        <w:rPr>
          <w:lang w:val="en-GB"/>
        </w:rPr>
        <w:t xml:space="preserve">Nock clearly emphasised that the need for </w:t>
      </w:r>
      <w:r w:rsidR="0018445B">
        <w:rPr>
          <w:lang w:val="en-GB"/>
        </w:rPr>
        <w:lastRenderedPageBreak/>
        <w:t xml:space="preserve">theorisation and metaphysical enquiry </w:t>
      </w:r>
      <w:r>
        <w:rPr>
          <w:lang w:val="en-GB"/>
        </w:rPr>
        <w:t>was</w:t>
      </w:r>
      <w:r w:rsidR="0018445B">
        <w:rPr>
          <w:lang w:val="en-GB"/>
        </w:rPr>
        <w:t xml:space="preserve"> not prioritized in the PGM compared to the Neoplatonist philosoph</w:t>
      </w:r>
      <w:r>
        <w:rPr>
          <w:lang w:val="en-GB"/>
        </w:rPr>
        <w:t>y</w:t>
      </w:r>
      <w:r w:rsidR="0018445B">
        <w:rPr>
          <w:lang w:val="en-GB"/>
        </w:rPr>
        <w:t xml:space="preserve"> and theurg</w:t>
      </w:r>
      <w:r>
        <w:rPr>
          <w:lang w:val="en-GB"/>
        </w:rPr>
        <w:t>y</w:t>
      </w:r>
      <w:r w:rsidR="0018445B">
        <w:rPr>
          <w:rStyle w:val="FootnoteReference"/>
          <w:lang w:val="en-GB"/>
        </w:rPr>
        <w:footnoteReference w:id="160"/>
      </w:r>
      <w:r w:rsidR="0018445B">
        <w:rPr>
          <w:lang w:val="en-GB"/>
        </w:rPr>
        <w:t xml:space="preserve">. Betz </w:t>
      </w:r>
      <w:r>
        <w:rPr>
          <w:lang w:val="en-GB"/>
        </w:rPr>
        <w:t>noted that the magician</w:t>
      </w:r>
      <w:r w:rsidR="0018445B">
        <w:rPr>
          <w:lang w:val="en-GB"/>
        </w:rPr>
        <w:t xml:space="preserve"> </w:t>
      </w:r>
      <w:r>
        <w:rPr>
          <w:lang w:val="en-GB"/>
        </w:rPr>
        <w:t>belonged to “</w:t>
      </w:r>
      <w:r w:rsidR="0018445B">
        <w:rPr>
          <w:lang w:val="en-GB"/>
        </w:rPr>
        <w:t>no school, no organization</w:t>
      </w:r>
      <w:r>
        <w:rPr>
          <w:lang w:val="en-GB"/>
        </w:rPr>
        <w:t xml:space="preserve">… </w:t>
      </w:r>
      <w:r w:rsidR="0018445B">
        <w:rPr>
          <w:lang w:val="en-GB"/>
        </w:rPr>
        <w:t>no institution</w:t>
      </w:r>
      <w:r>
        <w:rPr>
          <w:lang w:val="en-GB"/>
        </w:rPr>
        <w:t>”</w:t>
      </w:r>
      <w:r>
        <w:rPr>
          <w:rStyle w:val="FootnoteReference"/>
          <w:lang w:val="en-GB"/>
        </w:rPr>
        <w:footnoteReference w:id="161"/>
      </w:r>
      <w:r>
        <w:rPr>
          <w:lang w:val="en-GB"/>
        </w:rPr>
        <w:t>. Therefore, he did not</w:t>
      </w:r>
      <w:r w:rsidR="0018445B">
        <w:rPr>
          <w:lang w:val="en-GB"/>
        </w:rPr>
        <w:t xml:space="preserve"> develop </w:t>
      </w:r>
      <w:r>
        <w:rPr>
          <w:lang w:val="en-GB"/>
        </w:rPr>
        <w:t>“</w:t>
      </w:r>
      <w:r w:rsidR="0018445B">
        <w:rPr>
          <w:lang w:val="en-GB"/>
        </w:rPr>
        <w:t>forms of self-definition that are typical of religious or philosophical groups</w:t>
      </w:r>
      <w:r>
        <w:rPr>
          <w:lang w:val="en-GB"/>
        </w:rPr>
        <w:t>”</w:t>
      </w:r>
      <w:r>
        <w:rPr>
          <w:rStyle w:val="FootnoteReference"/>
          <w:lang w:val="en-GB"/>
        </w:rPr>
        <w:footnoteReference w:id="162"/>
      </w:r>
      <w:r w:rsidR="00646C30">
        <w:rPr>
          <w:lang w:val="en-GB"/>
        </w:rPr>
        <w:t>.</w:t>
      </w:r>
      <w:r>
        <w:rPr>
          <w:lang w:val="en-GB"/>
        </w:rPr>
        <w:t xml:space="preserve"> </w:t>
      </w:r>
      <w:r w:rsidR="00646C30">
        <w:rPr>
          <w:lang w:val="en-GB"/>
        </w:rPr>
        <w:t>H</w:t>
      </w:r>
      <w:r>
        <w:rPr>
          <w:lang w:val="en-GB"/>
        </w:rPr>
        <w:t>owever</w:t>
      </w:r>
      <w:r w:rsidR="0018445B">
        <w:rPr>
          <w:lang w:val="en-GB"/>
        </w:rPr>
        <w:t>,</w:t>
      </w:r>
      <w:r>
        <w:rPr>
          <w:lang w:val="en-GB"/>
        </w:rPr>
        <w:t xml:space="preserve"> self-definition was not completely absent</w:t>
      </w:r>
      <w:r w:rsidR="0018445B">
        <w:rPr>
          <w:rStyle w:val="FootnoteReference"/>
          <w:lang w:val="en-GB"/>
        </w:rPr>
        <w:footnoteReference w:id="163"/>
      </w:r>
      <w:r w:rsidR="00767730">
        <w:rPr>
          <w:lang w:val="en-GB"/>
        </w:rPr>
        <w:t xml:space="preserve"> and </w:t>
      </w:r>
      <w:r w:rsidR="0018445B">
        <w:rPr>
          <w:lang w:val="en-GB"/>
        </w:rPr>
        <w:t xml:space="preserve">we can observe the attempt to a systematization </w:t>
      </w:r>
      <w:r w:rsidR="00767730">
        <w:rPr>
          <w:lang w:val="en-GB"/>
        </w:rPr>
        <w:t>in the arrangement of</w:t>
      </w:r>
      <w:r w:rsidR="0018445B">
        <w:rPr>
          <w:lang w:val="en-GB"/>
        </w:rPr>
        <w:t xml:space="preserve"> the various spells </w:t>
      </w:r>
      <w:r w:rsidR="00767730">
        <w:rPr>
          <w:lang w:val="en-GB"/>
        </w:rPr>
        <w:t>based on technical terminology</w:t>
      </w:r>
      <w:r w:rsidR="00767730">
        <w:rPr>
          <w:rStyle w:val="FootnoteReference"/>
          <w:lang w:val="en-GB"/>
        </w:rPr>
        <w:footnoteReference w:id="164"/>
      </w:r>
      <w:r w:rsidR="00767730">
        <w:rPr>
          <w:lang w:val="en-GB"/>
        </w:rPr>
        <w:t xml:space="preserve">. </w:t>
      </w:r>
      <w:r w:rsidR="0060366D">
        <w:rPr>
          <w:lang w:val="en-GB"/>
        </w:rPr>
        <w:t xml:space="preserve">Betz concluded: </w:t>
      </w:r>
      <w:r w:rsidR="00767730">
        <w:rPr>
          <w:lang w:val="en-GB"/>
        </w:rPr>
        <w:t>“What characterized the magicians of the PGM was their unashamed lack of appreciation of the inner integrity of the cults whose materials they appropriated”</w:t>
      </w:r>
      <w:r w:rsidR="00767730">
        <w:rPr>
          <w:rStyle w:val="FootnoteReference"/>
          <w:lang w:val="en-GB"/>
        </w:rPr>
        <w:footnoteReference w:id="165"/>
      </w:r>
      <w:r w:rsidR="00767730">
        <w:rPr>
          <w:lang w:val="en-GB"/>
        </w:rPr>
        <w:t xml:space="preserve"> in accordance with the syncretistic nature of their magic.</w:t>
      </w:r>
      <w:r w:rsidR="00767730">
        <w:rPr>
          <w:rStyle w:val="FootnoteReference"/>
          <w:lang w:val="en-GB"/>
        </w:rPr>
        <w:footnoteReference w:id="166"/>
      </w:r>
    </w:p>
    <w:p w14:paraId="2B31BE56" w14:textId="77777777" w:rsidR="0018445B" w:rsidRDefault="0018445B" w:rsidP="0018445B">
      <w:pPr>
        <w:rPr>
          <w:lang w:val="en-GB"/>
        </w:rPr>
      </w:pPr>
    </w:p>
    <w:p w14:paraId="47F38DC8" w14:textId="2FD98857" w:rsidR="003D0CC0" w:rsidRDefault="00767730" w:rsidP="003D0CC0">
      <w:pPr>
        <w:rPr>
          <w:lang w:val="en-GB"/>
        </w:rPr>
      </w:pPr>
      <w:r>
        <w:rPr>
          <w:lang w:val="en-GB"/>
        </w:rPr>
        <w:t xml:space="preserve">A crucial key to understanding how magic has been perceived as the opposite of </w:t>
      </w:r>
      <w:r w:rsidR="0060366D">
        <w:rPr>
          <w:lang w:val="en-GB"/>
        </w:rPr>
        <w:t>rationality</w:t>
      </w:r>
      <w:r w:rsidR="00646C30">
        <w:rPr>
          <w:lang w:val="en-GB"/>
        </w:rPr>
        <w:t>,</w:t>
      </w:r>
      <w:r w:rsidR="0060366D">
        <w:rPr>
          <w:lang w:val="en-GB"/>
        </w:rPr>
        <w:t xml:space="preserve"> and therefore philosophy</w:t>
      </w:r>
      <w:r w:rsidR="00646C30">
        <w:rPr>
          <w:lang w:val="en-GB"/>
        </w:rPr>
        <w:t>,</w:t>
      </w:r>
      <w:r>
        <w:rPr>
          <w:lang w:val="en-GB"/>
        </w:rPr>
        <w:t xml:space="preserve"> is the concept of causation underlying both Neoplatonic </w:t>
      </w:r>
      <w:r w:rsidR="003D0CC0">
        <w:rPr>
          <w:lang w:val="en-GB"/>
        </w:rPr>
        <w:t>philosophy and ancient magic.</w:t>
      </w:r>
      <w:r w:rsidR="0018445B" w:rsidRPr="00191088">
        <w:rPr>
          <w:lang w:val="en-GB"/>
        </w:rPr>
        <w:t xml:space="preserve"> Mowinckel </w:t>
      </w:r>
      <w:r w:rsidR="003D0CC0">
        <w:rPr>
          <w:lang w:val="en-GB"/>
        </w:rPr>
        <w:t xml:space="preserve">summarised it very concisely when he wrote: </w:t>
      </w:r>
      <w:r w:rsidR="0018445B">
        <w:rPr>
          <w:lang w:val="en-GB"/>
        </w:rPr>
        <w:t>“</w:t>
      </w:r>
      <w:r w:rsidR="0018445B" w:rsidRPr="00191088">
        <w:rPr>
          <w:lang w:val="en-GB"/>
        </w:rPr>
        <w:t>Because Western man</w:t>
      </w:r>
      <w:r w:rsidR="00550339" w:rsidRPr="00550339">
        <w:rPr>
          <w:rStyle w:val="CommentReference"/>
          <w:lang w:val="en-US"/>
        </w:rPr>
        <w:t xml:space="preserve"> </w:t>
      </w:r>
      <w:r w:rsidR="00550339">
        <w:rPr>
          <w:lang w:val="en-GB"/>
        </w:rPr>
        <w:t>an</w:t>
      </w:r>
      <w:r w:rsidR="0018445B" w:rsidRPr="00191088">
        <w:rPr>
          <w:lang w:val="en-GB"/>
        </w:rPr>
        <w:t>d magical man</w:t>
      </w:r>
      <w:r w:rsidR="00550339" w:rsidRPr="00550339">
        <w:rPr>
          <w:rStyle w:val="CommentReference"/>
          <w:lang w:val="en-US"/>
        </w:rPr>
        <w:t xml:space="preserve"> </w:t>
      </w:r>
      <w:r w:rsidR="00550339">
        <w:rPr>
          <w:lang w:val="en-GB"/>
        </w:rPr>
        <w:t>pe</w:t>
      </w:r>
      <w:r w:rsidR="0018445B" w:rsidRPr="00191088">
        <w:rPr>
          <w:lang w:val="en-GB"/>
        </w:rPr>
        <w:t>rceive events as related or organized by a different nexus, each appears naïve to the other</w:t>
      </w:r>
      <w:r w:rsidR="003D0CC0">
        <w:rPr>
          <w:lang w:val="en-GB"/>
        </w:rPr>
        <w:t>”</w:t>
      </w:r>
      <w:r w:rsidR="003D0CC0">
        <w:rPr>
          <w:rStyle w:val="FootnoteReference"/>
          <w:lang w:val="en-GB"/>
        </w:rPr>
        <w:footnoteReference w:id="167"/>
      </w:r>
      <w:r w:rsidR="003D0CC0">
        <w:rPr>
          <w:lang w:val="en-GB"/>
        </w:rPr>
        <w:t>.</w:t>
      </w:r>
      <w:r w:rsidR="0053036B">
        <w:rPr>
          <w:lang w:val="en-GB"/>
        </w:rPr>
        <w:t xml:space="preserve"> </w:t>
      </w:r>
      <w:r w:rsidR="003D0CC0">
        <w:rPr>
          <w:lang w:val="en-GB"/>
        </w:rPr>
        <w:t>M</w:t>
      </w:r>
      <w:r w:rsidR="0018445B" w:rsidRPr="00191088">
        <w:rPr>
          <w:lang w:val="en-GB"/>
        </w:rPr>
        <w:t xml:space="preserve">agic and philosophy </w:t>
      </w:r>
      <w:r w:rsidR="0060366D">
        <w:rPr>
          <w:lang w:val="en-GB"/>
        </w:rPr>
        <w:t xml:space="preserve">believed in </w:t>
      </w:r>
      <w:r w:rsidR="0018445B" w:rsidRPr="00191088">
        <w:rPr>
          <w:lang w:val="en-GB"/>
        </w:rPr>
        <w:t>order and uniformity in nature</w:t>
      </w:r>
      <w:r w:rsidR="007D41C6">
        <w:rPr>
          <w:lang w:val="en-GB"/>
        </w:rPr>
        <w:t xml:space="preserve">, </w:t>
      </w:r>
      <w:r w:rsidR="0053036B">
        <w:rPr>
          <w:lang w:val="en-GB"/>
        </w:rPr>
        <w:t xml:space="preserve">in </w:t>
      </w:r>
      <w:r w:rsidR="007D41C6" w:rsidRPr="007D41C6">
        <w:rPr>
          <w:lang w:val="en-GB"/>
        </w:rPr>
        <w:t xml:space="preserve">a coherent, interrelated, divine cosmos operating more or less mechanically through patterns of </w:t>
      </w:r>
      <w:proofErr w:type="spellStart"/>
      <w:r w:rsidR="007D41C6" w:rsidRPr="007D41C6">
        <w:rPr>
          <w:i/>
          <w:iCs/>
          <w:lang w:val="en-GB"/>
        </w:rPr>
        <w:t>sympátheia</w:t>
      </w:r>
      <w:proofErr w:type="spellEnd"/>
      <w:r w:rsidR="007D41C6">
        <w:rPr>
          <w:rStyle w:val="FootnoteReference"/>
          <w:i/>
          <w:iCs/>
          <w:lang w:val="en-GB"/>
        </w:rPr>
        <w:footnoteReference w:id="168"/>
      </w:r>
      <w:r w:rsidR="007D41C6" w:rsidRPr="007D41C6">
        <w:rPr>
          <w:lang w:val="en-GB"/>
        </w:rPr>
        <w:t>.</w:t>
      </w:r>
      <w:r w:rsidR="007D41C6">
        <w:rPr>
          <w:lang w:val="en-GB"/>
        </w:rPr>
        <w:t xml:space="preserve"> </w:t>
      </w:r>
      <w:r w:rsidR="0018445B" w:rsidRPr="00191088">
        <w:rPr>
          <w:lang w:val="en-GB"/>
        </w:rPr>
        <w:t>“One event follows another necessarily and inevitably, without the intervention of any personal and spiritual agency”</w:t>
      </w:r>
      <w:r w:rsidR="007D41C6">
        <w:rPr>
          <w:rStyle w:val="FootnoteReference"/>
          <w:lang w:val="en-GB"/>
        </w:rPr>
        <w:footnoteReference w:id="169"/>
      </w:r>
      <w:r w:rsidR="005031CC">
        <w:rPr>
          <w:lang w:val="en-GB"/>
        </w:rPr>
        <w:t xml:space="preserve">, </w:t>
      </w:r>
      <w:r w:rsidR="003D0CC0">
        <w:rPr>
          <w:lang w:val="en-GB"/>
        </w:rPr>
        <w:t xml:space="preserve">yet magicians believed they could manipulate this chain of causes to their advantage. This was possible thanks to the belief </w:t>
      </w:r>
      <w:r w:rsidR="00DC1103">
        <w:rPr>
          <w:lang w:val="en-GB"/>
        </w:rPr>
        <w:t>in</w:t>
      </w:r>
      <w:r w:rsidR="003D0CC0">
        <w:rPr>
          <w:lang w:val="en-GB"/>
        </w:rPr>
        <w:t xml:space="preserve"> multiple and simultaneous causes that magic adopted from Neoplatonist philosophy, which is what ma</w:t>
      </w:r>
      <w:r w:rsidR="00B80594">
        <w:rPr>
          <w:lang w:val="en-GB"/>
        </w:rPr>
        <w:t>de it</w:t>
      </w:r>
      <w:r w:rsidR="003D0CC0">
        <w:rPr>
          <w:lang w:val="en-GB"/>
        </w:rPr>
        <w:t xml:space="preserve"> possible for e</w:t>
      </w:r>
      <w:r w:rsidR="003D0CC0" w:rsidRPr="00191088">
        <w:rPr>
          <w:lang w:val="en-GB"/>
        </w:rPr>
        <w:t xml:space="preserve">mpirical causality and divine influence </w:t>
      </w:r>
      <w:r w:rsidR="003D0CC0">
        <w:rPr>
          <w:lang w:val="en-GB"/>
        </w:rPr>
        <w:t>not to be</w:t>
      </w:r>
      <w:r w:rsidR="003D0CC0" w:rsidRPr="00191088">
        <w:rPr>
          <w:lang w:val="en-GB"/>
        </w:rPr>
        <w:t xml:space="preserve"> exclusive</w:t>
      </w:r>
      <w:r w:rsidR="00E724B7">
        <w:rPr>
          <w:rStyle w:val="FootnoteReference"/>
          <w:lang w:val="en-GB"/>
        </w:rPr>
        <w:footnoteReference w:id="170"/>
      </w:r>
      <w:r w:rsidR="00E724B7">
        <w:rPr>
          <w:lang w:val="en-GB"/>
        </w:rPr>
        <w:t xml:space="preserve">. </w:t>
      </w:r>
      <w:r w:rsidR="00DD4516">
        <w:rPr>
          <w:lang w:val="en-GB"/>
        </w:rPr>
        <w:t xml:space="preserve">The link of cause and effect did </w:t>
      </w:r>
      <w:r w:rsidR="00F14CD0">
        <w:rPr>
          <w:lang w:val="en-GB"/>
        </w:rPr>
        <w:t xml:space="preserve">also </w:t>
      </w:r>
      <w:r w:rsidR="00DD4516">
        <w:rPr>
          <w:lang w:val="en-GB"/>
        </w:rPr>
        <w:t>not depend on contiguity in time or space</w:t>
      </w:r>
      <w:r w:rsidR="00DD4516">
        <w:rPr>
          <w:rStyle w:val="FootnoteReference"/>
          <w:lang w:val="en-GB"/>
        </w:rPr>
        <w:footnoteReference w:id="171"/>
      </w:r>
      <w:r w:rsidR="00DD4516">
        <w:rPr>
          <w:lang w:val="en-GB"/>
        </w:rPr>
        <w:t>. Collins used the example of the Athenian Plague to show that ancient Greek</w:t>
      </w:r>
      <w:r w:rsidR="00B80594">
        <w:rPr>
          <w:lang w:val="en-GB"/>
        </w:rPr>
        <w:t>s</w:t>
      </w:r>
      <w:r w:rsidR="00DD4516">
        <w:rPr>
          <w:lang w:val="en-GB"/>
        </w:rPr>
        <w:t xml:space="preserve"> saw it as the result of the intersection of mechanical, teleological and volitional causes</w:t>
      </w:r>
      <w:r w:rsidR="00DD4516">
        <w:rPr>
          <w:rStyle w:val="FootnoteReference"/>
          <w:lang w:val="en-GB"/>
        </w:rPr>
        <w:footnoteReference w:id="172"/>
      </w:r>
      <w:r w:rsidR="00DD4516">
        <w:rPr>
          <w:lang w:val="en-GB"/>
        </w:rPr>
        <w:t>. Magic implied volitional causation which in this context can coexist with other types of causes. Collins concluded that “it is their non-exclusivity that makes magic possible”</w:t>
      </w:r>
      <w:r w:rsidR="00DD4516">
        <w:rPr>
          <w:rStyle w:val="FootnoteReference"/>
          <w:lang w:val="en-GB"/>
        </w:rPr>
        <w:footnoteReference w:id="173"/>
      </w:r>
      <w:r w:rsidR="00DD4516">
        <w:rPr>
          <w:lang w:val="en-GB"/>
        </w:rPr>
        <w:t xml:space="preserve">  and also drew attention to the fact that this belief is not exclusive to magician</w:t>
      </w:r>
      <w:r w:rsidR="00DE4BE3">
        <w:rPr>
          <w:lang w:val="en-GB"/>
        </w:rPr>
        <w:t>s</w:t>
      </w:r>
      <w:r w:rsidR="00B80594">
        <w:rPr>
          <w:lang w:val="en-GB"/>
        </w:rPr>
        <w:t>,</w:t>
      </w:r>
      <w:r w:rsidR="00DD4516">
        <w:rPr>
          <w:lang w:val="en-GB"/>
        </w:rPr>
        <w:t xml:space="preserve"> </w:t>
      </w:r>
      <w:r w:rsidR="00DD4516">
        <w:rPr>
          <w:lang w:val="en-GB"/>
        </w:rPr>
        <w:lastRenderedPageBreak/>
        <w:t xml:space="preserve">but </w:t>
      </w:r>
      <w:r w:rsidR="00864390">
        <w:rPr>
          <w:lang w:val="en-GB"/>
        </w:rPr>
        <w:t>originated in Plato’s philosophy who contemplated the coexistence of efficient and final caus</w:t>
      </w:r>
      <w:r w:rsidR="005479A4">
        <w:rPr>
          <w:lang w:val="en-GB"/>
        </w:rPr>
        <w:t>es</w:t>
      </w:r>
      <w:r w:rsidR="00864390">
        <w:rPr>
          <w:lang w:val="en-GB"/>
        </w:rPr>
        <w:t xml:space="preserve"> that later on will be theorised by Aristotle</w:t>
      </w:r>
      <w:r w:rsidR="00DC1103">
        <w:rPr>
          <w:lang w:val="en-GB"/>
        </w:rPr>
        <w:t>,</w:t>
      </w:r>
      <w:r w:rsidR="00864390">
        <w:rPr>
          <w:lang w:val="en-GB"/>
        </w:rPr>
        <w:t xml:space="preserve"> </w:t>
      </w:r>
      <w:r w:rsidR="005479A4">
        <w:rPr>
          <w:lang w:val="en-GB"/>
        </w:rPr>
        <w:t xml:space="preserve">and who believed that </w:t>
      </w:r>
      <w:r w:rsidR="005479A4">
        <w:rPr>
          <w:lang w:val="en-GB"/>
        </w:rPr>
        <w:sym w:font="Symbol" w:char="F06A"/>
      </w:r>
      <w:r w:rsidR="005479A4">
        <w:rPr>
          <w:lang w:val="en-GB"/>
        </w:rPr>
        <w:sym w:font="Symbol" w:char="F075"/>
      </w:r>
      <w:r w:rsidR="005479A4">
        <w:rPr>
          <w:lang w:val="en-GB"/>
        </w:rPr>
        <w:sym w:font="Symbol" w:char="F073"/>
      </w:r>
      <w:r w:rsidR="005479A4">
        <w:rPr>
          <w:lang w:val="en-GB"/>
        </w:rPr>
        <w:sym w:font="Symbol" w:char="F069"/>
      </w:r>
      <w:r w:rsidR="005479A4">
        <w:rPr>
          <w:lang w:val="en-GB"/>
        </w:rPr>
        <w:sym w:font="Symbol" w:char="F056"/>
      </w:r>
      <w:r w:rsidR="005479A4">
        <w:rPr>
          <w:lang w:val="en-GB"/>
        </w:rPr>
        <w:t xml:space="preserve"> </w:t>
      </w:r>
      <w:r w:rsidR="007D41C6">
        <w:rPr>
          <w:lang w:val="en-GB"/>
        </w:rPr>
        <w:t>“incorporated the gods”</w:t>
      </w:r>
      <w:r w:rsidR="007D41C6">
        <w:rPr>
          <w:rStyle w:val="FootnoteReference"/>
          <w:lang w:val="en-GB"/>
        </w:rPr>
        <w:footnoteReference w:id="174"/>
      </w:r>
      <w:r w:rsidR="00864390">
        <w:rPr>
          <w:lang w:val="en-GB"/>
        </w:rPr>
        <w:t xml:space="preserve">. </w:t>
      </w:r>
      <w:r w:rsidR="00F47182">
        <w:rPr>
          <w:lang w:val="en-GB"/>
        </w:rPr>
        <w:t xml:space="preserve"> </w:t>
      </w:r>
    </w:p>
    <w:p w14:paraId="0F61AF39" w14:textId="318BDED2" w:rsidR="005479A4" w:rsidRDefault="005479A4" w:rsidP="003D0CC0">
      <w:pPr>
        <w:rPr>
          <w:lang w:val="en-GB"/>
        </w:rPr>
      </w:pPr>
    </w:p>
    <w:p w14:paraId="651694A5" w14:textId="18032F69" w:rsidR="0018445B" w:rsidRDefault="005479A4" w:rsidP="007D41C6">
      <w:pPr>
        <w:rPr>
          <w:lang w:val="en-GB"/>
        </w:rPr>
      </w:pPr>
      <w:r>
        <w:rPr>
          <w:lang w:val="en-GB"/>
        </w:rPr>
        <w:t>Addey studied Iamblichus</w:t>
      </w:r>
      <w:r w:rsidR="00B55FD3">
        <w:rPr>
          <w:lang w:val="en-GB"/>
        </w:rPr>
        <w:t>’</w:t>
      </w:r>
      <w:r>
        <w:rPr>
          <w:lang w:val="en-GB"/>
        </w:rPr>
        <w:t xml:space="preserve"> </w:t>
      </w:r>
      <w:r w:rsidR="00B55FD3">
        <w:rPr>
          <w:lang w:val="en-GB"/>
        </w:rPr>
        <w:t>use of</w:t>
      </w:r>
      <w:r>
        <w:rPr>
          <w:lang w:val="en-GB"/>
        </w:rPr>
        <w:t xml:space="preserve"> the concept of simultaneous and hierarchical causation inherited from philosophy</w:t>
      </w:r>
      <w:r>
        <w:rPr>
          <w:rStyle w:val="FootnoteReference"/>
          <w:lang w:val="en-GB"/>
        </w:rPr>
        <w:footnoteReference w:id="175"/>
      </w:r>
      <w:r w:rsidR="00B55FD3">
        <w:rPr>
          <w:lang w:val="en-GB"/>
        </w:rPr>
        <w:t xml:space="preserve"> . </w:t>
      </w:r>
      <w:r w:rsidR="00305A45">
        <w:rPr>
          <w:lang w:val="en-GB"/>
        </w:rPr>
        <w:t xml:space="preserve">For Iamblichus, theurgy and magic only diverged because </w:t>
      </w:r>
      <w:r w:rsidR="007D41C6">
        <w:rPr>
          <w:lang w:val="en-GB"/>
        </w:rPr>
        <w:t>magicians</w:t>
      </w:r>
      <w:r w:rsidR="00B55FD3">
        <w:rPr>
          <w:lang w:val="en-GB"/>
        </w:rPr>
        <w:t xml:space="preserve"> </w:t>
      </w:r>
      <w:r w:rsidR="0018445B" w:rsidRPr="007D41C6">
        <w:rPr>
          <w:lang w:val="en-GB"/>
        </w:rPr>
        <w:t>use</w:t>
      </w:r>
      <w:r w:rsidR="0053036B">
        <w:rPr>
          <w:lang w:val="en-GB"/>
        </w:rPr>
        <w:t>d</w:t>
      </w:r>
      <w:r w:rsidR="0018445B" w:rsidRPr="007D41C6">
        <w:rPr>
          <w:lang w:val="en-GB"/>
        </w:rPr>
        <w:t xml:space="preserve"> </w:t>
      </w:r>
      <w:r w:rsidR="007D41C6">
        <w:rPr>
          <w:lang w:val="en-GB"/>
        </w:rPr>
        <w:t xml:space="preserve">exclusively </w:t>
      </w:r>
      <w:r w:rsidR="0018445B" w:rsidRPr="007D41C6">
        <w:rPr>
          <w:lang w:val="en-GB"/>
        </w:rPr>
        <w:t>“horizontal sympathy” while theurgic practitioners use “horizontal and vertical” sympathy</w:t>
      </w:r>
      <w:r w:rsidR="007D41C6">
        <w:rPr>
          <w:lang w:val="en-GB"/>
        </w:rPr>
        <w:t>, i.e. they relate</w:t>
      </w:r>
      <w:r w:rsidR="0053036B">
        <w:rPr>
          <w:lang w:val="en-GB"/>
        </w:rPr>
        <w:t>d</w:t>
      </w:r>
      <w:r w:rsidR="007D41C6">
        <w:rPr>
          <w:lang w:val="en-GB"/>
        </w:rPr>
        <w:t xml:space="preserve"> sympathy to its divine cause</w:t>
      </w:r>
      <w:r w:rsidR="007D41C6">
        <w:rPr>
          <w:rStyle w:val="FootnoteReference"/>
          <w:lang w:val="en-GB"/>
        </w:rPr>
        <w:footnoteReference w:id="176"/>
      </w:r>
      <w:r w:rsidR="007D41C6">
        <w:rPr>
          <w:lang w:val="en-GB"/>
        </w:rPr>
        <w:t>.</w:t>
      </w:r>
    </w:p>
    <w:p w14:paraId="7AE5D852" w14:textId="77777777" w:rsidR="00AB79EB" w:rsidRDefault="00AB79EB" w:rsidP="007D41C6">
      <w:pPr>
        <w:rPr>
          <w:lang w:val="en-GB"/>
        </w:rPr>
      </w:pPr>
    </w:p>
    <w:p w14:paraId="2B56CF77" w14:textId="77777777" w:rsidR="0018445B" w:rsidRDefault="0018445B" w:rsidP="0018445B">
      <w:pPr>
        <w:rPr>
          <w:lang w:val="en-GB"/>
        </w:rPr>
      </w:pPr>
    </w:p>
    <w:p w14:paraId="3C61C5BF" w14:textId="3B6D1061" w:rsidR="0018445B" w:rsidRPr="00F34C1F" w:rsidRDefault="008F17FC" w:rsidP="008434F8">
      <w:pPr>
        <w:pStyle w:val="Heading1"/>
        <w:rPr>
          <w:lang w:val="en-GB"/>
        </w:rPr>
      </w:pPr>
      <w:r>
        <w:rPr>
          <w:lang w:val="en-GB"/>
        </w:rPr>
        <w:t xml:space="preserve">Partials conclusions </w:t>
      </w:r>
    </w:p>
    <w:p w14:paraId="0DEC0F19" w14:textId="77777777" w:rsidR="0018445B" w:rsidRDefault="0018445B" w:rsidP="0018445B">
      <w:pPr>
        <w:rPr>
          <w:lang w:val="en-GB"/>
        </w:rPr>
      </w:pPr>
    </w:p>
    <w:p w14:paraId="6DB4FDFE" w14:textId="7AFD045E" w:rsidR="00232369" w:rsidRDefault="0018445B" w:rsidP="005F7922">
      <w:pPr>
        <w:rPr>
          <w:lang w:val="en-GB"/>
        </w:rPr>
      </w:pPr>
      <w:r>
        <w:rPr>
          <w:lang w:val="en-GB"/>
        </w:rPr>
        <w:t>The general feeling in concluding this paper is to have merely brushed the tip of the iceberg</w:t>
      </w:r>
      <w:r w:rsidR="00B55B27">
        <w:rPr>
          <w:lang w:val="en-GB"/>
        </w:rPr>
        <w:t xml:space="preserve"> </w:t>
      </w:r>
      <w:r w:rsidR="00305A45">
        <w:rPr>
          <w:lang w:val="en-GB"/>
        </w:rPr>
        <w:t>which</w:t>
      </w:r>
      <w:r w:rsidR="00B55B27">
        <w:rPr>
          <w:lang w:val="en-GB"/>
        </w:rPr>
        <w:t xml:space="preserve"> is probably common for “questions that aim too high”, as Christian Meier called them, but still </w:t>
      </w:r>
      <w:r w:rsidR="0053036B">
        <w:rPr>
          <w:lang w:val="en-GB"/>
        </w:rPr>
        <w:t>retain</w:t>
      </w:r>
      <w:r w:rsidR="00B55B27">
        <w:rPr>
          <w:lang w:val="en-GB"/>
        </w:rPr>
        <w:t xml:space="preserve"> their purpose</w:t>
      </w:r>
      <w:r w:rsidR="00B55B27">
        <w:rPr>
          <w:rStyle w:val="FootnoteReference"/>
          <w:lang w:val="en-GB"/>
        </w:rPr>
        <w:footnoteReference w:id="177"/>
      </w:r>
      <w:r w:rsidR="00B55B27">
        <w:rPr>
          <w:lang w:val="en-GB"/>
        </w:rPr>
        <w:t xml:space="preserve">. Despite </w:t>
      </w:r>
      <w:r w:rsidR="0077417D">
        <w:rPr>
          <w:lang w:val="en-GB"/>
        </w:rPr>
        <w:t xml:space="preserve">Himmelfarb’s conclusion that the difference between these practices may be entirely “in </w:t>
      </w:r>
      <w:r w:rsidRPr="00191088">
        <w:rPr>
          <w:lang w:val="en-GB"/>
        </w:rPr>
        <w:t>the eye of the beholder”</w:t>
      </w:r>
      <w:r w:rsidR="0077417D">
        <w:rPr>
          <w:rStyle w:val="FootnoteReference"/>
          <w:lang w:val="en-GB"/>
        </w:rPr>
        <w:footnoteReference w:id="178"/>
      </w:r>
      <w:r w:rsidR="0077417D">
        <w:rPr>
          <w:lang w:val="en-GB"/>
        </w:rPr>
        <w:t xml:space="preserve">, </w:t>
      </w:r>
      <w:r w:rsidR="00B55B27">
        <w:rPr>
          <w:lang w:val="en-GB"/>
        </w:rPr>
        <w:t>seems</w:t>
      </w:r>
      <w:r w:rsidR="0077417D">
        <w:rPr>
          <w:lang w:val="en-GB"/>
        </w:rPr>
        <w:t xml:space="preserve"> the only obvious one, much </w:t>
      </w:r>
      <w:r w:rsidR="00220BC1">
        <w:rPr>
          <w:lang w:val="en-GB"/>
        </w:rPr>
        <w:t xml:space="preserve">has been and still has to be </w:t>
      </w:r>
      <w:r w:rsidR="0077417D">
        <w:rPr>
          <w:lang w:val="en-GB"/>
        </w:rPr>
        <w:t>learnt from their study.</w:t>
      </w:r>
      <w:r w:rsidR="009C52EF">
        <w:rPr>
          <w:lang w:val="en-GB"/>
        </w:rPr>
        <w:t xml:space="preserve"> It has become evident how the three </w:t>
      </w:r>
      <w:r w:rsidR="00B55B27">
        <w:rPr>
          <w:lang w:val="en-GB"/>
        </w:rPr>
        <w:t>categories</w:t>
      </w:r>
      <w:r w:rsidR="009C52EF">
        <w:rPr>
          <w:lang w:val="en-GB"/>
        </w:rPr>
        <w:t xml:space="preserve"> inhabit</w:t>
      </w:r>
      <w:r w:rsidR="00B55B27">
        <w:rPr>
          <w:lang w:val="en-GB"/>
        </w:rPr>
        <w:t>ed</w:t>
      </w:r>
      <w:r w:rsidR="009C52EF">
        <w:rPr>
          <w:lang w:val="en-GB"/>
        </w:rPr>
        <w:t xml:space="preserve"> a borderless </w:t>
      </w:r>
      <w:r w:rsidR="00B55B27">
        <w:rPr>
          <w:lang w:val="en-GB"/>
        </w:rPr>
        <w:t>territory</w:t>
      </w:r>
      <w:r w:rsidR="009C52EF">
        <w:rPr>
          <w:lang w:val="en-GB"/>
        </w:rPr>
        <w:t xml:space="preserve"> where definitions become fluid and human spirituality searche</w:t>
      </w:r>
      <w:r w:rsidR="00B55B27">
        <w:rPr>
          <w:lang w:val="en-GB"/>
        </w:rPr>
        <w:t>d</w:t>
      </w:r>
      <w:r w:rsidR="009C52EF">
        <w:rPr>
          <w:lang w:val="en-GB"/>
        </w:rPr>
        <w:t xml:space="preserve"> for answers using all instruments </w:t>
      </w:r>
      <w:r w:rsidR="00B55B27">
        <w:rPr>
          <w:lang w:val="en-GB"/>
        </w:rPr>
        <w:t>available</w:t>
      </w:r>
      <w:r w:rsidR="009C52EF">
        <w:rPr>
          <w:lang w:val="en-GB"/>
        </w:rPr>
        <w:t xml:space="preserve">. </w:t>
      </w:r>
      <w:r w:rsidR="0053036B">
        <w:rPr>
          <w:lang w:val="en-GB"/>
        </w:rPr>
        <w:t xml:space="preserve">The theory of </w:t>
      </w:r>
      <w:r w:rsidR="0053036B" w:rsidRPr="0053036B">
        <w:rPr>
          <w:i/>
          <w:iCs/>
          <w:lang w:val="en-GB"/>
        </w:rPr>
        <w:t>sumbola</w:t>
      </w:r>
      <w:r w:rsidR="0053036B">
        <w:rPr>
          <w:lang w:val="en-GB"/>
        </w:rPr>
        <w:t xml:space="preserve"> has been identified as the keystone of the relation between them. </w:t>
      </w:r>
      <w:r w:rsidR="009C52EF">
        <w:rPr>
          <w:lang w:val="en-GB"/>
        </w:rPr>
        <w:t>What may have appeared at first instance as “</w:t>
      </w:r>
      <w:r w:rsidR="008F17FC">
        <w:rPr>
          <w:lang w:val="en-GB"/>
        </w:rPr>
        <w:t>odd</w:t>
      </w:r>
      <w:r w:rsidR="009C52EF">
        <w:rPr>
          <w:lang w:val="en-GB"/>
        </w:rPr>
        <w:t>”</w:t>
      </w:r>
      <w:r w:rsidR="00B55B27">
        <w:rPr>
          <w:lang w:val="en-GB"/>
        </w:rPr>
        <w:t xml:space="preserve"> or</w:t>
      </w:r>
      <w:r w:rsidR="009C52EF">
        <w:rPr>
          <w:lang w:val="en-GB"/>
        </w:rPr>
        <w:t xml:space="preserve"> “irrational” has been normalised</w:t>
      </w:r>
      <w:r w:rsidR="00B55B27">
        <w:rPr>
          <w:lang w:val="en-GB"/>
        </w:rPr>
        <w:t xml:space="preserve"> within </w:t>
      </w:r>
      <w:r w:rsidR="0053036B">
        <w:rPr>
          <w:lang w:val="en-GB"/>
        </w:rPr>
        <w:t xml:space="preserve">a </w:t>
      </w:r>
      <w:r w:rsidR="009C52EF">
        <w:rPr>
          <w:lang w:val="en-GB"/>
        </w:rPr>
        <w:t>shared cosmological, metaphysical and epistemological framework</w:t>
      </w:r>
      <w:r w:rsidR="00B55B27">
        <w:rPr>
          <w:lang w:val="en-GB"/>
        </w:rPr>
        <w:t xml:space="preserve"> </w:t>
      </w:r>
      <w:r w:rsidR="0053036B">
        <w:rPr>
          <w:lang w:val="en-GB"/>
        </w:rPr>
        <w:t>in which</w:t>
      </w:r>
      <w:r w:rsidR="00B55B27">
        <w:rPr>
          <w:lang w:val="en-GB"/>
        </w:rPr>
        <w:t xml:space="preserve"> all these phenomen</w:t>
      </w:r>
      <w:r w:rsidR="0053036B">
        <w:rPr>
          <w:lang w:val="en-GB"/>
        </w:rPr>
        <w:t>a</w:t>
      </w:r>
      <w:r w:rsidR="00B55B27">
        <w:rPr>
          <w:lang w:val="en-GB"/>
        </w:rPr>
        <w:t xml:space="preserve"> make perfect sense</w:t>
      </w:r>
      <w:r w:rsidR="009C52EF">
        <w:rPr>
          <w:lang w:val="en-GB"/>
        </w:rPr>
        <w:t xml:space="preserve">. </w:t>
      </w:r>
      <w:r w:rsidR="00780DC4">
        <w:rPr>
          <w:lang w:val="en-GB"/>
        </w:rPr>
        <w:t xml:space="preserve">In a world full of gods, despite </w:t>
      </w:r>
      <w:r w:rsidR="00AF0481">
        <w:rPr>
          <w:lang w:val="en-GB"/>
        </w:rPr>
        <w:t xml:space="preserve">the fact that </w:t>
      </w:r>
      <w:r w:rsidR="00780DC4">
        <w:rPr>
          <w:lang w:val="en-GB"/>
        </w:rPr>
        <w:t xml:space="preserve">nature works mechanically through a system of ontological chains ruled by </w:t>
      </w:r>
      <w:r w:rsidR="00780DC4" w:rsidRPr="00780DC4">
        <w:rPr>
          <w:i/>
          <w:iCs/>
          <w:lang w:val="en-GB"/>
        </w:rPr>
        <w:t>sympatheia</w:t>
      </w:r>
      <w:r w:rsidR="00780DC4">
        <w:rPr>
          <w:lang w:val="en-GB"/>
        </w:rPr>
        <w:t xml:space="preserve">, gods are ultimately responsible for human faith and can be ritually addressed. </w:t>
      </w:r>
      <w:r w:rsidR="00B80594">
        <w:rPr>
          <w:lang w:val="en-GB"/>
        </w:rPr>
        <w:t>Hence, t</w:t>
      </w:r>
      <w:r w:rsidR="009C52EF">
        <w:rPr>
          <w:lang w:val="en-GB"/>
        </w:rPr>
        <w:t xml:space="preserve">heurgy and magic have stopped looking like anomalies. The artificial barrier between </w:t>
      </w:r>
      <w:r w:rsidR="009C52EF" w:rsidRPr="00C40615">
        <w:rPr>
          <w:i/>
          <w:iCs/>
          <w:lang w:val="en-GB"/>
        </w:rPr>
        <w:t>praxis</w:t>
      </w:r>
      <w:r w:rsidR="009C52EF">
        <w:rPr>
          <w:lang w:val="en-GB"/>
        </w:rPr>
        <w:t xml:space="preserve"> and </w:t>
      </w:r>
      <w:r w:rsidR="009C52EF" w:rsidRPr="00C40615">
        <w:rPr>
          <w:i/>
          <w:iCs/>
          <w:lang w:val="en-GB"/>
        </w:rPr>
        <w:t>theoria</w:t>
      </w:r>
      <w:r w:rsidR="009C52EF">
        <w:rPr>
          <w:lang w:val="en-GB"/>
        </w:rPr>
        <w:t xml:space="preserve"> has been torn down</w:t>
      </w:r>
      <w:r w:rsidR="00780DC4">
        <w:rPr>
          <w:lang w:val="en-GB"/>
        </w:rPr>
        <w:t xml:space="preserve"> </w:t>
      </w:r>
      <w:r w:rsidR="00B80594">
        <w:rPr>
          <w:lang w:val="en-GB"/>
        </w:rPr>
        <w:t>with</w:t>
      </w:r>
      <w:r w:rsidR="00780DC4">
        <w:rPr>
          <w:lang w:val="en-GB"/>
        </w:rPr>
        <w:t>in an historical context where h</w:t>
      </w:r>
      <w:r w:rsidR="009C52EF">
        <w:rPr>
          <w:lang w:val="en-GB"/>
        </w:rPr>
        <w:t xml:space="preserve">uman </w:t>
      </w:r>
      <w:r w:rsidR="00E53FE4">
        <w:rPr>
          <w:lang w:val="en-GB"/>
        </w:rPr>
        <w:t xml:space="preserve">knowledge </w:t>
      </w:r>
      <w:r w:rsidR="0053036B">
        <w:rPr>
          <w:lang w:val="en-GB"/>
        </w:rPr>
        <w:t>was</w:t>
      </w:r>
      <w:r w:rsidR="00E53FE4">
        <w:rPr>
          <w:lang w:val="en-GB"/>
        </w:rPr>
        <w:t xml:space="preserve"> never self-reflective and self-sufficient, but aimed to gift human </w:t>
      </w:r>
      <w:r w:rsidR="00780DC4">
        <w:rPr>
          <w:lang w:val="en-GB"/>
        </w:rPr>
        <w:t>beings</w:t>
      </w:r>
      <w:r w:rsidR="00E53FE4">
        <w:rPr>
          <w:lang w:val="en-GB"/>
        </w:rPr>
        <w:t xml:space="preserve"> with a better life on earth and with salvation in the afterlife. </w:t>
      </w:r>
      <w:r w:rsidR="00913718">
        <w:rPr>
          <w:lang w:val="en-GB"/>
        </w:rPr>
        <w:t>It has emerged that p</w:t>
      </w:r>
      <w:r w:rsidR="00E53FE4">
        <w:rPr>
          <w:lang w:val="en-GB"/>
        </w:rPr>
        <w:t xml:space="preserve">aradoxically, </w:t>
      </w:r>
      <w:r w:rsidR="00F14CD0">
        <w:rPr>
          <w:lang w:val="en-GB"/>
        </w:rPr>
        <w:t>contemporary</w:t>
      </w:r>
      <w:r w:rsidR="00E53FE4">
        <w:rPr>
          <w:lang w:val="en-GB"/>
        </w:rPr>
        <w:t xml:space="preserve"> philosophical discourse is more distant from ancient philosophy than theurgy or magic might have ever been</w:t>
      </w:r>
      <w:r w:rsidR="00913718">
        <w:rPr>
          <w:lang w:val="en-GB"/>
        </w:rPr>
        <w:t>,</w:t>
      </w:r>
      <w:r w:rsidR="00E53FE4">
        <w:rPr>
          <w:lang w:val="en-GB"/>
        </w:rPr>
        <w:t xml:space="preserve"> since it has forgotten and </w:t>
      </w:r>
      <w:r w:rsidR="008F17FC">
        <w:rPr>
          <w:lang w:val="en-GB"/>
        </w:rPr>
        <w:t>mocked</w:t>
      </w:r>
      <w:r w:rsidR="00E53FE4">
        <w:rPr>
          <w:lang w:val="en-GB"/>
        </w:rPr>
        <w:t xml:space="preserve"> its original purpose, confining it to the nonsensical real</w:t>
      </w:r>
      <w:r w:rsidR="00913718">
        <w:rPr>
          <w:lang w:val="en-GB"/>
        </w:rPr>
        <w:t>m</w:t>
      </w:r>
      <w:r w:rsidR="00E53FE4">
        <w:rPr>
          <w:lang w:val="en-GB"/>
        </w:rPr>
        <w:t xml:space="preserve"> of irrationality</w:t>
      </w:r>
      <w:r w:rsidR="00220BC1">
        <w:rPr>
          <w:rStyle w:val="FootnoteReference"/>
          <w:lang w:val="en-GB"/>
        </w:rPr>
        <w:footnoteReference w:id="179"/>
      </w:r>
      <w:r w:rsidR="00E53FE4">
        <w:rPr>
          <w:lang w:val="en-GB"/>
        </w:rPr>
        <w:t>.</w:t>
      </w:r>
      <w:r w:rsidR="00913718">
        <w:rPr>
          <w:lang w:val="en-GB"/>
        </w:rPr>
        <w:t xml:space="preserve"> </w:t>
      </w:r>
      <w:r w:rsidR="00E53FE4">
        <w:rPr>
          <w:lang w:val="en-GB"/>
        </w:rPr>
        <w:t xml:space="preserve">Dichotomies have been unveiled </w:t>
      </w:r>
      <w:r w:rsidR="00913718">
        <w:rPr>
          <w:lang w:val="en-GB"/>
        </w:rPr>
        <w:t>in</w:t>
      </w:r>
      <w:r w:rsidR="00E53FE4">
        <w:rPr>
          <w:lang w:val="en-GB"/>
        </w:rPr>
        <w:t xml:space="preserve"> all their limitations and their inability to encompass the complexity of human experience. In doing so, it has </w:t>
      </w:r>
      <w:r w:rsidR="00913718">
        <w:rPr>
          <w:lang w:val="en-GB"/>
        </w:rPr>
        <w:t xml:space="preserve">also </w:t>
      </w:r>
      <w:r w:rsidR="00E53FE4">
        <w:rPr>
          <w:lang w:val="en-GB"/>
        </w:rPr>
        <w:t xml:space="preserve">become apparent how much is at stake </w:t>
      </w:r>
      <w:r w:rsidR="00913718">
        <w:rPr>
          <w:lang w:val="en-GB"/>
        </w:rPr>
        <w:t>in this discussion</w:t>
      </w:r>
      <w:r w:rsidR="00E53FE4">
        <w:rPr>
          <w:lang w:val="en-GB"/>
        </w:rPr>
        <w:t>: the cultural identity of Europe and Western culture</w:t>
      </w:r>
      <w:r w:rsidR="00F14CD0">
        <w:rPr>
          <w:rStyle w:val="FootnoteReference"/>
          <w:lang w:val="en-GB"/>
        </w:rPr>
        <w:footnoteReference w:id="180"/>
      </w:r>
      <w:r w:rsidR="00E53FE4">
        <w:rPr>
          <w:lang w:val="en-GB"/>
        </w:rPr>
        <w:t>, the debunking of the myth of classical Greece, the threat of a culture where mankind sees itself as one of the ruling forces in the cosmos</w:t>
      </w:r>
      <w:r w:rsidR="00220BC1">
        <w:rPr>
          <w:rStyle w:val="FootnoteReference"/>
          <w:lang w:val="en-GB"/>
        </w:rPr>
        <w:footnoteReference w:id="181"/>
      </w:r>
      <w:r w:rsidR="00913718">
        <w:rPr>
          <w:lang w:val="en-GB"/>
        </w:rPr>
        <w:t xml:space="preserve"> and how much these </w:t>
      </w:r>
      <w:r w:rsidR="00913718">
        <w:rPr>
          <w:lang w:val="en-GB"/>
        </w:rPr>
        <w:lastRenderedPageBreak/>
        <w:t>underlying tensions have invalidated the study of these area</w:t>
      </w:r>
      <w:r w:rsidR="00EC26FD">
        <w:rPr>
          <w:lang w:val="en-GB"/>
        </w:rPr>
        <w:t>s</w:t>
      </w:r>
      <w:r w:rsidR="00913718">
        <w:rPr>
          <w:lang w:val="en-GB"/>
        </w:rPr>
        <w:t xml:space="preserve"> of ancient culture a</w:t>
      </w:r>
      <w:r w:rsidR="00EC26FD">
        <w:rPr>
          <w:lang w:val="en-GB"/>
        </w:rPr>
        <w:t>s well as</w:t>
      </w:r>
      <w:r w:rsidR="00913718">
        <w:rPr>
          <w:lang w:val="en-GB"/>
        </w:rPr>
        <w:t xml:space="preserve"> how keenly the scholar</w:t>
      </w:r>
      <w:r w:rsidR="0053036B">
        <w:rPr>
          <w:lang w:val="en-GB"/>
        </w:rPr>
        <w:t>s’</w:t>
      </w:r>
      <w:r w:rsidR="00913718">
        <w:rPr>
          <w:lang w:val="en-GB"/>
        </w:rPr>
        <w:t xml:space="preserve"> community is working </w:t>
      </w:r>
      <w:r w:rsidR="008F17FC">
        <w:rPr>
          <w:lang w:val="en-GB"/>
        </w:rPr>
        <w:t>to move beyond</w:t>
      </w:r>
      <w:r w:rsidR="00913718">
        <w:rPr>
          <w:lang w:val="en-GB"/>
        </w:rPr>
        <w:t xml:space="preserve"> them.</w:t>
      </w:r>
    </w:p>
    <w:p w14:paraId="79C269CC" w14:textId="3261BD4F" w:rsidR="00E651AE" w:rsidRDefault="00E651AE" w:rsidP="005F7922">
      <w:pPr>
        <w:rPr>
          <w:lang w:val="en-GB"/>
        </w:rPr>
      </w:pPr>
    </w:p>
    <w:p w14:paraId="35586E91" w14:textId="1C9670AB" w:rsidR="002701C5" w:rsidRDefault="002701C5">
      <w:pPr>
        <w:rPr>
          <w:lang w:val="en-GB"/>
        </w:rPr>
      </w:pPr>
      <w:r>
        <w:rPr>
          <w:lang w:val="en-GB"/>
        </w:rPr>
        <w:br w:type="page"/>
      </w:r>
    </w:p>
    <w:p w14:paraId="526D083E" w14:textId="64024003" w:rsidR="002701C5" w:rsidRDefault="002701C5" w:rsidP="00C41889">
      <w:pPr>
        <w:pStyle w:val="Heading1"/>
        <w:jc w:val="center"/>
        <w:rPr>
          <w:lang w:val="en-GB"/>
        </w:rPr>
      </w:pPr>
      <w:r>
        <w:rPr>
          <w:lang w:val="en-GB"/>
        </w:rPr>
        <w:lastRenderedPageBreak/>
        <w:t>Bibliography</w:t>
      </w:r>
    </w:p>
    <w:p w14:paraId="455E9432" w14:textId="58682B96" w:rsidR="00C41889" w:rsidRDefault="00C41889" w:rsidP="00C41889">
      <w:pPr>
        <w:rPr>
          <w:lang w:val="en-GB"/>
        </w:rPr>
      </w:pPr>
    </w:p>
    <w:p w14:paraId="61A955C3" w14:textId="29F82E5D" w:rsidR="002701C5" w:rsidRDefault="00C41889" w:rsidP="00C41889">
      <w:pPr>
        <w:pStyle w:val="Heading2"/>
        <w:rPr>
          <w:lang w:val="en-GB"/>
        </w:rPr>
      </w:pPr>
      <w:r>
        <w:rPr>
          <w:lang w:val="en-GB"/>
        </w:rPr>
        <w:t>Primary Sources</w:t>
      </w:r>
    </w:p>
    <w:p w14:paraId="61848099" w14:textId="7F560147" w:rsidR="00C41889" w:rsidRDefault="00C41889" w:rsidP="005B73DC">
      <w:pPr>
        <w:spacing w:beforeAutospacing="1" w:afterAutospacing="1"/>
        <w:rPr>
          <w:lang w:val="en-GB"/>
        </w:rPr>
      </w:pPr>
      <w:r w:rsidRPr="007E716B">
        <w:rPr>
          <w:lang w:val="en-GB"/>
        </w:rPr>
        <w:t xml:space="preserve">Iamblichus, </w:t>
      </w:r>
      <w:r w:rsidRPr="00D01EFA">
        <w:rPr>
          <w:i/>
          <w:iCs/>
          <w:lang w:val="en-GB"/>
        </w:rPr>
        <w:t>De Mysteriis</w:t>
      </w:r>
      <w:r w:rsidRPr="007E716B">
        <w:rPr>
          <w:lang w:val="en-GB"/>
        </w:rPr>
        <w:t xml:space="preserve"> (On the Mysteries), Emma C. Clarke, John M. Dillon and Jackson P. Hershbell (eds.), 1</w:t>
      </w:r>
      <w:r w:rsidRPr="007E716B">
        <w:rPr>
          <w:vertAlign w:val="superscript"/>
          <w:lang w:val="en-GB"/>
        </w:rPr>
        <w:t>st</w:t>
      </w:r>
      <w:r w:rsidRPr="007E716B">
        <w:rPr>
          <w:lang w:val="en-GB"/>
        </w:rPr>
        <w:t xml:space="preserve"> edn. (Atlanta: Society of Biblical Literature, 2003)</w:t>
      </w:r>
      <w:r w:rsidR="003C02D7">
        <w:rPr>
          <w:lang w:val="en-GB"/>
        </w:rPr>
        <w:t>.</w:t>
      </w:r>
    </w:p>
    <w:p w14:paraId="217BFFB9" w14:textId="3D57009B" w:rsidR="00305B2D" w:rsidRPr="00305B2D" w:rsidRDefault="00305B2D" w:rsidP="005B73DC">
      <w:pPr>
        <w:spacing w:beforeAutospacing="1" w:afterAutospacing="1"/>
        <w:rPr>
          <w:lang w:val="en-US"/>
        </w:rPr>
      </w:pPr>
      <w:r w:rsidRPr="00305B2D">
        <w:t>Douay-Rheims and Clementina Vulgata English-Latin Bible</w:t>
      </w:r>
      <w:r w:rsidRPr="00305B2D">
        <w:rPr>
          <w:lang w:val="en-US"/>
        </w:rPr>
        <w:t xml:space="preserve">, </w:t>
      </w:r>
      <w:proofErr w:type="spellStart"/>
      <w:r>
        <w:rPr>
          <w:lang w:val="en-US"/>
        </w:rPr>
        <w:t>Baronius</w:t>
      </w:r>
      <w:proofErr w:type="spellEnd"/>
      <w:r>
        <w:rPr>
          <w:lang w:val="en-US"/>
        </w:rPr>
        <w:t xml:space="preserve"> Press Ltd, 2008 edn.</w:t>
      </w:r>
    </w:p>
    <w:p w14:paraId="14018DCD" w14:textId="751E957D" w:rsidR="003C02D7" w:rsidRDefault="003C02D7" w:rsidP="005B73DC">
      <w:pPr>
        <w:spacing w:beforeAutospacing="1" w:afterAutospacing="1"/>
        <w:rPr>
          <w:lang w:val="en-GB"/>
        </w:rPr>
      </w:pPr>
      <w:r w:rsidRPr="001425E7">
        <w:rPr>
          <w:lang w:val="en-GB"/>
        </w:rPr>
        <w:t xml:space="preserve">Plato, </w:t>
      </w:r>
      <w:r w:rsidRPr="001425E7">
        <w:rPr>
          <w:i/>
          <w:iCs/>
          <w:lang w:val="en-GB"/>
        </w:rPr>
        <w:t>Plato Complete Works</w:t>
      </w:r>
      <w:r w:rsidRPr="001425E7">
        <w:rPr>
          <w:lang w:val="en-GB"/>
        </w:rPr>
        <w:t>, edn. John M. Cooper, (Indianapolis – Cambridge: Hackett Publishing Company, 1997)</w:t>
      </w:r>
      <w:r>
        <w:rPr>
          <w:lang w:val="en-GB"/>
        </w:rPr>
        <w:t>.</w:t>
      </w:r>
    </w:p>
    <w:p w14:paraId="3159D62B" w14:textId="0BC0FA6C" w:rsidR="00F14CD0" w:rsidRPr="00F14CD0" w:rsidRDefault="00F14CD0" w:rsidP="005B73DC">
      <w:pPr>
        <w:spacing w:beforeAutospacing="1" w:afterAutospacing="1"/>
        <w:rPr>
          <w:rFonts w:ascii="Calibri" w:hAnsi="Calibri" w:cs="Calibri"/>
        </w:rPr>
      </w:pPr>
      <w:r w:rsidRPr="007276DB">
        <w:rPr>
          <w:i/>
          <w:iCs/>
        </w:rPr>
        <w:t xml:space="preserve">Papyri Graecae Magicae, Die Griechischen Zauberpapyri, </w:t>
      </w:r>
      <w:r w:rsidRPr="007276DB">
        <w:t>eds.</w:t>
      </w:r>
      <w:r w:rsidRPr="006C1BBA">
        <w:t xml:space="preserve"> Karl Preisendanz </w:t>
      </w:r>
      <w:r w:rsidRPr="007276DB">
        <w:t>and</w:t>
      </w:r>
      <w:r w:rsidRPr="006C1BBA">
        <w:t xml:space="preserve"> A. Abt, S. Eitrem, L. Fahz, A. Jacoby, G. Möller, R. Wünsch, Vol. 1</w:t>
      </w:r>
      <w:r w:rsidRPr="007276DB">
        <w:t>-2</w:t>
      </w:r>
      <w:r w:rsidRPr="006C1BBA">
        <w:t>, (Leipzig: Teubner, 1928)</w:t>
      </w:r>
      <w:r w:rsidRPr="007276DB">
        <w:t>.</w:t>
      </w:r>
    </w:p>
    <w:p w14:paraId="54BDCAA5" w14:textId="1A0DE62A" w:rsidR="005C259A" w:rsidRDefault="005C259A" w:rsidP="005C259A">
      <w:pPr>
        <w:spacing w:beforeAutospacing="1" w:afterAutospacing="1"/>
        <w:rPr>
          <w:lang w:val="en-GB"/>
        </w:rPr>
      </w:pPr>
      <w:r w:rsidRPr="005C259A">
        <w:rPr>
          <w:i/>
          <w:iCs/>
          <w:lang w:val="en-GB"/>
        </w:rPr>
        <w:t>The Greek Magical Papyri in Translation, Including the Demotic Spells</w:t>
      </w:r>
      <w:r w:rsidRPr="005C259A">
        <w:rPr>
          <w:lang w:val="en-GB"/>
        </w:rPr>
        <w:t>, 2nd edn., Vol 1., ed. By Hans Dieter Betz, (Chicago and London: The Chicago University Press, 1992), (1st edn. 1986).</w:t>
      </w:r>
    </w:p>
    <w:p w14:paraId="641982C8" w14:textId="77777777" w:rsidR="00AB79EB" w:rsidRPr="00AB79EB" w:rsidRDefault="00AB79EB" w:rsidP="005B73DC">
      <w:pPr>
        <w:spacing w:beforeAutospacing="1" w:afterAutospacing="1"/>
        <w:rPr>
          <w:rFonts w:ascii="Calibri" w:hAnsi="Calibri" w:cs="Calibri"/>
        </w:rPr>
      </w:pPr>
    </w:p>
    <w:p w14:paraId="3C338ED5" w14:textId="3F85E541" w:rsidR="00C41889" w:rsidRDefault="00C41889" w:rsidP="00C41889">
      <w:pPr>
        <w:pStyle w:val="Heading2"/>
        <w:rPr>
          <w:lang w:val="en-GB"/>
        </w:rPr>
      </w:pPr>
      <w:r>
        <w:rPr>
          <w:lang w:val="en-GB"/>
        </w:rPr>
        <w:t>Secondary Sources</w:t>
      </w:r>
    </w:p>
    <w:p w14:paraId="0466A43C" w14:textId="01EE207F" w:rsidR="00C41889" w:rsidRDefault="00C41889" w:rsidP="005B73DC">
      <w:pPr>
        <w:spacing w:beforeAutospacing="1" w:afterAutospacing="1"/>
        <w:rPr>
          <w:lang w:val="en-GB"/>
        </w:rPr>
      </w:pPr>
      <w:r w:rsidRPr="007E716B">
        <w:rPr>
          <w:lang w:val="en-GB"/>
        </w:rPr>
        <w:t>Addey,</w:t>
      </w:r>
      <w:r>
        <w:rPr>
          <w:lang w:val="en-GB"/>
        </w:rPr>
        <w:t xml:space="preserve"> </w:t>
      </w:r>
      <w:r w:rsidRPr="007E716B">
        <w:rPr>
          <w:lang w:val="en-GB"/>
        </w:rPr>
        <w:t>Crystal</w:t>
      </w:r>
      <w:r>
        <w:rPr>
          <w:lang w:val="en-GB"/>
        </w:rPr>
        <w:t>,</w:t>
      </w:r>
      <w:r w:rsidRPr="007E716B">
        <w:rPr>
          <w:lang w:val="en-GB"/>
        </w:rPr>
        <w:t xml:space="preserve"> </w:t>
      </w:r>
      <w:r w:rsidRPr="007E716B">
        <w:rPr>
          <w:i/>
          <w:iCs/>
          <w:lang w:val="en-GB"/>
        </w:rPr>
        <w:t>Divination and Theurgy in Neoplatonism,</w:t>
      </w:r>
      <w:r w:rsidRPr="007E716B">
        <w:rPr>
          <w:lang w:val="en-GB"/>
        </w:rPr>
        <w:t xml:space="preserve"> 2</w:t>
      </w:r>
      <w:r w:rsidRPr="007E716B">
        <w:rPr>
          <w:vertAlign w:val="superscript"/>
          <w:lang w:val="en-GB"/>
        </w:rPr>
        <w:t>nd</w:t>
      </w:r>
      <w:r w:rsidRPr="007E716B">
        <w:rPr>
          <w:lang w:val="en-GB"/>
        </w:rPr>
        <w:t xml:space="preserve"> edn. (London and New York: Routledge, 2019)</w:t>
      </w:r>
      <w:r>
        <w:rPr>
          <w:lang w:val="en-GB"/>
        </w:rPr>
        <w:t>.</w:t>
      </w:r>
    </w:p>
    <w:p w14:paraId="27616907" w14:textId="0F3DE48C" w:rsidR="003C02D7" w:rsidRDefault="003C02D7" w:rsidP="005B73DC">
      <w:pPr>
        <w:spacing w:beforeAutospacing="1" w:afterAutospacing="1"/>
        <w:rPr>
          <w:lang w:val="en-GB"/>
        </w:rPr>
      </w:pPr>
      <w:r w:rsidRPr="007E716B">
        <w:rPr>
          <w:lang w:val="en-GB"/>
        </w:rPr>
        <w:t>Armstrong,</w:t>
      </w:r>
      <w:r>
        <w:rPr>
          <w:lang w:val="en-GB"/>
        </w:rPr>
        <w:t xml:space="preserve"> </w:t>
      </w:r>
      <w:r w:rsidRPr="007E716B">
        <w:rPr>
          <w:lang w:val="en-GB"/>
        </w:rPr>
        <w:t>A. Hillary</w:t>
      </w:r>
      <w:r>
        <w:rPr>
          <w:lang w:val="en-GB"/>
        </w:rPr>
        <w:t>,</w:t>
      </w:r>
      <w:r w:rsidRPr="007E716B">
        <w:rPr>
          <w:lang w:val="en-GB"/>
        </w:rPr>
        <w:t xml:space="preserve"> “Iamblichus in Egypt”. – </w:t>
      </w:r>
      <w:r w:rsidRPr="007E716B">
        <w:rPr>
          <w:i/>
          <w:iCs/>
          <w:lang w:val="en-GB"/>
        </w:rPr>
        <w:t>Les Etudes Philosophiques</w:t>
      </w:r>
      <w:r w:rsidRPr="007E716B">
        <w:rPr>
          <w:lang w:val="en-GB"/>
        </w:rPr>
        <w:t xml:space="preserve">, </w:t>
      </w:r>
      <w:r>
        <w:rPr>
          <w:lang w:val="en-GB"/>
        </w:rPr>
        <w:t>Vol.</w:t>
      </w:r>
      <w:r w:rsidRPr="007E716B">
        <w:rPr>
          <w:lang w:val="en-GB"/>
        </w:rPr>
        <w:t xml:space="preserve"> 2-3, </w:t>
      </w:r>
      <w:r>
        <w:rPr>
          <w:lang w:val="en-GB"/>
        </w:rPr>
        <w:t>(</w:t>
      </w:r>
      <w:r w:rsidRPr="007E716B">
        <w:rPr>
          <w:lang w:val="en-GB"/>
        </w:rPr>
        <w:t>1987</w:t>
      </w:r>
      <w:r>
        <w:rPr>
          <w:lang w:val="en-GB"/>
        </w:rPr>
        <w:t xml:space="preserve">), 179 – 188. </w:t>
      </w:r>
    </w:p>
    <w:p w14:paraId="54758D0D" w14:textId="58B741EC" w:rsidR="00DB6AA8" w:rsidRDefault="00DB6AA8" w:rsidP="005B73DC">
      <w:pPr>
        <w:spacing w:beforeAutospacing="1" w:afterAutospacing="1"/>
        <w:rPr>
          <w:lang w:val="en-US"/>
        </w:rPr>
      </w:pPr>
      <w:r w:rsidRPr="00646CEE">
        <w:rPr>
          <w:lang w:val="en-US"/>
        </w:rPr>
        <w:t>Betz,</w:t>
      </w:r>
      <w:r w:rsidR="00F14CD0">
        <w:rPr>
          <w:lang w:val="en-US"/>
        </w:rPr>
        <w:t xml:space="preserve"> </w:t>
      </w:r>
      <w:r w:rsidR="00F14CD0" w:rsidRPr="00646CEE">
        <w:rPr>
          <w:lang w:val="en-US"/>
        </w:rPr>
        <w:t>Hans Dieter</w:t>
      </w:r>
      <w:r w:rsidR="00F14CD0">
        <w:rPr>
          <w:lang w:val="en-US"/>
        </w:rPr>
        <w:t>,</w:t>
      </w:r>
      <w:r w:rsidRPr="00646CEE">
        <w:rPr>
          <w:lang w:val="en-US"/>
        </w:rPr>
        <w:t xml:space="preserve"> “</w:t>
      </w:r>
      <w:r>
        <w:rPr>
          <w:lang w:val="en-US"/>
        </w:rPr>
        <w:t xml:space="preserve">The Delphic Maxim “Know Yourself” in the Greek Magical Papyri, </w:t>
      </w:r>
      <w:r w:rsidRPr="00FD11AD">
        <w:rPr>
          <w:i/>
          <w:iCs/>
          <w:lang w:val="en-US"/>
        </w:rPr>
        <w:t>History of Religions</w:t>
      </w:r>
      <w:r>
        <w:rPr>
          <w:lang w:val="en-US"/>
        </w:rPr>
        <w:t>, Vol 21, No. 2 (Nov. 1981), pp. 156-171.</w:t>
      </w:r>
    </w:p>
    <w:p w14:paraId="11DF08FE" w14:textId="77777777" w:rsidR="00DB6AA8" w:rsidRDefault="00DB6AA8" w:rsidP="00DB6AA8">
      <w:pPr>
        <w:spacing w:beforeAutospacing="1" w:afterAutospacing="1"/>
        <w:rPr>
          <w:lang w:val="en-US"/>
        </w:rPr>
      </w:pPr>
      <w:r w:rsidRPr="00E8202C">
        <w:rPr>
          <w:lang w:val="en-US"/>
        </w:rPr>
        <w:t>Betz</w:t>
      </w:r>
      <w:r w:rsidRPr="00E65E1E">
        <w:rPr>
          <w:lang w:val="en-US"/>
        </w:rPr>
        <w:t>,</w:t>
      </w:r>
      <w:r>
        <w:rPr>
          <w:lang w:val="en-US"/>
        </w:rPr>
        <w:t xml:space="preserve"> </w:t>
      </w:r>
      <w:r w:rsidRPr="00E8202C">
        <w:rPr>
          <w:lang w:val="en-US"/>
        </w:rPr>
        <w:t>Hans Dieter</w:t>
      </w:r>
      <w:r>
        <w:rPr>
          <w:lang w:val="en-US"/>
        </w:rPr>
        <w:t>,</w:t>
      </w:r>
      <w:r w:rsidRPr="00E65E1E">
        <w:rPr>
          <w:lang w:val="en-US"/>
        </w:rPr>
        <w:t xml:space="preserve">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w:t>
      </w:r>
      <w:r>
        <w:rPr>
          <w:lang w:val="en-US"/>
        </w:rPr>
        <w:t xml:space="preserve"> </w:t>
      </w:r>
      <w:r w:rsidRPr="00550339">
        <w:rPr>
          <w:lang w:val="en-US"/>
        </w:rPr>
        <w:t>in</w:t>
      </w:r>
      <w:r>
        <w:rPr>
          <w:lang w:val="en-US"/>
        </w:rPr>
        <w:t xml:space="preserve"> </w:t>
      </w:r>
      <w:r w:rsidRPr="00550339">
        <w:rPr>
          <w:i/>
          <w:iCs/>
          <w:lang w:val="en-US"/>
        </w:rPr>
        <w:t>Jewish and Christian Self-Definition</w:t>
      </w:r>
      <w:r w:rsidRPr="00550339">
        <w:rPr>
          <w:lang w:val="en-US"/>
        </w:rPr>
        <w:t xml:space="preserve">, Ben F. Meyer 1927-; E. P Sanders 1st. </w:t>
      </w:r>
      <w:r>
        <w:rPr>
          <w:lang w:val="en-US"/>
        </w:rPr>
        <w:t>edn. (</w:t>
      </w:r>
      <w:r w:rsidRPr="00550339">
        <w:rPr>
          <w:lang w:val="en-US"/>
        </w:rPr>
        <w:t>American ed. Philadelphia, Pa. : Fortress Press</w:t>
      </w:r>
      <w:r>
        <w:rPr>
          <w:lang w:val="en-US"/>
        </w:rPr>
        <w:t xml:space="preserve">, </w:t>
      </w:r>
      <w:r w:rsidRPr="00550339">
        <w:rPr>
          <w:lang w:val="en-US"/>
        </w:rPr>
        <w:t>1983, c.1982</w:t>
      </w:r>
      <w:r>
        <w:rPr>
          <w:lang w:val="en-US"/>
        </w:rPr>
        <w:t>), pp. 160-170.</w:t>
      </w:r>
    </w:p>
    <w:p w14:paraId="45D4DAE9" w14:textId="0968DF5E" w:rsidR="00DB6AA8" w:rsidRPr="00DB6AA8" w:rsidRDefault="00DB6AA8" w:rsidP="005B73DC">
      <w:pPr>
        <w:spacing w:beforeAutospacing="1" w:afterAutospacing="1"/>
        <w:rPr>
          <w:lang w:val="en-US"/>
        </w:rPr>
      </w:pPr>
      <w:r w:rsidRPr="00B1179C">
        <w:rPr>
          <w:lang w:val="en-US"/>
        </w:rPr>
        <w:t>Betz, Hans Dieter</w:t>
      </w:r>
      <w:r>
        <w:rPr>
          <w:lang w:val="en-US"/>
        </w:rPr>
        <w:t xml:space="preserve">, </w:t>
      </w:r>
      <w:r w:rsidRPr="00B1179C">
        <w:rPr>
          <w:lang w:val="en-US"/>
        </w:rPr>
        <w:t>“Magic and Myster</w:t>
      </w:r>
      <w:r>
        <w:rPr>
          <w:lang w:val="en-US"/>
        </w:rPr>
        <w:t xml:space="preserve">y in the Greek Magical Papyri”, in </w:t>
      </w:r>
      <w:r w:rsidRPr="00B1179C">
        <w:rPr>
          <w:i/>
          <w:iCs/>
          <w:lang w:val="en-US"/>
        </w:rPr>
        <w:t>Magika Hiera, Ancient Greek Magic &amp; Religion</w:t>
      </w:r>
      <w:r>
        <w:rPr>
          <w:lang w:val="en-US"/>
        </w:rPr>
        <w:t>, ed. By Christopher A. Faraone and Dirk Obbink, (New York, Oxford: Oxford University Press, 1991), pp. 244-259</w:t>
      </w:r>
      <w:r w:rsidR="00F14CD0">
        <w:rPr>
          <w:lang w:val="en-US"/>
        </w:rPr>
        <w:t>.</w:t>
      </w:r>
    </w:p>
    <w:p w14:paraId="6A6BB244" w14:textId="6AD4948F" w:rsidR="003C02D7" w:rsidRDefault="003C02D7" w:rsidP="005B73DC">
      <w:pPr>
        <w:spacing w:beforeAutospacing="1" w:afterAutospacing="1"/>
        <w:rPr>
          <w:lang w:val="en-GB"/>
        </w:rPr>
      </w:pPr>
      <w:r w:rsidRPr="00161EF1">
        <w:rPr>
          <w:lang w:val="en-GB"/>
        </w:rPr>
        <w:t>Betz,</w:t>
      </w:r>
      <w:r>
        <w:rPr>
          <w:lang w:val="en-GB"/>
        </w:rPr>
        <w:t xml:space="preserve"> </w:t>
      </w:r>
      <w:r w:rsidRPr="00161EF1">
        <w:rPr>
          <w:lang w:val="en-GB"/>
        </w:rPr>
        <w:t>Hans Dieter</w:t>
      </w:r>
      <w:r>
        <w:rPr>
          <w:lang w:val="en-GB"/>
        </w:rPr>
        <w:t>,</w:t>
      </w:r>
      <w:r w:rsidRPr="00161EF1">
        <w:rPr>
          <w:lang w:val="en-GB"/>
        </w:rPr>
        <w:t xml:space="preserve"> “Introduction to the Greek magical Papyri” in</w:t>
      </w:r>
      <w:r w:rsidRPr="00161EF1">
        <w:rPr>
          <w:i/>
          <w:iCs/>
          <w:lang w:val="en-GB"/>
        </w:rPr>
        <w:t xml:space="preserve"> The Greek Magical Papyri in Translation</w:t>
      </w:r>
      <w:r w:rsidRPr="00161EF1">
        <w:rPr>
          <w:lang w:val="en-GB"/>
        </w:rPr>
        <w:t>, vol. 1, 2</w:t>
      </w:r>
      <w:r w:rsidRPr="00161EF1">
        <w:rPr>
          <w:vertAlign w:val="superscript"/>
          <w:lang w:val="en-GB"/>
        </w:rPr>
        <w:t>nd</w:t>
      </w:r>
      <w:r w:rsidRPr="00161EF1">
        <w:rPr>
          <w:lang w:val="en-GB"/>
        </w:rPr>
        <w:t xml:space="preserve"> edn., (Chicago and London: The University of Chicago Press, 1996)</w:t>
      </w:r>
      <w:r>
        <w:rPr>
          <w:lang w:val="en-GB"/>
        </w:rPr>
        <w:t>.</w:t>
      </w:r>
    </w:p>
    <w:p w14:paraId="4D7AA276" w14:textId="6AB3C195" w:rsidR="00C41889" w:rsidRDefault="00C41889" w:rsidP="005B73DC">
      <w:pPr>
        <w:spacing w:beforeAutospacing="1" w:afterAutospacing="1"/>
        <w:rPr>
          <w:lang w:val="en-US"/>
        </w:rPr>
      </w:pPr>
      <w:r>
        <w:rPr>
          <w:lang w:val="en-US"/>
        </w:rPr>
        <w:t xml:space="preserve">Bremmer, </w:t>
      </w:r>
      <w:r w:rsidRPr="00F24955">
        <w:rPr>
          <w:lang w:val="en-US"/>
        </w:rPr>
        <w:t xml:space="preserve">Jan </w:t>
      </w:r>
      <w:r>
        <w:rPr>
          <w:lang w:val="en-US"/>
        </w:rPr>
        <w:t xml:space="preserve">N. , “The Birth of the Term Magic”, </w:t>
      </w:r>
      <w:r w:rsidRPr="00C41889">
        <w:rPr>
          <w:i/>
          <w:iCs/>
          <w:lang w:val="en-US"/>
        </w:rPr>
        <w:t>Zeitschrift für Papyrologie und Epigraphik</w:t>
      </w:r>
      <w:r>
        <w:rPr>
          <w:lang w:val="en-US"/>
        </w:rPr>
        <w:t>, Vol. 126 (1999), 1-12.</w:t>
      </w:r>
    </w:p>
    <w:p w14:paraId="49C252FC" w14:textId="0D1650AB" w:rsidR="001A21FD" w:rsidRPr="00C41889" w:rsidRDefault="001A21FD" w:rsidP="005B73DC">
      <w:pPr>
        <w:spacing w:beforeAutospacing="1" w:afterAutospacing="1"/>
        <w:rPr>
          <w:lang w:val="en-US"/>
        </w:rPr>
      </w:pPr>
      <w:r w:rsidRPr="00AF18BC">
        <w:rPr>
          <w:lang w:val="en-US"/>
        </w:rPr>
        <w:lastRenderedPageBreak/>
        <w:t>Collins, Derek</w:t>
      </w:r>
      <w:r>
        <w:rPr>
          <w:lang w:val="en-US"/>
        </w:rPr>
        <w:t>,</w:t>
      </w:r>
      <w:r w:rsidRPr="00AF18BC">
        <w:rPr>
          <w:lang w:val="en-US"/>
        </w:rPr>
        <w:t xml:space="preserve"> “Nat</w:t>
      </w:r>
      <w:r>
        <w:rPr>
          <w:lang w:val="en-US"/>
        </w:rPr>
        <w:t xml:space="preserve">ure, Cause and Agency in Greek Magic”, </w:t>
      </w:r>
      <w:r w:rsidRPr="00AF18BC">
        <w:rPr>
          <w:i/>
          <w:iCs/>
          <w:lang w:val="en-US"/>
        </w:rPr>
        <w:t>Transactions of the American Philological Association (1974-2014)</w:t>
      </w:r>
      <w:r>
        <w:rPr>
          <w:lang w:val="en-US"/>
        </w:rPr>
        <w:t>, Vo. 133, No. 1 (Spring 2003), pp. 17-49</w:t>
      </w:r>
      <w:r w:rsidR="00F14CD0">
        <w:rPr>
          <w:lang w:val="en-US"/>
        </w:rPr>
        <w:t>.</w:t>
      </w:r>
    </w:p>
    <w:p w14:paraId="532F3FE1" w14:textId="7BD263EA" w:rsidR="005B73DC" w:rsidRDefault="005B73DC" w:rsidP="005B73DC">
      <w:pPr>
        <w:spacing w:beforeAutospacing="1" w:afterAutospacing="1"/>
        <w:rPr>
          <w:lang w:val="en-US"/>
        </w:rPr>
      </w:pPr>
      <w:r>
        <w:rPr>
          <w:lang w:val="en-US"/>
        </w:rPr>
        <w:t xml:space="preserve">Costantini, Leonardo, “Two Studies of Ancient Magic”, </w:t>
      </w:r>
      <w:r w:rsidRPr="00061870">
        <w:rPr>
          <w:i/>
          <w:iCs/>
          <w:lang w:val="en-US"/>
        </w:rPr>
        <w:t>The Classical Review</w:t>
      </w:r>
      <w:r>
        <w:rPr>
          <w:lang w:val="en-US"/>
        </w:rPr>
        <w:t>, vol 70.1, (The Classical Association, 2019), pp. 247-249</w:t>
      </w:r>
      <w:r w:rsidR="0027772A">
        <w:rPr>
          <w:lang w:val="en-US"/>
        </w:rPr>
        <w:t>.</w:t>
      </w:r>
    </w:p>
    <w:p w14:paraId="51500A88" w14:textId="37DB9FC5" w:rsidR="00EF7962" w:rsidRDefault="00EF7962" w:rsidP="005B73DC">
      <w:pPr>
        <w:spacing w:beforeAutospacing="1" w:afterAutospacing="1"/>
        <w:rPr>
          <w:lang w:val="en-US"/>
        </w:rPr>
      </w:pPr>
      <w:r w:rsidRPr="007E716B">
        <w:rPr>
          <w:lang w:val="en-GB"/>
        </w:rPr>
        <w:t>Dodds, E. R.</w:t>
      </w:r>
      <w:r>
        <w:rPr>
          <w:lang w:val="en-GB"/>
        </w:rPr>
        <w:t>,</w:t>
      </w:r>
      <w:r w:rsidRPr="007E716B">
        <w:rPr>
          <w:lang w:val="en-GB"/>
        </w:rPr>
        <w:t xml:space="preserve"> </w:t>
      </w:r>
      <w:r w:rsidRPr="007E716B">
        <w:rPr>
          <w:i/>
          <w:iCs/>
          <w:lang w:val="en-GB"/>
        </w:rPr>
        <w:t xml:space="preserve">The Greeks and the Irrational, </w:t>
      </w:r>
      <w:r>
        <w:rPr>
          <w:lang w:val="en-GB"/>
        </w:rPr>
        <w:t>(Eastford, CT: Martino Fine Books, 2020), (</w:t>
      </w:r>
      <w:r w:rsidR="00F14CD0">
        <w:rPr>
          <w:lang w:val="en-GB"/>
        </w:rPr>
        <w:t>1</w:t>
      </w:r>
      <w:r w:rsidR="00F14CD0" w:rsidRPr="00F14CD0">
        <w:rPr>
          <w:vertAlign w:val="superscript"/>
          <w:lang w:val="en-GB"/>
        </w:rPr>
        <w:t>st</w:t>
      </w:r>
      <w:r w:rsidR="00F14CD0">
        <w:rPr>
          <w:lang w:val="en-GB"/>
        </w:rPr>
        <w:t xml:space="preserve"> </w:t>
      </w:r>
      <w:r>
        <w:rPr>
          <w:lang w:val="en-GB"/>
        </w:rPr>
        <w:t>1951)</w:t>
      </w:r>
      <w:r w:rsidR="00F14CD0">
        <w:rPr>
          <w:lang w:val="en-GB"/>
        </w:rPr>
        <w:t>.</w:t>
      </w:r>
    </w:p>
    <w:p w14:paraId="0078CF0B" w14:textId="43473D95" w:rsidR="0027772A" w:rsidRDefault="0027772A" w:rsidP="005B73DC">
      <w:pPr>
        <w:spacing w:beforeAutospacing="1" w:afterAutospacing="1"/>
        <w:rPr>
          <w:rFonts w:ascii="Calibri" w:hAnsi="Calibri" w:cs="Calibri"/>
          <w:lang w:val="en-GB"/>
        </w:rPr>
      </w:pPr>
      <w:r w:rsidRPr="007E716B">
        <w:rPr>
          <w:rFonts w:ascii="Calibri" w:hAnsi="Calibri" w:cs="Calibri"/>
          <w:lang w:val="en-GB"/>
        </w:rPr>
        <w:t>Evangeliou,</w:t>
      </w:r>
      <w:r>
        <w:rPr>
          <w:rFonts w:ascii="Calibri" w:hAnsi="Calibri" w:cs="Calibri"/>
          <w:lang w:val="en-GB"/>
        </w:rPr>
        <w:t xml:space="preserve"> </w:t>
      </w:r>
      <w:r w:rsidRPr="007E716B">
        <w:rPr>
          <w:rFonts w:ascii="Calibri" w:hAnsi="Calibri" w:cs="Calibri"/>
          <w:lang w:val="en-GB"/>
        </w:rPr>
        <w:t>Christos C.</w:t>
      </w:r>
      <w:r>
        <w:rPr>
          <w:rFonts w:ascii="Calibri" w:hAnsi="Calibri" w:cs="Calibri"/>
          <w:lang w:val="en-GB"/>
        </w:rPr>
        <w:t>,</w:t>
      </w:r>
      <w:r w:rsidRPr="007E716B">
        <w:rPr>
          <w:rFonts w:ascii="Calibri" w:hAnsi="Calibri" w:cs="Calibri"/>
          <w:lang w:val="en-GB"/>
        </w:rPr>
        <w:t xml:space="preserve"> </w:t>
      </w:r>
      <w:r w:rsidRPr="0051646B">
        <w:rPr>
          <w:rFonts w:ascii="Calibri" w:hAnsi="Calibri" w:cs="Calibri"/>
          <w:i/>
          <w:iCs/>
          <w:lang w:val="en-GB"/>
        </w:rPr>
        <w:t>The Hellenic Philosophy: Between Europe, Asia and Africa</w:t>
      </w:r>
      <w:r w:rsidRPr="007E716B">
        <w:rPr>
          <w:rFonts w:ascii="Calibri" w:hAnsi="Calibri" w:cs="Calibri"/>
          <w:lang w:val="en-GB"/>
        </w:rPr>
        <w:t>, (Binghamton: Institute of Global Cultural Studies, Binghamton University, 1997)</w:t>
      </w:r>
      <w:r>
        <w:rPr>
          <w:rFonts w:ascii="Calibri" w:hAnsi="Calibri" w:cs="Calibri"/>
          <w:lang w:val="en-GB"/>
        </w:rPr>
        <w:t>.</w:t>
      </w:r>
    </w:p>
    <w:p w14:paraId="1F1249EF" w14:textId="03668CBA" w:rsidR="00EE23F7" w:rsidRDefault="00EE23F7" w:rsidP="005B73DC">
      <w:pPr>
        <w:spacing w:beforeAutospacing="1" w:afterAutospacing="1"/>
        <w:rPr>
          <w:rFonts w:ascii="Calibri" w:eastAsia="Times New Roman" w:hAnsi="Calibri" w:cs="Calibri"/>
          <w:color w:val="000000"/>
          <w:bdr w:val="none" w:sz="0" w:space="0" w:color="auto" w:frame="1"/>
          <w:lang w:val="en-US" w:eastAsia="en-GB"/>
        </w:rPr>
      </w:pPr>
      <w:r>
        <w:rPr>
          <w:lang w:val="en-US"/>
        </w:rPr>
        <w:t xml:space="preserve">Flower, </w:t>
      </w:r>
      <w:r w:rsidRPr="002A5595">
        <w:rPr>
          <w:lang w:val="en-US"/>
        </w:rPr>
        <w:t>Michael Att</w:t>
      </w:r>
      <w:r>
        <w:rPr>
          <w:lang w:val="en-US"/>
        </w:rPr>
        <w:t xml:space="preserve">yah, </w:t>
      </w:r>
      <w:r w:rsidRPr="002A5595">
        <w:rPr>
          <w:i/>
          <w:iCs/>
          <w:lang w:val="en-US"/>
        </w:rPr>
        <w:t>The Seer in Ancient Greece</w:t>
      </w:r>
      <w:r>
        <w:rPr>
          <w:lang w:val="en-US"/>
        </w:rPr>
        <w:t>, (Berkeley, Los Angeles, London: University of California Press, 2009). (1</w:t>
      </w:r>
      <w:r w:rsidRPr="00EE23F7">
        <w:rPr>
          <w:vertAlign w:val="superscript"/>
          <w:lang w:val="en-US"/>
        </w:rPr>
        <w:t>st</w:t>
      </w:r>
      <w:r>
        <w:rPr>
          <w:lang w:val="en-US"/>
        </w:rPr>
        <w:t xml:space="preserve"> 1956).</w:t>
      </w:r>
    </w:p>
    <w:p w14:paraId="18AA925F" w14:textId="4711C317" w:rsidR="005B73DC" w:rsidRDefault="005B73DC" w:rsidP="005B73DC">
      <w:pPr>
        <w:spacing w:beforeAutospacing="1" w:afterAutospacing="1"/>
        <w:rPr>
          <w:lang w:val="en-US"/>
        </w:rPr>
      </w:pPr>
      <w:r w:rsidRPr="004A720D">
        <w:rPr>
          <w:lang w:val="en-US"/>
        </w:rPr>
        <w:t>Fowler, Robert L.</w:t>
      </w:r>
      <w:r>
        <w:rPr>
          <w:lang w:val="en-US"/>
        </w:rPr>
        <w:t xml:space="preserve">, “Greek Magic, Greek Religion”, </w:t>
      </w:r>
      <w:r w:rsidRPr="00996C79">
        <w:rPr>
          <w:i/>
          <w:iCs/>
          <w:lang w:val="en-US"/>
        </w:rPr>
        <w:t>Illinois Classical Studies</w:t>
      </w:r>
      <w:r>
        <w:rPr>
          <w:lang w:val="en-US"/>
        </w:rPr>
        <w:t>, Vol. 20 (1995), 1-22.</w:t>
      </w:r>
    </w:p>
    <w:p w14:paraId="4ACA443C" w14:textId="01F1C82B" w:rsidR="00C41889" w:rsidRDefault="00C41889" w:rsidP="005B73DC">
      <w:pPr>
        <w:spacing w:beforeAutospacing="1" w:afterAutospacing="1"/>
        <w:rPr>
          <w:lang w:val="en-GB"/>
        </w:rPr>
      </w:pPr>
      <w:r w:rsidRPr="007E716B">
        <w:rPr>
          <w:lang w:val="en-GB"/>
        </w:rPr>
        <w:t xml:space="preserve">Graf, </w:t>
      </w:r>
      <w:r>
        <w:rPr>
          <w:lang w:val="en-GB"/>
        </w:rPr>
        <w:t xml:space="preserve">Fritz, </w:t>
      </w:r>
      <w:r w:rsidRPr="007E716B">
        <w:rPr>
          <w:i/>
          <w:iCs/>
          <w:lang w:val="en-GB"/>
        </w:rPr>
        <w:t>Magic in the Ancient World</w:t>
      </w:r>
      <w:r w:rsidRPr="007E716B">
        <w:rPr>
          <w:lang w:val="en-GB"/>
        </w:rPr>
        <w:t xml:space="preserve">, </w:t>
      </w:r>
      <w:r>
        <w:rPr>
          <w:lang w:val="en-GB"/>
        </w:rPr>
        <w:t>(Cambridge, Massachusetts, and London: Harvard University Press, 1997).</w:t>
      </w:r>
    </w:p>
    <w:p w14:paraId="628F0F45" w14:textId="77777777" w:rsidR="003C02D7" w:rsidRDefault="00C41889" w:rsidP="005B73DC">
      <w:pPr>
        <w:spacing w:beforeAutospacing="1" w:afterAutospacing="1"/>
        <w:rPr>
          <w:lang w:val="en-US"/>
        </w:rPr>
      </w:pPr>
      <w:r w:rsidRPr="00C41889">
        <w:rPr>
          <w:lang w:val="en-US"/>
        </w:rPr>
        <w:t>Hadot, l</w:t>
      </w:r>
      <w:r>
        <w:rPr>
          <w:lang w:val="en-US"/>
        </w:rPr>
        <w:t>l</w:t>
      </w:r>
      <w:r w:rsidRPr="00C41889">
        <w:rPr>
          <w:lang w:val="en-US"/>
        </w:rPr>
        <w:t xml:space="preserve">setraut </w:t>
      </w:r>
      <w:r>
        <w:rPr>
          <w:lang w:val="en-US"/>
        </w:rPr>
        <w:t xml:space="preserve">, </w:t>
      </w:r>
      <w:r w:rsidRPr="00C41889">
        <w:rPr>
          <w:lang w:val="en-US"/>
        </w:rPr>
        <w:t xml:space="preserve">“The Spiritual Guide”, in </w:t>
      </w:r>
      <w:r w:rsidRPr="00C41889">
        <w:rPr>
          <w:i/>
          <w:iCs/>
          <w:lang w:val="en-US"/>
        </w:rPr>
        <w:t>Classical Mediterranean Spirituality: Egyptian, Greek, Roman</w:t>
      </w:r>
      <w:r w:rsidRPr="00C41889">
        <w:rPr>
          <w:lang w:val="en-US"/>
        </w:rPr>
        <w:t>, ed. by A. H. Armstrong (London: Routledge, 1986).</w:t>
      </w:r>
    </w:p>
    <w:p w14:paraId="5E598B65" w14:textId="3574F2FD" w:rsidR="003C02D7" w:rsidRDefault="003C02D7" w:rsidP="005B73DC">
      <w:pPr>
        <w:spacing w:beforeAutospacing="1" w:afterAutospacing="1"/>
        <w:rPr>
          <w:lang w:val="en-GB"/>
        </w:rPr>
      </w:pPr>
      <w:r w:rsidRPr="001425E7">
        <w:rPr>
          <w:lang w:val="en-GB"/>
        </w:rPr>
        <w:t>Hadot,</w:t>
      </w:r>
      <w:r>
        <w:rPr>
          <w:lang w:val="en-GB"/>
        </w:rPr>
        <w:t xml:space="preserve"> Pierre,</w:t>
      </w:r>
      <w:r w:rsidRPr="001425E7">
        <w:rPr>
          <w:lang w:val="en-GB"/>
        </w:rPr>
        <w:t xml:space="preserve"> </w:t>
      </w:r>
      <w:r w:rsidRPr="001425E7">
        <w:rPr>
          <w:i/>
          <w:iCs/>
          <w:lang w:val="en-GB"/>
        </w:rPr>
        <w:t>Philosophy as a Way of Life. Spiritual Exercises from Socrates to Foucault</w:t>
      </w:r>
      <w:r w:rsidRPr="001425E7">
        <w:rPr>
          <w:lang w:val="en-GB"/>
        </w:rPr>
        <w:t>, ed. Arnold I. Davidson, (Oxford: Blackwell, 1995)</w:t>
      </w:r>
      <w:r>
        <w:rPr>
          <w:lang w:val="en-GB"/>
        </w:rPr>
        <w:t>.</w:t>
      </w:r>
    </w:p>
    <w:p w14:paraId="629A9C70" w14:textId="767EABED" w:rsidR="00305B2D" w:rsidRPr="00305B2D" w:rsidRDefault="00305B2D" w:rsidP="005B73DC">
      <w:pPr>
        <w:spacing w:beforeAutospacing="1" w:afterAutospacing="1"/>
        <w:rPr>
          <w:rFonts w:ascii="Calibri" w:eastAsia="Times New Roman" w:hAnsi="Calibri" w:cs="Calibri"/>
          <w:color w:val="000000"/>
          <w:bdr w:val="none" w:sz="0" w:space="0" w:color="auto" w:frame="1"/>
          <w:lang w:val="en-US" w:eastAsia="en-GB"/>
        </w:rPr>
      </w:pPr>
      <w:r w:rsidRPr="005B73DC">
        <w:rPr>
          <w:rFonts w:ascii="Calibri" w:eastAsia="Times New Roman" w:hAnsi="Calibri" w:cs="Calibri"/>
          <w:color w:val="000000"/>
          <w:bdr w:val="none" w:sz="0" w:space="0" w:color="auto" w:frame="1"/>
          <w:lang w:val="en-US" w:eastAsia="en-GB"/>
        </w:rPr>
        <w:t>Johnston,</w:t>
      </w:r>
      <w:r>
        <w:rPr>
          <w:rFonts w:ascii="Calibri" w:eastAsia="Times New Roman" w:hAnsi="Calibri" w:cs="Calibri"/>
          <w:color w:val="000000"/>
          <w:bdr w:val="none" w:sz="0" w:space="0" w:color="auto" w:frame="1"/>
          <w:lang w:val="en-US" w:eastAsia="en-GB"/>
        </w:rPr>
        <w:t xml:space="preserve"> </w:t>
      </w:r>
      <w:r w:rsidRPr="005B73DC">
        <w:rPr>
          <w:rFonts w:ascii="Calibri" w:eastAsia="Times New Roman" w:hAnsi="Calibri" w:cs="Calibri"/>
          <w:color w:val="000000"/>
          <w:bdr w:val="none" w:sz="0" w:space="0" w:color="auto" w:frame="1"/>
          <w:lang w:val="en-US" w:eastAsia="en-GB"/>
        </w:rPr>
        <w:t>Sarah Iles</w:t>
      </w:r>
      <w:r>
        <w:rPr>
          <w:rFonts w:ascii="Calibri" w:eastAsia="Times New Roman" w:hAnsi="Calibri" w:cs="Calibri"/>
          <w:color w:val="000000"/>
          <w:bdr w:val="none" w:sz="0" w:space="0" w:color="auto" w:frame="1"/>
          <w:lang w:val="en-US" w:eastAsia="en-GB"/>
        </w:rPr>
        <w:t>,</w:t>
      </w:r>
      <w:r w:rsidRPr="005B73DC">
        <w:rPr>
          <w:rFonts w:ascii="Calibri" w:eastAsia="Times New Roman" w:hAnsi="Calibri" w:cs="Calibri"/>
          <w:color w:val="000000"/>
          <w:bdr w:val="none" w:sz="0" w:space="0" w:color="auto" w:frame="1"/>
          <w:lang w:val="en-US" w:eastAsia="en-GB"/>
        </w:rPr>
        <w:t xml:space="preserve"> John G. Gager, Martha Himmelfarb, Marvin Meyer, Brian Schmidt, David Frankfurter and Fritz Graf, "Panel Discussion</w:t>
      </w:r>
      <w:r>
        <w:rPr>
          <w:rFonts w:ascii="Calibri" w:eastAsia="Times New Roman" w:hAnsi="Calibri" w:cs="Calibri"/>
          <w:color w:val="000000"/>
          <w:bdr w:val="none" w:sz="0" w:space="0" w:color="auto" w:frame="1"/>
          <w:lang w:val="en-US" w:eastAsia="en-GB"/>
        </w:rPr>
        <w:t xml:space="preserve">: </w:t>
      </w:r>
      <w:r w:rsidRPr="005B73DC">
        <w:rPr>
          <w:rFonts w:ascii="Calibri" w:eastAsia="Times New Roman" w:hAnsi="Calibri" w:cs="Calibri"/>
          <w:color w:val="000000"/>
          <w:bdr w:val="none" w:sz="0" w:space="0" w:color="auto" w:frame="1"/>
          <w:lang w:val="en-US" w:eastAsia="en-GB"/>
        </w:rPr>
        <w:t>“Magic in the Ancient World” by Fritz Graf”,</w:t>
      </w:r>
      <w:r w:rsidRPr="005B73DC">
        <w:rPr>
          <w:rFonts w:ascii="inherit" w:eastAsia="Times New Roman" w:hAnsi="inherit" w:cs="Calibri"/>
          <w:color w:val="000000"/>
          <w:bdr w:val="none" w:sz="0" w:space="0" w:color="auto" w:frame="1"/>
          <w:lang w:val="en-US" w:eastAsia="en-GB"/>
        </w:rPr>
        <w:t> </w:t>
      </w:r>
      <w:r w:rsidRPr="005B73DC">
        <w:rPr>
          <w:rFonts w:ascii="Calibri" w:eastAsia="Times New Roman" w:hAnsi="Calibri" w:cs="Calibri"/>
          <w:i/>
          <w:iCs/>
          <w:color w:val="000000"/>
          <w:bdr w:val="none" w:sz="0" w:space="0" w:color="auto" w:frame="1"/>
          <w:lang w:val="en-US" w:eastAsia="en-GB"/>
        </w:rPr>
        <w:t>Numen</w:t>
      </w:r>
      <w:r w:rsidRPr="005B73DC">
        <w:rPr>
          <w:rFonts w:ascii="Calibri" w:eastAsia="Times New Roman" w:hAnsi="Calibri" w:cs="Calibri"/>
          <w:color w:val="000000"/>
          <w:bdr w:val="none" w:sz="0" w:space="0" w:color="auto" w:frame="1"/>
          <w:lang w:val="en-US" w:eastAsia="en-GB"/>
        </w:rPr>
        <w:t>, Vol. 46, No. 3 (1999), 291-325.</w:t>
      </w:r>
    </w:p>
    <w:p w14:paraId="710DA9AF" w14:textId="36D0D889" w:rsidR="00EE23F7" w:rsidRDefault="00EE23F7" w:rsidP="005B73DC">
      <w:pPr>
        <w:spacing w:beforeAutospacing="1" w:afterAutospacing="1"/>
        <w:rPr>
          <w:lang w:val="en-GB"/>
        </w:rPr>
      </w:pPr>
      <w:r w:rsidRPr="00955373">
        <w:rPr>
          <w:lang w:val="en-US"/>
        </w:rPr>
        <w:t>Lankila, Tuomo</w:t>
      </w:r>
      <w:r>
        <w:rPr>
          <w:lang w:val="en-US"/>
        </w:rPr>
        <w:t>,</w:t>
      </w:r>
      <w:r w:rsidRPr="00955373">
        <w:rPr>
          <w:lang w:val="en-US"/>
        </w:rPr>
        <w:t xml:space="preserve"> “Post-Hellenistic Philoso</w:t>
      </w:r>
      <w:r>
        <w:rPr>
          <w:lang w:val="en-US"/>
        </w:rPr>
        <w:t xml:space="preserve">phy, Neoplatonism, and the Doxastic Turn in Religion: Continuities and Ruptures in Ancient Reflections on Religion, </w:t>
      </w:r>
      <w:r w:rsidRPr="00306FCE">
        <w:rPr>
          <w:i/>
          <w:iCs/>
          <w:lang w:val="en-US"/>
        </w:rPr>
        <w:t>Numen</w:t>
      </w:r>
      <w:r>
        <w:rPr>
          <w:lang w:val="en-US"/>
        </w:rPr>
        <w:t>, Vol. 63, No. 2/3 (2016), 147-166.</w:t>
      </w:r>
    </w:p>
    <w:p w14:paraId="0CBCB876" w14:textId="6470A152" w:rsidR="003C02D7" w:rsidRDefault="003C02D7" w:rsidP="005B73DC">
      <w:pPr>
        <w:spacing w:beforeAutospacing="1" w:afterAutospacing="1"/>
        <w:rPr>
          <w:lang w:val="en-GB"/>
        </w:rPr>
      </w:pPr>
      <w:r>
        <w:rPr>
          <w:lang w:val="en-GB"/>
        </w:rPr>
        <w:t xml:space="preserve">Marchand, Suzanne, “What did the Greek owe to the Orient? The question we can’t stop asking (even though we can’t answer it)”, </w:t>
      </w:r>
      <w:r w:rsidRPr="00910FD8">
        <w:rPr>
          <w:i/>
          <w:iCs/>
          <w:lang w:val="en-GB"/>
        </w:rPr>
        <w:t>Archaeological Dialogues</w:t>
      </w:r>
      <w:r>
        <w:rPr>
          <w:lang w:val="en-GB"/>
        </w:rPr>
        <w:t xml:space="preserve">, </w:t>
      </w:r>
      <w:r w:rsidR="00F14CD0">
        <w:rPr>
          <w:lang w:val="en-GB"/>
        </w:rPr>
        <w:t>V</w:t>
      </w:r>
      <w:r>
        <w:rPr>
          <w:lang w:val="en-GB"/>
        </w:rPr>
        <w:t>ol. 17 (1), (Cambridge University Press, 2010), 117 – 140.</w:t>
      </w:r>
    </w:p>
    <w:p w14:paraId="38D6F1E0" w14:textId="1F050A83" w:rsidR="00DB6AA8" w:rsidRDefault="00DB6AA8" w:rsidP="005B73DC">
      <w:pPr>
        <w:spacing w:beforeAutospacing="1" w:afterAutospacing="1"/>
        <w:rPr>
          <w:lang w:val="en-GB"/>
        </w:rPr>
      </w:pPr>
      <w:r w:rsidRPr="005E020D">
        <w:rPr>
          <w:lang w:val="en-US"/>
        </w:rPr>
        <w:t>Meier,</w:t>
      </w:r>
      <w:r>
        <w:rPr>
          <w:lang w:val="en-US"/>
        </w:rPr>
        <w:t xml:space="preserve"> </w:t>
      </w:r>
      <w:r w:rsidRPr="005E020D">
        <w:rPr>
          <w:lang w:val="en-US"/>
        </w:rPr>
        <w:t>Christian</w:t>
      </w:r>
      <w:r>
        <w:rPr>
          <w:lang w:val="en-US"/>
        </w:rPr>
        <w:t>,</w:t>
      </w:r>
      <w:r w:rsidRPr="005E020D">
        <w:rPr>
          <w:lang w:val="en-US"/>
        </w:rPr>
        <w:t xml:space="preserve"> </w:t>
      </w:r>
      <w:r w:rsidRPr="00DB6AA8">
        <w:rPr>
          <w:i/>
          <w:iCs/>
          <w:lang w:val="en-US"/>
        </w:rPr>
        <w:t>From Athens to Auschwitz. The Uses of History</w:t>
      </w:r>
      <w:r>
        <w:rPr>
          <w:lang w:val="en-US"/>
        </w:rPr>
        <w:t>, (Cambridge, MA: Oxford University Press, 2005).</w:t>
      </w:r>
    </w:p>
    <w:p w14:paraId="004571E0" w14:textId="4FE9C27F" w:rsidR="00EE23F7" w:rsidRDefault="00EE23F7" w:rsidP="005B73DC">
      <w:pPr>
        <w:spacing w:beforeAutospacing="1" w:afterAutospacing="1"/>
        <w:rPr>
          <w:lang w:val="en-US"/>
        </w:rPr>
      </w:pPr>
      <w:r w:rsidRPr="00DF1A5C">
        <w:rPr>
          <w:lang w:val="en-US"/>
        </w:rPr>
        <w:t>Nock, A. D.</w:t>
      </w:r>
      <w:r>
        <w:rPr>
          <w:lang w:val="en-US"/>
        </w:rPr>
        <w:t>,</w:t>
      </w:r>
      <w:r w:rsidRPr="00DF1A5C">
        <w:rPr>
          <w:lang w:val="en-US"/>
        </w:rPr>
        <w:t xml:space="preserve"> </w:t>
      </w:r>
      <w:r>
        <w:rPr>
          <w:lang w:val="en-US"/>
        </w:rPr>
        <w:t>“</w:t>
      </w:r>
      <w:r w:rsidRPr="00DF1A5C">
        <w:rPr>
          <w:lang w:val="en-US"/>
        </w:rPr>
        <w:t>Greek Magical</w:t>
      </w:r>
      <w:r>
        <w:rPr>
          <w:lang w:val="en-US"/>
        </w:rPr>
        <w:t xml:space="preserve"> Papyri”, </w:t>
      </w:r>
      <w:r w:rsidRPr="00DF1A5C">
        <w:rPr>
          <w:i/>
          <w:iCs/>
          <w:lang w:val="en-US"/>
        </w:rPr>
        <w:t>The Journal of Egyptian Archeology</w:t>
      </w:r>
      <w:r>
        <w:rPr>
          <w:lang w:val="en-US"/>
        </w:rPr>
        <w:t>, Vol</w:t>
      </w:r>
      <w:r w:rsidR="00F14CD0">
        <w:rPr>
          <w:lang w:val="en-US"/>
        </w:rPr>
        <w:t>.</w:t>
      </w:r>
      <w:r>
        <w:rPr>
          <w:lang w:val="en-US"/>
        </w:rPr>
        <w:t xml:space="preserve"> 15, No 3/4, Nov. 1929, pp. 219-235.</w:t>
      </w:r>
    </w:p>
    <w:p w14:paraId="78189CE7" w14:textId="1B2DCFC2" w:rsidR="001A21FD" w:rsidRPr="00C41889" w:rsidRDefault="001A21FD" w:rsidP="005B73DC">
      <w:pPr>
        <w:spacing w:beforeAutospacing="1" w:afterAutospacing="1"/>
        <w:rPr>
          <w:lang w:val="en-US"/>
        </w:rPr>
      </w:pPr>
      <w:r w:rsidRPr="00E35321">
        <w:rPr>
          <w:lang w:val="en-US"/>
        </w:rPr>
        <w:t>Ogden, Daniel</w:t>
      </w:r>
      <w:r>
        <w:rPr>
          <w:lang w:val="en-US"/>
        </w:rPr>
        <w:t>,</w:t>
      </w:r>
      <w:r w:rsidRPr="00E35321">
        <w:rPr>
          <w:lang w:val="en-US"/>
        </w:rPr>
        <w:t xml:space="preserve"> </w:t>
      </w:r>
      <w:r w:rsidRPr="003B75EE">
        <w:rPr>
          <w:i/>
          <w:iCs/>
          <w:lang w:val="en-US"/>
        </w:rPr>
        <w:t>Magic, Witchcraft and Ghosts in the Greek and Roman Wolds</w:t>
      </w:r>
      <w:r>
        <w:rPr>
          <w:lang w:val="en-US"/>
        </w:rPr>
        <w:t>, 2</w:t>
      </w:r>
      <w:r w:rsidRPr="00E35321">
        <w:rPr>
          <w:vertAlign w:val="superscript"/>
          <w:lang w:val="en-US"/>
        </w:rPr>
        <w:t>nd</w:t>
      </w:r>
      <w:r>
        <w:rPr>
          <w:lang w:val="en-US"/>
        </w:rPr>
        <w:t xml:space="preserve"> edn. (Oxford: Oxford University Press, 2009).</w:t>
      </w:r>
    </w:p>
    <w:p w14:paraId="49285166" w14:textId="685B6B54" w:rsidR="005B73DC" w:rsidRDefault="005B73DC" w:rsidP="005B73DC">
      <w:pPr>
        <w:spacing w:beforeAutospacing="1" w:afterAutospacing="1"/>
        <w:rPr>
          <w:rFonts w:ascii="Calibri" w:eastAsia="Times New Roman" w:hAnsi="Calibri" w:cs="Calibri"/>
          <w:color w:val="000000"/>
          <w:bdr w:val="none" w:sz="0" w:space="0" w:color="auto" w:frame="1"/>
          <w:lang w:val="en-US" w:eastAsia="en-GB"/>
        </w:rPr>
      </w:pPr>
      <w:r w:rsidRPr="005B73DC">
        <w:rPr>
          <w:rFonts w:ascii="Calibri" w:eastAsia="Times New Roman" w:hAnsi="Calibri" w:cs="Calibri"/>
          <w:color w:val="000000"/>
          <w:bdr w:val="none" w:sz="0" w:space="0" w:color="auto" w:frame="1"/>
          <w:lang w:val="en-US" w:eastAsia="en-GB"/>
        </w:rPr>
        <w:lastRenderedPageBreak/>
        <w:t>Otto, Bernd-Christian</w:t>
      </w:r>
      <w:r>
        <w:rPr>
          <w:rFonts w:ascii="Calibri" w:eastAsia="Times New Roman" w:hAnsi="Calibri" w:cs="Calibri"/>
          <w:color w:val="000000"/>
          <w:bdr w:val="none" w:sz="0" w:space="0" w:color="auto" w:frame="1"/>
          <w:lang w:val="en-US" w:eastAsia="en-GB"/>
        </w:rPr>
        <w:t>,</w:t>
      </w:r>
      <w:r w:rsidRPr="005B73DC">
        <w:rPr>
          <w:rFonts w:ascii="Calibri" w:eastAsia="Times New Roman" w:hAnsi="Calibri" w:cs="Calibri"/>
          <w:color w:val="000000"/>
          <w:bdr w:val="none" w:sz="0" w:space="0" w:color="auto" w:frame="1"/>
          <w:lang w:val="en-US" w:eastAsia="en-GB"/>
        </w:rPr>
        <w:t xml:space="preserve"> “Towards Historicizing “Magic” in Antiquity”, </w:t>
      </w:r>
      <w:r w:rsidRPr="005B73DC">
        <w:rPr>
          <w:rFonts w:ascii="Calibri" w:eastAsia="Times New Roman" w:hAnsi="Calibri" w:cs="Calibri"/>
          <w:i/>
          <w:iCs/>
          <w:color w:val="000000"/>
          <w:bdr w:val="none" w:sz="0" w:space="0" w:color="auto" w:frame="1"/>
          <w:lang w:val="en-US" w:eastAsia="en-GB"/>
        </w:rPr>
        <w:t>Numen</w:t>
      </w:r>
      <w:r w:rsidRPr="005B73DC">
        <w:rPr>
          <w:rFonts w:ascii="Calibri" w:eastAsia="Times New Roman" w:hAnsi="Calibri" w:cs="Calibri"/>
          <w:color w:val="000000"/>
          <w:bdr w:val="none" w:sz="0" w:space="0" w:color="auto" w:frame="1"/>
          <w:lang w:val="en-US" w:eastAsia="en-GB"/>
        </w:rPr>
        <w:t>, Vol 60, No. 2/3 (2013), 308-347.</w:t>
      </w:r>
    </w:p>
    <w:p w14:paraId="16315FB1" w14:textId="682651BE" w:rsidR="001A21FD" w:rsidRDefault="001A21FD" w:rsidP="005B73DC">
      <w:pPr>
        <w:spacing w:beforeAutospacing="1" w:afterAutospacing="1"/>
        <w:rPr>
          <w:rFonts w:ascii="Calibri" w:eastAsia="Times New Roman" w:hAnsi="Calibri" w:cs="Calibri"/>
          <w:color w:val="000000"/>
          <w:bdr w:val="none" w:sz="0" w:space="0" w:color="auto" w:frame="1"/>
          <w:lang w:val="en-US" w:eastAsia="en-GB"/>
        </w:rPr>
      </w:pPr>
      <w:r w:rsidRPr="0093685A">
        <w:rPr>
          <w:lang w:val="en-US"/>
        </w:rPr>
        <w:t>Pulleyn, Simon</w:t>
      </w:r>
      <w:r>
        <w:rPr>
          <w:lang w:val="en-US"/>
        </w:rPr>
        <w:t>,</w:t>
      </w:r>
      <w:r w:rsidRPr="0093685A">
        <w:rPr>
          <w:lang w:val="en-US"/>
        </w:rPr>
        <w:t xml:space="preserve"> “The </w:t>
      </w:r>
      <w:r>
        <w:rPr>
          <w:lang w:val="en-US"/>
        </w:rPr>
        <w:t xml:space="preserve">Power of Names in Classical Greek Religion”, </w:t>
      </w:r>
      <w:r w:rsidRPr="0093685A">
        <w:rPr>
          <w:i/>
          <w:iCs/>
          <w:lang w:val="en-US"/>
        </w:rPr>
        <w:t>The Classical Quarterly</w:t>
      </w:r>
      <w:r>
        <w:rPr>
          <w:lang w:val="en-US"/>
        </w:rPr>
        <w:t>, Vol. 44, No. 1 (1994), pp. 17-25.</w:t>
      </w:r>
    </w:p>
    <w:p w14:paraId="49FD4799" w14:textId="77777777" w:rsidR="00EF7962" w:rsidRDefault="00EF7962" w:rsidP="00EF7962">
      <w:pPr>
        <w:spacing w:beforeAutospacing="1" w:afterAutospacing="1"/>
        <w:rPr>
          <w:rFonts w:ascii="Calibri" w:eastAsia="Times New Roman" w:hAnsi="Calibri" w:cs="Calibri"/>
          <w:color w:val="000000"/>
          <w:bdr w:val="none" w:sz="0" w:space="0" w:color="auto" w:frame="1"/>
          <w:lang w:val="en-US" w:eastAsia="en-GB"/>
        </w:rPr>
      </w:pPr>
      <w:r w:rsidRPr="007E716B">
        <w:rPr>
          <w:lang w:val="en-GB"/>
        </w:rPr>
        <w:t xml:space="preserve">Remus, </w:t>
      </w:r>
      <w:r>
        <w:rPr>
          <w:lang w:val="en-GB"/>
        </w:rPr>
        <w:t xml:space="preserve">Harold, </w:t>
      </w:r>
      <w:r w:rsidRPr="007E716B">
        <w:rPr>
          <w:lang w:val="en-GB"/>
        </w:rPr>
        <w:t xml:space="preserve">“Magic”, Method, Madness”, </w:t>
      </w:r>
      <w:r w:rsidRPr="007E716B">
        <w:rPr>
          <w:i/>
          <w:iCs/>
          <w:lang w:val="en-GB"/>
        </w:rPr>
        <w:t>Method &amp; Theory in the Study of Religion</w:t>
      </w:r>
      <w:r w:rsidRPr="007E716B">
        <w:rPr>
          <w:lang w:val="en-GB"/>
        </w:rPr>
        <w:t>, vo. 11, no. 3 (1999), 258-298</w:t>
      </w:r>
      <w:r>
        <w:rPr>
          <w:lang w:val="en-GB"/>
        </w:rPr>
        <w:t>.</w:t>
      </w:r>
    </w:p>
    <w:p w14:paraId="2F059E9D" w14:textId="68F70F56" w:rsidR="00EF7962" w:rsidRDefault="00EF7962" w:rsidP="005B73DC">
      <w:pPr>
        <w:spacing w:beforeAutospacing="1" w:afterAutospacing="1"/>
        <w:rPr>
          <w:lang w:val="en-GB"/>
        </w:rPr>
      </w:pPr>
      <w:r w:rsidRPr="00810615">
        <w:rPr>
          <w:lang w:val="en-GB"/>
        </w:rPr>
        <w:t xml:space="preserve">Gregory Shaw, </w:t>
      </w:r>
      <w:r w:rsidRPr="00EF7962">
        <w:rPr>
          <w:i/>
          <w:iCs/>
          <w:lang w:val="en-GB"/>
        </w:rPr>
        <w:t>Theurgy and the Soul: The Neoplatonism of Iamblichus</w:t>
      </w:r>
      <w:r w:rsidRPr="00810615">
        <w:rPr>
          <w:lang w:val="en-GB"/>
        </w:rPr>
        <w:t xml:space="preserve">, (The Pennsylvania State University Press, 1995). </w:t>
      </w:r>
    </w:p>
    <w:p w14:paraId="69144EE0" w14:textId="504B32A7" w:rsidR="001A21FD" w:rsidRPr="00EF7962" w:rsidRDefault="001A21FD" w:rsidP="005B73DC">
      <w:pPr>
        <w:spacing w:beforeAutospacing="1" w:afterAutospacing="1"/>
        <w:rPr>
          <w:lang w:val="en-GB"/>
        </w:rPr>
      </w:pPr>
      <w:r w:rsidRPr="007E716B">
        <w:rPr>
          <w:lang w:val="en-GB"/>
        </w:rPr>
        <w:t>Struck,</w:t>
      </w:r>
      <w:r>
        <w:rPr>
          <w:lang w:val="en-GB"/>
        </w:rPr>
        <w:t xml:space="preserve"> </w:t>
      </w:r>
      <w:r w:rsidRPr="007E716B">
        <w:rPr>
          <w:lang w:val="en-GB"/>
        </w:rPr>
        <w:t>Peter T.</w:t>
      </w:r>
      <w:r>
        <w:rPr>
          <w:lang w:val="en-GB"/>
        </w:rPr>
        <w:t>,</w:t>
      </w:r>
      <w:r w:rsidRPr="007E716B">
        <w:rPr>
          <w:lang w:val="en-GB"/>
        </w:rPr>
        <w:t xml:space="preserve">  </w:t>
      </w:r>
      <w:r w:rsidRPr="007E716B">
        <w:rPr>
          <w:i/>
          <w:iCs/>
          <w:lang w:val="en-GB"/>
        </w:rPr>
        <w:t xml:space="preserve">Birth of Symbol, </w:t>
      </w:r>
      <w:r>
        <w:rPr>
          <w:lang w:val="en-GB"/>
        </w:rPr>
        <w:t xml:space="preserve">(Princeton and Oxford: Princeton University Press, 2004), (1965), </w:t>
      </w:r>
      <w:r w:rsidRPr="007E716B">
        <w:rPr>
          <w:lang w:val="en-GB"/>
        </w:rPr>
        <w:t>p. 2</w:t>
      </w:r>
      <w:r>
        <w:rPr>
          <w:lang w:val="en-GB"/>
        </w:rPr>
        <w:t>14</w:t>
      </w:r>
      <w:r w:rsidRPr="007E716B">
        <w:rPr>
          <w:lang w:val="en-GB"/>
        </w:rPr>
        <w:t>.</w:t>
      </w:r>
    </w:p>
    <w:p w14:paraId="45AB8D12" w14:textId="294E7C1A" w:rsidR="005B73DC" w:rsidRDefault="005B73DC" w:rsidP="005B73DC">
      <w:pPr>
        <w:spacing w:beforeAutospacing="1" w:afterAutospacing="1"/>
        <w:rPr>
          <w:rFonts w:ascii="Calibri" w:hAnsi="Calibri" w:cs="Calibri"/>
          <w:lang w:val="en-GB"/>
        </w:rPr>
      </w:pPr>
      <w:r w:rsidRPr="007E716B">
        <w:rPr>
          <w:lang w:val="en-GB"/>
        </w:rPr>
        <w:t>U</w:t>
      </w:r>
      <w:r w:rsidRPr="007E716B">
        <w:rPr>
          <w:rFonts w:ascii="Calibri" w:hAnsi="Calibri" w:cs="Calibri"/>
          <w:lang w:val="en-GB"/>
        </w:rPr>
        <w:t>ždavinys</w:t>
      </w:r>
      <w:r>
        <w:rPr>
          <w:rFonts w:ascii="Calibri" w:hAnsi="Calibri" w:cs="Calibri"/>
          <w:lang w:val="en-GB"/>
        </w:rPr>
        <w:t xml:space="preserve"> </w:t>
      </w:r>
      <w:r w:rsidRPr="007E716B">
        <w:rPr>
          <w:lang w:val="en-GB"/>
        </w:rPr>
        <w:t>Algis</w:t>
      </w:r>
      <w:r>
        <w:rPr>
          <w:lang w:val="en-GB"/>
        </w:rPr>
        <w:t>,</w:t>
      </w:r>
      <w:r w:rsidRPr="007E716B">
        <w:rPr>
          <w:lang w:val="en-GB"/>
        </w:rPr>
        <w:t xml:space="preserve"> </w:t>
      </w:r>
      <w:r w:rsidRPr="007E716B">
        <w:rPr>
          <w:rFonts w:ascii="Calibri" w:hAnsi="Calibri" w:cs="Calibri"/>
          <w:i/>
          <w:iCs/>
          <w:lang w:val="en-GB"/>
        </w:rPr>
        <w:t>Philosophy &amp; Theurgy in Late Antiquity</w:t>
      </w:r>
      <w:r w:rsidRPr="007E716B">
        <w:rPr>
          <w:rFonts w:ascii="Calibri" w:hAnsi="Calibri" w:cs="Calibri"/>
          <w:lang w:val="en-GB"/>
        </w:rPr>
        <w:t>, 2</w:t>
      </w:r>
      <w:r w:rsidRPr="007E716B">
        <w:rPr>
          <w:rFonts w:ascii="Calibri" w:hAnsi="Calibri" w:cs="Calibri"/>
          <w:vertAlign w:val="superscript"/>
          <w:lang w:val="en-GB"/>
        </w:rPr>
        <w:t>nd</w:t>
      </w:r>
      <w:r w:rsidRPr="007E716B">
        <w:rPr>
          <w:rFonts w:ascii="Calibri" w:hAnsi="Calibri" w:cs="Calibri"/>
          <w:lang w:val="en-GB"/>
        </w:rPr>
        <w:t xml:space="preserve"> edn. (OH: Angelico Press/Sophia Perennis, 2014)</w:t>
      </w:r>
      <w:r>
        <w:rPr>
          <w:rFonts w:ascii="Calibri" w:hAnsi="Calibri" w:cs="Calibri"/>
          <w:lang w:val="en-GB"/>
        </w:rPr>
        <w:t>.</w:t>
      </w:r>
    </w:p>
    <w:p w14:paraId="65F6A9D2" w14:textId="4C09FB49" w:rsidR="001A21FD" w:rsidRDefault="001A21FD" w:rsidP="005B73DC">
      <w:pPr>
        <w:spacing w:beforeAutospacing="1" w:afterAutospacing="1"/>
        <w:rPr>
          <w:rFonts w:ascii="Calibri" w:eastAsia="Times New Roman" w:hAnsi="Calibri" w:cs="Calibri"/>
          <w:color w:val="000000"/>
          <w:bdr w:val="none" w:sz="0" w:space="0" w:color="auto" w:frame="1"/>
          <w:lang w:val="en-US" w:eastAsia="en-GB"/>
        </w:rPr>
      </w:pPr>
      <w:r w:rsidRPr="00CB6DE3">
        <w:rPr>
          <w:lang w:val="en-GB"/>
        </w:rPr>
        <w:t>Wallis, R. T.</w:t>
      </w:r>
      <w:r>
        <w:rPr>
          <w:lang w:val="en-GB"/>
        </w:rPr>
        <w:t>,</w:t>
      </w:r>
      <w:r w:rsidRPr="00CB6DE3">
        <w:rPr>
          <w:lang w:val="en-GB"/>
        </w:rPr>
        <w:t xml:space="preserve"> </w:t>
      </w:r>
      <w:r w:rsidRPr="00CB6DE3">
        <w:rPr>
          <w:i/>
          <w:iCs/>
          <w:lang w:val="en-GB"/>
        </w:rPr>
        <w:t>Neoplatonism</w:t>
      </w:r>
      <w:r w:rsidRPr="00CB6DE3">
        <w:rPr>
          <w:lang w:val="en-GB"/>
        </w:rPr>
        <w:t>, 2</w:t>
      </w:r>
      <w:r w:rsidRPr="00CB6DE3">
        <w:rPr>
          <w:vertAlign w:val="superscript"/>
          <w:lang w:val="en-GB"/>
        </w:rPr>
        <w:t>nd</w:t>
      </w:r>
      <w:r w:rsidRPr="00CB6DE3">
        <w:rPr>
          <w:lang w:val="en-GB"/>
        </w:rPr>
        <w:t xml:space="preserve"> ed., (London: Gerald Duckworth, 1995)</w:t>
      </w:r>
    </w:p>
    <w:p w14:paraId="5C87285A" w14:textId="20FE8D88" w:rsidR="005B73DC" w:rsidRPr="005B73DC" w:rsidRDefault="005B73DC" w:rsidP="005B73DC">
      <w:pPr>
        <w:spacing w:beforeAutospacing="1" w:afterAutospacing="1"/>
        <w:rPr>
          <w:rFonts w:ascii="Calibri" w:eastAsia="Times New Roman" w:hAnsi="Calibri" w:cs="Calibri"/>
          <w:color w:val="000000"/>
          <w:lang w:eastAsia="en-GB"/>
        </w:rPr>
      </w:pPr>
      <w:r w:rsidRPr="005B73DC">
        <w:rPr>
          <w:rFonts w:ascii="Calibri" w:eastAsia="Times New Roman" w:hAnsi="Calibri" w:cs="Calibri"/>
          <w:color w:val="000000"/>
          <w:bdr w:val="none" w:sz="0" w:space="0" w:color="auto" w:frame="1"/>
          <w:lang w:val="en-US" w:eastAsia="en-GB"/>
        </w:rPr>
        <w:t>Wax</w:t>
      </w:r>
      <w:r>
        <w:rPr>
          <w:rFonts w:ascii="Calibri" w:eastAsia="Times New Roman" w:hAnsi="Calibri" w:cs="Calibri"/>
          <w:color w:val="000000"/>
          <w:bdr w:val="none" w:sz="0" w:space="0" w:color="auto" w:frame="1"/>
          <w:lang w:val="en-US" w:eastAsia="en-GB"/>
        </w:rPr>
        <w:t>, Murray</w:t>
      </w:r>
      <w:r w:rsidRPr="005B73DC">
        <w:rPr>
          <w:rFonts w:ascii="Calibri" w:eastAsia="Times New Roman" w:hAnsi="Calibri" w:cs="Calibri"/>
          <w:color w:val="000000"/>
          <w:bdr w:val="none" w:sz="0" w:space="0" w:color="auto" w:frame="1"/>
          <w:lang w:val="en-US" w:eastAsia="en-GB"/>
        </w:rPr>
        <w:t xml:space="preserve"> and Rosalie Wax, “The Notion of Magic”, Current Anthropology, Vol. 4, No. 5, (1963),  495-518</w:t>
      </w:r>
      <w:r>
        <w:rPr>
          <w:rFonts w:ascii="Calibri" w:eastAsia="Times New Roman" w:hAnsi="Calibri" w:cs="Calibri"/>
          <w:color w:val="000000"/>
          <w:bdr w:val="none" w:sz="0" w:space="0" w:color="auto" w:frame="1"/>
          <w:lang w:val="en-US" w:eastAsia="en-GB"/>
        </w:rPr>
        <w:t>.</w:t>
      </w:r>
    </w:p>
    <w:p w14:paraId="54B64D0C" w14:textId="39F53D7E" w:rsidR="002701C5" w:rsidRDefault="002701C5" w:rsidP="002701C5">
      <w:pPr>
        <w:rPr>
          <w:lang w:val="it-IT"/>
        </w:rPr>
      </w:pPr>
    </w:p>
    <w:p w14:paraId="1044E2D1" w14:textId="518CC38E" w:rsidR="00E651AE" w:rsidRPr="00E651AE" w:rsidRDefault="00E651AE" w:rsidP="002701C5">
      <w:pPr>
        <w:rPr>
          <w:lang w:val="it-IT"/>
        </w:rPr>
      </w:pPr>
    </w:p>
    <w:sectPr w:rsidR="00E651AE" w:rsidRPr="00E651A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FEA29" w14:textId="77777777" w:rsidR="00CC09CC" w:rsidRDefault="00CC09CC" w:rsidP="00666D54">
      <w:r>
        <w:separator/>
      </w:r>
    </w:p>
  </w:endnote>
  <w:endnote w:type="continuationSeparator" w:id="0">
    <w:p w14:paraId="6B6CFAC0" w14:textId="77777777" w:rsidR="00CC09CC" w:rsidRDefault="00CC09CC" w:rsidP="00666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Georgia">
    <w:altName w:val="﷽﷽﷽﷽﷽﷽﷽﷽㼀ɝ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5242124"/>
      <w:docPartObj>
        <w:docPartGallery w:val="Page Numbers (Bottom of Page)"/>
        <w:docPartUnique/>
      </w:docPartObj>
    </w:sdtPr>
    <w:sdtEndPr>
      <w:rPr>
        <w:rStyle w:val="PageNumber"/>
      </w:rPr>
    </w:sdtEndPr>
    <w:sdtContent>
      <w:p w14:paraId="59731C56" w14:textId="617EB10C" w:rsidR="00666D54" w:rsidRDefault="00666D54" w:rsidP="006A46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00BD84" w14:textId="77777777" w:rsidR="00666D54" w:rsidRDefault="00666D54" w:rsidP="00666D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20140498"/>
      <w:docPartObj>
        <w:docPartGallery w:val="Page Numbers (Bottom of Page)"/>
        <w:docPartUnique/>
      </w:docPartObj>
    </w:sdtPr>
    <w:sdtEndPr>
      <w:rPr>
        <w:rStyle w:val="PageNumber"/>
      </w:rPr>
    </w:sdtEndPr>
    <w:sdtContent>
      <w:p w14:paraId="4C2F6D8B" w14:textId="57E0D679" w:rsidR="00666D54" w:rsidRDefault="00666D54" w:rsidP="006A46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7E37CB" w14:textId="77777777" w:rsidR="00666D54" w:rsidRDefault="00666D54" w:rsidP="00666D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9ABEE5" w14:textId="77777777" w:rsidR="00CC09CC" w:rsidRDefault="00CC09CC" w:rsidP="00666D54">
      <w:r>
        <w:separator/>
      </w:r>
    </w:p>
  </w:footnote>
  <w:footnote w:type="continuationSeparator" w:id="0">
    <w:p w14:paraId="12A95305" w14:textId="77777777" w:rsidR="00CC09CC" w:rsidRDefault="00CC09CC" w:rsidP="00666D54">
      <w:r>
        <w:continuationSeparator/>
      </w:r>
    </w:p>
  </w:footnote>
  <w:footnote w:id="1">
    <w:p w14:paraId="59E080A1" w14:textId="34D0E8FB" w:rsidR="0064558A" w:rsidRPr="00E35321" w:rsidRDefault="0064558A" w:rsidP="0064558A">
      <w:pPr>
        <w:pStyle w:val="FootnoteText"/>
        <w:rPr>
          <w:rFonts w:ascii="Calibri" w:hAnsi="Calibri" w:cs="Calibri"/>
          <w:i/>
          <w:iCs/>
          <w:lang w:val="en-GB"/>
        </w:rPr>
      </w:pPr>
      <w:r w:rsidRPr="00A20757">
        <w:rPr>
          <w:rStyle w:val="FootnoteReference"/>
        </w:rPr>
        <w:footnoteRef/>
      </w:r>
      <w:r w:rsidRPr="00C748F4">
        <w:rPr>
          <w:rFonts w:ascii="Calibri" w:hAnsi="Calibri" w:cs="Calibri"/>
          <w:i/>
          <w:iCs/>
          <w:lang w:val="en-GB"/>
        </w:rPr>
        <w:t xml:space="preserve"> </w:t>
      </w:r>
      <w:r w:rsidR="00C748F4">
        <w:rPr>
          <w:rFonts w:ascii="Calibri" w:hAnsi="Calibri" w:cs="Calibri"/>
          <w:lang w:val="en-GB"/>
        </w:rPr>
        <w:t>For some important considerations on the use of the term “Gr</w:t>
      </w:r>
      <w:r w:rsidR="00D2663A">
        <w:rPr>
          <w:rFonts w:ascii="Calibri" w:hAnsi="Calibri" w:cs="Calibri"/>
          <w:lang w:val="en-GB"/>
        </w:rPr>
        <w:t>a</w:t>
      </w:r>
      <w:r w:rsidR="00C748F4">
        <w:rPr>
          <w:rFonts w:ascii="Calibri" w:hAnsi="Calibri" w:cs="Calibri"/>
          <w:lang w:val="en-GB"/>
        </w:rPr>
        <w:t xml:space="preserve">eco-Roman” see: </w:t>
      </w:r>
      <w:r w:rsidR="00C748F4">
        <w:rPr>
          <w:lang w:val="en-US"/>
        </w:rPr>
        <w:t xml:space="preserve">Martha Himmelfarb, “Panel Discussion. “Magic in the Ancient World” by Fritz Graf”, </w:t>
      </w:r>
      <w:r w:rsidR="00C748F4" w:rsidRPr="00F24955">
        <w:rPr>
          <w:i/>
          <w:iCs/>
          <w:lang w:val="en-US"/>
        </w:rPr>
        <w:t>Numen</w:t>
      </w:r>
      <w:r w:rsidR="00C748F4">
        <w:rPr>
          <w:lang w:val="en-US"/>
        </w:rPr>
        <w:t xml:space="preserve">, Vol. 46, No. 3 (1999), 291-325, (p. 294). This paper adopts </w:t>
      </w:r>
      <w:r w:rsidR="00A20757">
        <w:rPr>
          <w:lang w:val="en-US"/>
        </w:rPr>
        <w:t>what she refers to as the</w:t>
      </w:r>
      <w:r w:rsidR="00C748F4">
        <w:rPr>
          <w:lang w:val="en-US"/>
        </w:rPr>
        <w:t xml:space="preserve"> </w:t>
      </w:r>
      <w:r w:rsidR="00C748F4" w:rsidRPr="00A20757">
        <w:rPr>
          <w:i/>
          <w:iCs/>
          <w:lang w:val="en-US"/>
        </w:rPr>
        <w:t>inclusive usage</w:t>
      </w:r>
      <w:r w:rsidR="00C748F4">
        <w:rPr>
          <w:lang w:val="en-US"/>
        </w:rPr>
        <w:t xml:space="preserve"> of the </w:t>
      </w:r>
      <w:r w:rsidR="00A20757">
        <w:rPr>
          <w:lang w:val="en-US"/>
        </w:rPr>
        <w:t xml:space="preserve">term. The magical papyri used as primary source are, in fact, originally from Egypt. </w:t>
      </w:r>
    </w:p>
  </w:footnote>
  <w:footnote w:id="2">
    <w:p w14:paraId="28A99D06" w14:textId="34860F55" w:rsidR="007B7B03" w:rsidRPr="00996C79" w:rsidRDefault="007B7B03">
      <w:pPr>
        <w:pStyle w:val="FootnoteText"/>
        <w:rPr>
          <w:lang w:val="en-GB"/>
        </w:rPr>
      </w:pPr>
      <w:r w:rsidRPr="007E716B">
        <w:rPr>
          <w:rStyle w:val="FootnoteReference"/>
          <w:lang w:val="en-GB"/>
        </w:rPr>
        <w:footnoteRef/>
      </w:r>
      <w:r w:rsidRPr="007E716B">
        <w:rPr>
          <w:lang w:val="en-GB"/>
        </w:rPr>
        <w:t xml:space="preserve"> </w:t>
      </w:r>
      <w:proofErr w:type="spellStart"/>
      <w:r w:rsidRPr="007E716B">
        <w:rPr>
          <w:lang w:val="en-GB"/>
        </w:rPr>
        <w:t>Algis</w:t>
      </w:r>
      <w:proofErr w:type="spellEnd"/>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2</w:t>
      </w:r>
      <w:r w:rsidRPr="007E716B">
        <w:rPr>
          <w:rFonts w:ascii="Calibri" w:hAnsi="Calibri" w:cs="Calibri"/>
          <w:vertAlign w:val="superscript"/>
          <w:lang w:val="en-GB"/>
        </w:rPr>
        <w:t>nd</w:t>
      </w:r>
      <w:r w:rsidRPr="007E716B">
        <w:rPr>
          <w:rFonts w:ascii="Calibri" w:hAnsi="Calibri" w:cs="Calibri"/>
          <w:lang w:val="en-GB"/>
        </w:rPr>
        <w:t xml:space="preserve"> edn. (OH: Angelico Press/Sophia Perennis, 2014), p</w:t>
      </w:r>
      <w:r w:rsidR="00CE141E">
        <w:rPr>
          <w:rFonts w:ascii="Calibri" w:hAnsi="Calibri" w:cs="Calibri"/>
          <w:lang w:val="en-GB"/>
        </w:rPr>
        <w:t>p</w:t>
      </w:r>
      <w:r w:rsidRPr="007E716B">
        <w:rPr>
          <w:rFonts w:ascii="Calibri" w:hAnsi="Calibri" w:cs="Calibri"/>
          <w:lang w:val="en-GB"/>
        </w:rPr>
        <w:t>. 251-252.</w:t>
      </w:r>
      <w:r w:rsidR="00996C79">
        <w:rPr>
          <w:rFonts w:ascii="Calibri" w:hAnsi="Calibri" w:cs="Calibri"/>
          <w:lang w:val="en-GB"/>
        </w:rPr>
        <w:t xml:space="preserve"> </w:t>
      </w:r>
      <w:r w:rsidR="00996C79">
        <w:rPr>
          <w:lang w:val="en-US"/>
        </w:rPr>
        <w:t xml:space="preserve">For a brief overview of these methodologies applied to the study of magic and a critical examination of their flaws, see: David Frankfurter, “Panel Discussion. “Magic in the Ancient World” by Fritz Graf”, </w:t>
      </w:r>
      <w:r w:rsidR="00996C79" w:rsidRPr="00F24955">
        <w:rPr>
          <w:i/>
          <w:iCs/>
          <w:lang w:val="en-US"/>
        </w:rPr>
        <w:t>Numen</w:t>
      </w:r>
      <w:r w:rsidR="00996C79">
        <w:rPr>
          <w:lang w:val="en-US"/>
        </w:rPr>
        <w:t>, Vol. 46, No. 3 (1999), 291-325, (p</w:t>
      </w:r>
      <w:r w:rsidR="00CE141E">
        <w:rPr>
          <w:lang w:val="en-US"/>
        </w:rPr>
        <w:t>p</w:t>
      </w:r>
      <w:r w:rsidR="00996C79">
        <w:rPr>
          <w:lang w:val="en-US"/>
        </w:rPr>
        <w:t xml:space="preserve">. 313, 314). For an even more comprehensive and critical review of the various methodologies that have been adopted by scholars see: </w:t>
      </w:r>
      <w:r w:rsidR="00996C79" w:rsidRPr="007E716B">
        <w:rPr>
          <w:lang w:val="en-GB"/>
        </w:rPr>
        <w:t xml:space="preserve">Murray Wax and Rosalie Wax, “The Notion of Magic”, </w:t>
      </w:r>
      <w:r w:rsidR="00996C79" w:rsidRPr="007E716B">
        <w:rPr>
          <w:i/>
          <w:iCs/>
          <w:lang w:val="en-GB"/>
        </w:rPr>
        <w:t>Current Anthropology</w:t>
      </w:r>
      <w:r w:rsidR="00996C79" w:rsidRPr="007E716B">
        <w:rPr>
          <w:lang w:val="en-GB"/>
        </w:rPr>
        <w:t>, Vol. 4, No. 5, (1963),  495-518</w:t>
      </w:r>
      <w:r w:rsidR="00996C79">
        <w:rPr>
          <w:lang w:val="en-GB"/>
        </w:rPr>
        <w:t xml:space="preserve"> and Bernd-Christian Otto, </w:t>
      </w:r>
      <w:r w:rsidR="00996C79" w:rsidRPr="007E716B">
        <w:rPr>
          <w:lang w:val="en-GB"/>
        </w:rPr>
        <w:t xml:space="preserve">“Towards Historicizing “Magic” in Antiquity”, </w:t>
      </w:r>
      <w:r w:rsidR="00996C79" w:rsidRPr="00996C79">
        <w:rPr>
          <w:i/>
          <w:iCs/>
          <w:lang w:val="en-GB"/>
        </w:rPr>
        <w:t>Numen</w:t>
      </w:r>
      <w:r w:rsidR="00996C79">
        <w:rPr>
          <w:lang w:val="en-GB"/>
        </w:rPr>
        <w:t>, Vol 60, No. 2/3 (2013), 308-347, (</w:t>
      </w:r>
      <w:r w:rsidR="00996C79" w:rsidRPr="007E716B">
        <w:rPr>
          <w:lang w:val="en-GB"/>
        </w:rPr>
        <w:t>p</w:t>
      </w:r>
      <w:r w:rsidR="00CE141E">
        <w:rPr>
          <w:lang w:val="en-GB"/>
        </w:rPr>
        <w:t>p</w:t>
      </w:r>
      <w:r w:rsidR="00996C79" w:rsidRPr="007E716B">
        <w:rPr>
          <w:lang w:val="en-GB"/>
        </w:rPr>
        <w:t>. 31</w:t>
      </w:r>
      <w:r w:rsidR="00996C79">
        <w:rPr>
          <w:lang w:val="en-GB"/>
        </w:rPr>
        <w:t>2-319)</w:t>
      </w:r>
      <w:r w:rsidR="00996C79" w:rsidRPr="007E716B">
        <w:rPr>
          <w:lang w:val="en-GB"/>
        </w:rPr>
        <w:t>.</w:t>
      </w:r>
    </w:p>
  </w:footnote>
  <w:footnote w:id="3">
    <w:p w14:paraId="57A6529A" w14:textId="1A1EEBEE" w:rsidR="00085DBF" w:rsidRPr="00085DBF" w:rsidRDefault="00085DBF">
      <w:pPr>
        <w:pStyle w:val="FootnoteText"/>
        <w:rPr>
          <w:lang w:val="en-US"/>
        </w:rPr>
      </w:pPr>
      <w:r>
        <w:rPr>
          <w:rStyle w:val="FootnoteReference"/>
        </w:rPr>
        <w:footnoteRef/>
      </w:r>
      <w:r>
        <w:t xml:space="preserve"> </w:t>
      </w:r>
      <w:r w:rsidRPr="00085DBF">
        <w:rPr>
          <w:lang w:val="en-US"/>
        </w:rPr>
        <w:t xml:space="preserve">The terms were originally coined by </w:t>
      </w:r>
      <w:r>
        <w:rPr>
          <w:lang w:val="en-US"/>
        </w:rPr>
        <w:t xml:space="preserve">K. L. Pike in his </w:t>
      </w:r>
      <w:r w:rsidRPr="00085DBF">
        <w:rPr>
          <w:i/>
          <w:iCs/>
          <w:lang w:val="en-US"/>
        </w:rPr>
        <w:t xml:space="preserve">Language in Relation to a Unified Theory of the Structure of Human </w:t>
      </w:r>
      <w:proofErr w:type="spellStart"/>
      <w:r w:rsidRPr="00085DBF">
        <w:rPr>
          <w:i/>
          <w:iCs/>
          <w:lang w:val="en-US"/>
        </w:rPr>
        <w:t>Behaviour</w:t>
      </w:r>
      <w:proofErr w:type="spellEnd"/>
      <w:r>
        <w:rPr>
          <w:lang w:val="en-US"/>
        </w:rPr>
        <w:t>, 2</w:t>
      </w:r>
      <w:r w:rsidRPr="00085DBF">
        <w:rPr>
          <w:vertAlign w:val="superscript"/>
          <w:lang w:val="en-US"/>
        </w:rPr>
        <w:t>nd</w:t>
      </w:r>
      <w:r>
        <w:rPr>
          <w:lang w:val="en-US"/>
        </w:rPr>
        <w:t xml:space="preserve"> ed, 1967, pp. 37-72 in Leonardo Costantini, “Two Studies of Ancient Magic”, </w:t>
      </w:r>
      <w:r w:rsidRPr="00061870">
        <w:rPr>
          <w:i/>
          <w:iCs/>
          <w:lang w:val="en-US"/>
        </w:rPr>
        <w:t>The Classical Review</w:t>
      </w:r>
      <w:r>
        <w:rPr>
          <w:lang w:val="en-US"/>
        </w:rPr>
        <w:t>, vol 7</w:t>
      </w:r>
      <w:r w:rsidR="00061870">
        <w:rPr>
          <w:lang w:val="en-US"/>
        </w:rPr>
        <w:t>0</w:t>
      </w:r>
      <w:r>
        <w:rPr>
          <w:lang w:val="en-US"/>
        </w:rPr>
        <w:t>.1, (The Classical Association, 2019)</w:t>
      </w:r>
      <w:r w:rsidR="00061870">
        <w:rPr>
          <w:lang w:val="en-US"/>
        </w:rPr>
        <w:t>, pp. 247-249 (p. 247)</w:t>
      </w:r>
      <w:r w:rsidR="00E72267">
        <w:rPr>
          <w:lang w:val="en-US"/>
        </w:rPr>
        <w:t>.</w:t>
      </w:r>
    </w:p>
  </w:footnote>
  <w:footnote w:id="4">
    <w:p w14:paraId="4E31DC49" w14:textId="263A8741" w:rsidR="00596DA3" w:rsidRPr="00596DA3" w:rsidRDefault="00596DA3">
      <w:pPr>
        <w:pStyle w:val="FootnoteText"/>
      </w:pPr>
      <w:r>
        <w:rPr>
          <w:rStyle w:val="FootnoteReference"/>
        </w:rPr>
        <w:footnoteRef/>
      </w:r>
      <w:r>
        <w:t xml:space="preserve"> </w:t>
      </w:r>
      <w:r w:rsidRPr="00596DA3">
        <w:rPr>
          <w:lang w:val="en-US"/>
        </w:rPr>
        <w:t>T</w:t>
      </w:r>
      <w:r>
        <w:rPr>
          <w:lang w:val="en-US"/>
        </w:rPr>
        <w:t xml:space="preserve">he etic approach entails </w:t>
      </w:r>
      <w:r w:rsidRPr="00191088">
        <w:rPr>
          <w:lang w:val="en-GB"/>
        </w:rPr>
        <w:t xml:space="preserve">the use of concepts developed by </w:t>
      </w:r>
      <w:r>
        <w:rPr>
          <w:lang w:val="en-GB"/>
        </w:rPr>
        <w:t>the scholars</w:t>
      </w:r>
      <w:r w:rsidRPr="00191088">
        <w:rPr>
          <w:lang w:val="en-GB"/>
        </w:rPr>
        <w:t>, not by the actors,</w:t>
      </w:r>
      <w:r>
        <w:rPr>
          <w:lang w:val="en-GB"/>
        </w:rPr>
        <w:t xml:space="preserve"> while</w:t>
      </w:r>
      <w:r w:rsidRPr="00191088">
        <w:rPr>
          <w:lang w:val="en-GB"/>
        </w:rPr>
        <w:t xml:space="preserve"> trying to keep the definition of a concept</w:t>
      </w:r>
      <w:r>
        <w:rPr>
          <w:lang w:val="en-GB"/>
        </w:rPr>
        <w:t xml:space="preserve"> </w:t>
      </w:r>
      <w:r w:rsidRPr="00191088">
        <w:rPr>
          <w:lang w:val="en-GB"/>
        </w:rPr>
        <w:t>as close as possible to the actors</w:t>
      </w:r>
      <w:r>
        <w:rPr>
          <w:lang w:val="en-GB"/>
        </w:rPr>
        <w:t>’</w:t>
      </w:r>
      <w:r w:rsidRPr="00191088">
        <w:rPr>
          <w:lang w:val="en-GB"/>
        </w:rPr>
        <w:t xml:space="preserve"> point of view</w:t>
      </w:r>
      <w:r>
        <w:rPr>
          <w:lang w:val="en-GB"/>
        </w:rPr>
        <w:t xml:space="preserve">. The emic approach attempts to </w:t>
      </w:r>
      <w:r w:rsidRPr="00191088">
        <w:rPr>
          <w:lang w:val="en-GB"/>
        </w:rPr>
        <w:t>descri</w:t>
      </w:r>
      <w:r>
        <w:rPr>
          <w:lang w:val="en-GB"/>
        </w:rPr>
        <w:t>be</w:t>
      </w:r>
      <w:r w:rsidRPr="00191088">
        <w:rPr>
          <w:lang w:val="en-GB"/>
        </w:rPr>
        <w:t xml:space="preserve"> a particular culture in terms of its internal elements and their functioning rather than in terms of an</w:t>
      </w:r>
      <w:r>
        <w:rPr>
          <w:lang w:val="en-GB"/>
        </w:rPr>
        <w:t xml:space="preserve"> </w:t>
      </w:r>
      <w:r w:rsidRPr="00191088">
        <w:rPr>
          <w:lang w:val="en-GB"/>
        </w:rPr>
        <w:t>external scheme</w:t>
      </w:r>
      <w:r>
        <w:rPr>
          <w:lang w:val="en-GB"/>
        </w:rPr>
        <w:t xml:space="preserve">. </w:t>
      </w:r>
    </w:p>
  </w:footnote>
  <w:footnote w:id="5">
    <w:p w14:paraId="4F94D27F" w14:textId="16070740" w:rsidR="00151BEC" w:rsidRPr="00151BEC" w:rsidRDefault="00151BEC">
      <w:pPr>
        <w:pStyle w:val="FootnoteText"/>
        <w:rPr>
          <w:lang w:val="en-US"/>
        </w:rPr>
      </w:pPr>
      <w:r>
        <w:rPr>
          <w:rStyle w:val="FootnoteReference"/>
        </w:rPr>
        <w:footnoteRef/>
      </w:r>
      <w:r>
        <w:t xml:space="preserve"> </w:t>
      </w:r>
      <w:r w:rsidRPr="00151BEC">
        <w:rPr>
          <w:lang w:val="en-US"/>
        </w:rPr>
        <w:t>The first signs of th</w:t>
      </w:r>
      <w:r>
        <w:rPr>
          <w:lang w:val="en-US"/>
        </w:rPr>
        <w:t xml:space="preserve">is attitude go back as far as 1929 when J. E. Lowe wrote in </w:t>
      </w:r>
      <w:r w:rsidRPr="00151BEC">
        <w:rPr>
          <w:i/>
          <w:iCs/>
          <w:lang w:val="en-US"/>
        </w:rPr>
        <w:t>Magic in Greek and Latin Literature</w:t>
      </w:r>
      <w:r>
        <w:rPr>
          <w:lang w:val="en-US"/>
        </w:rPr>
        <w:t>: “Many definitions…have been attempted: none, perhaps, is wholly satisfactory. The word connotes so much, the boundary line between it and religion is so hazy and indefinable, that it is almost impossible to tie it down and restrict it to the narrow limits of some neat turn of phrase that will hit it off and have done with it”</w:t>
      </w:r>
      <w:r w:rsidR="00CE141E">
        <w:rPr>
          <w:lang w:val="en-US"/>
        </w:rPr>
        <w:t>,</w:t>
      </w:r>
      <w:r>
        <w:rPr>
          <w:lang w:val="en-US"/>
        </w:rPr>
        <w:t xml:space="preserve"> in </w:t>
      </w:r>
      <w:r w:rsidRPr="004A720D">
        <w:rPr>
          <w:lang w:val="en-US"/>
        </w:rPr>
        <w:t xml:space="preserve">Robert L. Fowler, </w:t>
      </w:r>
      <w:r>
        <w:rPr>
          <w:lang w:val="en-US"/>
        </w:rPr>
        <w:t>“Greek Magic, Greek Religion”,</w:t>
      </w:r>
      <w:r w:rsidR="00996C79">
        <w:rPr>
          <w:lang w:val="en-US"/>
        </w:rPr>
        <w:t xml:space="preserve"> </w:t>
      </w:r>
      <w:r w:rsidR="00996C79" w:rsidRPr="00996C79">
        <w:rPr>
          <w:i/>
          <w:iCs/>
          <w:lang w:val="en-US"/>
        </w:rPr>
        <w:t>Illinois Classical Studies</w:t>
      </w:r>
      <w:r w:rsidR="00996C79">
        <w:rPr>
          <w:lang w:val="en-US"/>
        </w:rPr>
        <w:t>, Vol. 20 (1995), 1-22</w:t>
      </w:r>
      <w:r>
        <w:rPr>
          <w:lang w:val="en-US"/>
        </w:rPr>
        <w:t xml:space="preserve"> </w:t>
      </w:r>
      <w:r w:rsidR="00996C79">
        <w:rPr>
          <w:lang w:val="en-US"/>
        </w:rPr>
        <w:t>(</w:t>
      </w:r>
      <w:r>
        <w:rPr>
          <w:lang w:val="en-US"/>
        </w:rPr>
        <w:t>p. 20</w:t>
      </w:r>
      <w:r w:rsidR="00996C79">
        <w:rPr>
          <w:lang w:val="en-US"/>
        </w:rPr>
        <w:t>)</w:t>
      </w:r>
      <w:r>
        <w:rPr>
          <w:lang w:val="en-US"/>
        </w:rPr>
        <w:t>.</w:t>
      </w:r>
    </w:p>
  </w:footnote>
  <w:footnote w:id="6">
    <w:p w14:paraId="48803EDD" w14:textId="74BC5FF3" w:rsidR="00871635" w:rsidRPr="007E716B" w:rsidRDefault="00871635">
      <w:pPr>
        <w:pStyle w:val="FootnoteText"/>
        <w:rPr>
          <w:lang w:val="en-GB"/>
        </w:rPr>
      </w:pPr>
      <w:r w:rsidRPr="007E716B">
        <w:rPr>
          <w:rStyle w:val="FootnoteReference"/>
          <w:lang w:val="en-GB"/>
        </w:rPr>
        <w:footnoteRef/>
      </w:r>
      <w:r w:rsidRPr="007E716B">
        <w:rPr>
          <w:lang w:val="en-GB"/>
        </w:rPr>
        <w:t xml:space="preserve"> For a summary of this discussion between scholars such as </w:t>
      </w:r>
      <w:r w:rsidR="003A50A9">
        <w:rPr>
          <w:lang w:val="en-GB"/>
        </w:rPr>
        <w:t xml:space="preserve">Jonathan Z. </w:t>
      </w:r>
      <w:r w:rsidRPr="007E716B">
        <w:rPr>
          <w:lang w:val="en-GB"/>
        </w:rPr>
        <w:t>Smith</w:t>
      </w:r>
      <w:r w:rsidR="003A50A9">
        <w:rPr>
          <w:lang w:val="en-GB"/>
        </w:rPr>
        <w:t xml:space="preserve"> and Styers, advocate</w:t>
      </w:r>
      <w:r w:rsidR="00FF1F86">
        <w:rPr>
          <w:lang w:val="en-GB"/>
        </w:rPr>
        <w:t>s</w:t>
      </w:r>
      <w:r w:rsidR="003A50A9">
        <w:rPr>
          <w:lang w:val="en-GB"/>
        </w:rPr>
        <w:t xml:space="preserve"> of the deconstructionist position</w:t>
      </w:r>
      <w:r w:rsidR="00CE141E">
        <w:rPr>
          <w:lang w:val="en-GB"/>
        </w:rPr>
        <w:t>,</w:t>
      </w:r>
      <w:r w:rsidR="003A50A9">
        <w:rPr>
          <w:lang w:val="en-GB"/>
        </w:rPr>
        <w:t xml:space="preserve"> </w:t>
      </w:r>
      <w:r w:rsidRPr="007E716B">
        <w:rPr>
          <w:lang w:val="en-GB"/>
        </w:rPr>
        <w:t xml:space="preserve">proposing to abandon the term magic </w:t>
      </w:r>
      <w:r w:rsidR="00FF1F86">
        <w:rPr>
          <w:lang w:val="en-GB"/>
        </w:rPr>
        <w:t>completely</w:t>
      </w:r>
      <w:r w:rsidRPr="007E716B">
        <w:rPr>
          <w:lang w:val="en-GB"/>
        </w:rPr>
        <w:t xml:space="preserve"> and the opposing </w:t>
      </w:r>
      <w:r w:rsidR="00FF1F86">
        <w:rPr>
          <w:lang w:val="en-GB"/>
        </w:rPr>
        <w:t xml:space="preserve">arguments </w:t>
      </w:r>
      <w:r w:rsidRPr="007E716B">
        <w:rPr>
          <w:lang w:val="en-GB"/>
        </w:rPr>
        <w:t xml:space="preserve">of </w:t>
      </w:r>
      <w:r w:rsidR="003A50A9">
        <w:rPr>
          <w:lang w:val="en-GB"/>
        </w:rPr>
        <w:t xml:space="preserve">C. A. </w:t>
      </w:r>
      <w:r w:rsidRPr="007E716B">
        <w:rPr>
          <w:lang w:val="en-GB"/>
        </w:rPr>
        <w:t>Hoffman, see Otto, “Towards Historicizing “Magic” in Antiquity”, p</w:t>
      </w:r>
      <w:r w:rsidR="00CE141E">
        <w:rPr>
          <w:lang w:val="en-GB"/>
        </w:rPr>
        <w:t>p</w:t>
      </w:r>
      <w:r w:rsidRPr="007E716B">
        <w:rPr>
          <w:lang w:val="en-GB"/>
        </w:rPr>
        <w:t xml:space="preserve">. </w:t>
      </w:r>
      <w:r w:rsidR="003A50A9">
        <w:rPr>
          <w:lang w:val="en-GB"/>
        </w:rPr>
        <w:t xml:space="preserve">317, </w:t>
      </w:r>
      <w:r w:rsidRPr="007E716B">
        <w:rPr>
          <w:lang w:val="en-GB"/>
        </w:rPr>
        <w:t xml:space="preserve">318. </w:t>
      </w:r>
    </w:p>
  </w:footnote>
  <w:footnote w:id="7">
    <w:p w14:paraId="2245711D" w14:textId="5DCE4DEC" w:rsidR="00FF1F86" w:rsidRPr="00614BEA" w:rsidRDefault="00FF1F86">
      <w:pPr>
        <w:pStyle w:val="FootnoteText"/>
        <w:rPr>
          <w:lang w:val="en-US"/>
        </w:rPr>
      </w:pPr>
      <w:r>
        <w:rPr>
          <w:rStyle w:val="FootnoteReference"/>
        </w:rPr>
        <w:footnoteRef/>
      </w:r>
      <w:r>
        <w:t xml:space="preserve"> </w:t>
      </w:r>
      <w:r w:rsidRPr="00614BEA">
        <w:rPr>
          <w:lang w:val="en-US"/>
        </w:rPr>
        <w:t xml:space="preserve">See note </w:t>
      </w:r>
      <w:r w:rsidR="00614BEA" w:rsidRPr="00614BEA">
        <w:rPr>
          <w:lang w:val="en-US"/>
        </w:rPr>
        <w:t>2</w:t>
      </w:r>
      <w:r w:rsidR="00614BEA">
        <w:rPr>
          <w:lang w:val="en-US"/>
        </w:rPr>
        <w:t>.</w:t>
      </w:r>
    </w:p>
  </w:footnote>
  <w:footnote w:id="8">
    <w:p w14:paraId="31D7DE60" w14:textId="5B6E69C4" w:rsidR="00C324D4" w:rsidRPr="007E716B" w:rsidRDefault="00C324D4">
      <w:pPr>
        <w:pStyle w:val="FootnoteText"/>
        <w:rPr>
          <w:lang w:val="en-GB"/>
        </w:rPr>
      </w:pPr>
      <w:r w:rsidRPr="007E716B">
        <w:rPr>
          <w:rStyle w:val="FootnoteReference"/>
          <w:lang w:val="en-GB"/>
        </w:rPr>
        <w:footnoteRef/>
      </w:r>
      <w:r w:rsidRPr="007E716B">
        <w:rPr>
          <w:lang w:val="en-GB"/>
        </w:rPr>
        <w:t xml:space="preserve"> With the exception of </w:t>
      </w:r>
      <w:r w:rsidR="003A50A9">
        <w:rPr>
          <w:lang w:val="en-GB"/>
        </w:rPr>
        <w:t xml:space="preserve">the term </w:t>
      </w:r>
      <w:r w:rsidRPr="007E716B">
        <w:rPr>
          <w:lang w:val="en-GB"/>
        </w:rPr>
        <w:t xml:space="preserve">religion that is absent from the Greek vocabulary and makes its apparition </w:t>
      </w:r>
      <w:r w:rsidR="003350CB" w:rsidRPr="007E716B">
        <w:rPr>
          <w:lang w:val="en-GB"/>
        </w:rPr>
        <w:t xml:space="preserve">only in </w:t>
      </w:r>
      <w:r w:rsidR="003350CB" w:rsidRPr="003A50A9">
        <w:rPr>
          <w:lang w:val="en-GB"/>
        </w:rPr>
        <w:t>Latin</w:t>
      </w:r>
      <w:r w:rsidR="003350CB" w:rsidRPr="007E716B">
        <w:rPr>
          <w:lang w:val="en-GB"/>
        </w:rPr>
        <w:t xml:space="preserve">. </w:t>
      </w:r>
    </w:p>
  </w:footnote>
  <w:footnote w:id="9">
    <w:p w14:paraId="5B7261B2" w14:textId="45893205" w:rsidR="001D6279" w:rsidRPr="007E716B" w:rsidRDefault="001D6279">
      <w:pPr>
        <w:pStyle w:val="FootnoteText"/>
        <w:rPr>
          <w:lang w:val="en-GB"/>
        </w:rPr>
      </w:pPr>
      <w:r w:rsidRPr="007E716B">
        <w:rPr>
          <w:rStyle w:val="FootnoteReference"/>
          <w:lang w:val="en-GB"/>
        </w:rPr>
        <w:footnoteRef/>
      </w:r>
      <w:r w:rsidRPr="007E716B">
        <w:rPr>
          <w:lang w:val="en-GB"/>
        </w:rPr>
        <w:t xml:space="preserve"> </w:t>
      </w:r>
      <w:r w:rsidR="00C41889">
        <w:rPr>
          <w:lang w:val="en-GB"/>
        </w:rPr>
        <w:t xml:space="preserve">Fritz </w:t>
      </w:r>
      <w:r w:rsidR="00090616" w:rsidRPr="007E716B">
        <w:rPr>
          <w:lang w:val="en-GB"/>
        </w:rPr>
        <w:t xml:space="preserve">Graf, </w:t>
      </w:r>
      <w:r w:rsidR="00090616" w:rsidRPr="007E716B">
        <w:rPr>
          <w:i/>
          <w:iCs/>
          <w:lang w:val="en-GB"/>
        </w:rPr>
        <w:t>Magic in the Ancient World</w:t>
      </w:r>
      <w:r w:rsidR="00090616" w:rsidRPr="007E716B">
        <w:rPr>
          <w:lang w:val="en-GB"/>
        </w:rPr>
        <w:t xml:space="preserve">, </w:t>
      </w:r>
      <w:r w:rsidR="00DC6250">
        <w:rPr>
          <w:lang w:val="en-GB"/>
        </w:rPr>
        <w:t xml:space="preserve">(Cambridge, Massachusetts, and London: Harvard University Press, 1997) </w:t>
      </w:r>
      <w:r w:rsidR="00090616" w:rsidRPr="007E716B">
        <w:rPr>
          <w:lang w:val="en-GB"/>
        </w:rPr>
        <w:t>p.</w:t>
      </w:r>
      <w:r w:rsidR="00925C9B" w:rsidRPr="007E716B">
        <w:rPr>
          <w:lang w:val="en-GB"/>
        </w:rPr>
        <w:t xml:space="preserve"> 18.</w:t>
      </w:r>
    </w:p>
  </w:footnote>
  <w:footnote w:id="10">
    <w:p w14:paraId="7463A51F" w14:textId="79B9D580" w:rsidR="00090616" w:rsidRPr="007E716B" w:rsidRDefault="00090616">
      <w:pPr>
        <w:pStyle w:val="FootnoteText"/>
        <w:rPr>
          <w:lang w:val="en-GB"/>
        </w:rPr>
      </w:pPr>
      <w:r w:rsidRPr="007E716B">
        <w:rPr>
          <w:rStyle w:val="FootnoteReference"/>
          <w:lang w:val="en-GB"/>
        </w:rPr>
        <w:footnoteRef/>
      </w:r>
      <w:r w:rsidRPr="007E716B">
        <w:rPr>
          <w:lang w:val="en-GB"/>
        </w:rPr>
        <w:t xml:space="preserve"> Otto, “Towards Historicizing “Magic” in Antiquity”, p</w:t>
      </w:r>
      <w:r w:rsidR="00CE141E">
        <w:rPr>
          <w:lang w:val="en-GB"/>
        </w:rPr>
        <w:t>p</w:t>
      </w:r>
      <w:r w:rsidRPr="007E716B">
        <w:rPr>
          <w:lang w:val="en-GB"/>
        </w:rPr>
        <w:t>. 31</w:t>
      </w:r>
      <w:r w:rsidR="00DC6250">
        <w:rPr>
          <w:lang w:val="en-GB"/>
        </w:rPr>
        <w:t>9, 323</w:t>
      </w:r>
      <w:r w:rsidRPr="007E716B">
        <w:rPr>
          <w:lang w:val="en-GB"/>
        </w:rPr>
        <w:t>.</w:t>
      </w:r>
    </w:p>
  </w:footnote>
  <w:footnote w:id="11">
    <w:p w14:paraId="41B210E3" w14:textId="565BC8F5" w:rsidR="00090616" w:rsidRPr="007E716B" w:rsidRDefault="00090616">
      <w:pPr>
        <w:pStyle w:val="FootnoteText"/>
        <w:rPr>
          <w:lang w:val="en-GB"/>
        </w:rPr>
      </w:pPr>
      <w:r w:rsidRPr="007E716B">
        <w:rPr>
          <w:rStyle w:val="FootnoteReference"/>
          <w:lang w:val="en-GB"/>
        </w:rPr>
        <w:footnoteRef/>
      </w:r>
      <w:r w:rsidRPr="007E716B">
        <w:rPr>
          <w:lang w:val="en-GB"/>
        </w:rPr>
        <w:t xml:space="preserve"> </w:t>
      </w:r>
      <w:r w:rsidR="00C41889">
        <w:rPr>
          <w:lang w:val="en-GB"/>
        </w:rPr>
        <w:t xml:space="preserve">Fritz </w:t>
      </w:r>
      <w:r w:rsidRPr="007E716B">
        <w:rPr>
          <w:lang w:val="en-GB"/>
        </w:rPr>
        <w:t xml:space="preserve">Graf, </w:t>
      </w:r>
      <w:r w:rsidRPr="007E716B">
        <w:rPr>
          <w:i/>
          <w:iCs/>
          <w:lang w:val="en-GB"/>
        </w:rPr>
        <w:t xml:space="preserve">Magic in the Ancient World, </w:t>
      </w:r>
      <w:r w:rsidRPr="007E716B">
        <w:rPr>
          <w:lang w:val="en-GB"/>
        </w:rPr>
        <w:t>p. 36.</w:t>
      </w:r>
      <w:r w:rsidR="00596DA3">
        <w:rPr>
          <w:lang w:val="en-GB"/>
        </w:rPr>
        <w:t xml:space="preserve"> Graf showed h</w:t>
      </w:r>
      <w:r w:rsidR="00DC6250">
        <w:rPr>
          <w:lang w:val="en-GB"/>
        </w:rPr>
        <w:t xml:space="preserve">ow </w:t>
      </w:r>
      <w:r w:rsidR="00596DA3">
        <w:rPr>
          <w:lang w:val="en-GB"/>
        </w:rPr>
        <w:t xml:space="preserve">magic </w:t>
      </w:r>
      <w:r w:rsidR="00DC6250">
        <w:rPr>
          <w:lang w:val="en-GB"/>
        </w:rPr>
        <w:t>was</w:t>
      </w:r>
      <w:r w:rsidR="00596DA3">
        <w:rPr>
          <w:lang w:val="en-GB"/>
        </w:rPr>
        <w:t xml:space="preserve"> quite a different thing</w:t>
      </w:r>
      <w:r w:rsidR="00DC6250">
        <w:rPr>
          <w:lang w:val="en-GB"/>
        </w:rPr>
        <w:t>, for example,</w:t>
      </w:r>
      <w:r w:rsidR="00596DA3">
        <w:rPr>
          <w:lang w:val="en-GB"/>
        </w:rPr>
        <w:t xml:space="preserve"> for the Greek</w:t>
      </w:r>
      <w:r w:rsidR="00FF1F86">
        <w:rPr>
          <w:lang w:val="en-GB"/>
        </w:rPr>
        <w:t>s</w:t>
      </w:r>
      <w:r w:rsidR="00596DA3">
        <w:rPr>
          <w:lang w:val="en-GB"/>
        </w:rPr>
        <w:t xml:space="preserve"> and the Romans even when considered in the exact same period in time</w:t>
      </w:r>
      <w:r w:rsidR="00DC6250">
        <w:rPr>
          <w:lang w:val="en-GB"/>
        </w:rPr>
        <w:t>.</w:t>
      </w:r>
    </w:p>
  </w:footnote>
  <w:footnote w:id="12">
    <w:p w14:paraId="00B880F9" w14:textId="770BA1DE" w:rsidR="00D766CE" w:rsidRPr="00D766CE" w:rsidRDefault="00D766CE">
      <w:pPr>
        <w:pStyle w:val="FootnoteText"/>
      </w:pPr>
      <w:r>
        <w:rPr>
          <w:rStyle w:val="FootnoteReference"/>
        </w:rPr>
        <w:footnoteRef/>
      </w:r>
      <w:r>
        <w:t xml:space="preserve"> </w:t>
      </w:r>
      <w:r w:rsidRPr="007E716B">
        <w:rPr>
          <w:lang w:val="en-GB"/>
        </w:rPr>
        <w:t xml:space="preserve">Harold Remus, “Magic”, Method, Madness”, </w:t>
      </w:r>
      <w:r w:rsidRPr="007E716B">
        <w:rPr>
          <w:i/>
          <w:iCs/>
          <w:lang w:val="en-GB"/>
        </w:rPr>
        <w:t>Method &amp; Theory in the Study of Religion</w:t>
      </w:r>
      <w:r w:rsidRPr="007E716B">
        <w:rPr>
          <w:lang w:val="en-GB"/>
        </w:rPr>
        <w:t>, vo. 11, no. 3 (1999), 258-298, (p. 2</w:t>
      </w:r>
      <w:r>
        <w:rPr>
          <w:lang w:val="en-GB"/>
        </w:rPr>
        <w:t>65</w:t>
      </w:r>
      <w:r w:rsidRPr="007E716B">
        <w:rPr>
          <w:lang w:val="en-GB"/>
        </w:rPr>
        <w:t>).</w:t>
      </w:r>
    </w:p>
  </w:footnote>
  <w:footnote w:id="13">
    <w:p w14:paraId="44472427" w14:textId="77777777" w:rsidR="00E1422B" w:rsidRPr="004A720D" w:rsidRDefault="00E1422B" w:rsidP="00E1422B">
      <w:pPr>
        <w:pStyle w:val="FootnoteText"/>
        <w:rPr>
          <w:lang w:val="en-US"/>
        </w:rPr>
      </w:pPr>
      <w:r>
        <w:rPr>
          <w:rStyle w:val="FootnoteReference"/>
        </w:rPr>
        <w:footnoteRef/>
      </w:r>
      <w:r>
        <w:t xml:space="preserve"> </w:t>
      </w:r>
      <w:r w:rsidRPr="004A720D">
        <w:rPr>
          <w:lang w:val="en-US"/>
        </w:rPr>
        <w:t xml:space="preserve">Robert L. Fowler, </w:t>
      </w:r>
      <w:r>
        <w:rPr>
          <w:lang w:val="en-US"/>
        </w:rPr>
        <w:t xml:space="preserve">“Greek Magic, Greek Religion”, </w:t>
      </w:r>
      <w:r w:rsidRPr="004A720D">
        <w:rPr>
          <w:i/>
          <w:iCs/>
          <w:lang w:val="en-US"/>
        </w:rPr>
        <w:t>Illinois Classical Studies</w:t>
      </w:r>
      <w:r>
        <w:rPr>
          <w:lang w:val="en-US"/>
        </w:rPr>
        <w:t xml:space="preserve">, Vol. 20 (1995), pp. 1-22 (p. 1). </w:t>
      </w:r>
    </w:p>
    <w:p w14:paraId="4D7F20F1" w14:textId="16A45C10" w:rsidR="00E1422B" w:rsidRPr="00E1422B" w:rsidRDefault="00E1422B">
      <w:pPr>
        <w:pStyle w:val="FootnoteText"/>
      </w:pPr>
      <w:r>
        <w:rPr>
          <w:rStyle w:val="FootnoteReference"/>
        </w:rPr>
        <w:footnoteRef/>
      </w:r>
      <w:r>
        <w:t xml:space="preserve"> </w:t>
      </w:r>
      <w:r w:rsidRPr="00F24955">
        <w:rPr>
          <w:lang w:val="en-US"/>
        </w:rPr>
        <w:t xml:space="preserve">Jan </w:t>
      </w:r>
      <w:r>
        <w:rPr>
          <w:lang w:val="en-US"/>
        </w:rPr>
        <w:t xml:space="preserve">N. Bremmer, “The Birth of the Term Magic”, </w:t>
      </w:r>
      <w:r w:rsidR="00C41889" w:rsidRPr="00C41889">
        <w:rPr>
          <w:i/>
          <w:iCs/>
          <w:lang w:val="en-US"/>
        </w:rPr>
        <w:t>Zeitschrift für Papyrologie und Epigraphik</w:t>
      </w:r>
      <w:r w:rsidR="00C41889">
        <w:rPr>
          <w:lang w:val="en-US"/>
        </w:rPr>
        <w:t>, Vol. 126 (1999), 1-12, (</w:t>
      </w:r>
      <w:r>
        <w:rPr>
          <w:lang w:val="en-US"/>
        </w:rPr>
        <w:t>p. 2</w:t>
      </w:r>
      <w:r w:rsidR="00C41889">
        <w:rPr>
          <w:lang w:val="en-US"/>
        </w:rPr>
        <w:t>)</w:t>
      </w:r>
      <w:r>
        <w:rPr>
          <w:lang w:val="en-US"/>
        </w:rPr>
        <w:t xml:space="preserve">. Note 3. </w:t>
      </w:r>
    </w:p>
  </w:footnote>
  <w:footnote w:id="14">
    <w:p w14:paraId="279B6001" w14:textId="34E234C5" w:rsidR="007841C4" w:rsidRPr="004E2048" w:rsidRDefault="007841C4" w:rsidP="004E2048">
      <w:pPr>
        <w:rPr>
          <w:sz w:val="20"/>
          <w:szCs w:val="20"/>
          <w:lang w:val="en-US"/>
        </w:rPr>
      </w:pPr>
      <w:r w:rsidRPr="007E716B">
        <w:rPr>
          <w:rStyle w:val="FootnoteReference"/>
          <w:lang w:val="en-GB"/>
        </w:rPr>
        <w:footnoteRef/>
      </w:r>
      <w:r w:rsidRPr="007E716B">
        <w:rPr>
          <w:lang w:val="en-GB"/>
        </w:rPr>
        <w:t xml:space="preserve"> </w:t>
      </w:r>
      <w:r w:rsidRPr="004E2048">
        <w:rPr>
          <w:sz w:val="20"/>
          <w:szCs w:val="20"/>
          <w:lang w:val="en-US"/>
        </w:rPr>
        <w:t xml:space="preserve">Ilsetraut Hadot, </w:t>
      </w:r>
      <w:r w:rsidR="004E2048">
        <w:rPr>
          <w:sz w:val="20"/>
          <w:szCs w:val="20"/>
          <w:lang w:val="en-US"/>
        </w:rPr>
        <w:t>“</w:t>
      </w:r>
      <w:r w:rsidRPr="004E2048">
        <w:rPr>
          <w:sz w:val="20"/>
          <w:szCs w:val="20"/>
          <w:lang w:val="en-US"/>
        </w:rPr>
        <w:t>The Spiritual Guide</w:t>
      </w:r>
      <w:r w:rsidR="004E2048">
        <w:rPr>
          <w:sz w:val="20"/>
          <w:szCs w:val="20"/>
          <w:lang w:val="en-US"/>
        </w:rPr>
        <w:t>”</w:t>
      </w:r>
      <w:r w:rsidRPr="004E2048">
        <w:rPr>
          <w:sz w:val="20"/>
          <w:szCs w:val="20"/>
          <w:lang w:val="en-US"/>
        </w:rPr>
        <w:t xml:space="preserve">, </w:t>
      </w:r>
      <w:r w:rsidR="004E2048">
        <w:rPr>
          <w:sz w:val="20"/>
          <w:szCs w:val="20"/>
          <w:lang w:val="en-US"/>
        </w:rPr>
        <w:t xml:space="preserve">in </w:t>
      </w:r>
      <w:r w:rsidR="004E2048" w:rsidRPr="004E2048">
        <w:rPr>
          <w:i/>
          <w:iCs/>
          <w:sz w:val="20"/>
          <w:szCs w:val="20"/>
          <w:lang w:val="en-US"/>
        </w:rPr>
        <w:t>Classical Mediterranean Spirituality: Egyptian, Greek, Roman</w:t>
      </w:r>
      <w:r w:rsidR="004E2048" w:rsidRPr="004E2048">
        <w:rPr>
          <w:sz w:val="20"/>
          <w:szCs w:val="20"/>
          <w:lang w:val="en-US"/>
        </w:rPr>
        <w:t>, ed</w:t>
      </w:r>
      <w:r w:rsidR="004E2048">
        <w:rPr>
          <w:sz w:val="20"/>
          <w:szCs w:val="20"/>
          <w:lang w:val="en-US"/>
        </w:rPr>
        <w:t>.</w:t>
      </w:r>
      <w:r w:rsidR="004E2048" w:rsidRPr="004E2048">
        <w:rPr>
          <w:sz w:val="20"/>
          <w:szCs w:val="20"/>
          <w:lang w:val="en-US"/>
        </w:rPr>
        <w:t xml:space="preserve"> by A. H. Armstrong (</w:t>
      </w:r>
      <w:r w:rsidR="004E2048">
        <w:rPr>
          <w:sz w:val="20"/>
          <w:szCs w:val="20"/>
          <w:lang w:val="en-US"/>
        </w:rPr>
        <w:t>London: Routledge, 1986</w:t>
      </w:r>
      <w:r w:rsidR="004E2048" w:rsidRPr="004E2048">
        <w:rPr>
          <w:sz w:val="20"/>
          <w:szCs w:val="20"/>
          <w:lang w:val="en-US"/>
        </w:rPr>
        <w:t xml:space="preserve">), </w:t>
      </w:r>
      <w:r w:rsidR="004E2048">
        <w:rPr>
          <w:sz w:val="20"/>
          <w:szCs w:val="20"/>
          <w:lang w:val="en-US"/>
        </w:rPr>
        <w:t>p.</w:t>
      </w:r>
      <w:r w:rsidR="00C41889">
        <w:rPr>
          <w:sz w:val="20"/>
          <w:szCs w:val="20"/>
          <w:lang w:val="en-US"/>
        </w:rPr>
        <w:t xml:space="preserve"> </w:t>
      </w:r>
      <w:r w:rsidR="004E2048">
        <w:rPr>
          <w:sz w:val="20"/>
          <w:szCs w:val="20"/>
          <w:lang w:val="en-US"/>
        </w:rPr>
        <w:t>444</w:t>
      </w:r>
      <w:r w:rsidR="00C41889">
        <w:rPr>
          <w:sz w:val="20"/>
          <w:szCs w:val="20"/>
          <w:lang w:val="en-US"/>
        </w:rPr>
        <w:t>.</w:t>
      </w:r>
    </w:p>
  </w:footnote>
  <w:footnote w:id="15">
    <w:p w14:paraId="29B360CF" w14:textId="6AE75461" w:rsidR="00CE2DE7" w:rsidRPr="007E716B" w:rsidRDefault="00CE2DE7">
      <w:pPr>
        <w:pStyle w:val="FootnoteText"/>
        <w:rPr>
          <w:lang w:val="en-GB"/>
        </w:rPr>
      </w:pPr>
      <w:r w:rsidRPr="007E716B">
        <w:rPr>
          <w:rStyle w:val="FootnoteReference"/>
          <w:lang w:val="en-GB"/>
        </w:rPr>
        <w:footnoteRef/>
      </w:r>
      <w:r w:rsidRPr="007E716B">
        <w:rPr>
          <w:lang w:val="en-GB"/>
        </w:rPr>
        <w:t xml:space="preserve"> For a brief</w:t>
      </w:r>
      <w:r w:rsidR="00CE141E">
        <w:rPr>
          <w:lang w:val="en-GB"/>
        </w:rPr>
        <w:t>,</w:t>
      </w:r>
      <w:r w:rsidRPr="007E716B">
        <w:rPr>
          <w:lang w:val="en-GB"/>
        </w:rPr>
        <w:t xml:space="preserve"> but effective explanation of Neoplatonism as an artefact of 18</w:t>
      </w:r>
      <w:r w:rsidRPr="007E716B">
        <w:rPr>
          <w:vertAlign w:val="superscript"/>
          <w:lang w:val="en-GB"/>
        </w:rPr>
        <w:t>th</w:t>
      </w:r>
      <w:r w:rsidRPr="007E716B">
        <w:rPr>
          <w:lang w:val="en-GB"/>
        </w:rPr>
        <w:t xml:space="preserve"> century German scholarship</w:t>
      </w:r>
      <w:r w:rsidR="00FF1F86">
        <w:rPr>
          <w:lang w:val="en-GB"/>
        </w:rPr>
        <w:t>,</w:t>
      </w:r>
      <w:r w:rsidRPr="007E716B">
        <w:rPr>
          <w:lang w:val="en-GB"/>
        </w:rPr>
        <w:t xml:space="preserve"> intended to derogatively describe the movement started by Plotinus as opposed to Plato’s school of thought, see Crystal Addey, </w:t>
      </w:r>
      <w:r w:rsidRPr="007E716B">
        <w:rPr>
          <w:i/>
          <w:iCs/>
          <w:lang w:val="en-GB"/>
        </w:rPr>
        <w:t>Divination and Theurgy in Neoplatonism,</w:t>
      </w:r>
      <w:r w:rsidRPr="007E716B">
        <w:rPr>
          <w:lang w:val="en-GB"/>
        </w:rPr>
        <w:t xml:space="preserve"> 2</w:t>
      </w:r>
      <w:r w:rsidRPr="007E716B">
        <w:rPr>
          <w:vertAlign w:val="superscript"/>
          <w:lang w:val="en-GB"/>
        </w:rPr>
        <w:t>nd</w:t>
      </w:r>
      <w:r w:rsidRPr="007E716B">
        <w:rPr>
          <w:lang w:val="en-GB"/>
        </w:rPr>
        <w:t xml:space="preserve"> edn. (London and New York: Routledge, 2019), p. 1. This paper follows her indications as per the use of the term in a generic way which doesn’t take into consideration all </w:t>
      </w:r>
      <w:r w:rsidR="00614BEA">
        <w:rPr>
          <w:lang w:val="en-GB"/>
        </w:rPr>
        <w:t>successive</w:t>
      </w:r>
      <w:r w:rsidRPr="007E716B">
        <w:rPr>
          <w:lang w:val="en-GB"/>
        </w:rPr>
        <w:t xml:space="preserve"> differentiations between Middle Platonism and Neoplatonism. </w:t>
      </w:r>
    </w:p>
  </w:footnote>
  <w:footnote w:id="16">
    <w:p w14:paraId="2E69E757" w14:textId="4037FE12" w:rsidR="00DF3B5E" w:rsidRPr="007E716B" w:rsidRDefault="00DF3B5E">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71.</w:t>
      </w:r>
    </w:p>
  </w:footnote>
  <w:footnote w:id="17">
    <w:p w14:paraId="0CF37001" w14:textId="28432CCC" w:rsidR="00D01EFA" w:rsidRPr="00D01EFA" w:rsidRDefault="00D01EFA">
      <w:pPr>
        <w:pStyle w:val="FootnoteText"/>
      </w:pPr>
      <w:r>
        <w:rPr>
          <w:rStyle w:val="FootnoteReference"/>
        </w:rPr>
        <w:footnoteRef/>
      </w:r>
      <w:r>
        <w:t xml:space="preserve"> </w:t>
      </w:r>
      <w:r w:rsidRPr="007E716B">
        <w:rPr>
          <w:lang w:val="en-GB"/>
        </w:rPr>
        <w:t xml:space="preserve">Iamblichus, </w:t>
      </w:r>
      <w:r w:rsidRPr="00D01EFA">
        <w:rPr>
          <w:i/>
          <w:iCs/>
          <w:lang w:val="en-GB"/>
        </w:rPr>
        <w:t>De Mysteriis</w:t>
      </w:r>
      <w:r w:rsidRPr="007E716B">
        <w:rPr>
          <w:lang w:val="en-GB"/>
        </w:rPr>
        <w:t xml:space="preserve"> (On the Mysteries), Emma C. Clarke, John M. Dillon and Jackson P. Hershbell (eds.), 1</w:t>
      </w:r>
      <w:r w:rsidRPr="007E716B">
        <w:rPr>
          <w:vertAlign w:val="superscript"/>
          <w:lang w:val="en-GB"/>
        </w:rPr>
        <w:t>st</w:t>
      </w:r>
      <w:r w:rsidRPr="007E716B">
        <w:rPr>
          <w:lang w:val="en-GB"/>
        </w:rPr>
        <w:t xml:space="preserve"> edn. (Atlanta: Society of Biblical Literature, 2003), </w:t>
      </w:r>
      <w:r w:rsidR="00CA084A">
        <w:rPr>
          <w:lang w:val="en-GB"/>
        </w:rPr>
        <w:t>I</w:t>
      </w:r>
      <w:r w:rsidRPr="007E716B">
        <w:rPr>
          <w:lang w:val="en-GB"/>
        </w:rPr>
        <w:t>.</w:t>
      </w:r>
      <w:r>
        <w:rPr>
          <w:lang w:val="en-GB"/>
        </w:rPr>
        <w:t>1</w:t>
      </w:r>
      <w:r w:rsidRPr="007E716B">
        <w:rPr>
          <w:lang w:val="en-GB"/>
        </w:rPr>
        <w:t>2,</w:t>
      </w:r>
      <w:r w:rsidR="004E2048">
        <w:rPr>
          <w:lang w:val="en-GB"/>
        </w:rPr>
        <w:t xml:space="preserve"> </w:t>
      </w:r>
      <w:r w:rsidR="00CA084A">
        <w:rPr>
          <w:lang w:val="en-GB"/>
        </w:rPr>
        <w:t>42.1-2</w:t>
      </w:r>
      <w:r w:rsidR="004E2048">
        <w:rPr>
          <w:lang w:val="en-GB"/>
        </w:rPr>
        <w:t>,</w:t>
      </w:r>
      <w:r w:rsidRPr="007E716B">
        <w:rPr>
          <w:lang w:val="en-GB"/>
        </w:rPr>
        <w:t xml:space="preserve"> p. </w:t>
      </w:r>
      <w:r>
        <w:rPr>
          <w:lang w:val="en-GB"/>
        </w:rPr>
        <w:t>53</w:t>
      </w:r>
      <w:r w:rsidRPr="007E716B">
        <w:rPr>
          <w:lang w:val="en-GB"/>
        </w:rPr>
        <w:t>.</w:t>
      </w:r>
    </w:p>
  </w:footnote>
  <w:footnote w:id="18">
    <w:p w14:paraId="03C7B7D5" w14:textId="76206CF5" w:rsidR="00DF3B5E" w:rsidRPr="007E716B" w:rsidRDefault="00DF3B5E">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ždavinys</w:t>
      </w:r>
      <w:r w:rsidRPr="007E716B">
        <w:rPr>
          <w:rFonts w:ascii="Calibri" w:hAnsi="Calibri" w:cs="Calibri"/>
          <w:i/>
          <w:iCs/>
          <w:lang w:val="en-GB"/>
        </w:rPr>
        <w:t>, Philosophy &amp; Theurgy in Late Antiquity</w:t>
      </w:r>
      <w:r w:rsidRPr="007E716B">
        <w:rPr>
          <w:rFonts w:ascii="Calibri" w:hAnsi="Calibri" w:cs="Calibri"/>
          <w:lang w:val="en-GB"/>
        </w:rPr>
        <w:t>, p. 16</w:t>
      </w:r>
      <w:r w:rsidR="00D00E33" w:rsidRPr="007E716B">
        <w:rPr>
          <w:rFonts w:ascii="Calibri" w:hAnsi="Calibri" w:cs="Calibri"/>
          <w:lang w:val="en-GB"/>
        </w:rPr>
        <w:t>.</w:t>
      </w:r>
    </w:p>
  </w:footnote>
  <w:footnote w:id="19">
    <w:p w14:paraId="51D475FC" w14:textId="009ADC13" w:rsidR="00CD730F" w:rsidRPr="007E716B" w:rsidRDefault="00CD730F">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78.</w:t>
      </w:r>
    </w:p>
  </w:footnote>
  <w:footnote w:id="20">
    <w:p w14:paraId="4B9BEBD4" w14:textId="084CE8AC" w:rsidR="00D24A63" w:rsidRPr="00D24A63" w:rsidRDefault="00D24A63">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pp. 24</w:t>
      </w:r>
      <w:r>
        <w:rPr>
          <w:lang w:val="en-GB"/>
        </w:rPr>
        <w:t>.</w:t>
      </w:r>
    </w:p>
  </w:footnote>
  <w:footnote w:id="21">
    <w:p w14:paraId="5C88C1AC" w14:textId="5E83728A" w:rsidR="00CD730F" w:rsidRPr="00B61F72" w:rsidRDefault="00CD730F">
      <w:pPr>
        <w:pStyle w:val="FootnoteText"/>
        <w:rPr>
          <w:lang w:val="en-US"/>
        </w:rPr>
      </w:pPr>
      <w:r w:rsidRPr="007E716B">
        <w:rPr>
          <w:rStyle w:val="FootnoteReference"/>
          <w:lang w:val="en-GB"/>
        </w:rPr>
        <w:footnoteRef/>
      </w:r>
      <w:r w:rsidRPr="007E716B">
        <w:rPr>
          <w:lang w:val="en-GB"/>
        </w:rPr>
        <w:t xml:space="preserve"> </w:t>
      </w:r>
      <w:r w:rsidR="00F210C3" w:rsidRPr="007E716B">
        <w:rPr>
          <w:lang w:val="en-GB"/>
        </w:rPr>
        <w:t xml:space="preserve">Iamblichus, </w:t>
      </w:r>
      <w:r w:rsidR="00F210C3" w:rsidRPr="00D01EFA">
        <w:rPr>
          <w:i/>
          <w:iCs/>
          <w:lang w:val="en-GB"/>
        </w:rPr>
        <w:t>De Mysteriis</w:t>
      </w:r>
      <w:r w:rsidR="00F210C3" w:rsidRPr="007E716B">
        <w:rPr>
          <w:lang w:val="en-GB"/>
        </w:rPr>
        <w:t>,</w:t>
      </w:r>
      <w:r w:rsidR="00B61F72">
        <w:rPr>
          <w:lang w:val="en-US"/>
        </w:rPr>
        <w:t xml:space="preserve"> </w:t>
      </w:r>
      <w:r w:rsidR="00F210C3" w:rsidRPr="007E716B">
        <w:rPr>
          <w:lang w:val="en-GB"/>
        </w:rPr>
        <w:t xml:space="preserve"> </w:t>
      </w:r>
      <w:r w:rsidR="00CA084A">
        <w:rPr>
          <w:lang w:val="en-GB"/>
        </w:rPr>
        <w:t>I</w:t>
      </w:r>
      <w:r w:rsidR="00F210C3" w:rsidRPr="007E716B">
        <w:rPr>
          <w:lang w:val="en-GB"/>
        </w:rPr>
        <w:t>.</w:t>
      </w:r>
      <w:r w:rsidR="00F210C3">
        <w:rPr>
          <w:lang w:val="en-GB"/>
        </w:rPr>
        <w:t>1</w:t>
      </w:r>
      <w:r w:rsidR="00F210C3" w:rsidRPr="007E716B">
        <w:rPr>
          <w:lang w:val="en-GB"/>
        </w:rPr>
        <w:t xml:space="preserve">2, </w:t>
      </w:r>
      <w:r w:rsidR="00887F2D">
        <w:rPr>
          <w:lang w:val="en-GB"/>
        </w:rPr>
        <w:t>42</w:t>
      </w:r>
      <w:r w:rsidR="007A0CEF">
        <w:rPr>
          <w:lang w:val="en-GB"/>
        </w:rPr>
        <w:t>,</w:t>
      </w:r>
      <w:r w:rsidR="00887F2D">
        <w:rPr>
          <w:lang w:val="en-GB"/>
        </w:rPr>
        <w:t xml:space="preserve"> </w:t>
      </w:r>
      <w:r w:rsidR="00F210C3" w:rsidRPr="007E716B">
        <w:rPr>
          <w:lang w:val="en-GB"/>
        </w:rPr>
        <w:t xml:space="preserve">p. </w:t>
      </w:r>
      <w:r w:rsidR="00F210C3">
        <w:rPr>
          <w:lang w:val="en-GB"/>
        </w:rPr>
        <w:t>5</w:t>
      </w:r>
      <w:r w:rsidR="00CA084A">
        <w:rPr>
          <w:lang w:val="en-GB"/>
        </w:rPr>
        <w:t>2</w:t>
      </w:r>
      <w:r w:rsidR="00F210C3">
        <w:rPr>
          <w:lang w:val="en-GB"/>
        </w:rPr>
        <w:t xml:space="preserve">  - </w:t>
      </w:r>
      <w:r w:rsidRPr="007E716B">
        <w:rPr>
          <w:lang w:val="en-GB"/>
        </w:rPr>
        <w:t xml:space="preserve">Addey, </w:t>
      </w:r>
      <w:r w:rsidRPr="007E716B">
        <w:rPr>
          <w:i/>
          <w:iCs/>
          <w:lang w:val="en-GB"/>
        </w:rPr>
        <w:t>Divination and Theurgy in Neoplatonism,</w:t>
      </w:r>
      <w:r w:rsidRPr="007E716B">
        <w:rPr>
          <w:lang w:val="en-GB"/>
        </w:rPr>
        <w:t xml:space="preserve"> pp. 24-25. </w:t>
      </w:r>
    </w:p>
  </w:footnote>
  <w:footnote w:id="22">
    <w:p w14:paraId="4CFA29F9" w14:textId="31E7981F" w:rsidR="003C018E" w:rsidRPr="003C018E" w:rsidRDefault="003C018E">
      <w:pPr>
        <w:pStyle w:val="FootnoteText"/>
        <w:rPr>
          <w:lang w:val="en-US"/>
        </w:rPr>
      </w:pPr>
      <w:r>
        <w:rPr>
          <w:rStyle w:val="FootnoteReference"/>
        </w:rPr>
        <w:footnoteRef/>
      </w:r>
      <w:r>
        <w:t xml:space="preserve"> </w:t>
      </w:r>
      <w:r w:rsidRPr="003C018E">
        <w:rPr>
          <w:lang w:val="en-US"/>
        </w:rPr>
        <w:t>Emma C. Clarke, John</w:t>
      </w:r>
      <w:r>
        <w:rPr>
          <w:lang w:val="en-US"/>
        </w:rPr>
        <w:t xml:space="preserve"> M. Dillon, and Jackson P. Hershbell, “Introduction”</w:t>
      </w:r>
      <w:r w:rsidR="00B61F72">
        <w:rPr>
          <w:lang w:val="en-US"/>
        </w:rPr>
        <w:t xml:space="preserve">, </w:t>
      </w:r>
      <w:r>
        <w:rPr>
          <w:lang w:val="en-US"/>
        </w:rPr>
        <w:t xml:space="preserve">in Iamblichus, </w:t>
      </w:r>
      <w:r w:rsidRPr="003C018E">
        <w:rPr>
          <w:i/>
          <w:iCs/>
          <w:lang w:val="en-US"/>
        </w:rPr>
        <w:t>De Mysteriis</w:t>
      </w:r>
      <w:r w:rsidR="00614BEA">
        <w:rPr>
          <w:i/>
          <w:iCs/>
          <w:lang w:val="en-US"/>
        </w:rPr>
        <w:t xml:space="preserve">, </w:t>
      </w:r>
      <w:r w:rsidR="00614BEA">
        <w:rPr>
          <w:lang w:val="en-US"/>
        </w:rPr>
        <w:t>p. xxvii</w:t>
      </w:r>
      <w:r>
        <w:rPr>
          <w:lang w:val="en-US"/>
        </w:rPr>
        <w:t xml:space="preserve">. </w:t>
      </w:r>
    </w:p>
  </w:footnote>
  <w:footnote w:id="23">
    <w:p w14:paraId="69EEB17E" w14:textId="3876D59D" w:rsidR="009721C5" w:rsidRPr="00D01EFA" w:rsidRDefault="009721C5" w:rsidP="009721C5">
      <w:pPr>
        <w:pStyle w:val="FootnoteText"/>
        <w:rPr>
          <w:lang w:val="en-GB"/>
        </w:rPr>
      </w:pPr>
      <w:r>
        <w:rPr>
          <w:rStyle w:val="FootnoteReference"/>
        </w:rPr>
        <w:footnoteRef/>
      </w:r>
      <w:r>
        <w:t xml:space="preserve"> </w:t>
      </w:r>
      <w:r w:rsidRPr="007E716B">
        <w:rPr>
          <w:lang w:val="en-GB"/>
        </w:rPr>
        <w:t xml:space="preserve">Iamblichus, </w:t>
      </w:r>
      <w:r w:rsidRPr="00D01EFA">
        <w:rPr>
          <w:i/>
          <w:iCs/>
          <w:lang w:val="en-GB"/>
        </w:rPr>
        <w:t>De Mysteriis</w:t>
      </w:r>
      <w:r w:rsidRPr="007E716B">
        <w:rPr>
          <w:lang w:val="en-GB"/>
        </w:rPr>
        <w:t xml:space="preserve">, </w:t>
      </w:r>
      <w:r w:rsidR="00CA084A">
        <w:rPr>
          <w:lang w:val="en-GB"/>
        </w:rPr>
        <w:t>I</w:t>
      </w:r>
      <w:r w:rsidRPr="007E716B">
        <w:rPr>
          <w:lang w:val="en-GB"/>
        </w:rPr>
        <w:t xml:space="preserve">.2, </w:t>
      </w:r>
      <w:r w:rsidR="00CA084A">
        <w:rPr>
          <w:lang w:val="en-GB"/>
        </w:rPr>
        <w:t xml:space="preserve">7.1 - 7.12, </w:t>
      </w:r>
      <w:r w:rsidRPr="007E716B">
        <w:rPr>
          <w:lang w:val="en-GB"/>
        </w:rPr>
        <w:t>p. 1</w:t>
      </w:r>
      <w:r w:rsidR="00CA084A">
        <w:rPr>
          <w:lang w:val="en-GB"/>
        </w:rPr>
        <w:t>0</w:t>
      </w:r>
      <w:r w:rsidR="007A0CEF">
        <w:rPr>
          <w:lang w:val="en-GB"/>
        </w:rPr>
        <w:t>;</w:t>
      </w:r>
      <w:r w:rsidR="00CA084A">
        <w:rPr>
          <w:lang w:val="en-GB"/>
        </w:rPr>
        <w:t xml:space="preserve"> I.3, 8, 9, </w:t>
      </w:r>
      <w:r w:rsidR="00D24A63">
        <w:rPr>
          <w:lang w:val="en-GB"/>
        </w:rPr>
        <w:t>p.</w:t>
      </w:r>
      <w:r w:rsidR="00CA084A">
        <w:rPr>
          <w:lang w:val="en-GB"/>
        </w:rPr>
        <w:t xml:space="preserve"> 12</w:t>
      </w:r>
      <w:r w:rsidR="007A0CEF">
        <w:rPr>
          <w:lang w:val="en-GB"/>
        </w:rPr>
        <w:t>;</w:t>
      </w:r>
      <w:r w:rsidR="00CA084A">
        <w:rPr>
          <w:lang w:val="en-GB"/>
        </w:rPr>
        <w:t xml:space="preserve"> I.3, 10, </w:t>
      </w:r>
      <w:r w:rsidR="00D24A63">
        <w:rPr>
          <w:lang w:val="en-GB"/>
        </w:rPr>
        <w:t>p.</w:t>
      </w:r>
      <w:r w:rsidR="00CA084A">
        <w:rPr>
          <w:lang w:val="en-GB"/>
        </w:rPr>
        <w:t xml:space="preserve"> 14</w:t>
      </w:r>
      <w:r w:rsidRPr="007E716B">
        <w:rPr>
          <w:lang w:val="en-GB"/>
        </w:rPr>
        <w:t>.</w:t>
      </w:r>
    </w:p>
  </w:footnote>
  <w:footnote w:id="24">
    <w:p w14:paraId="7C37D712" w14:textId="55B86823" w:rsidR="00D01EFA" w:rsidRPr="00D01EFA" w:rsidRDefault="00D01EFA">
      <w:pPr>
        <w:pStyle w:val="FootnoteText"/>
        <w:rPr>
          <w:lang w:val="en-US"/>
        </w:rPr>
      </w:pPr>
      <w:r>
        <w:rPr>
          <w:rStyle w:val="FootnoteReference"/>
        </w:rPr>
        <w:footnoteRef/>
      </w:r>
      <w:r>
        <w:t xml:space="preserve"> </w:t>
      </w:r>
      <w:r w:rsidRPr="007E716B">
        <w:rPr>
          <w:lang w:val="en-GB"/>
        </w:rPr>
        <w:t xml:space="preserve">Iamblichus, </w:t>
      </w:r>
      <w:r w:rsidRPr="00D01EFA">
        <w:rPr>
          <w:i/>
          <w:iCs/>
          <w:lang w:val="en-GB"/>
        </w:rPr>
        <w:t>De Mysteriis</w:t>
      </w:r>
      <w:r w:rsidRPr="007E716B">
        <w:rPr>
          <w:lang w:val="en-GB"/>
        </w:rPr>
        <w:t xml:space="preserve">, </w:t>
      </w:r>
      <w:r w:rsidR="00CA084A">
        <w:rPr>
          <w:lang w:val="en-GB"/>
        </w:rPr>
        <w:t>I</w:t>
      </w:r>
      <w:r w:rsidRPr="007E716B">
        <w:rPr>
          <w:lang w:val="en-GB"/>
        </w:rPr>
        <w:t>.</w:t>
      </w:r>
      <w:r>
        <w:rPr>
          <w:lang w:val="en-GB"/>
        </w:rPr>
        <w:t>3</w:t>
      </w:r>
      <w:r w:rsidRPr="007E716B">
        <w:rPr>
          <w:lang w:val="en-GB"/>
        </w:rPr>
        <w:t xml:space="preserve">, </w:t>
      </w:r>
      <w:r w:rsidR="00CA084A">
        <w:rPr>
          <w:lang w:val="en-GB"/>
        </w:rPr>
        <w:t xml:space="preserve">8, 9, </w:t>
      </w:r>
      <w:r w:rsidRPr="007E716B">
        <w:rPr>
          <w:lang w:val="en-GB"/>
        </w:rPr>
        <w:t>p. 1</w:t>
      </w:r>
      <w:r w:rsidR="00CA084A">
        <w:rPr>
          <w:lang w:val="en-GB"/>
        </w:rPr>
        <w:t>2</w:t>
      </w:r>
      <w:r w:rsidR="007A0CEF">
        <w:rPr>
          <w:lang w:val="en-GB"/>
        </w:rPr>
        <w:t>;</w:t>
      </w:r>
      <w:r w:rsidR="00F210C3">
        <w:rPr>
          <w:lang w:val="en-GB"/>
        </w:rPr>
        <w:t xml:space="preserve"> </w:t>
      </w:r>
      <w:r w:rsidR="00CA084A">
        <w:rPr>
          <w:lang w:val="en-GB"/>
        </w:rPr>
        <w:t>I</w:t>
      </w:r>
      <w:r w:rsidR="00F210C3" w:rsidRPr="007E716B">
        <w:rPr>
          <w:lang w:val="en-GB"/>
        </w:rPr>
        <w:t>.2</w:t>
      </w:r>
      <w:r w:rsidR="00CA084A">
        <w:rPr>
          <w:lang w:val="en-GB"/>
        </w:rPr>
        <w:t>, 7</w:t>
      </w:r>
      <w:r w:rsidR="00F210C3" w:rsidRPr="007E716B">
        <w:rPr>
          <w:lang w:val="en-GB"/>
        </w:rPr>
        <w:t>, p. 1</w:t>
      </w:r>
      <w:r w:rsidR="00CA084A">
        <w:rPr>
          <w:lang w:val="en-GB"/>
        </w:rPr>
        <w:t>0</w:t>
      </w:r>
      <w:r>
        <w:rPr>
          <w:lang w:val="en-GB"/>
        </w:rPr>
        <w:t>.</w:t>
      </w:r>
    </w:p>
  </w:footnote>
  <w:footnote w:id="25">
    <w:p w14:paraId="45D24044" w14:textId="71EC771B" w:rsidR="0010037F" w:rsidRPr="007E716B" w:rsidRDefault="0010037F">
      <w:pPr>
        <w:pStyle w:val="FootnoteText"/>
        <w:rPr>
          <w:lang w:val="en-GB"/>
        </w:rPr>
      </w:pPr>
      <w:r w:rsidRPr="007E716B">
        <w:rPr>
          <w:rStyle w:val="FootnoteReference"/>
          <w:lang w:val="en-GB"/>
        </w:rPr>
        <w:footnoteRef/>
      </w:r>
      <w:r w:rsidRPr="007E716B">
        <w:rPr>
          <w:lang w:val="en-GB"/>
        </w:rPr>
        <w:t xml:space="preserve"> </w:t>
      </w:r>
      <w:r w:rsidR="005B73DC">
        <w:rPr>
          <w:lang w:val="en-GB"/>
        </w:rPr>
        <w:t xml:space="preserve">Fritz </w:t>
      </w:r>
      <w:r w:rsidRPr="007E716B">
        <w:rPr>
          <w:lang w:val="en-GB"/>
        </w:rPr>
        <w:t xml:space="preserve">Graf, </w:t>
      </w:r>
      <w:r w:rsidRPr="007E716B">
        <w:rPr>
          <w:i/>
          <w:iCs/>
          <w:lang w:val="en-GB"/>
        </w:rPr>
        <w:t xml:space="preserve">Magic in the Ancient World, </w:t>
      </w:r>
      <w:r w:rsidRPr="007E716B">
        <w:rPr>
          <w:lang w:val="en-GB"/>
        </w:rPr>
        <w:t>p. 20.</w:t>
      </w:r>
    </w:p>
  </w:footnote>
  <w:footnote w:id="26">
    <w:p w14:paraId="1C471E5B" w14:textId="17EDB8A2" w:rsidR="0010037F" w:rsidRPr="007E716B" w:rsidRDefault="0010037F">
      <w:pPr>
        <w:pStyle w:val="FootnoteText"/>
        <w:rPr>
          <w:lang w:val="en-GB"/>
        </w:rPr>
      </w:pPr>
      <w:r w:rsidRPr="007E716B">
        <w:rPr>
          <w:rStyle w:val="FootnoteReference"/>
          <w:lang w:val="en-GB"/>
        </w:rPr>
        <w:footnoteRef/>
      </w:r>
      <w:r w:rsidRPr="007E716B">
        <w:rPr>
          <w:lang w:val="en-GB"/>
        </w:rPr>
        <w:t xml:space="preserve"> Otto, “Towards Historicizing “Magic” in Antiquity”, p. 323.</w:t>
      </w:r>
    </w:p>
  </w:footnote>
  <w:footnote w:id="27">
    <w:p w14:paraId="03B613A0" w14:textId="77777777" w:rsidR="00614BEA" w:rsidRPr="007E716B" w:rsidRDefault="00614BEA" w:rsidP="00614BEA">
      <w:pPr>
        <w:pStyle w:val="FootnoteText"/>
        <w:rPr>
          <w:lang w:val="en-GB"/>
        </w:rPr>
      </w:pPr>
      <w:r w:rsidRPr="007E716B">
        <w:rPr>
          <w:rStyle w:val="FootnoteReference"/>
          <w:lang w:val="en-GB"/>
        </w:rPr>
        <w:footnoteRef/>
      </w:r>
      <w:r w:rsidRPr="007E716B">
        <w:rPr>
          <w:lang w:val="en-GB"/>
        </w:rPr>
        <w:t xml:space="preserve"> Murray Wax and Rosalie Wax, “The Notion of Magic”, </w:t>
      </w:r>
      <w:r w:rsidRPr="007E716B">
        <w:rPr>
          <w:i/>
          <w:iCs/>
          <w:lang w:val="en-GB"/>
        </w:rPr>
        <w:t>Current Anthropology</w:t>
      </w:r>
      <w:r w:rsidRPr="007E716B">
        <w:rPr>
          <w:lang w:val="en-GB"/>
        </w:rPr>
        <w:t>, Vol. 4, No. 5, (1963),  495-518, (p. 495).</w:t>
      </w:r>
    </w:p>
  </w:footnote>
  <w:footnote w:id="28">
    <w:p w14:paraId="4D892092" w14:textId="05882998" w:rsidR="0088168C" w:rsidRPr="007E716B" w:rsidRDefault="0088168C">
      <w:pPr>
        <w:pStyle w:val="FootnoteText"/>
        <w:rPr>
          <w:lang w:val="en-GB"/>
        </w:rPr>
      </w:pPr>
      <w:r w:rsidRPr="007E716B">
        <w:rPr>
          <w:rStyle w:val="FootnoteReference"/>
          <w:lang w:val="en-GB"/>
        </w:rPr>
        <w:footnoteRef/>
      </w:r>
      <w:r w:rsidRPr="007E716B">
        <w:rPr>
          <w:lang w:val="en-GB"/>
        </w:rPr>
        <w:t xml:space="preserve"> Otto, “Towards Historicizing “Magic” in Antiquity”, p. 326</w:t>
      </w:r>
    </w:p>
  </w:footnote>
  <w:footnote w:id="29">
    <w:p w14:paraId="7F80F1B8" w14:textId="6E1CD4F1" w:rsidR="00D63288" w:rsidRPr="007E716B" w:rsidRDefault="00D63288">
      <w:pPr>
        <w:pStyle w:val="FootnoteText"/>
        <w:rPr>
          <w:lang w:val="en-GB"/>
        </w:rPr>
      </w:pPr>
      <w:r w:rsidRPr="007E716B">
        <w:rPr>
          <w:rStyle w:val="FootnoteReference"/>
          <w:lang w:val="en-GB"/>
        </w:rPr>
        <w:footnoteRef/>
      </w:r>
      <w:r w:rsidRPr="007E716B">
        <w:rPr>
          <w:lang w:val="en-GB"/>
        </w:rPr>
        <w:t xml:space="preserve"> Otto, “Towards Historicizing “Magic” in Antiquity”, p. </w:t>
      </w:r>
      <w:r w:rsidR="00ED40DC">
        <w:rPr>
          <w:lang w:val="en-GB"/>
        </w:rPr>
        <w:t>313,</w:t>
      </w:r>
      <w:r w:rsidR="00D24A63">
        <w:rPr>
          <w:lang w:val="en-GB"/>
        </w:rPr>
        <w:t xml:space="preserve"> </w:t>
      </w:r>
      <w:r w:rsidRPr="007E716B">
        <w:rPr>
          <w:lang w:val="en-GB"/>
        </w:rPr>
        <w:t>316.</w:t>
      </w:r>
      <w:r w:rsidR="00ED40DC">
        <w:rPr>
          <w:lang w:val="en-GB"/>
        </w:rPr>
        <w:t xml:space="preserve"> The thesis of deviance claimed that magic functioned only as polemical, discriminating term.</w:t>
      </w:r>
    </w:p>
  </w:footnote>
  <w:footnote w:id="30">
    <w:p w14:paraId="3A54E467" w14:textId="35F20BC5" w:rsidR="00B5714A" w:rsidRPr="007E716B" w:rsidRDefault="00B5714A">
      <w:pPr>
        <w:pStyle w:val="FootnoteText"/>
        <w:rPr>
          <w:lang w:val="en-GB"/>
        </w:rPr>
      </w:pPr>
      <w:r w:rsidRPr="007E716B">
        <w:rPr>
          <w:rStyle w:val="FootnoteReference"/>
          <w:lang w:val="en-GB"/>
        </w:rPr>
        <w:footnoteRef/>
      </w:r>
      <w:r w:rsidRPr="007E716B">
        <w:rPr>
          <w:lang w:val="en-GB"/>
        </w:rPr>
        <w:t xml:space="preserve"> Otto, “Towards Historicizing “Magic” in Antiquity”, p. 316.</w:t>
      </w:r>
    </w:p>
  </w:footnote>
  <w:footnote w:id="31">
    <w:p w14:paraId="07EDBB54" w14:textId="43CB254C" w:rsidR="008B4568" w:rsidRPr="008B4568" w:rsidRDefault="008B4568">
      <w:pPr>
        <w:pStyle w:val="FootnoteText"/>
        <w:rPr>
          <w:lang w:val="en-US"/>
        </w:rPr>
      </w:pPr>
      <w:r>
        <w:rPr>
          <w:rStyle w:val="FootnoteReference"/>
        </w:rPr>
        <w:footnoteRef/>
      </w:r>
      <w:r>
        <w:t xml:space="preserve"> </w:t>
      </w:r>
      <w:r w:rsidR="00ED40DC" w:rsidRPr="007E716B">
        <w:rPr>
          <w:lang w:val="en-GB"/>
        </w:rPr>
        <w:t>Harold Remus, “Magic”, Method, Madness</w:t>
      </w:r>
      <w:r w:rsidR="00ED40DC">
        <w:rPr>
          <w:lang w:val="en-GB"/>
        </w:rPr>
        <w:t>, p. 270</w:t>
      </w:r>
      <w:r w:rsidR="00ED40DC" w:rsidRPr="007E716B">
        <w:rPr>
          <w:lang w:val="en-GB"/>
        </w:rPr>
        <w:t>.</w:t>
      </w:r>
    </w:p>
  </w:footnote>
  <w:footnote w:id="32">
    <w:p w14:paraId="7AE3BA76" w14:textId="1E7FEBA5" w:rsidR="00830EB1" w:rsidRPr="0046069D" w:rsidRDefault="00830EB1">
      <w:pPr>
        <w:pStyle w:val="FootnoteText"/>
        <w:rPr>
          <w:lang w:val="en-US"/>
        </w:rPr>
      </w:pPr>
      <w:r w:rsidRPr="007E716B">
        <w:rPr>
          <w:rStyle w:val="FootnoteReference"/>
          <w:lang w:val="en-GB"/>
        </w:rPr>
        <w:footnoteRef/>
      </w:r>
      <w:r w:rsidRPr="007E716B">
        <w:rPr>
          <w:lang w:val="en-GB"/>
        </w:rPr>
        <w:t xml:space="preserve"> Graf, </w:t>
      </w:r>
      <w:r w:rsidRPr="007E716B">
        <w:rPr>
          <w:i/>
          <w:iCs/>
          <w:lang w:val="en-GB"/>
        </w:rPr>
        <w:t>Magic in the Ancient World</w:t>
      </w:r>
      <w:r w:rsidRPr="007E716B">
        <w:rPr>
          <w:lang w:val="en-GB"/>
        </w:rPr>
        <w:t>, p</w:t>
      </w:r>
      <w:r w:rsidR="007A0CEF">
        <w:rPr>
          <w:lang w:val="en-GB"/>
        </w:rPr>
        <w:t>p</w:t>
      </w:r>
      <w:r w:rsidRPr="007E716B">
        <w:rPr>
          <w:lang w:val="en-GB"/>
        </w:rPr>
        <w:t>. 29</w:t>
      </w:r>
      <w:r w:rsidR="0046069D">
        <w:rPr>
          <w:lang w:val="en-GB"/>
        </w:rPr>
        <w:t xml:space="preserve">, </w:t>
      </w:r>
      <w:r w:rsidR="0046069D" w:rsidRPr="007E716B">
        <w:rPr>
          <w:lang w:val="en-GB"/>
        </w:rPr>
        <w:t>30</w:t>
      </w:r>
      <w:r w:rsidRPr="007E716B">
        <w:rPr>
          <w:lang w:val="en-GB"/>
        </w:rPr>
        <w:t>.</w:t>
      </w:r>
      <w:r w:rsidR="0046069D">
        <w:rPr>
          <w:lang w:val="en-GB"/>
        </w:rPr>
        <w:t xml:space="preserve"> </w:t>
      </w:r>
      <w:r w:rsidR="0046069D" w:rsidRPr="004B7507">
        <w:rPr>
          <w:lang w:val="en-US"/>
        </w:rPr>
        <w:t>Dorothy Hammond, “</w:t>
      </w:r>
      <w:r w:rsidR="0046069D">
        <w:rPr>
          <w:lang w:val="en-US"/>
        </w:rPr>
        <w:t>Magic: A Problem in Semantics</w:t>
      </w:r>
      <w:r w:rsidR="00ED40DC">
        <w:rPr>
          <w:lang w:val="en-US"/>
        </w:rPr>
        <w:t xml:space="preserve">”, </w:t>
      </w:r>
      <w:r w:rsidR="00ED40DC" w:rsidRPr="00D24A63">
        <w:rPr>
          <w:i/>
          <w:iCs/>
          <w:lang w:val="en-US"/>
        </w:rPr>
        <w:t>The American Anthropologist</w:t>
      </w:r>
      <w:r w:rsidR="00ED40DC">
        <w:rPr>
          <w:lang w:val="en-US"/>
        </w:rPr>
        <w:t xml:space="preserve">, Vo. 72, No. 6 (Dec. 1970), 1349-1356, </w:t>
      </w:r>
      <w:r w:rsidR="0051646B">
        <w:rPr>
          <w:lang w:val="en-US"/>
        </w:rPr>
        <w:t>(</w:t>
      </w:r>
      <w:r w:rsidR="0046069D">
        <w:rPr>
          <w:lang w:val="en-US"/>
        </w:rPr>
        <w:t>p.1349</w:t>
      </w:r>
      <w:r w:rsidR="0051646B">
        <w:rPr>
          <w:lang w:val="en-US"/>
        </w:rPr>
        <w:t>)</w:t>
      </w:r>
      <w:r w:rsidR="0046069D">
        <w:rPr>
          <w:lang w:val="en-US"/>
        </w:rPr>
        <w:t xml:space="preserve">. </w:t>
      </w:r>
    </w:p>
  </w:footnote>
  <w:footnote w:id="33">
    <w:p w14:paraId="53916D86" w14:textId="4CDF25BA" w:rsidR="00506077" w:rsidRPr="007E716B" w:rsidRDefault="00506077">
      <w:pPr>
        <w:pStyle w:val="FootnoteText"/>
        <w:rPr>
          <w:lang w:val="en-GB"/>
        </w:rPr>
      </w:pPr>
      <w:r w:rsidRPr="007E716B">
        <w:rPr>
          <w:rStyle w:val="FootnoteReference"/>
          <w:lang w:val="en-GB"/>
        </w:rPr>
        <w:footnoteRef/>
      </w:r>
      <w:r w:rsidRPr="007E716B">
        <w:rPr>
          <w:lang w:val="en-GB"/>
        </w:rPr>
        <w:t xml:space="preserve"> Murray Wax and Rosalie Wax, “The Notion of Magic”, p. 501.</w:t>
      </w:r>
    </w:p>
  </w:footnote>
  <w:footnote w:id="34">
    <w:p w14:paraId="1BFB850F" w14:textId="2669BCAE" w:rsidR="002A2A27" w:rsidRPr="002A2A27" w:rsidRDefault="002A2A27">
      <w:pPr>
        <w:pStyle w:val="FootnoteText"/>
      </w:pPr>
      <w:r>
        <w:rPr>
          <w:rStyle w:val="FootnoteReference"/>
        </w:rPr>
        <w:footnoteRef/>
      </w:r>
      <w:r>
        <w:t xml:space="preserve"> </w:t>
      </w:r>
      <w:r w:rsidRPr="007E716B">
        <w:rPr>
          <w:lang w:val="en-GB"/>
        </w:rPr>
        <w:t>Harold Remus, “Magic”, Method, Madness”, p. 2</w:t>
      </w:r>
      <w:r>
        <w:rPr>
          <w:lang w:val="en-GB"/>
        </w:rPr>
        <w:t>63</w:t>
      </w:r>
    </w:p>
  </w:footnote>
  <w:footnote w:id="35">
    <w:p w14:paraId="7A758CD9" w14:textId="2C7FE61E" w:rsidR="00C477E4" w:rsidRPr="007E716B" w:rsidRDefault="00C477E4">
      <w:pPr>
        <w:pStyle w:val="FootnoteText"/>
        <w:rPr>
          <w:lang w:val="en-GB"/>
        </w:rPr>
      </w:pPr>
      <w:r w:rsidRPr="007E716B">
        <w:rPr>
          <w:rStyle w:val="FootnoteReference"/>
          <w:lang w:val="en-GB"/>
        </w:rPr>
        <w:footnoteRef/>
      </w:r>
      <w:r w:rsidRPr="007E716B">
        <w:rPr>
          <w:lang w:val="en-GB"/>
        </w:rPr>
        <w:t xml:space="preserve">  For U</w:t>
      </w:r>
      <w:r w:rsidRPr="007E716B">
        <w:rPr>
          <w:rFonts w:ascii="Calibri" w:hAnsi="Calibri" w:cs="Calibri"/>
          <w:lang w:val="en-GB"/>
        </w:rPr>
        <w:t>ždavinys</w:t>
      </w:r>
      <w:r w:rsidRPr="007E716B">
        <w:rPr>
          <w:lang w:val="en-GB"/>
        </w:rPr>
        <w:t>, currently, philosophy can either be “the art of living”, “an epistemological project” or a “contradictory and fruitless occupation which has nothing in common with genuine wisdom”</w:t>
      </w:r>
      <w:r w:rsidR="007A0CEF">
        <w:rPr>
          <w:lang w:val="en-GB"/>
        </w:rPr>
        <w:t>,</w:t>
      </w:r>
      <w:r w:rsidRPr="007E716B">
        <w:rPr>
          <w:lang w:val="en-GB"/>
        </w:rPr>
        <w:t xml:space="preserve"> in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5</w:t>
      </w:r>
      <w:r w:rsidRPr="007E716B">
        <w:rPr>
          <w:lang w:val="en-GB"/>
        </w:rPr>
        <w:t>.</w:t>
      </w:r>
    </w:p>
  </w:footnote>
  <w:footnote w:id="36">
    <w:p w14:paraId="29908D98" w14:textId="0313FE0A" w:rsidR="00871841" w:rsidRPr="007E716B" w:rsidRDefault="00871841">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6. Here</w:t>
      </w:r>
      <w:r w:rsidR="0051646B">
        <w:rPr>
          <w:rFonts w:ascii="Calibri" w:hAnsi="Calibri" w:cs="Calibri"/>
          <w:lang w:val="en-GB"/>
        </w:rPr>
        <w:t>, specifically,</w:t>
      </w:r>
      <w:r w:rsidRPr="007E716B">
        <w:rPr>
          <w:rFonts w:ascii="Calibri" w:hAnsi="Calibri" w:cs="Calibri"/>
          <w:lang w:val="en-GB"/>
        </w:rPr>
        <w:t xml:space="preserve"> </w:t>
      </w:r>
      <w:r w:rsidRPr="007E716B">
        <w:rPr>
          <w:lang w:val="en-GB"/>
        </w:rPr>
        <w:t>U</w:t>
      </w:r>
      <w:r w:rsidRPr="007E716B">
        <w:rPr>
          <w:rFonts w:ascii="Calibri" w:hAnsi="Calibri" w:cs="Calibri"/>
          <w:lang w:val="en-GB"/>
        </w:rPr>
        <w:t xml:space="preserve">ždavinys is referring to the argument that Platonic philosophy has more affinity </w:t>
      </w:r>
      <w:r w:rsidR="0051646B">
        <w:rPr>
          <w:rFonts w:ascii="Calibri" w:hAnsi="Calibri" w:cs="Calibri"/>
          <w:lang w:val="en-GB"/>
        </w:rPr>
        <w:t>with</w:t>
      </w:r>
      <w:r w:rsidRPr="007E716B">
        <w:rPr>
          <w:rFonts w:ascii="Calibri" w:hAnsi="Calibri" w:cs="Calibri"/>
          <w:lang w:val="en-GB"/>
        </w:rPr>
        <w:t xml:space="preserve"> the Egyptian wisdom than </w:t>
      </w:r>
      <w:r w:rsidR="007A0CEF">
        <w:rPr>
          <w:rFonts w:ascii="Calibri" w:hAnsi="Calibri" w:cs="Calibri"/>
          <w:lang w:val="en-GB"/>
        </w:rPr>
        <w:t>with</w:t>
      </w:r>
      <w:r w:rsidRPr="007E716B">
        <w:rPr>
          <w:rFonts w:ascii="Calibri" w:hAnsi="Calibri" w:cs="Calibri"/>
          <w:lang w:val="en-GB"/>
        </w:rPr>
        <w:t xml:space="preserve"> </w:t>
      </w:r>
      <w:r w:rsidR="0051646B">
        <w:rPr>
          <w:rFonts w:ascii="Calibri" w:hAnsi="Calibri" w:cs="Calibri"/>
          <w:lang w:val="en-GB"/>
        </w:rPr>
        <w:t xml:space="preserve">the </w:t>
      </w:r>
      <w:r w:rsidRPr="007E716B">
        <w:rPr>
          <w:rFonts w:ascii="Calibri" w:hAnsi="Calibri" w:cs="Calibri"/>
          <w:lang w:val="en-GB"/>
        </w:rPr>
        <w:t xml:space="preserve">Western philosophy that </w:t>
      </w:r>
      <w:r w:rsidR="0051646B">
        <w:rPr>
          <w:rFonts w:ascii="Calibri" w:hAnsi="Calibri" w:cs="Calibri"/>
          <w:lang w:val="en-GB"/>
        </w:rPr>
        <w:t>supposedly it</w:t>
      </w:r>
      <w:r w:rsidRPr="007E716B">
        <w:rPr>
          <w:rFonts w:ascii="Calibri" w:hAnsi="Calibri" w:cs="Calibri"/>
          <w:lang w:val="en-GB"/>
        </w:rPr>
        <w:t xml:space="preserve"> ha</w:t>
      </w:r>
      <w:r w:rsidR="0051646B">
        <w:rPr>
          <w:rFonts w:ascii="Calibri" w:hAnsi="Calibri" w:cs="Calibri"/>
          <w:lang w:val="en-GB"/>
        </w:rPr>
        <w:t>s</w:t>
      </w:r>
      <w:r w:rsidRPr="007E716B">
        <w:rPr>
          <w:rFonts w:ascii="Calibri" w:hAnsi="Calibri" w:cs="Calibri"/>
          <w:lang w:val="en-GB"/>
        </w:rPr>
        <w:t xml:space="preserve"> fathered. He </w:t>
      </w:r>
      <w:r w:rsidR="002D583F" w:rsidRPr="007E716B">
        <w:rPr>
          <w:rFonts w:ascii="Calibri" w:hAnsi="Calibri" w:cs="Calibri"/>
          <w:lang w:val="en-GB"/>
        </w:rPr>
        <w:t xml:space="preserve">is </w:t>
      </w:r>
      <w:r w:rsidRPr="007E716B">
        <w:rPr>
          <w:rFonts w:ascii="Calibri" w:hAnsi="Calibri" w:cs="Calibri"/>
          <w:lang w:val="en-GB"/>
        </w:rPr>
        <w:t>referr</w:t>
      </w:r>
      <w:r w:rsidR="002D583F" w:rsidRPr="007E716B">
        <w:rPr>
          <w:rFonts w:ascii="Calibri" w:hAnsi="Calibri" w:cs="Calibri"/>
          <w:lang w:val="en-GB"/>
        </w:rPr>
        <w:t>ing</w:t>
      </w:r>
      <w:r w:rsidRPr="007E716B">
        <w:rPr>
          <w:rFonts w:ascii="Calibri" w:hAnsi="Calibri" w:cs="Calibri"/>
          <w:lang w:val="en-GB"/>
        </w:rPr>
        <w:t xml:space="preserve"> to the theor</w:t>
      </w:r>
      <w:r w:rsidR="002D583F" w:rsidRPr="007E716B">
        <w:rPr>
          <w:rFonts w:ascii="Calibri" w:hAnsi="Calibri" w:cs="Calibri"/>
          <w:lang w:val="en-GB"/>
        </w:rPr>
        <w:t xml:space="preserve">y developed by Evangeliou. See Christos C. Evangeliou, </w:t>
      </w:r>
      <w:r w:rsidR="002D583F" w:rsidRPr="0051646B">
        <w:rPr>
          <w:rFonts w:ascii="Calibri" w:hAnsi="Calibri" w:cs="Calibri"/>
          <w:i/>
          <w:iCs/>
          <w:lang w:val="en-GB"/>
        </w:rPr>
        <w:t>The Hellenic Philosophy: Between Europe, Asia and Africa</w:t>
      </w:r>
      <w:r w:rsidR="002D583F" w:rsidRPr="007E716B">
        <w:rPr>
          <w:rFonts w:ascii="Calibri" w:hAnsi="Calibri" w:cs="Calibri"/>
          <w:lang w:val="en-GB"/>
        </w:rPr>
        <w:t xml:space="preserve">, (Binghamton: Institute of Global Cultural Studies, Binghamton University, 1997), pp. II-III. </w:t>
      </w:r>
      <w:r w:rsidR="007A0CEF">
        <w:rPr>
          <w:rFonts w:ascii="Calibri" w:hAnsi="Calibri" w:cs="Calibri"/>
          <w:lang w:val="en-GB"/>
        </w:rPr>
        <w:t>T</w:t>
      </w:r>
      <w:r w:rsidR="007A0CEF">
        <w:rPr>
          <w:rFonts w:ascii="Calibri" w:hAnsi="Calibri" w:cs="Calibri"/>
          <w:lang w:val="en-GB"/>
        </w:rPr>
        <w:t>he intention of this paper</w:t>
      </w:r>
      <w:r w:rsidR="007A0CEF">
        <w:rPr>
          <w:rFonts w:ascii="Calibri" w:hAnsi="Calibri" w:cs="Calibri"/>
          <w:lang w:val="en-GB"/>
        </w:rPr>
        <w:t xml:space="preserve"> is</w:t>
      </w:r>
      <w:r w:rsidR="001425E7">
        <w:rPr>
          <w:rFonts w:ascii="Calibri" w:hAnsi="Calibri" w:cs="Calibri"/>
          <w:lang w:val="en-GB"/>
        </w:rPr>
        <w:t xml:space="preserve">, more than agreeing or disagreeing with </w:t>
      </w:r>
      <w:r w:rsidR="001425E7" w:rsidRPr="007E716B">
        <w:rPr>
          <w:rFonts w:ascii="Calibri" w:hAnsi="Calibri" w:cs="Calibri"/>
          <w:lang w:val="en-GB"/>
        </w:rPr>
        <w:t>Evangeliou</w:t>
      </w:r>
      <w:r w:rsidR="001425E7">
        <w:rPr>
          <w:rFonts w:ascii="Calibri" w:hAnsi="Calibri" w:cs="Calibri"/>
          <w:lang w:val="en-GB"/>
        </w:rPr>
        <w:t xml:space="preserve"> </w:t>
      </w:r>
      <w:r w:rsidR="007A0CEF">
        <w:rPr>
          <w:rFonts w:ascii="Calibri" w:hAnsi="Calibri" w:cs="Calibri"/>
          <w:lang w:val="en-GB"/>
        </w:rPr>
        <w:t>and</w:t>
      </w:r>
      <w:r w:rsidR="001425E7">
        <w:rPr>
          <w:rFonts w:ascii="Calibri" w:hAnsi="Calibri" w:cs="Calibri"/>
          <w:lang w:val="en-GB"/>
        </w:rPr>
        <w:t xml:space="preserve"> </w:t>
      </w:r>
      <w:r w:rsidR="001425E7" w:rsidRPr="007E716B">
        <w:rPr>
          <w:lang w:val="en-GB"/>
        </w:rPr>
        <w:t>U</w:t>
      </w:r>
      <w:r w:rsidR="001425E7" w:rsidRPr="007E716B">
        <w:rPr>
          <w:rFonts w:ascii="Calibri" w:hAnsi="Calibri" w:cs="Calibri"/>
          <w:lang w:val="en-GB"/>
        </w:rPr>
        <w:t>ždavinys</w:t>
      </w:r>
      <w:r w:rsidR="001425E7">
        <w:rPr>
          <w:rFonts w:ascii="Calibri" w:hAnsi="Calibri" w:cs="Calibri"/>
          <w:lang w:val="en-GB"/>
        </w:rPr>
        <w:t>, to bring the problem to the discussion table</w:t>
      </w:r>
      <w:r w:rsidR="00D24A63">
        <w:rPr>
          <w:rFonts w:ascii="Calibri" w:hAnsi="Calibri" w:cs="Calibri"/>
          <w:lang w:val="en-GB"/>
        </w:rPr>
        <w:t>,</w:t>
      </w:r>
      <w:r w:rsidR="001425E7">
        <w:rPr>
          <w:rFonts w:ascii="Calibri" w:hAnsi="Calibri" w:cs="Calibri"/>
          <w:lang w:val="en-GB"/>
        </w:rPr>
        <w:t xml:space="preserve"> because there is much to be learnt and gained from such investigation. </w:t>
      </w:r>
    </w:p>
  </w:footnote>
  <w:footnote w:id="37">
    <w:p w14:paraId="77505B28" w14:textId="471F11E3" w:rsidR="00887F2D" w:rsidRPr="00887F2D" w:rsidRDefault="00887F2D">
      <w:pPr>
        <w:pStyle w:val="FootnoteText"/>
        <w:rPr>
          <w:lang w:val="en-GB"/>
        </w:rPr>
      </w:pPr>
      <w:r>
        <w:rPr>
          <w:rStyle w:val="FootnoteReference"/>
        </w:rPr>
        <w:footnoteRef/>
      </w:r>
      <w:r>
        <w:t xml:space="preserve"> </w:t>
      </w:r>
      <w:r w:rsidRPr="007E716B">
        <w:rPr>
          <w:lang w:val="en-GB"/>
        </w:rPr>
        <w:t>U</w:t>
      </w:r>
      <w:r w:rsidRPr="007E716B">
        <w:rPr>
          <w:rFonts w:ascii="Calibri" w:hAnsi="Calibri" w:cs="Calibri"/>
          <w:lang w:val="en-GB"/>
        </w:rPr>
        <w:t>ždavinys argued, interestingly</w:t>
      </w:r>
      <w:r>
        <w:rPr>
          <w:rFonts w:ascii="Calibri" w:hAnsi="Calibri" w:cs="Calibri"/>
          <w:lang w:val="en-GB"/>
        </w:rPr>
        <w:t>,</w:t>
      </w:r>
      <w:r w:rsidRPr="007E716B">
        <w:rPr>
          <w:rFonts w:ascii="Calibri" w:hAnsi="Calibri" w:cs="Calibri"/>
          <w:lang w:val="en-GB"/>
        </w:rPr>
        <w:t xml:space="preserve"> that after “Christianity had annexed the privileged path to immortality, philosophy was able to survive only in the form of auxiliary rational discourse which is separated from any independent soteriological claims and spiritual practises”</w:t>
      </w:r>
      <w:r w:rsidR="007A0CEF">
        <w:rPr>
          <w:rFonts w:ascii="Calibri" w:hAnsi="Calibri" w:cs="Calibri"/>
          <w:lang w:val="en-GB"/>
        </w:rPr>
        <w:t>,</w:t>
      </w:r>
      <w:r w:rsidRPr="007E716B">
        <w:rPr>
          <w:rFonts w:ascii="Calibri" w:hAnsi="Calibri" w:cs="Calibri"/>
          <w:lang w:val="en-GB"/>
        </w:rPr>
        <w:t xml:space="preserve"> in </w:t>
      </w:r>
      <w:r w:rsidRPr="007E716B">
        <w:rPr>
          <w:lang w:val="en-GB"/>
        </w:rPr>
        <w:t>U</w:t>
      </w:r>
      <w:r w:rsidRPr="007E716B">
        <w:rPr>
          <w:rFonts w:ascii="Calibri" w:hAnsi="Calibri" w:cs="Calibri"/>
          <w:lang w:val="en-GB"/>
        </w:rPr>
        <w:t>ždavinys</w:t>
      </w:r>
      <w:r w:rsidRPr="007E716B">
        <w:rPr>
          <w:rFonts w:ascii="Calibri" w:hAnsi="Calibri" w:cs="Calibri"/>
          <w:i/>
          <w:iCs/>
          <w:lang w:val="en-GB"/>
        </w:rPr>
        <w:t>, Philosophy &amp; Theurgy in Late Antiquity</w:t>
      </w:r>
      <w:r w:rsidRPr="007E716B">
        <w:rPr>
          <w:rFonts w:ascii="Calibri" w:hAnsi="Calibri" w:cs="Calibri"/>
          <w:lang w:val="en-GB"/>
        </w:rPr>
        <w:t xml:space="preserve">, p. 16. </w:t>
      </w:r>
      <w:r w:rsidRPr="007E716B">
        <w:rPr>
          <w:lang w:val="en-GB"/>
        </w:rPr>
        <w:t>U</w:t>
      </w:r>
      <w:r w:rsidRPr="007E716B">
        <w:rPr>
          <w:rFonts w:ascii="Calibri" w:hAnsi="Calibri" w:cs="Calibri"/>
          <w:lang w:val="en-GB"/>
        </w:rPr>
        <w:t>ždavinys here is resuming and elaborating on an hypothesis advanced by A.I. Davidson</w:t>
      </w:r>
      <w:r w:rsidR="007A0CEF">
        <w:rPr>
          <w:rFonts w:ascii="Calibri" w:hAnsi="Calibri" w:cs="Calibri"/>
          <w:lang w:val="en-GB"/>
        </w:rPr>
        <w:t>:</w:t>
      </w:r>
      <w:r w:rsidRPr="007E716B">
        <w:rPr>
          <w:rFonts w:ascii="Calibri" w:hAnsi="Calibri" w:cs="Calibri"/>
          <w:lang w:val="en-GB"/>
        </w:rPr>
        <w:t xml:space="preserve"> “Philosophical speculation thus became a purely abstract and theoretical activity, which was set strictly apart from theological thought and religious practice and spirituality</w:t>
      </w:r>
      <w:r>
        <w:rPr>
          <w:rFonts w:ascii="Calibri" w:hAnsi="Calibri" w:cs="Calibri"/>
          <w:lang w:val="en-GB"/>
        </w:rPr>
        <w:t>”</w:t>
      </w:r>
      <w:r w:rsidR="007A0CEF">
        <w:rPr>
          <w:rFonts w:ascii="Calibri" w:hAnsi="Calibri" w:cs="Calibri"/>
          <w:lang w:val="en-GB"/>
        </w:rPr>
        <w:t>,</w:t>
      </w:r>
      <w:r w:rsidR="00102927">
        <w:rPr>
          <w:rFonts w:ascii="Calibri" w:hAnsi="Calibri" w:cs="Calibri"/>
          <w:lang w:val="en-GB"/>
        </w:rPr>
        <w:t xml:space="preserve"> </w:t>
      </w:r>
      <w:r w:rsidR="00102927" w:rsidRPr="007E716B">
        <w:rPr>
          <w:rFonts w:ascii="Calibri" w:hAnsi="Calibri" w:cs="Calibri"/>
          <w:lang w:val="en-GB"/>
        </w:rPr>
        <w:t xml:space="preserve">in </w:t>
      </w:r>
      <w:r w:rsidR="00102927" w:rsidRPr="007E716B">
        <w:rPr>
          <w:lang w:val="en-GB"/>
        </w:rPr>
        <w:t>U</w:t>
      </w:r>
      <w:r w:rsidR="00102927" w:rsidRPr="007E716B">
        <w:rPr>
          <w:rFonts w:ascii="Calibri" w:hAnsi="Calibri" w:cs="Calibri"/>
          <w:lang w:val="en-GB"/>
        </w:rPr>
        <w:t>ždavinys</w:t>
      </w:r>
      <w:r w:rsidR="00102927" w:rsidRPr="007E716B">
        <w:rPr>
          <w:rFonts w:ascii="Calibri" w:hAnsi="Calibri" w:cs="Calibri"/>
          <w:i/>
          <w:iCs/>
          <w:lang w:val="en-GB"/>
        </w:rPr>
        <w:t>, Philosophy &amp; Theurgy in Late Antiquity</w:t>
      </w:r>
      <w:r w:rsidR="00102927" w:rsidRPr="007E716B">
        <w:rPr>
          <w:rFonts w:ascii="Calibri" w:hAnsi="Calibri" w:cs="Calibri"/>
          <w:lang w:val="en-GB"/>
        </w:rPr>
        <w:t>, p. 16.</w:t>
      </w:r>
    </w:p>
  </w:footnote>
  <w:footnote w:id="38">
    <w:p w14:paraId="02921C13" w14:textId="77777777" w:rsidR="006740FC" w:rsidRPr="007E716B" w:rsidRDefault="006740FC" w:rsidP="006740FC">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10.</w:t>
      </w:r>
    </w:p>
  </w:footnote>
  <w:footnote w:id="39">
    <w:p w14:paraId="3BAE7E9E" w14:textId="10C477D9" w:rsidR="00E07EE7" w:rsidRPr="007E716B" w:rsidRDefault="00E07EE7" w:rsidP="00E07EE7">
      <w:pPr>
        <w:pStyle w:val="FootnoteText"/>
        <w:rPr>
          <w:lang w:val="en-GB"/>
        </w:rPr>
      </w:pPr>
      <w:r w:rsidRPr="007E716B">
        <w:rPr>
          <w:rStyle w:val="FootnoteReference"/>
          <w:lang w:val="en-GB"/>
        </w:rPr>
        <w:footnoteRef/>
      </w:r>
      <w:r w:rsidRPr="007E716B">
        <w:rPr>
          <w:lang w:val="en-GB"/>
        </w:rPr>
        <w:t xml:space="preserve"> </w:t>
      </w:r>
      <w:r w:rsidRPr="001425E7">
        <w:rPr>
          <w:lang w:val="en-GB"/>
        </w:rPr>
        <w:t xml:space="preserve">Pierre Hadot, </w:t>
      </w:r>
      <w:r w:rsidRPr="001425E7">
        <w:rPr>
          <w:i/>
          <w:iCs/>
          <w:lang w:val="en-GB"/>
        </w:rPr>
        <w:t>Philosophy as a Way of Life. Spiritual Exercises from Socrates to Foucault</w:t>
      </w:r>
      <w:r w:rsidRPr="001425E7">
        <w:rPr>
          <w:lang w:val="en-GB"/>
        </w:rPr>
        <w:t xml:space="preserve">, ed. Arnold I. Davidson, tr. </w:t>
      </w:r>
      <w:r w:rsidR="001425E7" w:rsidRPr="001425E7">
        <w:rPr>
          <w:lang w:val="en-GB"/>
        </w:rPr>
        <w:t>Michael</w:t>
      </w:r>
      <w:r w:rsidRPr="001425E7">
        <w:rPr>
          <w:lang w:val="en-GB"/>
        </w:rPr>
        <w:t xml:space="preserve"> Chase, (Oxford: Blackwell, 1995), p. 27.</w:t>
      </w:r>
      <w:r w:rsidRPr="007E716B">
        <w:rPr>
          <w:lang w:val="en-GB"/>
        </w:rPr>
        <w:t xml:space="preserve"> </w:t>
      </w:r>
    </w:p>
  </w:footnote>
  <w:footnote w:id="40">
    <w:p w14:paraId="734197D5" w14:textId="0E36AF5C" w:rsidR="00C8777E" w:rsidRPr="007E716B" w:rsidRDefault="00C8777E" w:rsidP="00C8777E">
      <w:pPr>
        <w:rPr>
          <w:rFonts w:ascii="Calibri" w:hAnsi="Calibri" w:cs="Calibri"/>
          <w:sz w:val="20"/>
          <w:szCs w:val="20"/>
          <w:lang w:val="en-GB"/>
        </w:rPr>
      </w:pPr>
      <w:r w:rsidRPr="007E716B">
        <w:rPr>
          <w:rStyle w:val="FootnoteReference"/>
          <w:lang w:val="en-GB"/>
        </w:rPr>
        <w:footnoteRef/>
      </w:r>
      <w:r w:rsidRPr="007E716B">
        <w:rPr>
          <w:lang w:val="en-GB"/>
        </w:rPr>
        <w:t xml:space="preserve"> </w:t>
      </w:r>
      <w:r w:rsidRPr="007E716B">
        <w:rPr>
          <w:rFonts w:ascii="Calibri" w:hAnsi="Calibri" w:cs="Calibri"/>
          <w:sz w:val="20"/>
          <w:szCs w:val="20"/>
          <w:lang w:val="en-GB"/>
        </w:rPr>
        <w:t>The last scholar of the School of Athens , known also as the last of the Neoplatonists, Damascius (458 – 550 CE), in the early VI century CE wrote: (Phil. Hist. 14) “ I have indeed chanced upon some who are outwardly splendid philosophers in their rich memory of a multitude of theories; in the shrewd flexibility of their countless syllogisms; in the constant power of their extraordinary perceptiveness. Yet within they are poor in matters of the soul and destitute of true knowledge.”</w:t>
      </w:r>
      <w:r w:rsidR="00614BEA">
        <w:rPr>
          <w:rFonts w:ascii="Calibri" w:hAnsi="Calibri" w:cs="Calibri"/>
          <w:sz w:val="20"/>
          <w:szCs w:val="20"/>
          <w:lang w:val="en-GB"/>
        </w:rPr>
        <w:t>,</w:t>
      </w:r>
      <w:r w:rsidRPr="007E716B">
        <w:rPr>
          <w:rFonts w:ascii="Calibri" w:hAnsi="Calibri" w:cs="Calibri"/>
          <w:sz w:val="20"/>
          <w:szCs w:val="20"/>
          <w:lang w:val="en-GB"/>
        </w:rPr>
        <w:t xml:space="preserve"> </w:t>
      </w:r>
      <w:r w:rsidR="00614BEA">
        <w:rPr>
          <w:rFonts w:ascii="Calibri" w:hAnsi="Calibri" w:cs="Calibri"/>
          <w:sz w:val="20"/>
          <w:szCs w:val="20"/>
          <w:lang w:val="en-GB"/>
        </w:rPr>
        <w:t>i</w:t>
      </w:r>
      <w:r w:rsidR="001425E7">
        <w:rPr>
          <w:rFonts w:ascii="Calibri" w:hAnsi="Calibri" w:cs="Calibri"/>
          <w:sz w:val="20"/>
          <w:szCs w:val="20"/>
          <w:lang w:val="en-GB"/>
        </w:rPr>
        <w:t xml:space="preserve">n </w:t>
      </w:r>
      <w:r w:rsidR="001425E7" w:rsidRPr="001425E7">
        <w:rPr>
          <w:rFonts w:ascii="Calibri" w:hAnsi="Calibri" w:cs="Calibri"/>
          <w:sz w:val="20"/>
          <w:szCs w:val="20"/>
          <w:lang w:val="en-GB"/>
        </w:rPr>
        <w:t xml:space="preserve">Uždavinys, </w:t>
      </w:r>
      <w:r w:rsidR="001425E7" w:rsidRPr="001425E7">
        <w:rPr>
          <w:rFonts w:ascii="Calibri" w:hAnsi="Calibri" w:cs="Calibri"/>
          <w:i/>
          <w:iCs/>
          <w:sz w:val="20"/>
          <w:szCs w:val="20"/>
          <w:lang w:val="en-GB"/>
        </w:rPr>
        <w:t>Philosophy &amp; Theurgy in Late Antiquity</w:t>
      </w:r>
      <w:r w:rsidR="001425E7" w:rsidRPr="001425E7">
        <w:rPr>
          <w:rFonts w:ascii="Calibri" w:hAnsi="Calibri" w:cs="Calibri"/>
          <w:sz w:val="20"/>
          <w:szCs w:val="20"/>
          <w:lang w:val="en-GB"/>
        </w:rPr>
        <w:t xml:space="preserve">, p. </w:t>
      </w:r>
      <w:r w:rsidRPr="007E716B">
        <w:rPr>
          <w:rFonts w:ascii="Calibri" w:hAnsi="Calibri" w:cs="Calibri"/>
          <w:sz w:val="20"/>
          <w:szCs w:val="20"/>
          <w:lang w:val="en-GB"/>
        </w:rPr>
        <w:t>12</w:t>
      </w:r>
      <w:r w:rsidR="001425E7">
        <w:rPr>
          <w:rFonts w:ascii="Calibri" w:hAnsi="Calibri" w:cs="Calibri"/>
          <w:sz w:val="20"/>
          <w:szCs w:val="20"/>
          <w:lang w:val="en-GB"/>
        </w:rPr>
        <w:t>.</w:t>
      </w:r>
    </w:p>
  </w:footnote>
  <w:footnote w:id="41">
    <w:p w14:paraId="14779397" w14:textId="264D76B6" w:rsidR="00C477E4" w:rsidRPr="007E716B" w:rsidRDefault="00C477E4">
      <w:pPr>
        <w:pStyle w:val="FootnoteText"/>
        <w:rPr>
          <w:lang w:val="en-GB"/>
        </w:rPr>
      </w:pPr>
      <w:r w:rsidRPr="001425E7">
        <w:rPr>
          <w:rStyle w:val="FootnoteReference"/>
          <w:lang w:val="en-GB"/>
        </w:rPr>
        <w:footnoteRef/>
      </w:r>
      <w:r w:rsidRPr="001425E7">
        <w:rPr>
          <w:lang w:val="en-GB"/>
        </w:rPr>
        <w:t xml:space="preserve"> Plato, </w:t>
      </w:r>
      <w:r w:rsidRPr="001425E7">
        <w:rPr>
          <w:i/>
          <w:iCs/>
          <w:lang w:val="en-GB"/>
        </w:rPr>
        <w:t>Plato Complete Works</w:t>
      </w:r>
      <w:r w:rsidRPr="001425E7">
        <w:rPr>
          <w:lang w:val="en-GB"/>
        </w:rPr>
        <w:t xml:space="preserve">, edn. John M. Cooper, (Indianapolis – Cambridge: Hackett Publishing Company, </w:t>
      </w:r>
      <w:r w:rsidR="004C12F2" w:rsidRPr="001425E7">
        <w:rPr>
          <w:lang w:val="en-GB"/>
        </w:rPr>
        <w:t xml:space="preserve">1997), </w:t>
      </w:r>
      <w:r w:rsidRPr="001425E7">
        <w:rPr>
          <w:i/>
          <w:iCs/>
          <w:lang w:val="en-GB"/>
        </w:rPr>
        <w:t>Republic</w:t>
      </w:r>
      <w:r w:rsidRPr="001425E7">
        <w:rPr>
          <w:lang w:val="en-GB"/>
        </w:rPr>
        <w:t>, Book VII</w:t>
      </w:r>
      <w:r w:rsidR="00A55CEE">
        <w:rPr>
          <w:lang w:val="en-GB"/>
        </w:rPr>
        <w:t xml:space="preserve"> - </w:t>
      </w:r>
      <w:r w:rsidR="00A55CEE" w:rsidRPr="00A55CEE">
        <w:rPr>
          <w:lang w:val="en-GB"/>
        </w:rPr>
        <w:t>514ff</w:t>
      </w:r>
      <w:r w:rsidR="00A55CEE">
        <w:rPr>
          <w:lang w:val="en-GB"/>
        </w:rPr>
        <w:t>.</w:t>
      </w:r>
    </w:p>
  </w:footnote>
  <w:footnote w:id="42">
    <w:p w14:paraId="76B78C71" w14:textId="410B0FED" w:rsidR="00CC2980" w:rsidRPr="00CC2980" w:rsidRDefault="00CC2980">
      <w:pPr>
        <w:pStyle w:val="FootnoteText"/>
      </w:pPr>
      <w:r>
        <w:rPr>
          <w:rStyle w:val="FootnoteReference"/>
        </w:rPr>
        <w:footnoteRef/>
      </w:r>
      <w:r>
        <w:t xml:space="preserve"> </w:t>
      </w:r>
      <w:r w:rsidRPr="009B4B1A">
        <w:rPr>
          <w:lang w:val="en-GB"/>
        </w:rPr>
        <w:t xml:space="preserve">Iamblichus, </w:t>
      </w:r>
      <w:r w:rsidRPr="009B4B1A">
        <w:rPr>
          <w:i/>
          <w:iCs/>
          <w:lang w:val="en-GB"/>
        </w:rPr>
        <w:t>De Mysteriis</w:t>
      </w:r>
      <w:r w:rsidRPr="009B4B1A">
        <w:rPr>
          <w:lang w:val="en-GB"/>
        </w:rPr>
        <w:t xml:space="preserve">, </w:t>
      </w:r>
      <w:r w:rsidR="009B4B1A" w:rsidRPr="009B4B1A">
        <w:rPr>
          <w:lang w:val="en-GB"/>
        </w:rPr>
        <w:t>I</w:t>
      </w:r>
      <w:r w:rsidRPr="009B4B1A">
        <w:rPr>
          <w:lang w:val="en-GB"/>
        </w:rPr>
        <w:t xml:space="preserve">.3, </w:t>
      </w:r>
      <w:r w:rsidR="009B4B1A" w:rsidRPr="009B4B1A">
        <w:rPr>
          <w:lang w:val="en-GB"/>
        </w:rPr>
        <w:t xml:space="preserve">10, </w:t>
      </w:r>
      <w:r w:rsidRPr="009B4B1A">
        <w:rPr>
          <w:lang w:val="en-GB"/>
        </w:rPr>
        <w:t>p. 1</w:t>
      </w:r>
      <w:r w:rsidR="009B4B1A" w:rsidRPr="009B4B1A">
        <w:rPr>
          <w:lang w:val="en-GB"/>
        </w:rPr>
        <w:t>2</w:t>
      </w:r>
      <w:r w:rsidRPr="009B4B1A">
        <w:rPr>
          <w:lang w:val="en-GB"/>
        </w:rPr>
        <w:t>.</w:t>
      </w:r>
      <w:r w:rsidR="00D81541">
        <w:rPr>
          <w:lang w:val="en-GB"/>
        </w:rPr>
        <w:t xml:space="preserve"> </w:t>
      </w:r>
      <w:r w:rsidR="00D81541" w:rsidRPr="007E716B">
        <w:rPr>
          <w:lang w:val="en-GB"/>
        </w:rPr>
        <w:t>U</w:t>
      </w:r>
      <w:r w:rsidR="00D81541" w:rsidRPr="007E716B">
        <w:rPr>
          <w:rFonts w:ascii="Calibri" w:hAnsi="Calibri" w:cs="Calibri"/>
          <w:lang w:val="en-GB"/>
        </w:rPr>
        <w:t xml:space="preserve">ždavinys, </w:t>
      </w:r>
      <w:r w:rsidR="00D81541" w:rsidRPr="007E716B">
        <w:rPr>
          <w:rFonts w:ascii="Calibri" w:hAnsi="Calibri" w:cs="Calibri"/>
          <w:i/>
          <w:iCs/>
          <w:lang w:val="en-GB"/>
        </w:rPr>
        <w:t>Philosophy &amp; Theurgy in Late Antiquity</w:t>
      </w:r>
      <w:r w:rsidR="00D81541" w:rsidRPr="007E716B">
        <w:rPr>
          <w:rFonts w:ascii="Calibri" w:hAnsi="Calibri" w:cs="Calibri"/>
          <w:lang w:val="en-GB"/>
        </w:rPr>
        <w:t xml:space="preserve">, p. </w:t>
      </w:r>
      <w:r w:rsidR="00D81541">
        <w:rPr>
          <w:rFonts w:ascii="Calibri" w:hAnsi="Calibri" w:cs="Calibri"/>
          <w:lang w:val="en-GB"/>
        </w:rPr>
        <w:t>66.</w:t>
      </w:r>
    </w:p>
  </w:footnote>
  <w:footnote w:id="43">
    <w:p w14:paraId="27174325" w14:textId="1CFFC9AD" w:rsidR="00A55CEE" w:rsidRPr="00A55CEE" w:rsidRDefault="00A55CEE">
      <w:pPr>
        <w:pStyle w:val="FootnoteText"/>
        <w:rPr>
          <w:lang w:val="en-GB"/>
        </w:rPr>
      </w:pPr>
      <w:r>
        <w:rPr>
          <w:rStyle w:val="FootnoteReference"/>
        </w:rPr>
        <w:footnoteRef/>
      </w:r>
      <w:r>
        <w:t xml:space="preserve"> </w:t>
      </w:r>
      <w:r w:rsidRPr="001425E7">
        <w:rPr>
          <w:lang w:val="en-GB"/>
        </w:rPr>
        <w:t xml:space="preserve">Plato, </w:t>
      </w:r>
      <w:r w:rsidRPr="001425E7">
        <w:rPr>
          <w:i/>
          <w:iCs/>
          <w:lang w:val="en-GB"/>
        </w:rPr>
        <w:t>Plato Complete Works</w:t>
      </w:r>
      <w:r w:rsidRPr="001425E7">
        <w:rPr>
          <w:lang w:val="en-GB"/>
        </w:rPr>
        <w:t xml:space="preserve"> </w:t>
      </w:r>
      <w:r w:rsidRPr="001425E7">
        <w:rPr>
          <w:i/>
          <w:iCs/>
          <w:lang w:val="en-GB"/>
        </w:rPr>
        <w:t>Republic</w:t>
      </w:r>
      <w:r w:rsidRPr="001425E7">
        <w:rPr>
          <w:lang w:val="en-GB"/>
        </w:rPr>
        <w:t>, Book VII</w:t>
      </w:r>
      <w:r>
        <w:rPr>
          <w:lang w:val="en-GB"/>
        </w:rPr>
        <w:t xml:space="preserve"> - </w:t>
      </w:r>
      <w:r w:rsidRPr="00A55CEE">
        <w:rPr>
          <w:lang w:val="en-GB"/>
        </w:rPr>
        <w:t>514ff</w:t>
      </w:r>
      <w:r>
        <w:rPr>
          <w:lang w:val="en-GB"/>
        </w:rPr>
        <w:t>.</w:t>
      </w:r>
    </w:p>
  </w:footnote>
  <w:footnote w:id="44">
    <w:p w14:paraId="5DF268AB" w14:textId="6E119E9F" w:rsidR="00B8169F" w:rsidRPr="00A55CEE" w:rsidRDefault="00B8169F" w:rsidP="00B8169F">
      <w:pPr>
        <w:pStyle w:val="FootnoteText"/>
        <w:rPr>
          <w:lang w:val="en-GB"/>
        </w:rPr>
      </w:pPr>
      <w:r w:rsidRPr="007E716B">
        <w:rPr>
          <w:rStyle w:val="FootnoteReference"/>
          <w:lang w:val="en-GB"/>
        </w:rPr>
        <w:footnoteRef/>
      </w:r>
      <w:r w:rsidRPr="007E716B">
        <w:rPr>
          <w:lang w:val="en-GB"/>
        </w:rPr>
        <w:t xml:space="preserve"> </w:t>
      </w:r>
      <w:r w:rsidRPr="00A55CEE">
        <w:rPr>
          <w:lang w:val="en-GB"/>
        </w:rPr>
        <w:t xml:space="preserve">Plato, </w:t>
      </w:r>
      <w:r w:rsidRPr="00A55CEE">
        <w:rPr>
          <w:i/>
          <w:iCs/>
          <w:lang w:val="en-GB"/>
        </w:rPr>
        <w:t>Plato Complete Works</w:t>
      </w:r>
      <w:r w:rsidRPr="00A55CEE">
        <w:rPr>
          <w:lang w:val="en-GB"/>
        </w:rPr>
        <w:t xml:space="preserve">, </w:t>
      </w:r>
      <w:r w:rsidRPr="00A55CEE">
        <w:rPr>
          <w:i/>
          <w:iCs/>
          <w:lang w:val="en-GB"/>
        </w:rPr>
        <w:t>Republic</w:t>
      </w:r>
      <w:r w:rsidRPr="00A55CEE">
        <w:rPr>
          <w:lang w:val="en-GB"/>
        </w:rPr>
        <w:t xml:space="preserve">, </w:t>
      </w:r>
      <w:r w:rsidR="00A55CEE" w:rsidRPr="00A55CEE">
        <w:rPr>
          <w:lang w:val="en-GB"/>
        </w:rPr>
        <w:t xml:space="preserve">Book VII - </w:t>
      </w:r>
      <w:r w:rsidRPr="00A55CEE">
        <w:rPr>
          <w:lang w:val="en-GB"/>
        </w:rPr>
        <w:t>516bc</w:t>
      </w:r>
      <w:r w:rsidR="001D4EAF">
        <w:rPr>
          <w:lang w:val="en-GB"/>
        </w:rPr>
        <w:t xml:space="preserve">; </w:t>
      </w:r>
      <w:r w:rsidR="001D4EAF" w:rsidRPr="00A969AE">
        <w:rPr>
          <w:lang w:val="en-US"/>
        </w:rPr>
        <w:t>Book X, 6</w:t>
      </w:r>
      <w:r w:rsidR="001D4EAF">
        <w:rPr>
          <w:lang w:val="en-US"/>
        </w:rPr>
        <w:t>21</w:t>
      </w:r>
      <w:r w:rsidR="001D4EAF" w:rsidRPr="00A969AE">
        <w:rPr>
          <w:lang w:val="en-US"/>
        </w:rPr>
        <w:t>b</w:t>
      </w:r>
      <w:r w:rsidR="001D4EAF">
        <w:rPr>
          <w:lang w:val="en-US"/>
        </w:rPr>
        <w:t>.</w:t>
      </w:r>
    </w:p>
  </w:footnote>
  <w:footnote w:id="45">
    <w:p w14:paraId="29FB176E" w14:textId="7E07E0B4" w:rsidR="00045AC8" w:rsidRPr="007E716B" w:rsidRDefault="00045AC8">
      <w:pPr>
        <w:pStyle w:val="FootnoteText"/>
        <w:rPr>
          <w:lang w:val="en-GB"/>
        </w:rPr>
      </w:pPr>
      <w:r w:rsidRPr="00A55CEE">
        <w:rPr>
          <w:rStyle w:val="FootnoteReference"/>
          <w:lang w:val="en-GB"/>
        </w:rPr>
        <w:footnoteRef/>
      </w:r>
      <w:r w:rsidRPr="00A55CEE">
        <w:rPr>
          <w:lang w:val="en-GB"/>
        </w:rPr>
        <w:t xml:space="preserve"> Plato, </w:t>
      </w:r>
      <w:r w:rsidRPr="00A55CEE">
        <w:rPr>
          <w:i/>
          <w:iCs/>
          <w:lang w:val="en-GB"/>
        </w:rPr>
        <w:t>Plato Complete Works</w:t>
      </w:r>
      <w:r w:rsidRPr="00A55CEE">
        <w:rPr>
          <w:lang w:val="en-GB"/>
        </w:rPr>
        <w:t xml:space="preserve">, </w:t>
      </w:r>
      <w:r w:rsidRPr="00A55CEE">
        <w:rPr>
          <w:i/>
          <w:iCs/>
          <w:lang w:val="en-GB"/>
        </w:rPr>
        <w:t>Republic</w:t>
      </w:r>
      <w:r w:rsidRPr="00A55CEE">
        <w:rPr>
          <w:lang w:val="en-GB"/>
        </w:rPr>
        <w:t xml:space="preserve">, </w:t>
      </w:r>
      <w:r w:rsidR="00A55CEE" w:rsidRPr="00A55CEE">
        <w:rPr>
          <w:lang w:val="en-GB"/>
        </w:rPr>
        <w:t xml:space="preserve">Book VII - </w:t>
      </w:r>
      <w:r w:rsidRPr="00A55CEE">
        <w:rPr>
          <w:lang w:val="en-GB"/>
        </w:rPr>
        <w:t>515cde and 516abc.</w:t>
      </w:r>
    </w:p>
  </w:footnote>
  <w:footnote w:id="46">
    <w:p w14:paraId="2D411EF3" w14:textId="113594F0" w:rsidR="000F4912" w:rsidRPr="007E716B" w:rsidRDefault="000F4912">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43.</w:t>
      </w:r>
    </w:p>
  </w:footnote>
  <w:footnote w:id="47">
    <w:p w14:paraId="5CFE6A12" w14:textId="4C1F2C61" w:rsidR="001053E9" w:rsidRPr="001053E9" w:rsidRDefault="001053E9">
      <w:pPr>
        <w:pStyle w:val="FootnoteText"/>
      </w:pPr>
      <w:r>
        <w:rPr>
          <w:rStyle w:val="FootnoteReference"/>
        </w:rPr>
        <w:footnoteRef/>
      </w:r>
      <w:r>
        <w:t xml:space="preserve">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Pr>
          <w:rFonts w:ascii="Calibri" w:hAnsi="Calibri" w:cs="Calibri"/>
          <w:lang w:val="en-GB"/>
        </w:rPr>
        <w:t>89.</w:t>
      </w:r>
    </w:p>
  </w:footnote>
  <w:footnote w:id="48">
    <w:p w14:paraId="4A9F55BF" w14:textId="627711E1" w:rsidR="001053E9" w:rsidRPr="001053E9" w:rsidRDefault="001053E9">
      <w:pPr>
        <w:pStyle w:val="FootnoteText"/>
      </w:pPr>
      <w:r>
        <w:rPr>
          <w:rStyle w:val="FootnoteReference"/>
        </w:rPr>
        <w:footnoteRef/>
      </w:r>
      <w:r>
        <w:t xml:space="preserve">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Pr>
          <w:rFonts w:ascii="Calibri" w:hAnsi="Calibri" w:cs="Calibri"/>
          <w:lang w:val="en-GB"/>
        </w:rPr>
        <w:t>206.</w:t>
      </w:r>
    </w:p>
  </w:footnote>
  <w:footnote w:id="49">
    <w:p w14:paraId="145CED98" w14:textId="4EEB1F4C" w:rsidR="00E17666" w:rsidRPr="007E716B" w:rsidRDefault="00E17666">
      <w:pPr>
        <w:pStyle w:val="FootnoteText"/>
        <w:rPr>
          <w:lang w:val="en-GB"/>
        </w:rPr>
      </w:pPr>
      <w:r w:rsidRPr="007E716B">
        <w:rPr>
          <w:rStyle w:val="FootnoteReference"/>
          <w:lang w:val="en-GB"/>
        </w:rPr>
        <w:footnoteRef/>
      </w:r>
      <w:r w:rsidRPr="007E716B">
        <w:rPr>
          <w:lang w:val="en-GB"/>
        </w:rPr>
        <w:t xml:space="preserve"> </w:t>
      </w:r>
      <w:r w:rsidR="007A0CEF" w:rsidRPr="007E716B">
        <w:rPr>
          <w:lang w:val="en-GB"/>
        </w:rPr>
        <w:t>According to Proclus, “symbols are not imitations of that which they symbolize</w:t>
      </w:r>
      <w:r w:rsidR="007A0CEF">
        <w:rPr>
          <w:lang w:val="en-GB"/>
        </w:rPr>
        <w:t>”</w:t>
      </w:r>
      <w:r w:rsidR="007A0CEF">
        <w:rPr>
          <w:rFonts w:ascii="Calibri" w:hAnsi="Calibri" w:cs="Calibri"/>
          <w:lang w:val="en-GB"/>
        </w:rPr>
        <w:t xml:space="preserve"> in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223.</w:t>
      </w:r>
    </w:p>
  </w:footnote>
  <w:footnote w:id="50">
    <w:p w14:paraId="00D0157E" w14:textId="2F36048A" w:rsidR="00152F13" w:rsidRPr="00152F13" w:rsidRDefault="00152F13">
      <w:pPr>
        <w:pStyle w:val="FootnoteText"/>
      </w:pPr>
      <w:r>
        <w:rPr>
          <w:rStyle w:val="FootnoteReference"/>
        </w:rPr>
        <w:footnoteRef/>
      </w:r>
      <w:r>
        <w:t xml:space="preserve">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20</w:t>
      </w:r>
      <w:r>
        <w:rPr>
          <w:rFonts w:ascii="Calibri" w:hAnsi="Calibri" w:cs="Calibri"/>
          <w:lang w:val="en-GB"/>
        </w:rPr>
        <w:t>4</w:t>
      </w:r>
      <w:r w:rsidRPr="007E716B">
        <w:rPr>
          <w:rFonts w:ascii="Calibri" w:hAnsi="Calibri" w:cs="Calibri"/>
          <w:lang w:val="en-GB"/>
        </w:rPr>
        <w:t>.</w:t>
      </w:r>
    </w:p>
  </w:footnote>
  <w:footnote w:id="51">
    <w:p w14:paraId="5FD3998E" w14:textId="23354CE1" w:rsidR="00F74C19" w:rsidRPr="00F74C19" w:rsidRDefault="00F74C19">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Pr>
          <w:i/>
          <w:iCs/>
          <w:lang w:val="en-GB"/>
        </w:rPr>
        <w:t xml:space="preserve">, </w:t>
      </w:r>
      <w:r>
        <w:rPr>
          <w:lang w:val="en-GB"/>
        </w:rPr>
        <w:t>VII.1 250.5; VII.2 251.1-4, p. 290.</w:t>
      </w:r>
    </w:p>
  </w:footnote>
  <w:footnote w:id="52">
    <w:p w14:paraId="6DA35A9A" w14:textId="797A1DAF" w:rsidR="008949CD" w:rsidRPr="007E716B" w:rsidRDefault="008949CD">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31.</w:t>
      </w:r>
    </w:p>
  </w:footnote>
  <w:footnote w:id="53">
    <w:p w14:paraId="1FD42130" w14:textId="20ED6AC5" w:rsidR="00183FCF" w:rsidRPr="007E716B" w:rsidRDefault="00183FCF">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205.</w:t>
      </w:r>
    </w:p>
  </w:footnote>
  <w:footnote w:id="54">
    <w:p w14:paraId="3485358E" w14:textId="2B11E68F" w:rsidR="00102927" w:rsidRPr="00102927" w:rsidRDefault="00102927">
      <w:pPr>
        <w:pStyle w:val="FootnoteText"/>
        <w:rPr>
          <w:lang w:val="en-US"/>
        </w:rPr>
      </w:pPr>
      <w:r>
        <w:rPr>
          <w:rStyle w:val="FootnoteReference"/>
        </w:rPr>
        <w:footnoteRef/>
      </w:r>
      <w:r>
        <w:t xml:space="preserve"> </w:t>
      </w:r>
      <w:r w:rsidRPr="00102927">
        <w:rPr>
          <w:lang w:val="en-US"/>
        </w:rPr>
        <w:t>Objects are used in ritual magic to open a channel of communication with the gods</w:t>
      </w:r>
      <w:r>
        <w:rPr>
          <w:lang w:val="en-US"/>
        </w:rPr>
        <w:t xml:space="preserve">, based on the </w:t>
      </w:r>
      <w:r w:rsidR="00652B55">
        <w:rPr>
          <w:lang w:val="en-US"/>
        </w:rPr>
        <w:t xml:space="preserve">theory of correspondences or sympathy, that believed certain physical things, anything from plants to stones, had a stronger connection to a specific deity compared to others. This concept was applicable also to places, time and type of rituals. </w:t>
      </w:r>
      <w:r w:rsidR="00487847">
        <w:rPr>
          <w:lang w:val="en-US"/>
        </w:rPr>
        <w:t xml:space="preserve">Struck commented: “The magicians think that these objects and names have some sort of sympathetic connection with the gods, that is, some invisible but nonetheless real and efficacious link with the divinity. When manipulated or recited, the magic accouterments and names give the devotee the power to coerce the god or demon associated with them”, in Peter T. Struck, </w:t>
      </w:r>
      <w:r w:rsidR="00487847" w:rsidRPr="00487847">
        <w:rPr>
          <w:i/>
          <w:iCs/>
          <w:lang w:val="en-US"/>
        </w:rPr>
        <w:t>Birth of the Symbol</w:t>
      </w:r>
      <w:r w:rsidR="00487847">
        <w:rPr>
          <w:lang w:val="en-US"/>
        </w:rPr>
        <w:t>, p. 214.</w:t>
      </w:r>
    </w:p>
  </w:footnote>
  <w:footnote w:id="55">
    <w:p w14:paraId="31617371" w14:textId="749C0FFE" w:rsidR="00C2358B" w:rsidRPr="007E716B" w:rsidRDefault="00C2358B">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ždavinys suggest</w:t>
      </w:r>
      <w:r w:rsidR="00A55CEE">
        <w:rPr>
          <w:rFonts w:ascii="Calibri" w:hAnsi="Calibri" w:cs="Calibri"/>
          <w:lang w:val="en-GB"/>
        </w:rPr>
        <w:t>ed</w:t>
      </w:r>
      <w:r w:rsidRPr="007E716B">
        <w:rPr>
          <w:rFonts w:ascii="Calibri" w:hAnsi="Calibri" w:cs="Calibri"/>
          <w:lang w:val="en-GB"/>
        </w:rPr>
        <w:t xml:space="preserve"> that </w:t>
      </w:r>
      <w:r w:rsidR="00765B29" w:rsidRPr="007E716B">
        <w:rPr>
          <w:rFonts w:ascii="Calibri" w:hAnsi="Calibri" w:cs="Calibri"/>
          <w:lang w:val="en-GB"/>
        </w:rPr>
        <w:t xml:space="preserve">Neoplatonic theurgy is an Hellenised </w:t>
      </w:r>
      <w:r w:rsidR="00652B55">
        <w:rPr>
          <w:rFonts w:ascii="Calibri" w:hAnsi="Calibri" w:cs="Calibri"/>
          <w:lang w:val="en-GB"/>
        </w:rPr>
        <w:t>version</w:t>
      </w:r>
      <w:r w:rsidR="00765B29" w:rsidRPr="007E716B">
        <w:rPr>
          <w:rFonts w:ascii="Calibri" w:hAnsi="Calibri" w:cs="Calibri"/>
          <w:lang w:val="en-GB"/>
        </w:rPr>
        <w:t xml:space="preserve"> of various ancient beliefs of the Middle Eastern and Egyptian</w:t>
      </w:r>
      <w:r w:rsidR="00652B55">
        <w:rPr>
          <w:rFonts w:ascii="Calibri" w:hAnsi="Calibri" w:cs="Calibri"/>
          <w:lang w:val="en-GB"/>
        </w:rPr>
        <w:t xml:space="preserve"> </w:t>
      </w:r>
      <w:r w:rsidR="00765B29" w:rsidRPr="007E716B">
        <w:rPr>
          <w:rFonts w:ascii="Calibri" w:hAnsi="Calibri" w:cs="Calibri"/>
          <w:lang w:val="en-GB"/>
        </w:rPr>
        <w:t xml:space="preserve">regions of which already Pythagoreans, </w:t>
      </w:r>
      <w:r w:rsidR="00765B29" w:rsidRPr="00A55CEE">
        <w:rPr>
          <w:rFonts w:ascii="Calibri" w:hAnsi="Calibri" w:cs="Calibri"/>
          <w:lang w:val="en-GB"/>
        </w:rPr>
        <w:t>Orphic</w:t>
      </w:r>
      <w:r w:rsidR="00765B29" w:rsidRPr="007E716B">
        <w:rPr>
          <w:rFonts w:ascii="Calibri" w:hAnsi="Calibri" w:cs="Calibri"/>
          <w:lang w:val="en-GB"/>
        </w:rPr>
        <w:t xml:space="preserve"> and Chaldeans were revisitations</w:t>
      </w:r>
      <w:r w:rsidR="00652B55">
        <w:rPr>
          <w:rFonts w:ascii="Calibri" w:hAnsi="Calibri" w:cs="Calibri"/>
          <w:lang w:val="en-GB"/>
        </w:rPr>
        <w:t>,</w:t>
      </w:r>
      <w:r w:rsidR="00765B29" w:rsidRPr="007E716B">
        <w:rPr>
          <w:rFonts w:ascii="Calibri" w:hAnsi="Calibri" w:cs="Calibri"/>
          <w:lang w:val="en-GB"/>
        </w:rPr>
        <w:t xml:space="preserve"> later absorbed and elaborated by Plato</w:t>
      </w:r>
      <w:r w:rsidR="007A0CEF">
        <w:rPr>
          <w:rFonts w:ascii="Calibri" w:hAnsi="Calibri" w:cs="Calibri"/>
          <w:lang w:val="en-GB"/>
        </w:rPr>
        <w:t>:</w:t>
      </w:r>
      <w:r w:rsidR="00652B55">
        <w:rPr>
          <w:rFonts w:ascii="Calibri" w:hAnsi="Calibri" w:cs="Calibri"/>
          <w:lang w:val="en-GB"/>
        </w:rPr>
        <w:t xml:space="preserve"> see</w:t>
      </w:r>
      <w:r w:rsidRPr="007E716B">
        <w:rPr>
          <w:rFonts w:ascii="Calibri" w:hAnsi="Calibri" w:cs="Calibri"/>
          <w:lang w:val="en-GB"/>
        </w:rPr>
        <w:t xml:space="preserve"> </w:t>
      </w:r>
      <w:r w:rsidRPr="007E716B">
        <w:rPr>
          <w:lang w:val="en-GB"/>
        </w:rPr>
        <w:t>U</w:t>
      </w:r>
      <w:r w:rsidRPr="007E716B">
        <w:rPr>
          <w:rFonts w:ascii="Calibri" w:hAnsi="Calibri" w:cs="Calibri"/>
          <w:lang w:val="en-GB"/>
        </w:rPr>
        <w:t>ždavinys,</w:t>
      </w:r>
      <w:r w:rsidR="00765B29" w:rsidRPr="007E716B">
        <w:rPr>
          <w:rFonts w:ascii="Calibri" w:hAnsi="Calibri" w:cs="Calibri"/>
          <w:lang w:val="en-GB"/>
        </w:rPr>
        <w:t xml:space="preserve">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00765B29" w:rsidRPr="007E716B">
        <w:rPr>
          <w:lang w:val="en-GB"/>
        </w:rPr>
        <w:t xml:space="preserve">239. This paper is suggesting that the epistemological limitations </w:t>
      </w:r>
      <w:r w:rsidR="00865B4D" w:rsidRPr="007E716B">
        <w:rPr>
          <w:lang w:val="en-GB"/>
        </w:rPr>
        <w:t>intrinsic to</w:t>
      </w:r>
      <w:r w:rsidR="00765B29" w:rsidRPr="007E716B">
        <w:rPr>
          <w:lang w:val="en-GB"/>
        </w:rPr>
        <w:t xml:space="preserve"> Plato’s philosophy are </w:t>
      </w:r>
      <w:r w:rsidR="00765B29" w:rsidRPr="00652B55">
        <w:rPr>
          <w:lang w:val="en-GB"/>
        </w:rPr>
        <w:t>theurgy’s</w:t>
      </w:r>
      <w:r w:rsidR="00765B29" w:rsidRPr="007E716B">
        <w:rPr>
          <w:i/>
          <w:iCs/>
          <w:lang w:val="en-GB"/>
        </w:rPr>
        <w:t xml:space="preserve"> raison d’être</w:t>
      </w:r>
      <w:r w:rsidR="00765B29" w:rsidRPr="007E716B">
        <w:rPr>
          <w:lang w:val="en-GB"/>
        </w:rPr>
        <w:t xml:space="preserve"> without entering the discussion of previous influences and </w:t>
      </w:r>
      <w:r w:rsidR="005E020D">
        <w:rPr>
          <w:lang w:val="en-GB"/>
        </w:rPr>
        <w:t>origins</w:t>
      </w:r>
      <w:r w:rsidR="004B0C40" w:rsidRPr="007E716B">
        <w:rPr>
          <w:lang w:val="en-GB"/>
        </w:rPr>
        <w:t xml:space="preserve">, such as </w:t>
      </w:r>
      <w:r w:rsidR="004B0C40" w:rsidRPr="00A55CEE">
        <w:rPr>
          <w:lang w:val="en-GB"/>
        </w:rPr>
        <w:t>Armstrong’</w:t>
      </w:r>
      <w:r w:rsidR="004B0C40" w:rsidRPr="007E716B">
        <w:rPr>
          <w:lang w:val="en-GB"/>
        </w:rPr>
        <w:t xml:space="preserve">s claims that theurgy “stands on non-Greek philosophical principles incompatible with Plotinus or even Plato” in A. Hillary Armstrong, “Iamblichus in Egypt”. – </w:t>
      </w:r>
      <w:r w:rsidR="004B0C40" w:rsidRPr="007E716B">
        <w:rPr>
          <w:i/>
          <w:iCs/>
          <w:lang w:val="en-GB"/>
        </w:rPr>
        <w:t>Les Etudes Philosophiques</w:t>
      </w:r>
      <w:r w:rsidR="004B0C40" w:rsidRPr="007E716B">
        <w:rPr>
          <w:lang w:val="en-GB"/>
        </w:rPr>
        <w:t xml:space="preserve">, </w:t>
      </w:r>
      <w:r w:rsidR="003C02D7">
        <w:rPr>
          <w:lang w:val="en-GB"/>
        </w:rPr>
        <w:t>Vol.</w:t>
      </w:r>
      <w:r w:rsidR="004B0C40" w:rsidRPr="007E716B">
        <w:rPr>
          <w:lang w:val="en-GB"/>
        </w:rPr>
        <w:t xml:space="preserve"> 2-3, </w:t>
      </w:r>
      <w:r w:rsidR="003C02D7">
        <w:rPr>
          <w:lang w:val="en-GB"/>
        </w:rPr>
        <w:t>(</w:t>
      </w:r>
      <w:r w:rsidR="004B0C40" w:rsidRPr="007E716B">
        <w:rPr>
          <w:lang w:val="en-GB"/>
        </w:rPr>
        <w:t>1987</w:t>
      </w:r>
      <w:r w:rsidR="003C02D7">
        <w:rPr>
          <w:lang w:val="en-GB"/>
        </w:rPr>
        <w:t>)</w:t>
      </w:r>
      <w:r w:rsidR="004B0C40" w:rsidRPr="007E716B">
        <w:rPr>
          <w:lang w:val="en-GB"/>
        </w:rPr>
        <w:t>,</w:t>
      </w:r>
      <w:r w:rsidR="003C02D7">
        <w:rPr>
          <w:lang w:val="en-GB"/>
        </w:rPr>
        <w:t xml:space="preserve"> 179-188,</w:t>
      </w:r>
      <w:r w:rsidR="004B0C40" w:rsidRPr="007E716B">
        <w:rPr>
          <w:lang w:val="en-GB"/>
        </w:rPr>
        <w:t xml:space="preserve"> p. 181; or </w:t>
      </w:r>
      <w:r w:rsidR="00A55CEE" w:rsidRPr="007E716B">
        <w:rPr>
          <w:lang w:val="en-GB"/>
        </w:rPr>
        <w:t>U</w:t>
      </w:r>
      <w:r w:rsidR="00A55CEE" w:rsidRPr="007E716B">
        <w:rPr>
          <w:rFonts w:ascii="Calibri" w:hAnsi="Calibri" w:cs="Calibri"/>
          <w:lang w:val="en-GB"/>
        </w:rPr>
        <w:t>ždavinys</w:t>
      </w:r>
      <w:r w:rsidR="004B0C40" w:rsidRPr="007E716B">
        <w:rPr>
          <w:rFonts w:ascii="Calibri" w:hAnsi="Calibri" w:cs="Calibri"/>
          <w:lang w:val="en-GB"/>
        </w:rPr>
        <w:t>’s claims that Plato’s philosophy is nothing more than a reinterpretation of ancient wisdom and therefore theurgy is solidly based on ancient texts</w:t>
      </w:r>
      <w:r w:rsidR="00A55CEE">
        <w:rPr>
          <w:rFonts w:ascii="Calibri" w:hAnsi="Calibri" w:cs="Calibri"/>
          <w:lang w:val="en-GB"/>
        </w:rPr>
        <w:t>,</w:t>
      </w:r>
      <w:r w:rsidR="004B0C40" w:rsidRPr="007E716B">
        <w:rPr>
          <w:rFonts w:ascii="Calibri" w:hAnsi="Calibri" w:cs="Calibri"/>
          <w:lang w:val="en-GB"/>
        </w:rPr>
        <w:t xml:space="preserve"> because Plato’s corpus of work is </w:t>
      </w:r>
      <w:r w:rsidR="001360F7">
        <w:rPr>
          <w:rFonts w:ascii="Calibri" w:hAnsi="Calibri" w:cs="Calibri"/>
          <w:lang w:val="en-GB"/>
        </w:rPr>
        <w:t xml:space="preserve">just </w:t>
      </w:r>
      <w:r w:rsidR="004B0C40" w:rsidRPr="007E716B">
        <w:rPr>
          <w:rFonts w:ascii="Calibri" w:hAnsi="Calibri" w:cs="Calibri"/>
          <w:lang w:val="en-GB"/>
        </w:rPr>
        <w:t xml:space="preserve">a </w:t>
      </w:r>
      <w:r w:rsidR="00652B55">
        <w:rPr>
          <w:rFonts w:ascii="Calibri" w:hAnsi="Calibri" w:cs="Calibri"/>
          <w:lang w:val="en-GB"/>
        </w:rPr>
        <w:t>Greek</w:t>
      </w:r>
      <w:r w:rsidR="004B0C40" w:rsidRPr="007E716B">
        <w:rPr>
          <w:rFonts w:ascii="Calibri" w:hAnsi="Calibri" w:cs="Calibri"/>
          <w:lang w:val="en-GB"/>
        </w:rPr>
        <w:t xml:space="preserve"> version of it</w:t>
      </w:r>
      <w:r w:rsidR="001360F7">
        <w:rPr>
          <w:rFonts w:ascii="Calibri" w:hAnsi="Calibri" w:cs="Calibri"/>
          <w:lang w:val="en-GB"/>
        </w:rPr>
        <w:t>:</w:t>
      </w:r>
      <w:r w:rsidR="004B0C40" w:rsidRPr="007E716B">
        <w:rPr>
          <w:rFonts w:ascii="Calibri" w:hAnsi="Calibri" w:cs="Calibri"/>
          <w:lang w:val="en-GB"/>
        </w:rPr>
        <w:t xml:space="preserve"> </w:t>
      </w:r>
      <w:r w:rsidR="00652B55">
        <w:rPr>
          <w:rFonts w:ascii="Calibri" w:hAnsi="Calibri" w:cs="Calibri"/>
          <w:lang w:val="en-GB"/>
        </w:rPr>
        <w:t>i</w:t>
      </w:r>
      <w:r w:rsidR="004B0C40" w:rsidRPr="007E716B">
        <w:rPr>
          <w:rFonts w:ascii="Calibri" w:hAnsi="Calibri" w:cs="Calibri"/>
          <w:lang w:val="en-GB"/>
        </w:rPr>
        <w:t xml:space="preserve">n </w:t>
      </w:r>
      <w:r w:rsidR="004B0C40" w:rsidRPr="007E716B">
        <w:rPr>
          <w:lang w:val="en-GB"/>
        </w:rPr>
        <w:t>U</w:t>
      </w:r>
      <w:r w:rsidR="004B0C40" w:rsidRPr="007E716B">
        <w:rPr>
          <w:rFonts w:ascii="Calibri" w:hAnsi="Calibri" w:cs="Calibri"/>
          <w:lang w:val="en-GB"/>
        </w:rPr>
        <w:t xml:space="preserve">ždavinys, </w:t>
      </w:r>
      <w:r w:rsidR="004B0C40" w:rsidRPr="007E716B">
        <w:rPr>
          <w:rFonts w:ascii="Calibri" w:hAnsi="Calibri" w:cs="Calibri"/>
          <w:i/>
          <w:iCs/>
          <w:lang w:val="en-GB"/>
        </w:rPr>
        <w:t>Philosophy &amp; Theurgy in Late Antiquity</w:t>
      </w:r>
      <w:r w:rsidR="004B0C40" w:rsidRPr="007E716B">
        <w:rPr>
          <w:rFonts w:ascii="Calibri" w:hAnsi="Calibri" w:cs="Calibri"/>
          <w:lang w:val="en-GB"/>
        </w:rPr>
        <w:t>, p</w:t>
      </w:r>
      <w:r w:rsidR="007A0CEF">
        <w:rPr>
          <w:rFonts w:ascii="Calibri" w:hAnsi="Calibri" w:cs="Calibri"/>
          <w:lang w:val="en-GB"/>
        </w:rPr>
        <w:t>p</w:t>
      </w:r>
      <w:r w:rsidR="004B0C40" w:rsidRPr="007E716B">
        <w:rPr>
          <w:rFonts w:ascii="Calibri" w:hAnsi="Calibri" w:cs="Calibri"/>
          <w:lang w:val="en-GB"/>
        </w:rPr>
        <w:t xml:space="preserve">. </w:t>
      </w:r>
      <w:r w:rsidR="004B0C40" w:rsidRPr="007E716B">
        <w:rPr>
          <w:lang w:val="en-GB"/>
        </w:rPr>
        <w:t xml:space="preserve">234-235. This essay does not intend to confute or agree with such claims for lack of personal </w:t>
      </w:r>
      <w:r w:rsidR="007A0CEF">
        <w:rPr>
          <w:lang w:val="en-GB"/>
        </w:rPr>
        <w:t>research</w:t>
      </w:r>
      <w:r w:rsidR="004B0C40" w:rsidRPr="007E716B">
        <w:rPr>
          <w:lang w:val="en-GB"/>
        </w:rPr>
        <w:t xml:space="preserve"> on the subject. </w:t>
      </w:r>
      <w:r w:rsidR="00910FD8">
        <w:rPr>
          <w:lang w:val="en-GB"/>
        </w:rPr>
        <w:t xml:space="preserve">For an in depth excursus on the topic of an alleged origin of Greek culture in the Orient, specifically in Egypt, see the commendable article of Suzanne Marchand, “What did the Greek owe to the Orient? The question we can’t stop asking (even though we can’t answer it)”, </w:t>
      </w:r>
      <w:r w:rsidR="00910FD8" w:rsidRPr="00910FD8">
        <w:rPr>
          <w:i/>
          <w:iCs/>
          <w:lang w:val="en-GB"/>
        </w:rPr>
        <w:t>Archaeological Dialogues</w:t>
      </w:r>
      <w:r w:rsidR="00910FD8">
        <w:rPr>
          <w:lang w:val="en-GB"/>
        </w:rPr>
        <w:t>, vol. 17 (1), (Cambridge University Press, 2010), pp. 117 – 140. Coming back to th</w:t>
      </w:r>
      <w:r w:rsidR="007A0CEF">
        <w:rPr>
          <w:lang w:val="en-GB"/>
        </w:rPr>
        <w:t>is essay’s</w:t>
      </w:r>
      <w:r w:rsidR="00910FD8">
        <w:rPr>
          <w:lang w:val="en-GB"/>
        </w:rPr>
        <w:t xml:space="preserve"> topic, this paper simply argues that </w:t>
      </w:r>
      <w:r w:rsidR="004B0C40" w:rsidRPr="007E716B">
        <w:rPr>
          <w:lang w:val="en-GB"/>
        </w:rPr>
        <w:t>there is sufficient evidence contained in Plato’s work to safely state that theurgy was a possible natural outcome of his epistemological positions</w:t>
      </w:r>
      <w:r w:rsidR="00FB4CBF" w:rsidRPr="007E716B">
        <w:rPr>
          <w:lang w:val="en-GB"/>
        </w:rPr>
        <w:t>.</w:t>
      </w:r>
    </w:p>
  </w:footnote>
  <w:footnote w:id="56">
    <w:p w14:paraId="6F008836" w14:textId="74EBFE6F" w:rsidR="00C630AA" w:rsidRPr="007E716B" w:rsidRDefault="00C630AA">
      <w:pPr>
        <w:pStyle w:val="FootnoteText"/>
        <w:rPr>
          <w:lang w:val="en-GB"/>
        </w:rPr>
      </w:pPr>
      <w:r w:rsidRPr="007E716B">
        <w:rPr>
          <w:rStyle w:val="FootnoteReference"/>
          <w:lang w:val="en-GB"/>
        </w:rPr>
        <w:footnoteRef/>
      </w:r>
      <w:r w:rsidRPr="007E716B">
        <w:rPr>
          <w:lang w:val="en-GB"/>
        </w:rPr>
        <w:t xml:space="preserve"> “The Platonic-Chaldean… system of theurgy in its Graeco-Roman and Middle-Platonic philosophical form appeared, presumably, only at the reign of Marcus Aurelius”, who lived between 121 – 180 CE</w:t>
      </w:r>
      <w:r w:rsidR="00BC498E">
        <w:rPr>
          <w:lang w:val="en-GB"/>
        </w:rPr>
        <w:t>:</w:t>
      </w:r>
      <w:r w:rsidRPr="007E716B">
        <w:rPr>
          <w:lang w:val="en-GB"/>
        </w:rPr>
        <w:t xml:space="preserve"> in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141. The </w:t>
      </w:r>
      <w:r w:rsidRPr="007E716B">
        <w:rPr>
          <w:lang w:val="en-GB"/>
        </w:rPr>
        <w:t>term was presumably “coined by the father and son Juliani, the legendary “Chaldeans” of the second century</w:t>
      </w:r>
      <w:r w:rsidR="001360F7">
        <w:rPr>
          <w:lang w:val="en-GB"/>
        </w:rPr>
        <w:t>:</w:t>
      </w:r>
      <w:r w:rsidRPr="007E716B">
        <w:rPr>
          <w:lang w:val="en-GB"/>
        </w:rPr>
        <w:t xml:space="preserve"> in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Pr="007E716B">
        <w:rPr>
          <w:lang w:val="en-GB"/>
        </w:rPr>
        <w:t>135.</w:t>
      </w:r>
    </w:p>
  </w:footnote>
  <w:footnote w:id="57">
    <w:p w14:paraId="465B204D" w14:textId="1EF5AC90" w:rsidR="00A140B3" w:rsidRPr="007E716B" w:rsidRDefault="00A140B3">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6.</w:t>
      </w:r>
    </w:p>
  </w:footnote>
  <w:footnote w:id="58">
    <w:p w14:paraId="55FDB89F" w14:textId="18782EC1" w:rsidR="00B71CB4" w:rsidRPr="007E716B" w:rsidRDefault="00B71CB4">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190.</w:t>
      </w:r>
    </w:p>
  </w:footnote>
  <w:footnote w:id="59">
    <w:p w14:paraId="12D03A88" w14:textId="6AEC4752" w:rsidR="00A969AE" w:rsidRPr="00A969AE" w:rsidRDefault="00A969AE">
      <w:pPr>
        <w:pStyle w:val="FootnoteText"/>
        <w:rPr>
          <w:lang w:val="en-US"/>
        </w:rPr>
      </w:pPr>
      <w:r>
        <w:rPr>
          <w:rStyle w:val="FootnoteReference"/>
        </w:rPr>
        <w:footnoteRef/>
      </w:r>
      <w:r>
        <w:t xml:space="preserve"> </w:t>
      </w:r>
      <w:r w:rsidRPr="00A969AE">
        <w:rPr>
          <w:lang w:val="en-US"/>
        </w:rPr>
        <w:t>This is,</w:t>
      </w:r>
      <w:r>
        <w:rPr>
          <w:lang w:val="en-US"/>
        </w:rPr>
        <w:t xml:space="preserve"> for</w:t>
      </w:r>
      <w:r w:rsidRPr="00A969AE">
        <w:rPr>
          <w:lang w:val="en-US"/>
        </w:rPr>
        <w:t xml:space="preserve"> Iamblichus</w:t>
      </w:r>
      <w:r>
        <w:rPr>
          <w:lang w:val="en-US"/>
        </w:rPr>
        <w:t xml:space="preserve"> as well as for Plato, the road to a happy life: “For understanding the Good is the paradigm of well-being”, </w:t>
      </w:r>
      <w:r w:rsidRPr="007E716B">
        <w:rPr>
          <w:lang w:val="en-GB"/>
        </w:rPr>
        <w:t xml:space="preserve">Iamblichus, </w:t>
      </w:r>
      <w:r w:rsidRPr="007E716B">
        <w:rPr>
          <w:i/>
          <w:iCs/>
          <w:lang w:val="en-GB"/>
        </w:rPr>
        <w:t>De Mysteriis</w:t>
      </w:r>
      <w:r>
        <w:rPr>
          <w:i/>
          <w:iCs/>
          <w:lang w:val="en-GB"/>
        </w:rPr>
        <w:t xml:space="preserve">, </w:t>
      </w:r>
      <w:r>
        <w:rPr>
          <w:lang w:val="en-GB"/>
        </w:rPr>
        <w:t>X.5 291.1-4, p. 348.</w:t>
      </w:r>
    </w:p>
  </w:footnote>
  <w:footnote w:id="60">
    <w:p w14:paraId="482C9CF7" w14:textId="77777777" w:rsidR="008B6B94" w:rsidRPr="007E716B" w:rsidRDefault="008B6B94" w:rsidP="008B6B94">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Pr="007E716B">
        <w:rPr>
          <w:lang w:val="en-GB"/>
        </w:rPr>
        <w:t>27.</w:t>
      </w:r>
    </w:p>
  </w:footnote>
  <w:footnote w:id="61">
    <w:p w14:paraId="67BB5B25" w14:textId="6D66114B" w:rsidR="00823F43" w:rsidRPr="002723B4" w:rsidRDefault="00823F43" w:rsidP="00823F43">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sidR="009B4B1A">
        <w:rPr>
          <w:lang w:val="en-GB"/>
        </w:rPr>
        <w:t>I</w:t>
      </w:r>
      <w:r w:rsidRPr="007E716B">
        <w:rPr>
          <w:lang w:val="en-GB"/>
        </w:rPr>
        <w:t>.1</w:t>
      </w:r>
      <w:r>
        <w:rPr>
          <w:lang w:val="en-GB"/>
        </w:rPr>
        <w:t>7</w:t>
      </w:r>
      <w:r w:rsidRPr="007E716B">
        <w:rPr>
          <w:lang w:val="en-GB"/>
        </w:rPr>
        <w:t>,</w:t>
      </w:r>
      <w:r w:rsidR="009B4B1A">
        <w:rPr>
          <w:lang w:val="en-GB"/>
        </w:rPr>
        <w:t xml:space="preserve"> 140,</w:t>
      </w:r>
      <w:r w:rsidRPr="007E716B">
        <w:rPr>
          <w:lang w:val="en-GB"/>
        </w:rPr>
        <w:t xml:space="preserve"> p. </w:t>
      </w:r>
      <w:r>
        <w:rPr>
          <w:lang w:val="en-GB"/>
        </w:rPr>
        <w:t>16</w:t>
      </w:r>
      <w:r w:rsidR="009B4B1A">
        <w:rPr>
          <w:lang w:val="en-GB"/>
        </w:rPr>
        <w:t>0</w:t>
      </w:r>
      <w:r w:rsidR="008430A0">
        <w:rPr>
          <w:lang w:val="en-GB"/>
        </w:rPr>
        <w:t xml:space="preserve">; </w:t>
      </w:r>
      <w:r w:rsidR="008430A0">
        <w:rPr>
          <w:lang w:val="en-GB"/>
        </w:rPr>
        <w:t>I</w:t>
      </w:r>
      <w:r w:rsidR="008430A0" w:rsidRPr="007E716B">
        <w:rPr>
          <w:lang w:val="en-GB"/>
        </w:rPr>
        <w:t>.1</w:t>
      </w:r>
      <w:r w:rsidR="008430A0">
        <w:rPr>
          <w:lang w:val="en-GB"/>
        </w:rPr>
        <w:t>7</w:t>
      </w:r>
      <w:r w:rsidR="008430A0" w:rsidRPr="007E716B">
        <w:rPr>
          <w:lang w:val="en-GB"/>
        </w:rPr>
        <w:t>,</w:t>
      </w:r>
      <w:r w:rsidR="008430A0">
        <w:rPr>
          <w:lang w:val="en-GB"/>
        </w:rPr>
        <w:t xml:space="preserve"> 14</w:t>
      </w:r>
      <w:r w:rsidR="008430A0">
        <w:rPr>
          <w:lang w:val="en-GB"/>
        </w:rPr>
        <w:t>1</w:t>
      </w:r>
      <w:r w:rsidR="008430A0">
        <w:rPr>
          <w:lang w:val="en-GB"/>
        </w:rPr>
        <w:t>,</w:t>
      </w:r>
      <w:r w:rsidR="008430A0" w:rsidRPr="007E716B">
        <w:rPr>
          <w:lang w:val="en-GB"/>
        </w:rPr>
        <w:t xml:space="preserve"> p. </w:t>
      </w:r>
      <w:r w:rsidR="008430A0">
        <w:rPr>
          <w:lang w:val="en-GB"/>
        </w:rPr>
        <w:t>16</w:t>
      </w:r>
      <w:r w:rsidR="008430A0">
        <w:rPr>
          <w:lang w:val="en-GB"/>
        </w:rPr>
        <w:t xml:space="preserve">2; </w:t>
      </w:r>
      <w:r w:rsidR="008430A0">
        <w:rPr>
          <w:lang w:val="en-GB"/>
        </w:rPr>
        <w:t>I</w:t>
      </w:r>
      <w:r w:rsidR="008430A0" w:rsidRPr="007E716B">
        <w:rPr>
          <w:lang w:val="en-GB"/>
        </w:rPr>
        <w:t>.1</w:t>
      </w:r>
      <w:r w:rsidR="008430A0">
        <w:rPr>
          <w:lang w:val="en-GB"/>
        </w:rPr>
        <w:t>4</w:t>
      </w:r>
      <w:r w:rsidR="008430A0" w:rsidRPr="007E716B">
        <w:rPr>
          <w:lang w:val="en-GB"/>
        </w:rPr>
        <w:t>,</w:t>
      </w:r>
      <w:r w:rsidR="008430A0">
        <w:rPr>
          <w:lang w:val="en-GB"/>
        </w:rPr>
        <w:t xml:space="preserve"> </w:t>
      </w:r>
      <w:r w:rsidR="008430A0">
        <w:rPr>
          <w:lang w:val="en-GB"/>
        </w:rPr>
        <w:t xml:space="preserve">45.7-9 </w:t>
      </w:r>
      <w:r w:rsidR="008430A0">
        <w:rPr>
          <w:lang w:val="en-GB"/>
        </w:rPr>
        <w:t>,</w:t>
      </w:r>
      <w:r w:rsidR="008430A0" w:rsidRPr="007E716B">
        <w:rPr>
          <w:lang w:val="en-GB"/>
        </w:rPr>
        <w:t xml:space="preserve"> p. </w:t>
      </w:r>
      <w:r w:rsidR="008430A0">
        <w:rPr>
          <w:lang w:val="en-GB"/>
        </w:rPr>
        <w:t>54.</w:t>
      </w:r>
    </w:p>
  </w:footnote>
  <w:footnote w:id="62">
    <w:p w14:paraId="0D2319E6" w14:textId="240F5E90" w:rsidR="001360F7" w:rsidRPr="001360F7" w:rsidRDefault="001360F7">
      <w:pPr>
        <w:pStyle w:val="FootnoteText"/>
        <w:rPr>
          <w:lang w:val="en-US"/>
        </w:rPr>
      </w:pPr>
      <w:r>
        <w:rPr>
          <w:rStyle w:val="FootnoteReference"/>
        </w:rPr>
        <w:footnoteRef/>
      </w:r>
      <w:r>
        <w:t xml:space="preserve"> </w:t>
      </w:r>
      <w:r w:rsidRPr="001360F7">
        <w:rPr>
          <w:lang w:val="en-US"/>
        </w:rPr>
        <w:t>These ontological connections could be activated</w:t>
      </w:r>
      <w:r>
        <w:rPr>
          <w:lang w:val="en-US"/>
        </w:rPr>
        <w:t xml:space="preserve"> through ritual “manipulation” to open up communication with the gods (see the relevance of divination) and gain the ultimate knowledge in a very similar way to magic. </w:t>
      </w:r>
      <w:r w:rsidR="004A3022" w:rsidRPr="007E716B">
        <w:rPr>
          <w:lang w:val="en-GB"/>
        </w:rPr>
        <w:t xml:space="preserve">Iamblichus, </w:t>
      </w:r>
      <w:r w:rsidR="004A3022" w:rsidRPr="007E716B">
        <w:rPr>
          <w:i/>
          <w:iCs/>
          <w:lang w:val="en-GB"/>
        </w:rPr>
        <w:t>De Mysteriis</w:t>
      </w:r>
      <w:r w:rsidR="004A3022" w:rsidRPr="007E716B">
        <w:rPr>
          <w:lang w:val="en-GB"/>
        </w:rPr>
        <w:t>,</w:t>
      </w:r>
      <w:r w:rsidR="004A3022">
        <w:rPr>
          <w:lang w:val="en-GB"/>
        </w:rPr>
        <w:t>V.9, 210</w:t>
      </w:r>
      <w:r w:rsidR="00BC498E">
        <w:rPr>
          <w:lang w:val="en-GB"/>
        </w:rPr>
        <w:t>, p. 240</w:t>
      </w:r>
      <w:r w:rsidR="004A3022">
        <w:rPr>
          <w:lang w:val="en-GB"/>
        </w:rPr>
        <w:t>.</w:t>
      </w:r>
    </w:p>
  </w:footnote>
  <w:footnote w:id="63">
    <w:p w14:paraId="4ED10F92" w14:textId="421E24CF" w:rsidR="008F249C" w:rsidRPr="007E716B" w:rsidRDefault="008F249C">
      <w:pPr>
        <w:pStyle w:val="FootnoteText"/>
        <w:rPr>
          <w:lang w:val="en-GB"/>
        </w:rPr>
      </w:pPr>
      <w:r w:rsidRPr="007E716B">
        <w:rPr>
          <w:rStyle w:val="FootnoteReference"/>
          <w:lang w:val="en-GB"/>
        </w:rPr>
        <w:footnoteRef/>
      </w:r>
      <w:r w:rsidRPr="007E716B">
        <w:rPr>
          <w:lang w:val="en-GB"/>
        </w:rPr>
        <w:t xml:space="preserve"> Exemplary of this widespread prejudice in </w:t>
      </w:r>
      <w:r w:rsidR="00161EF1">
        <w:rPr>
          <w:lang w:val="en-GB"/>
        </w:rPr>
        <w:t>W</w:t>
      </w:r>
      <w:r w:rsidRPr="007E716B">
        <w:rPr>
          <w:lang w:val="en-GB"/>
        </w:rPr>
        <w:t>estern scholarship is the remark of Ulrich von Wilamowitz-Moellendorff who recounted: “I once heard a well-known scholar complain that these papyri [referring to the Greek Magical Papyri] were found because they deprived antiquity of the noble splendor of classicism”</w:t>
      </w:r>
      <w:r w:rsidR="00DF5402" w:rsidRPr="007E716B">
        <w:rPr>
          <w:lang w:val="en-GB"/>
        </w:rPr>
        <w:t xml:space="preserve"> in </w:t>
      </w:r>
      <w:r w:rsidR="00161EF1" w:rsidRPr="00161EF1">
        <w:rPr>
          <w:lang w:val="en-GB"/>
        </w:rPr>
        <w:t xml:space="preserve">Hans Dieter Betz, “Introduction to the Greek </w:t>
      </w:r>
      <w:r w:rsidR="004A3022">
        <w:rPr>
          <w:lang w:val="en-GB"/>
        </w:rPr>
        <w:t>M</w:t>
      </w:r>
      <w:r w:rsidR="00161EF1" w:rsidRPr="00161EF1">
        <w:rPr>
          <w:lang w:val="en-GB"/>
        </w:rPr>
        <w:t>agical Papyri” in</w:t>
      </w:r>
      <w:r w:rsidR="00161EF1" w:rsidRPr="00161EF1">
        <w:rPr>
          <w:i/>
          <w:iCs/>
          <w:lang w:val="en-GB"/>
        </w:rPr>
        <w:t xml:space="preserve"> </w:t>
      </w:r>
      <w:r w:rsidR="00DF5402" w:rsidRPr="00161EF1">
        <w:rPr>
          <w:i/>
          <w:iCs/>
          <w:lang w:val="en-GB"/>
        </w:rPr>
        <w:t>The Greek Magical Papyri in Translation</w:t>
      </w:r>
      <w:r w:rsidR="00DF5402" w:rsidRPr="00161EF1">
        <w:rPr>
          <w:lang w:val="en-GB"/>
        </w:rPr>
        <w:t xml:space="preserve">, vol. 1, </w:t>
      </w:r>
      <w:r w:rsidR="00161EF1" w:rsidRPr="00161EF1">
        <w:rPr>
          <w:lang w:val="en-GB"/>
        </w:rPr>
        <w:t>2</w:t>
      </w:r>
      <w:r w:rsidR="00161EF1" w:rsidRPr="00161EF1">
        <w:rPr>
          <w:vertAlign w:val="superscript"/>
          <w:lang w:val="en-GB"/>
        </w:rPr>
        <w:t>nd</w:t>
      </w:r>
      <w:r w:rsidR="00161EF1" w:rsidRPr="00161EF1">
        <w:rPr>
          <w:lang w:val="en-GB"/>
        </w:rPr>
        <w:t xml:space="preserve"> </w:t>
      </w:r>
      <w:r w:rsidR="00DF5402" w:rsidRPr="00161EF1">
        <w:rPr>
          <w:lang w:val="en-GB"/>
        </w:rPr>
        <w:t>edn.,</w:t>
      </w:r>
      <w:r w:rsidR="00161EF1" w:rsidRPr="00161EF1">
        <w:rPr>
          <w:lang w:val="en-GB"/>
        </w:rPr>
        <w:t xml:space="preserve"> (Chicago and London: The University of Chicago Press, 1996)</w:t>
      </w:r>
      <w:r w:rsidR="00DF5402" w:rsidRPr="00161EF1">
        <w:rPr>
          <w:lang w:val="en-GB"/>
        </w:rPr>
        <w:t xml:space="preserve"> p. xli</w:t>
      </w:r>
      <w:r w:rsidR="00DF5402" w:rsidRPr="007E716B">
        <w:rPr>
          <w:lang w:val="en-GB"/>
        </w:rPr>
        <w:t xml:space="preserve">; </w:t>
      </w:r>
      <w:r w:rsidRPr="007E716B">
        <w:rPr>
          <w:lang w:val="en-GB"/>
        </w:rPr>
        <w:t xml:space="preserve"> and this is the same attitude that justified German scholar</w:t>
      </w:r>
      <w:r w:rsidR="00161EF1">
        <w:rPr>
          <w:lang w:val="en-GB"/>
        </w:rPr>
        <w:t xml:space="preserve">s </w:t>
      </w:r>
      <w:r w:rsidRPr="007E716B">
        <w:rPr>
          <w:lang w:val="en-GB"/>
        </w:rPr>
        <w:t xml:space="preserve">to create the term Neoplatonism to </w:t>
      </w:r>
      <w:r w:rsidR="00BC498E">
        <w:rPr>
          <w:lang w:val="en-GB"/>
        </w:rPr>
        <w:t>isolate</w:t>
      </w:r>
      <w:r w:rsidRPr="007E716B">
        <w:rPr>
          <w:lang w:val="en-GB"/>
        </w:rPr>
        <w:t xml:space="preserve"> all </w:t>
      </w:r>
      <w:r w:rsidR="004A3022">
        <w:rPr>
          <w:lang w:val="en-GB"/>
        </w:rPr>
        <w:t>“</w:t>
      </w:r>
      <w:r w:rsidRPr="007E716B">
        <w:rPr>
          <w:lang w:val="en-GB"/>
        </w:rPr>
        <w:t>irrationality</w:t>
      </w:r>
      <w:r w:rsidR="004A3022">
        <w:rPr>
          <w:lang w:val="en-GB"/>
        </w:rPr>
        <w:t>”</w:t>
      </w:r>
      <w:r w:rsidRPr="007E716B">
        <w:rPr>
          <w:lang w:val="en-GB"/>
        </w:rPr>
        <w:t xml:space="preserve"> from Greek philosophy</w:t>
      </w:r>
      <w:r w:rsidR="00161EF1">
        <w:rPr>
          <w:lang w:val="en-GB"/>
        </w:rPr>
        <w:t>, considering Neoplatonism</w:t>
      </w:r>
      <w:r w:rsidRPr="007E716B">
        <w:rPr>
          <w:lang w:val="en-GB"/>
        </w:rPr>
        <w:t xml:space="preserve"> </w:t>
      </w:r>
      <w:r w:rsidR="00161EF1">
        <w:rPr>
          <w:lang w:val="en-GB"/>
        </w:rPr>
        <w:t>a sort of aberration</w:t>
      </w:r>
      <w:r w:rsidRPr="007E716B">
        <w:rPr>
          <w:lang w:val="en-GB"/>
        </w:rPr>
        <w:t xml:space="preserve">, </w:t>
      </w:r>
      <w:r w:rsidR="00DF5402" w:rsidRPr="007E716B">
        <w:rPr>
          <w:lang w:val="en-GB"/>
        </w:rPr>
        <w:t>the product</w:t>
      </w:r>
      <w:r w:rsidRPr="007E716B">
        <w:rPr>
          <w:lang w:val="en-GB"/>
        </w:rPr>
        <w:t xml:space="preserve"> </w:t>
      </w:r>
      <w:r w:rsidR="00DF5402" w:rsidRPr="007E716B">
        <w:rPr>
          <w:lang w:val="en-GB"/>
        </w:rPr>
        <w:t>of the Hellenistic syncretism and the loss of original classical values</w:t>
      </w:r>
      <w:r w:rsidR="00161EF1">
        <w:rPr>
          <w:lang w:val="en-GB"/>
        </w:rPr>
        <w:t>. See note 14</w:t>
      </w:r>
      <w:r w:rsidR="00DF5402" w:rsidRPr="007E716B">
        <w:rPr>
          <w:lang w:val="en-GB"/>
        </w:rPr>
        <w:t xml:space="preserve">. </w:t>
      </w:r>
    </w:p>
  </w:footnote>
  <w:footnote w:id="64">
    <w:p w14:paraId="4AC7B759" w14:textId="140DAD4E" w:rsidR="005920C4" w:rsidRPr="005920C4" w:rsidRDefault="005920C4">
      <w:pPr>
        <w:pStyle w:val="FootnoteText"/>
        <w:rPr>
          <w:lang w:val="en-US"/>
        </w:rPr>
      </w:pPr>
      <w:r>
        <w:rPr>
          <w:rStyle w:val="FootnoteReference"/>
        </w:rPr>
        <w:footnoteRef/>
      </w:r>
      <w:r>
        <w:t xml:space="preserve"> </w:t>
      </w:r>
      <w:r w:rsidRPr="005920C4">
        <w:rPr>
          <w:lang w:val="en-US"/>
        </w:rPr>
        <w:t>On this top</w:t>
      </w:r>
      <w:r>
        <w:rPr>
          <w:lang w:val="en-US"/>
        </w:rPr>
        <w:t>ic, it could also be interesting to explore the use of myths in Plato’s narrative style and the possible connections that this stylistic choice has with the limit</w:t>
      </w:r>
      <w:r w:rsidR="004A3022">
        <w:rPr>
          <w:lang w:val="en-US"/>
        </w:rPr>
        <w:t>ation</w:t>
      </w:r>
      <w:r>
        <w:rPr>
          <w:lang w:val="en-US"/>
        </w:rPr>
        <w:t xml:space="preserve">s of human </w:t>
      </w:r>
      <w:r w:rsidRPr="005920C4">
        <w:rPr>
          <w:i/>
          <w:iCs/>
          <w:lang w:val="en-US"/>
        </w:rPr>
        <w:t>logos</w:t>
      </w:r>
      <w:r>
        <w:rPr>
          <w:lang w:val="en-US"/>
        </w:rPr>
        <w:t>.</w:t>
      </w:r>
    </w:p>
  </w:footnote>
  <w:footnote w:id="65">
    <w:p w14:paraId="22C89AD5" w14:textId="77777777" w:rsidR="007E651B" w:rsidRPr="007E716B" w:rsidRDefault="007E651B" w:rsidP="007E651B">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Pr="007E716B">
        <w:rPr>
          <w:lang w:val="en-GB"/>
        </w:rPr>
        <w:t>225.</w:t>
      </w:r>
    </w:p>
  </w:footnote>
  <w:footnote w:id="66">
    <w:p w14:paraId="224DBFF9" w14:textId="777C7BD1" w:rsidR="00BA4A26" w:rsidRPr="007E716B" w:rsidRDefault="00BA4A26">
      <w:pPr>
        <w:pStyle w:val="FootnoteText"/>
        <w:rPr>
          <w:lang w:val="en-GB"/>
        </w:rPr>
      </w:pPr>
      <w:r w:rsidRPr="007E716B">
        <w:rPr>
          <w:rStyle w:val="FootnoteReference"/>
          <w:lang w:val="en-GB"/>
        </w:rPr>
        <w:footnoteRef/>
      </w:r>
      <w:r w:rsidRPr="007E716B">
        <w:rPr>
          <w:lang w:val="en-GB"/>
        </w:rPr>
        <w:t xml:space="preserve"> </w:t>
      </w:r>
      <w:r w:rsidRPr="00810615">
        <w:rPr>
          <w:lang w:val="en-GB"/>
        </w:rPr>
        <w:t xml:space="preserve">Gregory Shaw, </w:t>
      </w:r>
      <w:r w:rsidRPr="00810615">
        <w:rPr>
          <w:i/>
          <w:iCs/>
          <w:lang w:val="en-GB"/>
        </w:rPr>
        <w:t>Theurgy and the Soul: The Neoplatonism of Iamblichus</w:t>
      </w:r>
      <w:r w:rsidRPr="00810615">
        <w:rPr>
          <w:lang w:val="en-GB"/>
        </w:rPr>
        <w:t>, (</w:t>
      </w:r>
      <w:r w:rsidR="00887C0E" w:rsidRPr="00810615">
        <w:rPr>
          <w:lang w:val="en-GB"/>
        </w:rPr>
        <w:t xml:space="preserve">The Pennsylvania State University Press, 1995), p. 183. </w:t>
      </w:r>
    </w:p>
  </w:footnote>
  <w:footnote w:id="67">
    <w:p w14:paraId="0CD9566A" w14:textId="2143FF36" w:rsidR="00BD2F63" w:rsidRPr="007E716B" w:rsidRDefault="00BD2F63">
      <w:pPr>
        <w:pStyle w:val="FootnoteText"/>
        <w:rPr>
          <w:lang w:val="en-GB"/>
        </w:rPr>
      </w:pPr>
      <w:r w:rsidRPr="007E716B">
        <w:rPr>
          <w:rStyle w:val="FootnoteReference"/>
          <w:lang w:val="en-GB"/>
        </w:rPr>
        <w:footnoteRef/>
      </w:r>
      <w:r w:rsidRPr="007E716B">
        <w:rPr>
          <w:lang w:val="en-GB"/>
        </w:rPr>
        <w:t xml:space="preserve"> E. R. Dodds, </w:t>
      </w:r>
      <w:r w:rsidRPr="007E716B">
        <w:rPr>
          <w:i/>
          <w:iCs/>
          <w:lang w:val="en-GB"/>
        </w:rPr>
        <w:t xml:space="preserve">The Greeks and the Irrational, </w:t>
      </w:r>
      <w:r w:rsidR="00810615">
        <w:rPr>
          <w:lang w:val="en-GB"/>
        </w:rPr>
        <w:t xml:space="preserve">(Eastford, CT: Martino Fine Books, 2020), (1951), </w:t>
      </w:r>
      <w:r w:rsidRPr="007E716B">
        <w:rPr>
          <w:lang w:val="en-GB"/>
        </w:rPr>
        <w:t xml:space="preserve">p. 291. </w:t>
      </w:r>
    </w:p>
  </w:footnote>
  <w:footnote w:id="68">
    <w:p w14:paraId="0E94103B" w14:textId="1976F9A2" w:rsidR="001E50F3" w:rsidRPr="007E716B" w:rsidRDefault="001E50F3">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w:t>
      </w:r>
      <w:r w:rsidR="00BC498E">
        <w:rPr>
          <w:lang w:val="en-GB"/>
        </w:rPr>
        <w:t>p</w:t>
      </w:r>
      <w:r w:rsidRPr="007E716B">
        <w:rPr>
          <w:lang w:val="en-GB"/>
        </w:rPr>
        <w:t>. 32,33.</w:t>
      </w:r>
    </w:p>
  </w:footnote>
  <w:footnote w:id="69">
    <w:p w14:paraId="47660CFE" w14:textId="77777777" w:rsidR="00AC49AE" w:rsidRPr="007E716B" w:rsidRDefault="00AC49AE" w:rsidP="00AC49AE">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38.</w:t>
      </w:r>
    </w:p>
  </w:footnote>
  <w:footnote w:id="70">
    <w:p w14:paraId="310D39AD" w14:textId="77777777" w:rsidR="00AC49AE" w:rsidRPr="007E716B" w:rsidRDefault="00AC49AE" w:rsidP="00AC49AE">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35.</w:t>
      </w:r>
    </w:p>
  </w:footnote>
  <w:footnote w:id="71">
    <w:p w14:paraId="50B8F1BC" w14:textId="48A28BC4" w:rsidR="00AC49AE" w:rsidRPr="00BD7DE3" w:rsidRDefault="00AC49AE" w:rsidP="00AC49AE">
      <w:pPr>
        <w:pStyle w:val="FootnoteText"/>
        <w:rPr>
          <w:lang w:val="en-US"/>
        </w:rPr>
      </w:pPr>
      <w:r>
        <w:rPr>
          <w:rStyle w:val="FootnoteReference"/>
        </w:rPr>
        <w:footnoteRef/>
      </w:r>
      <w:r>
        <w:t xml:space="preserve"> </w:t>
      </w:r>
      <w:r w:rsidRPr="00BD7DE3">
        <w:rPr>
          <w:lang w:val="en-US"/>
        </w:rPr>
        <w:t xml:space="preserve">Hans Dieter Betz, ed., </w:t>
      </w:r>
      <w:r>
        <w:rPr>
          <w:lang w:val="en-US"/>
        </w:rPr>
        <w:t xml:space="preserve">“Introduction to the Greek Magical Papyri, in </w:t>
      </w:r>
      <w:r w:rsidRPr="00BD7DE3">
        <w:rPr>
          <w:i/>
          <w:iCs/>
          <w:lang w:val="en-US"/>
        </w:rPr>
        <w:t>The Greek Magical Papyri in Translation Including the Demotic Spells</w:t>
      </w:r>
      <w:r>
        <w:rPr>
          <w:lang w:val="en-US"/>
        </w:rPr>
        <w:t>, p. xlvii.</w:t>
      </w:r>
    </w:p>
  </w:footnote>
  <w:footnote w:id="72">
    <w:p w14:paraId="621E905D" w14:textId="7978826B" w:rsidR="00AC49AE" w:rsidRPr="004A720D" w:rsidRDefault="00AC49AE" w:rsidP="00AC49AE">
      <w:pPr>
        <w:pStyle w:val="FootnoteText"/>
        <w:rPr>
          <w:lang w:val="en-US"/>
        </w:rPr>
      </w:pPr>
      <w:r>
        <w:rPr>
          <w:rStyle w:val="FootnoteReference"/>
        </w:rPr>
        <w:footnoteRef/>
      </w:r>
      <w:r>
        <w:t xml:space="preserve"> </w:t>
      </w:r>
      <w:r w:rsidRPr="004A720D">
        <w:rPr>
          <w:lang w:val="en-US"/>
        </w:rPr>
        <w:t xml:space="preserve">Robert L. Fowler, </w:t>
      </w:r>
      <w:r>
        <w:rPr>
          <w:lang w:val="en-US"/>
        </w:rPr>
        <w:t xml:space="preserve">“Greek Magic, Greek Religion”, p. 1. </w:t>
      </w:r>
    </w:p>
  </w:footnote>
  <w:footnote w:id="73">
    <w:p w14:paraId="4F21553C" w14:textId="77777777" w:rsidR="00B05D14" w:rsidRPr="002146C5" w:rsidRDefault="00B05D14" w:rsidP="00B05D14">
      <w:pPr>
        <w:pStyle w:val="FootnoteText"/>
      </w:pPr>
      <w:r>
        <w:rPr>
          <w:rStyle w:val="FootnoteReference"/>
        </w:rPr>
        <w:footnoteRef/>
      </w:r>
      <w:r>
        <w:t xml:space="preserve"> </w:t>
      </w:r>
      <w:r w:rsidRPr="007E716B">
        <w:rPr>
          <w:lang w:val="en-GB"/>
        </w:rPr>
        <w:t>Otto, “Towards Historicizing “Magic” in Antiquity”, p. 3</w:t>
      </w:r>
      <w:r>
        <w:rPr>
          <w:lang w:val="en-GB"/>
        </w:rPr>
        <w:t>19.</w:t>
      </w:r>
    </w:p>
  </w:footnote>
  <w:footnote w:id="74">
    <w:p w14:paraId="4CCFBE7B" w14:textId="5DB92EF8" w:rsidR="00B05D14" w:rsidRPr="00F24955" w:rsidRDefault="00B05D14" w:rsidP="00B05D14">
      <w:pPr>
        <w:pStyle w:val="FootnoteText"/>
        <w:rPr>
          <w:lang w:val="en-US"/>
        </w:rPr>
      </w:pPr>
      <w:r>
        <w:rPr>
          <w:rStyle w:val="FootnoteReference"/>
        </w:rPr>
        <w:footnoteRef/>
      </w:r>
      <w:r>
        <w:t xml:space="preserve"> </w:t>
      </w:r>
      <w:r w:rsidRPr="00F24955">
        <w:rPr>
          <w:lang w:val="en-US"/>
        </w:rPr>
        <w:t>J</w:t>
      </w:r>
      <w:r>
        <w:rPr>
          <w:lang w:val="en-US"/>
        </w:rPr>
        <w:t xml:space="preserve">ohn G. Gager, “Panel Discussion. “Magic in the Ancient World” by Fritz Graf”, </w:t>
      </w:r>
      <w:r w:rsidRPr="00F24955">
        <w:rPr>
          <w:i/>
          <w:iCs/>
          <w:lang w:val="en-US"/>
        </w:rPr>
        <w:t>Numen</w:t>
      </w:r>
      <w:r>
        <w:rPr>
          <w:lang w:val="en-US"/>
        </w:rPr>
        <w:t>, Vol. 46, No. 3 (1999), pp. 291-325, (p. 294)</w:t>
      </w:r>
      <w:r w:rsidR="00C748F4">
        <w:rPr>
          <w:lang w:val="en-US"/>
        </w:rPr>
        <w:t>.</w:t>
      </w:r>
    </w:p>
  </w:footnote>
  <w:footnote w:id="75">
    <w:p w14:paraId="58CB4CCC" w14:textId="77777777" w:rsidR="00B05D14" w:rsidRPr="006A2519" w:rsidRDefault="00B05D14" w:rsidP="00B05D14">
      <w:pPr>
        <w:pStyle w:val="FootnoteText"/>
      </w:pPr>
      <w:r>
        <w:rPr>
          <w:rStyle w:val="FootnoteReference"/>
        </w:rPr>
        <w:footnoteRef/>
      </w:r>
      <w:r>
        <w:t xml:space="preserve"> </w:t>
      </w:r>
      <w:r w:rsidRPr="004A720D">
        <w:rPr>
          <w:lang w:val="en-US"/>
        </w:rPr>
        <w:t xml:space="preserve">Robert L. Fowler, </w:t>
      </w:r>
      <w:r>
        <w:rPr>
          <w:lang w:val="en-US"/>
        </w:rPr>
        <w:t>“Greek Magic, Greek Religion”, p. 2.</w:t>
      </w:r>
    </w:p>
  </w:footnote>
  <w:footnote w:id="76">
    <w:p w14:paraId="0A4E1F54" w14:textId="77777777" w:rsidR="00B05D14" w:rsidRPr="00D00363" w:rsidRDefault="00B05D14" w:rsidP="00B05D14">
      <w:pPr>
        <w:pStyle w:val="FootnoteText"/>
      </w:pPr>
      <w:r>
        <w:rPr>
          <w:rStyle w:val="FootnoteReference"/>
        </w:rPr>
        <w:footnoteRef/>
      </w:r>
      <w:r>
        <w:t xml:space="preserve"> </w:t>
      </w:r>
      <w:r w:rsidRPr="004A720D">
        <w:rPr>
          <w:lang w:val="en-US"/>
        </w:rPr>
        <w:t xml:space="preserve">Robert L. Fowler, </w:t>
      </w:r>
      <w:r>
        <w:rPr>
          <w:lang w:val="en-US"/>
        </w:rPr>
        <w:t>“Greek Magic, Greek Religion”, p. 7.</w:t>
      </w:r>
    </w:p>
  </w:footnote>
  <w:footnote w:id="77">
    <w:p w14:paraId="72149E99" w14:textId="77777777" w:rsidR="00B05D14" w:rsidRPr="001D5CC6" w:rsidRDefault="00B05D14" w:rsidP="00B05D14">
      <w:pPr>
        <w:pStyle w:val="FootnoteText"/>
      </w:pPr>
      <w:r>
        <w:rPr>
          <w:rStyle w:val="FootnoteReference"/>
        </w:rPr>
        <w:footnoteRef/>
      </w:r>
      <w:r>
        <w:t xml:space="preserve"> </w:t>
      </w:r>
      <w:r w:rsidRPr="004A720D">
        <w:rPr>
          <w:lang w:val="en-US"/>
        </w:rPr>
        <w:t xml:space="preserve">Robert L. Fowler, </w:t>
      </w:r>
      <w:r>
        <w:rPr>
          <w:lang w:val="en-US"/>
        </w:rPr>
        <w:t>“Greek Magic, Greek Religion”, p. 5.</w:t>
      </w:r>
    </w:p>
  </w:footnote>
  <w:footnote w:id="78">
    <w:p w14:paraId="1C153F8E" w14:textId="77777777" w:rsidR="00B05D14" w:rsidRPr="005E16A8" w:rsidRDefault="00B05D14" w:rsidP="00B05D14">
      <w:pPr>
        <w:pStyle w:val="FootnoteText"/>
      </w:pPr>
      <w:r>
        <w:rPr>
          <w:rStyle w:val="FootnoteReference"/>
        </w:rPr>
        <w:footnoteRef/>
      </w:r>
      <w:r>
        <w:t xml:space="preserve"> </w:t>
      </w:r>
      <w:r w:rsidRPr="004A720D">
        <w:rPr>
          <w:lang w:val="en-US"/>
        </w:rPr>
        <w:t xml:space="preserve">Robert L. Fowler, </w:t>
      </w:r>
      <w:r>
        <w:rPr>
          <w:lang w:val="en-US"/>
        </w:rPr>
        <w:t>“Greek Magic, Greek Religion”, p. 2.</w:t>
      </w:r>
    </w:p>
  </w:footnote>
  <w:footnote w:id="79">
    <w:p w14:paraId="5217EA10" w14:textId="021F5B89" w:rsidR="004A3022" w:rsidRPr="004A3022" w:rsidRDefault="004A3022">
      <w:pPr>
        <w:pStyle w:val="FootnoteText"/>
      </w:pPr>
      <w:r>
        <w:rPr>
          <w:rStyle w:val="FootnoteReference"/>
        </w:rPr>
        <w:footnoteRef/>
      </w:r>
      <w:r>
        <w:t xml:space="preserve"> </w:t>
      </w:r>
      <w:r w:rsidRPr="007E716B">
        <w:rPr>
          <w:lang w:val="en-GB"/>
        </w:rPr>
        <w:t>Harold Remus, “Magic”, Method, Madness”, p. 2</w:t>
      </w:r>
      <w:r>
        <w:rPr>
          <w:lang w:val="en-GB"/>
        </w:rPr>
        <w:t>63</w:t>
      </w:r>
      <w:r>
        <w:rPr>
          <w:lang w:val="en-GB"/>
        </w:rPr>
        <w:t>.</w:t>
      </w:r>
    </w:p>
  </w:footnote>
  <w:footnote w:id="80">
    <w:p w14:paraId="4CE910F9" w14:textId="6463D656" w:rsidR="00F24C33" w:rsidRPr="00391516" w:rsidRDefault="00F24C33" w:rsidP="00F24C33">
      <w:pPr>
        <w:pStyle w:val="FootnoteText"/>
        <w:rPr>
          <w:lang w:val="en-US"/>
        </w:rPr>
      </w:pPr>
      <w:r w:rsidRPr="00180BE2">
        <w:rPr>
          <w:rStyle w:val="FootnoteReference"/>
        </w:rPr>
        <w:footnoteRef/>
      </w:r>
      <w:r w:rsidRPr="00180BE2">
        <w:t xml:space="preserve"> </w:t>
      </w:r>
      <w:r w:rsidR="00180BE2" w:rsidRPr="007E716B">
        <w:rPr>
          <w:lang w:val="en-GB"/>
        </w:rPr>
        <w:t>Harold Remus, “Magic”, Method, Madness”, p. 2</w:t>
      </w:r>
      <w:r w:rsidR="00180BE2">
        <w:rPr>
          <w:lang w:val="en-GB"/>
        </w:rPr>
        <w:t>61</w:t>
      </w:r>
      <w:r w:rsidR="00180BE2" w:rsidRPr="007E716B">
        <w:rPr>
          <w:lang w:val="en-GB"/>
        </w:rPr>
        <w:t>.</w:t>
      </w:r>
    </w:p>
  </w:footnote>
  <w:footnote w:id="81">
    <w:p w14:paraId="243CF235" w14:textId="7DC953A6" w:rsidR="00F24C33" w:rsidRPr="00C634E3" w:rsidRDefault="00F24C33" w:rsidP="00F24C33">
      <w:pPr>
        <w:pStyle w:val="FootnoteText"/>
        <w:rPr>
          <w:lang w:val="en-US"/>
        </w:rPr>
      </w:pPr>
      <w:r w:rsidRPr="00180BE2">
        <w:rPr>
          <w:rStyle w:val="FootnoteReference"/>
        </w:rPr>
        <w:footnoteRef/>
      </w:r>
      <w:r w:rsidRPr="00180BE2">
        <w:t xml:space="preserve"> </w:t>
      </w:r>
      <w:r w:rsidR="00180BE2" w:rsidRPr="007E716B">
        <w:rPr>
          <w:lang w:val="en-GB"/>
        </w:rPr>
        <w:t>Harold Remus, “Magic”, Method, Madness”, p. 2</w:t>
      </w:r>
      <w:r w:rsidR="00180BE2">
        <w:rPr>
          <w:lang w:val="en-GB"/>
        </w:rPr>
        <w:t>61</w:t>
      </w:r>
      <w:r w:rsidR="00180BE2" w:rsidRPr="007E716B">
        <w:rPr>
          <w:lang w:val="en-GB"/>
        </w:rPr>
        <w:t>.</w:t>
      </w:r>
    </w:p>
  </w:footnote>
  <w:footnote w:id="82">
    <w:p w14:paraId="5124953F" w14:textId="172DBB43" w:rsidR="00F24C33" w:rsidRPr="0089062D" w:rsidRDefault="00F24C33" w:rsidP="00F24C33">
      <w:pPr>
        <w:pStyle w:val="FootnoteText"/>
      </w:pPr>
      <w:r>
        <w:rPr>
          <w:rStyle w:val="FootnoteReference"/>
        </w:rPr>
        <w:footnoteRef/>
      </w:r>
      <w:r>
        <w:t xml:space="preserve"> </w:t>
      </w:r>
      <w:r w:rsidR="00180BE2" w:rsidRPr="007E716B">
        <w:rPr>
          <w:lang w:val="en-GB"/>
        </w:rPr>
        <w:t>Harold Remus, “Magic”, Method, Madness”, p. 2</w:t>
      </w:r>
      <w:r w:rsidR="00180BE2">
        <w:rPr>
          <w:lang w:val="en-GB"/>
        </w:rPr>
        <w:t>51</w:t>
      </w:r>
      <w:r w:rsidR="00180BE2" w:rsidRPr="007E716B">
        <w:rPr>
          <w:lang w:val="en-GB"/>
        </w:rPr>
        <w:t>.</w:t>
      </w:r>
    </w:p>
  </w:footnote>
  <w:footnote w:id="83">
    <w:p w14:paraId="037E825C" w14:textId="1670ECA3" w:rsidR="00F24C33" w:rsidRPr="00180BE2" w:rsidRDefault="00F24C33" w:rsidP="00F24C33">
      <w:pPr>
        <w:pStyle w:val="FootnoteText"/>
      </w:pPr>
      <w:r>
        <w:rPr>
          <w:rStyle w:val="FootnoteReference"/>
        </w:rPr>
        <w:footnoteRef/>
      </w:r>
      <w:r>
        <w:t xml:space="preserve"> </w:t>
      </w:r>
      <w:r w:rsidR="00180BE2" w:rsidRPr="007E716B">
        <w:rPr>
          <w:lang w:val="en-GB"/>
        </w:rPr>
        <w:t>Harold Remus, “Magic”, Method, Madness”, p. 2</w:t>
      </w:r>
      <w:r w:rsidR="00180BE2">
        <w:rPr>
          <w:lang w:val="en-GB"/>
        </w:rPr>
        <w:t>63</w:t>
      </w:r>
      <w:r w:rsidR="00180BE2" w:rsidRPr="007E716B">
        <w:rPr>
          <w:lang w:val="en-GB"/>
        </w:rPr>
        <w:t>.</w:t>
      </w:r>
    </w:p>
  </w:footnote>
  <w:footnote w:id="84">
    <w:p w14:paraId="14B4ACA8" w14:textId="23B44F36" w:rsidR="00F24C33" w:rsidRPr="00180BE2" w:rsidRDefault="00F24C33" w:rsidP="00F24C33">
      <w:pPr>
        <w:pStyle w:val="FootnoteText"/>
      </w:pPr>
      <w:r w:rsidRPr="00180BE2">
        <w:rPr>
          <w:rStyle w:val="FootnoteReference"/>
        </w:rPr>
        <w:footnoteRef/>
      </w:r>
      <w:r w:rsidRPr="00180BE2">
        <w:t xml:space="preserve"> </w:t>
      </w:r>
      <w:r w:rsidR="00180BE2" w:rsidRPr="007E716B">
        <w:rPr>
          <w:lang w:val="en-GB"/>
        </w:rPr>
        <w:t>Harold Remus, “Magic”, Method, Madness”, p. 2</w:t>
      </w:r>
      <w:r w:rsidR="00180BE2">
        <w:rPr>
          <w:lang w:val="en-GB"/>
        </w:rPr>
        <w:t>63</w:t>
      </w:r>
      <w:r w:rsidR="00180BE2" w:rsidRPr="007E716B">
        <w:rPr>
          <w:lang w:val="en-GB"/>
        </w:rPr>
        <w:t>.</w:t>
      </w:r>
    </w:p>
  </w:footnote>
  <w:footnote w:id="85">
    <w:p w14:paraId="72506E0A" w14:textId="77777777" w:rsidR="00F24C33" w:rsidRPr="002A5595" w:rsidRDefault="00F24C33" w:rsidP="00F24C33">
      <w:pPr>
        <w:pStyle w:val="FootnoteText"/>
        <w:rPr>
          <w:lang w:val="en-US"/>
        </w:rPr>
      </w:pPr>
      <w:r>
        <w:rPr>
          <w:rStyle w:val="FootnoteReference"/>
        </w:rPr>
        <w:footnoteRef/>
      </w:r>
      <w:r>
        <w:t xml:space="preserve"> </w:t>
      </w:r>
      <w:r w:rsidRPr="002A5595">
        <w:rPr>
          <w:lang w:val="en-US"/>
        </w:rPr>
        <w:t>Michael Att</w:t>
      </w:r>
      <w:r>
        <w:rPr>
          <w:lang w:val="en-US"/>
        </w:rPr>
        <w:t xml:space="preserve">yah Flower, </w:t>
      </w:r>
      <w:r w:rsidRPr="002A5595">
        <w:rPr>
          <w:i/>
          <w:iCs/>
          <w:lang w:val="en-US"/>
        </w:rPr>
        <w:t>The Seer in Ancient Greece</w:t>
      </w:r>
      <w:r>
        <w:rPr>
          <w:lang w:val="en-US"/>
        </w:rPr>
        <w:t>, (Berkeley, Los Angeles, London: University of California Press, 2009). First 1956. p. 108.</w:t>
      </w:r>
    </w:p>
  </w:footnote>
  <w:footnote w:id="86">
    <w:p w14:paraId="7936096B" w14:textId="4A58B9FA" w:rsidR="004A3022" w:rsidRPr="004A3022" w:rsidRDefault="004A3022">
      <w:pPr>
        <w:pStyle w:val="FootnoteText"/>
        <w:rPr>
          <w:lang w:val="en-US"/>
        </w:rPr>
      </w:pPr>
      <w:r>
        <w:rPr>
          <w:rStyle w:val="FootnoteReference"/>
        </w:rPr>
        <w:footnoteRef/>
      </w:r>
      <w:r>
        <w:t xml:space="preserve"> </w:t>
      </w:r>
      <w:r w:rsidRPr="004A3022">
        <w:rPr>
          <w:lang w:val="en-US"/>
        </w:rPr>
        <w:t xml:space="preserve">According to Fowler, </w:t>
      </w:r>
      <w:r>
        <w:rPr>
          <w:lang w:val="en-US"/>
        </w:rPr>
        <w:t xml:space="preserve">the doctor </w:t>
      </w:r>
      <w:r w:rsidR="001C7741">
        <w:rPr>
          <w:lang w:val="en-US"/>
        </w:rPr>
        <w:t>that in the</w:t>
      </w:r>
      <w:r>
        <w:rPr>
          <w:lang w:val="en-US"/>
        </w:rPr>
        <w:t xml:space="preserve"> </w:t>
      </w:r>
      <w:r w:rsidRPr="004A3022">
        <w:rPr>
          <w:lang w:val="en-US"/>
        </w:rPr>
        <w:t xml:space="preserve">Hippocratic treatise </w:t>
      </w:r>
      <w:r w:rsidRPr="004A3022">
        <w:rPr>
          <w:i/>
          <w:iCs/>
          <w:lang w:val="en-US"/>
        </w:rPr>
        <w:t>On the Sacred Disease</w:t>
      </w:r>
      <w:r>
        <w:rPr>
          <w:lang w:val="en-US"/>
        </w:rPr>
        <w:t xml:space="preserve"> </w:t>
      </w:r>
      <w:r w:rsidR="001C7741">
        <w:rPr>
          <w:lang w:val="en-US"/>
        </w:rPr>
        <w:t>seemed to reject magical procedures as irrational</w:t>
      </w:r>
      <w:r w:rsidRPr="004A3022">
        <w:rPr>
          <w:lang w:val="en-US"/>
        </w:rPr>
        <w:t xml:space="preserve">, </w:t>
      </w:r>
      <w:r w:rsidR="00BC498E">
        <w:rPr>
          <w:lang w:val="en-US"/>
        </w:rPr>
        <w:t xml:space="preserve">was the </w:t>
      </w:r>
      <w:r w:rsidRPr="004A3022">
        <w:rPr>
          <w:lang w:val="en-US"/>
        </w:rPr>
        <w:t>same doctor</w:t>
      </w:r>
      <w:r w:rsidR="00BC498E">
        <w:rPr>
          <w:lang w:val="en-US"/>
        </w:rPr>
        <w:t xml:space="preserve"> who was</w:t>
      </w:r>
      <w:r w:rsidRPr="004A3022">
        <w:rPr>
          <w:lang w:val="en-US"/>
        </w:rPr>
        <w:t xml:space="preserve"> </w:t>
      </w:r>
      <w:r w:rsidR="00BC498E">
        <w:rPr>
          <w:lang w:val="en-US"/>
        </w:rPr>
        <w:t>“</w:t>
      </w:r>
      <w:r w:rsidRPr="004A3022">
        <w:rPr>
          <w:lang w:val="en-US"/>
        </w:rPr>
        <w:t>quite willing to believe that sleeping in the sanctuary of Asklepios can cure you… [or] call upon divination, dreams, and other quite irrational resources to work their wonders”</w:t>
      </w:r>
      <w:r w:rsidR="001C7741">
        <w:rPr>
          <w:lang w:val="en-US"/>
        </w:rPr>
        <w:t xml:space="preserve"> in Robert L. Fowler, “Greek Magic, Greek Religion”, pp. 5-6. He also noted that: </w:t>
      </w:r>
      <w:r w:rsidRPr="004A3022">
        <w:rPr>
          <w:lang w:val="en-US"/>
        </w:rPr>
        <w:t>“Ancient doctors were remarkably learned in the lore of herbal medicine… But ancient doctors were careful to mix in a healthy dose of incantations. Sokrates in Plato’s Charmenides [reports that the remedy of a leaf to cure headaches] is useless without the accompanying magic words”</w:t>
      </w:r>
      <w:r w:rsidR="001C7741">
        <w:rPr>
          <w:lang w:val="en-US"/>
        </w:rPr>
        <w:t xml:space="preserve">: in </w:t>
      </w:r>
      <w:r w:rsidR="001C7741">
        <w:rPr>
          <w:lang w:val="en-US"/>
        </w:rPr>
        <w:t>L. Fowler, “Greek Magic, Greek Religion”, p</w:t>
      </w:r>
      <w:r w:rsidR="001C7741">
        <w:rPr>
          <w:lang w:val="en-US"/>
        </w:rPr>
        <w:t xml:space="preserve">. 4; and, </w:t>
      </w:r>
      <w:r w:rsidRPr="004A3022">
        <w:rPr>
          <w:lang w:val="en-US"/>
        </w:rPr>
        <w:t>“To prevent sickness on a daily basis, or to encourage good health and luck generally, the use of amulets and charms was universal”</w:t>
      </w:r>
      <w:r w:rsidR="001C7741">
        <w:rPr>
          <w:lang w:val="en-US"/>
        </w:rPr>
        <w:t xml:space="preserve"> in </w:t>
      </w:r>
      <w:r w:rsidR="001C7741">
        <w:rPr>
          <w:lang w:val="en-US"/>
        </w:rPr>
        <w:t>L. Fowler, “Greek Magic, Greek Religion”, p</w:t>
      </w:r>
      <w:r w:rsidR="001C7741">
        <w:rPr>
          <w:lang w:val="en-US"/>
        </w:rPr>
        <w:t>. 4.</w:t>
      </w:r>
      <w:r w:rsidRPr="004A3022">
        <w:rPr>
          <w:lang w:val="en-US"/>
        </w:rPr>
        <w:t xml:space="preserve"> </w:t>
      </w:r>
    </w:p>
  </w:footnote>
  <w:footnote w:id="87">
    <w:p w14:paraId="53B2A474" w14:textId="77777777" w:rsidR="00F62768" w:rsidRPr="00391516" w:rsidRDefault="00F62768" w:rsidP="00F62768">
      <w:pPr>
        <w:pStyle w:val="FootnoteText"/>
        <w:rPr>
          <w:lang w:val="en-GB"/>
        </w:rPr>
      </w:pPr>
      <w:r>
        <w:rPr>
          <w:rStyle w:val="FootnoteReference"/>
        </w:rPr>
        <w:footnoteRef/>
      </w:r>
      <w:r>
        <w:t xml:space="preserve"> </w:t>
      </w:r>
      <w:r>
        <w:rPr>
          <w:lang w:val="en-GB"/>
        </w:rPr>
        <w:t>Remus, “Magic, Method and Madness”, p. 260.</w:t>
      </w:r>
    </w:p>
  </w:footnote>
  <w:footnote w:id="88">
    <w:p w14:paraId="075BD2AE" w14:textId="48E38236" w:rsidR="00F62768" w:rsidRPr="00DD464F" w:rsidRDefault="00F62768" w:rsidP="00F62768">
      <w:pPr>
        <w:pStyle w:val="FootnoteText"/>
      </w:pPr>
      <w:r>
        <w:rPr>
          <w:rStyle w:val="FootnoteReference"/>
        </w:rPr>
        <w:footnoteRef/>
      </w:r>
      <w:r>
        <w:t xml:space="preserve"> </w:t>
      </w:r>
      <w:r>
        <w:rPr>
          <w:lang w:val="en-GB"/>
        </w:rPr>
        <w:t>For a</w:t>
      </w:r>
      <w:r w:rsidRPr="007E716B">
        <w:rPr>
          <w:lang w:val="en-GB"/>
        </w:rPr>
        <w:t xml:space="preserve">n interesting and brief </w:t>
      </w:r>
      <w:r>
        <w:rPr>
          <w:lang w:val="en-GB"/>
        </w:rPr>
        <w:t>reconstruction of the discovery of the</w:t>
      </w:r>
      <w:r w:rsidR="008D6476">
        <w:rPr>
          <w:lang w:val="en-GB"/>
        </w:rPr>
        <w:t xml:space="preserve"> </w:t>
      </w:r>
      <w:r w:rsidR="008D6476" w:rsidRPr="00DD464F">
        <w:rPr>
          <w:i/>
          <w:iCs/>
          <w:lang w:val="en-GB"/>
        </w:rPr>
        <w:t>Papyri Graeco Magicae</w:t>
      </w:r>
      <w:r w:rsidR="008D6476">
        <w:rPr>
          <w:lang w:val="en-GB"/>
        </w:rPr>
        <w:t>, from now onwards</w:t>
      </w:r>
      <w:r w:rsidR="001C7741">
        <w:rPr>
          <w:lang w:val="en-GB"/>
        </w:rPr>
        <w:t xml:space="preserve"> abbreviated as</w:t>
      </w:r>
      <w:r>
        <w:rPr>
          <w:lang w:val="en-GB"/>
        </w:rPr>
        <w:t xml:space="preserve"> PGM</w:t>
      </w:r>
      <w:r w:rsidR="001C7741">
        <w:rPr>
          <w:lang w:val="en-GB"/>
        </w:rPr>
        <w:t>,</w:t>
      </w:r>
      <w:r>
        <w:rPr>
          <w:lang w:val="en-GB"/>
        </w:rPr>
        <w:t xml:space="preserve"> and of </w:t>
      </w:r>
      <w:r w:rsidR="001C7741">
        <w:rPr>
          <w:lang w:val="en-GB"/>
        </w:rPr>
        <w:t xml:space="preserve">the vicissitudes of </w:t>
      </w:r>
      <w:r>
        <w:rPr>
          <w:lang w:val="en-GB"/>
        </w:rPr>
        <w:t>their publication, see Remus, “Magic, Method and Madness”, p</w:t>
      </w:r>
      <w:r w:rsidR="00BC498E">
        <w:rPr>
          <w:lang w:val="en-GB"/>
        </w:rPr>
        <w:t>p</w:t>
      </w:r>
      <w:r>
        <w:rPr>
          <w:lang w:val="en-GB"/>
        </w:rPr>
        <w:t>. 259, 260.</w:t>
      </w:r>
      <w:r w:rsidR="008D6476">
        <w:rPr>
          <w:lang w:val="en-GB"/>
        </w:rPr>
        <w:t xml:space="preserve"> </w:t>
      </w:r>
    </w:p>
  </w:footnote>
  <w:footnote w:id="89">
    <w:p w14:paraId="4BBA9C31" w14:textId="15E07C01" w:rsidR="003C3468" w:rsidRPr="003C3468" w:rsidRDefault="003C3468">
      <w:pPr>
        <w:pStyle w:val="FootnoteText"/>
      </w:pPr>
      <w:r>
        <w:rPr>
          <w:rStyle w:val="FootnoteReference"/>
        </w:rPr>
        <w:footnoteRef/>
      </w:r>
      <w:r>
        <w:t xml:space="preserve"> </w:t>
      </w:r>
      <w:r>
        <w:rPr>
          <w:lang w:val="en-GB"/>
        </w:rPr>
        <w:t xml:space="preserve">Fritz </w:t>
      </w:r>
      <w:r w:rsidRPr="007E716B">
        <w:rPr>
          <w:lang w:val="en-GB"/>
        </w:rPr>
        <w:t xml:space="preserve">Graf, </w:t>
      </w:r>
      <w:r w:rsidRPr="007E716B">
        <w:rPr>
          <w:i/>
          <w:iCs/>
          <w:lang w:val="en-GB"/>
        </w:rPr>
        <w:t xml:space="preserve">Magic in the Ancient World, </w:t>
      </w:r>
      <w:r w:rsidRPr="007E716B">
        <w:rPr>
          <w:lang w:val="en-GB"/>
        </w:rPr>
        <w:t xml:space="preserve">p. </w:t>
      </w:r>
      <w:r>
        <w:rPr>
          <w:lang w:val="en-GB"/>
        </w:rPr>
        <w:t>11</w:t>
      </w:r>
      <w:r w:rsidRPr="007E716B">
        <w:rPr>
          <w:lang w:val="en-GB"/>
        </w:rPr>
        <w:t>.</w:t>
      </w:r>
    </w:p>
  </w:footnote>
  <w:footnote w:id="90">
    <w:p w14:paraId="7A0DBC38" w14:textId="5B073C04" w:rsidR="005C259A" w:rsidRPr="005C259A" w:rsidRDefault="005C259A">
      <w:pPr>
        <w:pStyle w:val="FootnoteText"/>
        <w:rPr>
          <w:lang w:val="en-US"/>
        </w:rPr>
      </w:pPr>
      <w:r>
        <w:rPr>
          <w:rStyle w:val="FootnoteReference"/>
        </w:rPr>
        <w:footnoteRef/>
      </w:r>
      <w:r>
        <w:t xml:space="preserve"> </w:t>
      </w:r>
      <w:r w:rsidRPr="005C259A">
        <w:rPr>
          <w:i/>
          <w:iCs/>
          <w:lang w:val="en-US"/>
        </w:rPr>
        <w:t>The Greek Magical Papyri in Translation, Including the Demotic Spells</w:t>
      </w:r>
      <w:r>
        <w:rPr>
          <w:lang w:val="en-US"/>
        </w:rPr>
        <w:t>, 2</w:t>
      </w:r>
      <w:r w:rsidRPr="005C259A">
        <w:rPr>
          <w:vertAlign w:val="superscript"/>
          <w:lang w:val="en-US"/>
        </w:rPr>
        <w:t>nd</w:t>
      </w:r>
      <w:r>
        <w:rPr>
          <w:lang w:val="en-US"/>
        </w:rPr>
        <w:t xml:space="preserve"> edn., Vol 1., ed. By Hans Dieter Betz, (Chicago and London: The Chicago University Press, 1992), (1</w:t>
      </w:r>
      <w:r w:rsidRPr="005C259A">
        <w:rPr>
          <w:vertAlign w:val="superscript"/>
          <w:lang w:val="en-US"/>
        </w:rPr>
        <w:t>st</w:t>
      </w:r>
      <w:r>
        <w:rPr>
          <w:lang w:val="en-US"/>
        </w:rPr>
        <w:t xml:space="preserve"> edn. 1986).</w:t>
      </w:r>
    </w:p>
  </w:footnote>
  <w:footnote w:id="91">
    <w:p w14:paraId="44E7D99E" w14:textId="10317784" w:rsidR="00AC49AE" w:rsidRPr="00DF1A5C" w:rsidRDefault="00AC49AE" w:rsidP="00AC49AE">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w:t>
      </w:r>
      <w:r w:rsidRPr="00DF1A5C">
        <w:rPr>
          <w:i/>
          <w:iCs/>
          <w:lang w:val="en-US"/>
        </w:rPr>
        <w:t>The Journal of Egyptian Archeology</w:t>
      </w:r>
      <w:r>
        <w:rPr>
          <w:lang w:val="en-US"/>
        </w:rPr>
        <w:t>, Vol 15, No 3/4, Nov. 1929, pp. 219-235, (p. 219)</w:t>
      </w:r>
      <w:r w:rsidR="00EE23F7">
        <w:rPr>
          <w:lang w:val="en-US"/>
        </w:rPr>
        <w:t>.</w:t>
      </w:r>
    </w:p>
  </w:footnote>
  <w:footnote w:id="92">
    <w:p w14:paraId="5647C85B" w14:textId="2DA4C8C5" w:rsidR="00020D1D" w:rsidRPr="00020D1D" w:rsidRDefault="00020D1D">
      <w:pPr>
        <w:pStyle w:val="FootnoteText"/>
        <w:rPr>
          <w:lang w:val="en-US"/>
        </w:rPr>
      </w:pPr>
      <w:r>
        <w:rPr>
          <w:rStyle w:val="FootnoteReference"/>
        </w:rPr>
        <w:footnoteRef/>
      </w:r>
      <w:r>
        <w:t xml:space="preserve"> </w:t>
      </w:r>
      <w:r w:rsidRPr="00020D1D">
        <w:rPr>
          <w:lang w:val="en-US"/>
        </w:rPr>
        <w:t xml:space="preserve">PGM </w:t>
      </w:r>
      <w:r w:rsidR="0054664C">
        <w:rPr>
          <w:lang w:val="en-US"/>
        </w:rPr>
        <w:t>XCVII 1-6; XCV.14-18; XCV. 1-6; XCIV. 7-9; XLIV. 1-18; XXVIIIA 1-7</w:t>
      </w:r>
    </w:p>
  </w:footnote>
  <w:footnote w:id="93">
    <w:p w14:paraId="0D9462D6" w14:textId="254A5C28" w:rsidR="00AC49AE" w:rsidRPr="00865C3B" w:rsidRDefault="00AC49AE" w:rsidP="00AC49AE">
      <w:pPr>
        <w:pStyle w:val="FootnoteText"/>
        <w:rPr>
          <w:lang w:val="en-US"/>
        </w:rPr>
      </w:pPr>
      <w:r>
        <w:rPr>
          <w:rStyle w:val="FootnoteReference"/>
        </w:rPr>
        <w:footnoteRef/>
      </w:r>
      <w:r>
        <w:t xml:space="preserve"> </w:t>
      </w:r>
      <w:r w:rsidR="0054664C" w:rsidRPr="0054664C">
        <w:rPr>
          <w:lang w:val="en-US"/>
        </w:rPr>
        <w:t>PGM LXII 76-106</w:t>
      </w:r>
      <w:r w:rsidR="00F03CEC">
        <w:rPr>
          <w:lang w:val="en-US"/>
        </w:rPr>
        <w:t>; VII. 394-395; VII. 396-404; XXXVI. 231-55</w:t>
      </w:r>
      <w:r w:rsidR="0054664C" w:rsidRPr="0054664C">
        <w:rPr>
          <w:lang w:val="en-US"/>
        </w:rPr>
        <w:t xml:space="preserve">; </w:t>
      </w:r>
      <w:r w:rsidRPr="007E716B">
        <w:rPr>
          <w:lang w:val="en-GB"/>
        </w:rPr>
        <w:t>Harold Remus, “Magic”, Method, Madness”, p. 2</w:t>
      </w:r>
      <w:r>
        <w:rPr>
          <w:lang w:val="en-GB"/>
        </w:rPr>
        <w:t>68</w:t>
      </w:r>
      <w:r w:rsidRPr="007E716B">
        <w:rPr>
          <w:lang w:val="en-GB"/>
        </w:rPr>
        <w:t>.</w:t>
      </w:r>
    </w:p>
  </w:footnote>
  <w:footnote w:id="94">
    <w:p w14:paraId="2E053778" w14:textId="11AF3ABD" w:rsidR="00E37327" w:rsidRPr="00050272" w:rsidRDefault="00E37327" w:rsidP="00E37327">
      <w:pPr>
        <w:pStyle w:val="FootnoteText"/>
      </w:pPr>
      <w:r>
        <w:rPr>
          <w:rStyle w:val="FootnoteReference"/>
        </w:rPr>
        <w:footnoteRef/>
      </w:r>
      <w:r>
        <w:t xml:space="preserve"> </w:t>
      </w:r>
      <w:r w:rsidRPr="001F5474">
        <w:rPr>
          <w:lang w:val="en-GB"/>
        </w:rPr>
        <w:t xml:space="preserve">Hans Dieter Betz, “Introduction to the Greek </w:t>
      </w:r>
      <w:r w:rsidR="00306FCE">
        <w:rPr>
          <w:lang w:val="en-GB"/>
        </w:rPr>
        <w:t>M</w:t>
      </w:r>
      <w:r w:rsidRPr="001F5474">
        <w:rPr>
          <w:lang w:val="en-GB"/>
        </w:rPr>
        <w:t>agical Papyri</w:t>
      </w:r>
      <w:r w:rsidR="001F5474" w:rsidRPr="001F5474">
        <w:rPr>
          <w:lang w:val="en-GB"/>
        </w:rPr>
        <w:t>,</w:t>
      </w:r>
      <w:r w:rsidRPr="001F5474">
        <w:rPr>
          <w:lang w:val="en-GB"/>
        </w:rPr>
        <w:t xml:space="preserve"> p.</w:t>
      </w:r>
      <w:r>
        <w:rPr>
          <w:lang w:val="en-GB"/>
        </w:rPr>
        <w:t xml:space="preserve"> xlv, </w:t>
      </w:r>
      <w:r w:rsidRPr="00191088">
        <w:rPr>
          <w:lang w:val="en-GB"/>
        </w:rPr>
        <w:t>xlvi</w:t>
      </w:r>
      <w:r>
        <w:rPr>
          <w:lang w:val="en-GB"/>
        </w:rPr>
        <w:t>.</w:t>
      </w:r>
    </w:p>
  </w:footnote>
  <w:footnote w:id="95">
    <w:p w14:paraId="750F253E" w14:textId="77777777" w:rsidR="00AC49AE" w:rsidRPr="00865C3B" w:rsidRDefault="00AC49AE" w:rsidP="00AC49AE">
      <w:pPr>
        <w:pStyle w:val="FootnoteText"/>
        <w:rPr>
          <w:lang w:val="en-US"/>
        </w:rPr>
      </w:pPr>
      <w:r>
        <w:rPr>
          <w:rStyle w:val="FootnoteReference"/>
        </w:rPr>
        <w:footnoteRef/>
      </w:r>
      <w:r>
        <w:t xml:space="preserve"> </w:t>
      </w:r>
      <w:r w:rsidRPr="007E716B">
        <w:rPr>
          <w:lang w:val="en-GB"/>
        </w:rPr>
        <w:t>Harold Remus, “Magic”, Method, Madness”, p. 2</w:t>
      </w:r>
      <w:r>
        <w:rPr>
          <w:lang w:val="en-GB"/>
        </w:rPr>
        <w:t>67</w:t>
      </w:r>
      <w:r w:rsidRPr="007E716B">
        <w:rPr>
          <w:lang w:val="en-GB"/>
        </w:rPr>
        <w:t>.</w:t>
      </w:r>
    </w:p>
  </w:footnote>
  <w:footnote w:id="96">
    <w:p w14:paraId="2D6E80FA" w14:textId="04C7090B" w:rsidR="00300EDE" w:rsidRPr="00300EDE" w:rsidRDefault="00300EDE">
      <w:pPr>
        <w:pStyle w:val="FootnoteText"/>
      </w:pPr>
      <w:r>
        <w:rPr>
          <w:rStyle w:val="FootnoteReference"/>
        </w:rPr>
        <w:footnoteRef/>
      </w:r>
      <w:r>
        <w:t xml:space="preserve"> </w:t>
      </w:r>
      <w:r w:rsidRPr="007E716B">
        <w:rPr>
          <w:lang w:val="en-GB"/>
        </w:rPr>
        <w:t>Harold Remus, “Magic”, Method, Madness”, p. 2</w:t>
      </w:r>
      <w:r>
        <w:rPr>
          <w:lang w:val="en-GB"/>
        </w:rPr>
        <w:t>67</w:t>
      </w:r>
      <w:r w:rsidRPr="007E716B">
        <w:rPr>
          <w:lang w:val="en-GB"/>
        </w:rPr>
        <w:t>.</w:t>
      </w:r>
    </w:p>
  </w:footnote>
  <w:footnote w:id="97">
    <w:p w14:paraId="61874A30" w14:textId="5D523B6F" w:rsidR="00AC49AE" w:rsidRPr="007F4E0D" w:rsidRDefault="00AC49AE" w:rsidP="00AC49AE">
      <w:pPr>
        <w:pStyle w:val="FootnoteText"/>
      </w:pPr>
      <w:r>
        <w:rPr>
          <w:rStyle w:val="FootnoteReference"/>
        </w:rPr>
        <w:footnoteRef/>
      </w:r>
      <w:r>
        <w:t xml:space="preserve"> </w:t>
      </w:r>
      <w:r w:rsidRPr="007F4E0D">
        <w:rPr>
          <w:lang w:val="en-US"/>
        </w:rPr>
        <w:t xml:space="preserve">See also, </w:t>
      </w:r>
      <w:r w:rsidRPr="00955373">
        <w:rPr>
          <w:lang w:val="en-US"/>
        </w:rPr>
        <w:t>Tuomo Lankila, “Post-Hellenistic Philoso</w:t>
      </w:r>
      <w:r>
        <w:rPr>
          <w:lang w:val="en-US"/>
        </w:rPr>
        <w:t>phy, Neoplatonism, and the Doxastic Turn in Religion: Continuities and Ruptures in Ancient Reflections on Religion</w:t>
      </w:r>
      <w:r w:rsidR="001C7741">
        <w:rPr>
          <w:lang w:val="en-US"/>
        </w:rPr>
        <w:t>”</w:t>
      </w:r>
      <w:r>
        <w:rPr>
          <w:lang w:val="en-US"/>
        </w:rPr>
        <w:t>,</w:t>
      </w:r>
      <w:r w:rsidR="00306FCE">
        <w:rPr>
          <w:lang w:val="en-US"/>
        </w:rPr>
        <w:t xml:space="preserve"> </w:t>
      </w:r>
      <w:r w:rsidR="00306FCE" w:rsidRPr="00306FCE">
        <w:rPr>
          <w:i/>
          <w:iCs/>
          <w:lang w:val="en-US"/>
        </w:rPr>
        <w:t>Numen</w:t>
      </w:r>
      <w:r w:rsidR="00306FCE">
        <w:rPr>
          <w:lang w:val="en-US"/>
        </w:rPr>
        <w:t>, Vol. 63, No. 2/3 (2016), 147-166,</w:t>
      </w:r>
      <w:r>
        <w:rPr>
          <w:lang w:val="en-US"/>
        </w:rPr>
        <w:t xml:space="preserve"> </w:t>
      </w:r>
      <w:r w:rsidR="00306FCE">
        <w:rPr>
          <w:lang w:val="en-US"/>
        </w:rPr>
        <w:t>(</w:t>
      </w:r>
      <w:r>
        <w:rPr>
          <w:lang w:val="en-US"/>
        </w:rPr>
        <w:t>p. 156</w:t>
      </w:r>
      <w:r w:rsidR="00306FCE">
        <w:rPr>
          <w:lang w:val="en-US"/>
        </w:rPr>
        <w:t>)</w:t>
      </w:r>
      <w:r>
        <w:rPr>
          <w:lang w:val="en-GB"/>
        </w:rPr>
        <w:t>.</w:t>
      </w:r>
    </w:p>
  </w:footnote>
  <w:footnote w:id="98">
    <w:p w14:paraId="70F1D4CF" w14:textId="77777777" w:rsidR="00E37327" w:rsidRPr="00974FFF" w:rsidRDefault="00E37327" w:rsidP="00E37327">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p. 230.</w:t>
      </w:r>
    </w:p>
  </w:footnote>
  <w:footnote w:id="99">
    <w:p w14:paraId="178CB050" w14:textId="76ED95CB" w:rsidR="001C7741" w:rsidRPr="001C7741" w:rsidRDefault="001C7741">
      <w:pPr>
        <w:pStyle w:val="FootnoteText"/>
        <w:rPr>
          <w:lang w:val="en-US"/>
        </w:rPr>
      </w:pPr>
      <w:r>
        <w:rPr>
          <w:rStyle w:val="FootnoteReference"/>
        </w:rPr>
        <w:footnoteRef/>
      </w:r>
      <w:r>
        <w:t xml:space="preserve"> </w:t>
      </w:r>
      <w:r w:rsidRPr="00B1179C">
        <w:rPr>
          <w:lang w:val="en-US"/>
        </w:rPr>
        <w:t>Hans Dieter Betz, “Magic and Myster</w:t>
      </w:r>
      <w:r>
        <w:rPr>
          <w:lang w:val="en-US"/>
        </w:rPr>
        <w:t>y in the Greek Magical Papyri”, p. 254.</w:t>
      </w:r>
      <w:r>
        <w:rPr>
          <w:lang w:val="en-US"/>
        </w:rPr>
        <w:t xml:space="preserve">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6</w:t>
      </w:r>
      <w:r w:rsidRPr="00E65E1E">
        <w:rPr>
          <w:lang w:val="en-US"/>
        </w:rPr>
        <w:t>.</w:t>
      </w:r>
    </w:p>
  </w:footnote>
  <w:footnote w:id="100">
    <w:p w14:paraId="788FD8B0" w14:textId="6C3BB59C" w:rsidR="00A503BE" w:rsidRPr="00A503BE" w:rsidRDefault="00A503BE">
      <w:pPr>
        <w:pStyle w:val="FootnoteText"/>
      </w:pPr>
      <w:r>
        <w:rPr>
          <w:rStyle w:val="FootnoteReference"/>
        </w:rPr>
        <w:footnoteRef/>
      </w:r>
      <w:r>
        <w:t xml:space="preserve"> </w:t>
      </w:r>
      <w:r w:rsidRPr="007E716B">
        <w:rPr>
          <w:lang w:val="en-GB"/>
        </w:rPr>
        <w:t>Otto, “Towards Historicizing “Magic” in Antiquity”, p. 3</w:t>
      </w:r>
      <w:r>
        <w:rPr>
          <w:lang w:val="en-GB"/>
        </w:rPr>
        <w:t>33</w:t>
      </w:r>
    </w:p>
  </w:footnote>
  <w:footnote w:id="101">
    <w:p w14:paraId="14603DE1" w14:textId="25B6EA1C" w:rsidR="003A3C25" w:rsidRPr="00FE3622" w:rsidRDefault="003A3C25" w:rsidP="003A3C25">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w:t>
      </w:r>
      <w:r w:rsidR="00BC498E">
        <w:rPr>
          <w:lang w:val="en-GB"/>
        </w:rPr>
        <w:t>p</w:t>
      </w:r>
      <w:r w:rsidRPr="007E716B">
        <w:rPr>
          <w:lang w:val="en-GB"/>
        </w:rPr>
        <w:t xml:space="preserve">. </w:t>
      </w:r>
      <w:r>
        <w:rPr>
          <w:lang w:val="en-GB"/>
        </w:rPr>
        <w:t>192, 269</w:t>
      </w:r>
      <w:r w:rsidRPr="007E716B">
        <w:rPr>
          <w:lang w:val="en-GB"/>
        </w:rPr>
        <w:t>.</w:t>
      </w:r>
    </w:p>
  </w:footnote>
  <w:footnote w:id="102">
    <w:p w14:paraId="5D4DF2AF" w14:textId="58E8B420" w:rsidR="00F74C19" w:rsidRPr="00F74C19" w:rsidRDefault="00F74C19">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Pr>
          <w:i/>
          <w:iCs/>
          <w:lang w:val="en-GB"/>
        </w:rPr>
        <w:t xml:space="preserve">, </w:t>
      </w:r>
      <w:r w:rsidRPr="00F74C19">
        <w:rPr>
          <w:lang w:val="en-GB"/>
        </w:rPr>
        <w:t>VI.6</w:t>
      </w:r>
      <w:r>
        <w:rPr>
          <w:lang w:val="en-GB"/>
        </w:rPr>
        <w:t>, 247. 1-4</w:t>
      </w:r>
      <w:r w:rsidR="00BC498E">
        <w:rPr>
          <w:lang w:val="en-GB"/>
        </w:rPr>
        <w:t>, p. 286</w:t>
      </w:r>
      <w:r>
        <w:rPr>
          <w:lang w:val="en-GB"/>
        </w:rPr>
        <w:t>.</w:t>
      </w:r>
    </w:p>
  </w:footnote>
  <w:footnote w:id="103">
    <w:p w14:paraId="04A3341D" w14:textId="7B5E030E" w:rsidR="003A3C25" w:rsidRPr="00BC7CA5" w:rsidRDefault="003A3C25" w:rsidP="003A3C25">
      <w:pPr>
        <w:pStyle w:val="FootnoteText"/>
      </w:pPr>
      <w:r>
        <w:rPr>
          <w:rStyle w:val="FootnoteReference"/>
        </w:rPr>
        <w:footnoteRef/>
      </w:r>
      <w:r>
        <w:t xml:space="preserve"> </w:t>
      </w:r>
      <w:r w:rsidR="00C70925" w:rsidRPr="007276DB">
        <w:rPr>
          <w:i/>
          <w:iCs/>
        </w:rPr>
        <w:t>Papyri Graecae Magicae, Die Griechischen Zauberpapyri</w:t>
      </w:r>
      <w:r w:rsidR="007276DB" w:rsidRPr="007276DB">
        <w:rPr>
          <w:i/>
          <w:iCs/>
        </w:rPr>
        <w:t xml:space="preserve">, </w:t>
      </w:r>
      <w:r w:rsidR="007276DB" w:rsidRPr="007276DB">
        <w:t>eds.</w:t>
      </w:r>
      <w:r w:rsidR="00C70925" w:rsidRPr="006C1BBA">
        <w:t xml:space="preserve"> Karl Preisendanz </w:t>
      </w:r>
      <w:r w:rsidR="007276DB" w:rsidRPr="007276DB">
        <w:t>and</w:t>
      </w:r>
      <w:r w:rsidR="00C70925" w:rsidRPr="006C1BBA">
        <w:t xml:space="preserve"> </w:t>
      </w:r>
      <w:r w:rsidR="006C1BBA" w:rsidRPr="006C1BBA">
        <w:t xml:space="preserve">A. Abt, S. Eitrem, L. Fahz, A. Jacoby, G. Möller, R. Wünsch, Vol. 1, (Leipzig: Teubner, 1928), I.39f; 191; IV. 499ff.  </w:t>
      </w:r>
      <w:r w:rsidRPr="007E716B">
        <w:rPr>
          <w:lang w:val="en-GB"/>
        </w:rPr>
        <w:t>Harold Remus, “Magic”, Method, Madness”, p. 2</w:t>
      </w:r>
      <w:r>
        <w:rPr>
          <w:lang w:val="en-GB"/>
        </w:rPr>
        <w:t>72</w:t>
      </w:r>
      <w:r w:rsidR="003B75EE">
        <w:rPr>
          <w:lang w:val="en-GB"/>
        </w:rPr>
        <w:t>;</w:t>
      </w:r>
      <w:r>
        <w:rPr>
          <w:lang w:val="en-GB"/>
        </w:rPr>
        <w:t xml:space="preserve">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w:t>
      </w:r>
      <w:r w:rsidR="00306FCE">
        <w:rPr>
          <w:lang w:val="en-US"/>
        </w:rPr>
        <w:t xml:space="preserve"> </w:t>
      </w:r>
      <w:r w:rsidR="00550339" w:rsidRPr="00550339">
        <w:rPr>
          <w:lang w:val="en-US"/>
        </w:rPr>
        <w:t>in</w:t>
      </w:r>
      <w:r w:rsidR="00550339">
        <w:rPr>
          <w:lang w:val="en-US"/>
        </w:rPr>
        <w:t xml:space="preserve"> </w:t>
      </w:r>
      <w:r w:rsidR="00550339" w:rsidRPr="00550339">
        <w:rPr>
          <w:i/>
          <w:iCs/>
          <w:lang w:val="en-US"/>
        </w:rPr>
        <w:t>Jewish and Christian Self-Definition</w:t>
      </w:r>
      <w:r w:rsidR="00550339" w:rsidRPr="00550339">
        <w:rPr>
          <w:lang w:val="en-US"/>
        </w:rPr>
        <w:t xml:space="preserve">, Ben F. Meyer 1927-; E. P Sanders 1st. </w:t>
      </w:r>
      <w:r w:rsidR="00550339">
        <w:rPr>
          <w:lang w:val="en-US"/>
        </w:rPr>
        <w:t>edn. (</w:t>
      </w:r>
      <w:r w:rsidR="00550339" w:rsidRPr="00550339">
        <w:rPr>
          <w:lang w:val="en-US"/>
        </w:rPr>
        <w:t>American ed. Philadelphia, Pa. : Fortress Press</w:t>
      </w:r>
      <w:r w:rsidR="00550339">
        <w:rPr>
          <w:lang w:val="en-US"/>
        </w:rPr>
        <w:t xml:space="preserve">, </w:t>
      </w:r>
      <w:r w:rsidR="00550339" w:rsidRPr="00550339">
        <w:rPr>
          <w:lang w:val="en-US"/>
        </w:rPr>
        <w:t>1983, c.1982</w:t>
      </w:r>
      <w:r w:rsidR="00550339">
        <w:rPr>
          <w:lang w:val="en-US"/>
        </w:rPr>
        <w:t>), pp. 160-170</w:t>
      </w:r>
      <w:r w:rsidR="00A3422B">
        <w:rPr>
          <w:lang w:val="en-US"/>
        </w:rPr>
        <w:t>; see</w:t>
      </w:r>
      <w:r w:rsidR="00EE23F7">
        <w:rPr>
          <w:lang w:val="en-US"/>
        </w:rPr>
        <w:t xml:space="preserve"> </w:t>
      </w:r>
      <w:r w:rsidRPr="00E65E1E">
        <w:rPr>
          <w:lang w:val="en-US"/>
        </w:rPr>
        <w:t>p. 16</w:t>
      </w:r>
      <w:r>
        <w:rPr>
          <w:lang w:val="en-US"/>
        </w:rPr>
        <w:t>7 for a comment on the Mithras Liturgy and the instructions of initiation required for assimilation with the gods.</w:t>
      </w:r>
    </w:p>
  </w:footnote>
  <w:footnote w:id="104">
    <w:p w14:paraId="0412EC0B" w14:textId="77777777" w:rsidR="003A3C25" w:rsidRPr="00B170A4" w:rsidRDefault="003A3C25" w:rsidP="003A3C25">
      <w:pPr>
        <w:pStyle w:val="FootnoteText"/>
      </w:pPr>
      <w:r>
        <w:rPr>
          <w:rStyle w:val="FootnoteReference"/>
        </w:rPr>
        <w:footnoteRef/>
      </w:r>
      <w:r>
        <w:t xml:space="preserve">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6</w:t>
      </w:r>
      <w:r w:rsidRPr="00E65E1E">
        <w:rPr>
          <w:lang w:val="en-US"/>
        </w:rPr>
        <w:t>.</w:t>
      </w:r>
    </w:p>
  </w:footnote>
  <w:footnote w:id="105">
    <w:p w14:paraId="64F61B9D" w14:textId="3B7DA037" w:rsidR="003A3C25" w:rsidRPr="008C44E7" w:rsidRDefault="003A3C25" w:rsidP="003A3C25">
      <w:pPr>
        <w:pStyle w:val="FootnoteText"/>
        <w:rPr>
          <w:lang w:val="en-US"/>
        </w:rPr>
      </w:pPr>
      <w:r>
        <w:rPr>
          <w:rStyle w:val="FootnoteReference"/>
        </w:rPr>
        <w:footnoteRef/>
      </w:r>
      <w:r>
        <w:t xml:space="preserve"> </w:t>
      </w:r>
      <w:r w:rsidR="007401A4" w:rsidRPr="007276DB">
        <w:rPr>
          <w:i/>
          <w:iCs/>
        </w:rPr>
        <w:t xml:space="preserve">Papyri Graecae Magicae, Die Griechischen Zauberpapyri, </w:t>
      </w:r>
      <w:r w:rsidR="007401A4" w:rsidRPr="007276DB">
        <w:t>eds.</w:t>
      </w:r>
      <w:r w:rsidR="007401A4" w:rsidRPr="006C1BBA">
        <w:t xml:space="preserve"> Karl Preisendanz</w:t>
      </w:r>
      <w:r w:rsidR="007401A4" w:rsidRPr="007401A4">
        <w:rPr>
          <w:lang w:val="en-US"/>
        </w:rPr>
        <w:t xml:space="preserve">, Vol. 1, IV 220. </w:t>
      </w:r>
      <w:r w:rsidRPr="00DF1A5C">
        <w:rPr>
          <w:lang w:val="en-US"/>
        </w:rPr>
        <w:t xml:space="preserve">D. Nock, </w:t>
      </w:r>
      <w:r>
        <w:rPr>
          <w:lang w:val="en-US"/>
        </w:rPr>
        <w:t>“</w:t>
      </w:r>
      <w:r w:rsidRPr="00DF1A5C">
        <w:rPr>
          <w:lang w:val="en-US"/>
        </w:rPr>
        <w:t>Greek Magical</w:t>
      </w:r>
      <w:r>
        <w:rPr>
          <w:lang w:val="en-US"/>
        </w:rPr>
        <w:t xml:space="preserve"> Papyri”, p. 230.</w:t>
      </w:r>
      <w:r w:rsidR="0087602E">
        <w:rPr>
          <w:lang w:val="en-US"/>
        </w:rPr>
        <w:t xml:space="preserve"> See note 3. </w:t>
      </w:r>
    </w:p>
  </w:footnote>
  <w:footnote w:id="106">
    <w:p w14:paraId="508E4A06" w14:textId="53FA42D0" w:rsidR="003A3C25" w:rsidRPr="008C44E7" w:rsidRDefault="003A3C25" w:rsidP="003A3C25">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p. 231.</w:t>
      </w:r>
      <w:r w:rsidR="00BB49CB">
        <w:rPr>
          <w:lang w:val="en-US"/>
        </w:rPr>
        <w:t xml:space="preserve"> See also PGM, VIII. 38-39; VIII. 49-50</w:t>
      </w:r>
      <w:r w:rsidR="00A3422B">
        <w:rPr>
          <w:lang w:val="en-US"/>
        </w:rPr>
        <w:t xml:space="preserve">;  and </w:t>
      </w:r>
      <w:r w:rsidR="00BB49CB">
        <w:rPr>
          <w:lang w:val="en-US"/>
        </w:rPr>
        <w:t xml:space="preserve">IV. 475-829, known as The ‘Mithras Liturgy’ for instructions to make oneself immortal. </w:t>
      </w:r>
    </w:p>
  </w:footnote>
  <w:footnote w:id="107">
    <w:p w14:paraId="121F8120" w14:textId="77777777" w:rsidR="00AC49AE" w:rsidRPr="004C4E87" w:rsidRDefault="00AC49AE" w:rsidP="00AC49AE">
      <w:pPr>
        <w:pStyle w:val="FootnoteText"/>
      </w:pPr>
      <w:r>
        <w:rPr>
          <w:rStyle w:val="FootnoteReference"/>
        </w:rPr>
        <w:footnoteRef/>
      </w:r>
      <w:r>
        <w:t xml:space="preserve"> </w:t>
      </w:r>
      <w:r w:rsidRPr="007E716B">
        <w:rPr>
          <w:lang w:val="en-GB"/>
        </w:rPr>
        <w:t>Harold Remus, “Magic”, Method, Madness”, p. 2</w:t>
      </w:r>
      <w:r>
        <w:rPr>
          <w:lang w:val="en-GB"/>
        </w:rPr>
        <w:t>73</w:t>
      </w:r>
      <w:r w:rsidRPr="007E716B">
        <w:rPr>
          <w:lang w:val="en-GB"/>
        </w:rPr>
        <w:t>.</w:t>
      </w:r>
    </w:p>
  </w:footnote>
  <w:footnote w:id="108">
    <w:p w14:paraId="5DA95C79" w14:textId="77777777" w:rsidR="00AC49AE" w:rsidRPr="00287784" w:rsidRDefault="00AC49AE" w:rsidP="00AC49AE">
      <w:pPr>
        <w:pStyle w:val="FootnoteText"/>
      </w:pPr>
      <w:r>
        <w:rPr>
          <w:rStyle w:val="FootnoteReference"/>
        </w:rPr>
        <w:footnoteRef/>
      </w:r>
      <w:r>
        <w:t xml:space="preserve">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5</w:t>
      </w:r>
      <w:r w:rsidRPr="00E65E1E">
        <w:rPr>
          <w:lang w:val="en-US"/>
        </w:rPr>
        <w:t>.</w:t>
      </w:r>
    </w:p>
  </w:footnote>
  <w:footnote w:id="109">
    <w:p w14:paraId="6D018EE1" w14:textId="5D0D3960" w:rsidR="00BB49CB" w:rsidRPr="00BB49CB" w:rsidRDefault="00BB49CB">
      <w:pPr>
        <w:pStyle w:val="FootnoteText"/>
        <w:rPr>
          <w:lang w:val="en-US"/>
        </w:rPr>
      </w:pPr>
      <w:r>
        <w:rPr>
          <w:rStyle w:val="FootnoteReference"/>
        </w:rPr>
        <w:footnoteRef/>
      </w:r>
      <w:r>
        <w:t xml:space="preserve"> </w:t>
      </w:r>
      <w:r w:rsidRPr="00BB49CB">
        <w:rPr>
          <w:lang w:val="en-US"/>
        </w:rPr>
        <w:t>PGM, IV. 2288-2289: “Hermes,</w:t>
      </w:r>
      <w:r>
        <w:rPr>
          <w:lang w:val="en-US"/>
        </w:rPr>
        <w:t xml:space="preserve"> The Elder, chief of all magicians”.</w:t>
      </w:r>
    </w:p>
  </w:footnote>
  <w:footnote w:id="110">
    <w:p w14:paraId="499320BE" w14:textId="58FC202A" w:rsidR="00AC49AE" w:rsidRPr="00B1179C" w:rsidRDefault="00AC49AE" w:rsidP="00AC49AE">
      <w:pPr>
        <w:pStyle w:val="FootnoteText"/>
        <w:rPr>
          <w:lang w:val="en-US"/>
        </w:rPr>
      </w:pPr>
      <w:r>
        <w:rPr>
          <w:rStyle w:val="FootnoteReference"/>
        </w:rPr>
        <w:footnoteRef/>
      </w:r>
      <w:r>
        <w:t xml:space="preserve"> </w:t>
      </w:r>
      <w:r w:rsidRPr="00B1179C">
        <w:rPr>
          <w:lang w:val="en-US"/>
        </w:rPr>
        <w:t>Hans Dieter Betz, “Magic and Myster</w:t>
      </w:r>
      <w:r>
        <w:rPr>
          <w:lang w:val="en-US"/>
        </w:rPr>
        <w:t xml:space="preserve">y in the Greek Magical Papyri”, in </w:t>
      </w:r>
      <w:r w:rsidRPr="00B1179C">
        <w:rPr>
          <w:i/>
          <w:iCs/>
          <w:lang w:val="en-US"/>
        </w:rPr>
        <w:t>Magika Hiera, Ancient Greek Magic &amp; Religion</w:t>
      </w:r>
      <w:r>
        <w:rPr>
          <w:lang w:val="en-US"/>
        </w:rPr>
        <w:t>, ed. By Christopher A. Faraone and Dirk Obbink, (New York, Oxford: Oxford University Press, 1991), pp. 244-259 (</w:t>
      </w:r>
      <w:r w:rsidR="001A21FD">
        <w:rPr>
          <w:lang w:val="en-US"/>
        </w:rPr>
        <w:t xml:space="preserve">p. </w:t>
      </w:r>
      <w:r>
        <w:rPr>
          <w:lang w:val="en-US"/>
        </w:rPr>
        <w:t>254).</w:t>
      </w:r>
    </w:p>
  </w:footnote>
  <w:footnote w:id="111">
    <w:p w14:paraId="2C5BE920" w14:textId="26CC4121" w:rsidR="00AC49AE" w:rsidRPr="001533DC" w:rsidRDefault="00AC49AE" w:rsidP="00AC49AE">
      <w:pPr>
        <w:pStyle w:val="FootnoteText"/>
        <w:rPr>
          <w:lang w:val="en-US"/>
        </w:rPr>
      </w:pPr>
      <w:r>
        <w:rPr>
          <w:rStyle w:val="FootnoteReference"/>
        </w:rPr>
        <w:footnoteRef/>
      </w:r>
      <w:r>
        <w:t xml:space="preserve"> </w:t>
      </w:r>
      <w:r w:rsidRPr="00781F7A">
        <w:rPr>
          <w:lang w:val="en-US"/>
        </w:rPr>
        <w:t xml:space="preserve">Martha Himmelfarb, </w:t>
      </w:r>
      <w:r w:rsidRPr="003716EC">
        <w:rPr>
          <w:lang w:val="en-US"/>
        </w:rPr>
        <w:t>“Panel Discussion: ‘Magic</w:t>
      </w:r>
      <w:r>
        <w:rPr>
          <w:lang w:val="en-US"/>
        </w:rPr>
        <w:t xml:space="preserve"> in the Ancient World’ by Fritz Graf”, p. 300</w:t>
      </w:r>
      <w:r w:rsidR="00382C5E">
        <w:rPr>
          <w:lang w:val="en-US"/>
        </w:rPr>
        <w:t>: “birds as sacrificial animals, for example, rather than the usual pigs, sheep, and cows, or the practice of strangling the sacrificial victim to preserve its blood.”</w:t>
      </w:r>
    </w:p>
  </w:footnote>
  <w:footnote w:id="112">
    <w:p w14:paraId="486A08DB" w14:textId="488A043F" w:rsidR="00E35321" w:rsidRPr="00E35321" w:rsidRDefault="00E35321">
      <w:pPr>
        <w:pStyle w:val="FootnoteText"/>
        <w:rPr>
          <w:lang w:val="en-US"/>
        </w:rPr>
      </w:pPr>
      <w:r>
        <w:rPr>
          <w:rStyle w:val="FootnoteReference"/>
        </w:rPr>
        <w:footnoteRef/>
      </w:r>
      <w:r>
        <w:t xml:space="preserve"> </w:t>
      </w:r>
      <w:r w:rsidRPr="00E35321">
        <w:rPr>
          <w:lang w:val="en-US"/>
        </w:rPr>
        <w:t xml:space="preserve">Daniel Ogden, </w:t>
      </w:r>
      <w:r w:rsidRPr="003B75EE">
        <w:rPr>
          <w:i/>
          <w:iCs/>
          <w:lang w:val="en-US"/>
        </w:rPr>
        <w:t>Magic, Witchcraft and Ghosts in the Greek and Roman Wolds</w:t>
      </w:r>
      <w:r>
        <w:rPr>
          <w:lang w:val="en-US"/>
        </w:rPr>
        <w:t>, 2</w:t>
      </w:r>
      <w:r w:rsidRPr="00E35321">
        <w:rPr>
          <w:vertAlign w:val="superscript"/>
          <w:lang w:val="en-US"/>
        </w:rPr>
        <w:t>nd</w:t>
      </w:r>
      <w:r>
        <w:rPr>
          <w:lang w:val="en-US"/>
        </w:rPr>
        <w:t xml:space="preserve"> edn. (Oxford: Oxford University Press, 2009), p. 287.</w:t>
      </w:r>
    </w:p>
  </w:footnote>
  <w:footnote w:id="113">
    <w:p w14:paraId="2C3B3233" w14:textId="59CA6162" w:rsidR="00EA67BC" w:rsidRPr="00EA67BC" w:rsidRDefault="00EA67BC">
      <w:pPr>
        <w:pStyle w:val="FootnoteText"/>
      </w:pPr>
      <w:r>
        <w:rPr>
          <w:rStyle w:val="FootnoteReference"/>
        </w:rPr>
        <w:footnoteRef/>
      </w:r>
      <w:r>
        <w:t xml:space="preserve"> </w:t>
      </w:r>
      <w:r w:rsidR="00377C91" w:rsidRPr="00377C91">
        <w:rPr>
          <w:lang w:val="en-US"/>
        </w:rPr>
        <w:t>PG</w:t>
      </w:r>
      <w:r w:rsidR="00377C91">
        <w:rPr>
          <w:lang w:val="en-US"/>
        </w:rPr>
        <w:t>M, XIII, 764-765: “the hidden and unspeakable name – it cannot be uttered by human mouth</w:t>
      </w:r>
      <w:r w:rsidR="003F6471">
        <w:rPr>
          <w:lang w:val="en-US"/>
        </w:rPr>
        <w:t>”</w:t>
      </w:r>
      <w:r w:rsidR="00377C91">
        <w:rPr>
          <w:lang w:val="en-US"/>
        </w:rPr>
        <w:t xml:space="preserve">. </w:t>
      </w:r>
      <w:r>
        <w:rPr>
          <w:lang w:val="en-GB"/>
        </w:rPr>
        <w:t>“Secrecy is necessary especially for the ‘secret and unspeakable names’”</w:t>
      </w:r>
      <w:r w:rsidR="003B75EE">
        <w:rPr>
          <w:lang w:val="en-GB"/>
        </w:rPr>
        <w:t xml:space="preserve"> in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7</w:t>
      </w:r>
      <w:r w:rsidRPr="00E65E1E">
        <w:rPr>
          <w:lang w:val="en-US"/>
        </w:rPr>
        <w:t>.</w:t>
      </w:r>
    </w:p>
  </w:footnote>
  <w:footnote w:id="114">
    <w:p w14:paraId="6F8D8FBF" w14:textId="34486477" w:rsidR="009C46D7" w:rsidRPr="009C46D7" w:rsidRDefault="009C46D7">
      <w:pPr>
        <w:pStyle w:val="FootnoteText"/>
      </w:pPr>
      <w:r>
        <w:rPr>
          <w:rStyle w:val="FootnoteReference"/>
        </w:rPr>
        <w:footnoteRef/>
      </w:r>
      <w:r>
        <w:t xml:space="preserve"> </w:t>
      </w:r>
      <w:r w:rsidR="00377C91" w:rsidRPr="00377C91">
        <w:t xml:space="preserve">PGM, IV. 744; IV. 746. </w:t>
      </w:r>
      <w:r w:rsidR="00377C91" w:rsidRPr="007276DB">
        <w:rPr>
          <w:i/>
          <w:iCs/>
        </w:rPr>
        <w:t>Papyri Graecae Magicae, Die Griechischen Zauberpapyri,</w:t>
      </w:r>
      <w:r w:rsidR="000912ED" w:rsidRPr="000912ED">
        <w:rPr>
          <w:i/>
          <w:iCs/>
        </w:rPr>
        <w:t xml:space="preserve"> </w:t>
      </w:r>
      <w:r w:rsidR="000912ED" w:rsidRPr="007276DB">
        <w:rPr>
          <w:i/>
          <w:iCs/>
        </w:rPr>
        <w:t xml:space="preserve">, </w:t>
      </w:r>
      <w:r w:rsidR="000912ED" w:rsidRPr="007276DB">
        <w:t>eds.</w:t>
      </w:r>
      <w:r w:rsidR="000912ED" w:rsidRPr="006C1BBA">
        <w:t xml:space="preserve"> Karl Preisendanz</w:t>
      </w:r>
      <w:r w:rsidR="000912ED">
        <w:rPr>
          <w:lang w:val="it-IT"/>
        </w:rPr>
        <w:t>,</w:t>
      </w:r>
      <w:r w:rsidR="00377C91" w:rsidRPr="007276DB">
        <w:rPr>
          <w:i/>
          <w:iCs/>
        </w:rPr>
        <w:t xml:space="preserve"> </w:t>
      </w:r>
      <w:r w:rsidR="00377C91" w:rsidRPr="006C1BBA">
        <w:t xml:space="preserve">Vol. </w:t>
      </w:r>
      <w:r w:rsidR="00377C91" w:rsidRPr="00377C91">
        <w:t>2</w:t>
      </w:r>
      <w:r w:rsidR="00377C91" w:rsidRPr="006C1BBA">
        <w:t xml:space="preserve">, </w:t>
      </w:r>
      <w:r w:rsidR="00377C91" w:rsidRPr="000912ED">
        <w:t xml:space="preserve">XII. 401 – 445. </w:t>
      </w:r>
      <w:r w:rsidRPr="00377C91">
        <w:t>Harold Remus, “Magic”, Method, Madness”, p. 273.</w:t>
      </w:r>
      <w:r w:rsidR="00E35321" w:rsidRPr="00377C91">
        <w:t xml:space="preserve"> </w:t>
      </w:r>
      <w:r w:rsidR="00E35321" w:rsidRPr="00E35321">
        <w:rPr>
          <w:lang w:val="en-US"/>
        </w:rPr>
        <w:t xml:space="preserve">Marvin Meyer, </w:t>
      </w:r>
      <w:r w:rsidR="00E35321" w:rsidRPr="003716EC">
        <w:rPr>
          <w:lang w:val="en-US"/>
        </w:rPr>
        <w:t>“Panel Discussion: ‘Magic</w:t>
      </w:r>
      <w:r w:rsidR="00E35321">
        <w:rPr>
          <w:lang w:val="en-US"/>
        </w:rPr>
        <w:t xml:space="preserve"> in the Ancient World’ by Fritz Graf”, p. 306.</w:t>
      </w:r>
    </w:p>
  </w:footnote>
  <w:footnote w:id="115">
    <w:p w14:paraId="14D211C9" w14:textId="2AE5C51C" w:rsidR="00EA67BC" w:rsidRPr="00020FAA" w:rsidRDefault="00EA67BC" w:rsidP="00EA67BC">
      <w:pPr>
        <w:pStyle w:val="FootnoteText"/>
      </w:pPr>
      <w:r>
        <w:rPr>
          <w:rStyle w:val="FootnoteReference"/>
        </w:rPr>
        <w:footnoteRef/>
      </w:r>
      <w:r>
        <w:t xml:space="preserve"> </w:t>
      </w:r>
      <w:r w:rsidR="00CE2B3A" w:rsidRPr="00CE2B3A">
        <w:rPr>
          <w:lang w:val="en-US"/>
        </w:rPr>
        <w:t>PG</w:t>
      </w:r>
      <w:r w:rsidR="00CE2B3A">
        <w:rPr>
          <w:lang w:val="en-US"/>
        </w:rPr>
        <w:t xml:space="preserve">M XIII. 1-343; 343-646; 647-734; 734-1077.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8</w:t>
      </w:r>
      <w:r w:rsidRPr="00E65E1E">
        <w:rPr>
          <w:lang w:val="en-US"/>
        </w:rPr>
        <w:t>.</w:t>
      </w:r>
    </w:p>
  </w:footnote>
  <w:footnote w:id="116">
    <w:p w14:paraId="4DD1242C" w14:textId="42E203BF" w:rsidR="00764CF4" w:rsidRPr="00486D01" w:rsidRDefault="00764CF4" w:rsidP="00764CF4">
      <w:pPr>
        <w:pStyle w:val="FootnoteText"/>
      </w:pPr>
      <w:r>
        <w:rPr>
          <w:rStyle w:val="FootnoteReference"/>
        </w:rPr>
        <w:footnoteRef/>
      </w:r>
      <w:r>
        <w:t xml:space="preserve"> </w:t>
      </w:r>
      <w:r w:rsidRPr="004A720D">
        <w:rPr>
          <w:lang w:val="en-US"/>
        </w:rPr>
        <w:t xml:space="preserve">Robert L. Fowler, </w:t>
      </w:r>
      <w:r>
        <w:rPr>
          <w:lang w:val="en-US"/>
        </w:rPr>
        <w:t>“Greek Magic, Greek Religion”, p. 9. In th</w:t>
      </w:r>
      <w:r w:rsidR="00C820B5">
        <w:rPr>
          <w:lang w:val="en-US"/>
        </w:rPr>
        <w:t>e rite brought as example</w:t>
      </w:r>
      <w:r w:rsidR="00A3422B">
        <w:rPr>
          <w:lang w:val="en-US"/>
        </w:rPr>
        <w:t>,</w:t>
      </w:r>
      <w:r>
        <w:rPr>
          <w:lang w:val="en-US"/>
        </w:rPr>
        <w:t xml:space="preserve"> girls played the part of bears and honored the goddess of the hunt.</w:t>
      </w:r>
      <w:r w:rsidR="00C820B5">
        <w:rPr>
          <w:lang w:val="en-US"/>
        </w:rPr>
        <w:t xml:space="preserve"> </w:t>
      </w:r>
      <w:r w:rsidR="00C820B5" w:rsidRPr="00E8202C">
        <w:rPr>
          <w:lang w:val="en-US"/>
        </w:rPr>
        <w:t>Hans Dieter Betz</w:t>
      </w:r>
      <w:r w:rsidR="00C820B5" w:rsidRPr="00E65E1E">
        <w:rPr>
          <w:lang w:val="en-US"/>
        </w:rPr>
        <w:t>, “</w:t>
      </w:r>
      <w:r w:rsidR="00C820B5" w:rsidRPr="00E8202C">
        <w:rPr>
          <w:lang w:val="en-US"/>
        </w:rPr>
        <w:t xml:space="preserve">The </w:t>
      </w:r>
      <w:r w:rsidR="00C820B5" w:rsidRPr="00E65E1E">
        <w:rPr>
          <w:lang w:val="en-US"/>
        </w:rPr>
        <w:t>F</w:t>
      </w:r>
      <w:r w:rsidR="00C820B5" w:rsidRPr="00E8202C">
        <w:rPr>
          <w:lang w:val="en-US"/>
        </w:rPr>
        <w:t xml:space="preserve">ormation of </w:t>
      </w:r>
      <w:r w:rsidR="00C820B5" w:rsidRPr="00E65E1E">
        <w:rPr>
          <w:lang w:val="en-US"/>
        </w:rPr>
        <w:t>A</w:t>
      </w:r>
      <w:r w:rsidR="00C820B5" w:rsidRPr="00E8202C">
        <w:rPr>
          <w:lang w:val="en-US"/>
        </w:rPr>
        <w:t xml:space="preserve">uthoritative </w:t>
      </w:r>
      <w:r w:rsidR="00C820B5" w:rsidRPr="00E65E1E">
        <w:rPr>
          <w:lang w:val="en-US"/>
        </w:rPr>
        <w:t>T</w:t>
      </w:r>
      <w:r w:rsidR="00C820B5" w:rsidRPr="00E8202C">
        <w:rPr>
          <w:lang w:val="en-US"/>
        </w:rPr>
        <w:t xml:space="preserve">radition in the Greek </w:t>
      </w:r>
      <w:r w:rsidR="00C820B5" w:rsidRPr="00E65E1E">
        <w:rPr>
          <w:lang w:val="en-US"/>
        </w:rPr>
        <w:t>M</w:t>
      </w:r>
      <w:r w:rsidR="00C820B5" w:rsidRPr="00E8202C">
        <w:rPr>
          <w:lang w:val="en-US"/>
        </w:rPr>
        <w:t xml:space="preserve">agical </w:t>
      </w:r>
      <w:r w:rsidR="00C820B5" w:rsidRPr="00E65E1E">
        <w:rPr>
          <w:lang w:val="en-US"/>
        </w:rPr>
        <w:t>P</w:t>
      </w:r>
      <w:r w:rsidR="00C820B5" w:rsidRPr="00E8202C">
        <w:rPr>
          <w:lang w:val="en-US"/>
        </w:rPr>
        <w:t>apyri</w:t>
      </w:r>
      <w:r w:rsidR="00C820B5" w:rsidRPr="00E65E1E">
        <w:rPr>
          <w:lang w:val="en-US"/>
        </w:rPr>
        <w:t>”, p. 16</w:t>
      </w:r>
      <w:r w:rsidR="00C820B5">
        <w:rPr>
          <w:lang w:val="en-US"/>
        </w:rPr>
        <w:t>4</w:t>
      </w:r>
      <w:r w:rsidR="00C820B5" w:rsidRPr="00E65E1E">
        <w:rPr>
          <w:lang w:val="en-US"/>
        </w:rPr>
        <w:t>.</w:t>
      </w:r>
      <w:r w:rsidR="00C820B5">
        <w:rPr>
          <w:lang w:val="en-US"/>
        </w:rPr>
        <w:t xml:space="preserve"> See </w:t>
      </w:r>
      <w:r w:rsidR="00C820B5">
        <w:rPr>
          <w:lang w:val="en-GB"/>
        </w:rPr>
        <w:t xml:space="preserve">the </w:t>
      </w:r>
      <w:proofErr w:type="spellStart"/>
      <w:r w:rsidR="00C820B5">
        <w:rPr>
          <w:lang w:val="en-GB"/>
        </w:rPr>
        <w:t>Arrheporia</w:t>
      </w:r>
      <w:proofErr w:type="spellEnd"/>
      <w:r w:rsidR="00C820B5">
        <w:rPr>
          <w:lang w:val="en-GB"/>
        </w:rPr>
        <w:t xml:space="preserve"> in Athens or the </w:t>
      </w:r>
      <w:proofErr w:type="spellStart"/>
      <w:r w:rsidR="00C820B5">
        <w:rPr>
          <w:lang w:val="en-GB"/>
        </w:rPr>
        <w:t>Arkteia</w:t>
      </w:r>
      <w:proofErr w:type="spellEnd"/>
      <w:r w:rsidR="00C820B5">
        <w:rPr>
          <w:lang w:val="en-GB"/>
        </w:rPr>
        <w:t xml:space="preserve"> for Artemis at </w:t>
      </w:r>
      <w:proofErr w:type="spellStart"/>
      <w:r w:rsidR="00C820B5">
        <w:rPr>
          <w:lang w:val="en-GB"/>
        </w:rPr>
        <w:t>Brauron</w:t>
      </w:r>
      <w:proofErr w:type="spellEnd"/>
      <w:r w:rsidR="00C820B5">
        <w:rPr>
          <w:lang w:val="en-GB"/>
        </w:rPr>
        <w:t>.</w:t>
      </w:r>
    </w:p>
  </w:footnote>
  <w:footnote w:id="117">
    <w:p w14:paraId="670578EC" w14:textId="3FA21D67" w:rsidR="00C820B5" w:rsidRPr="000912ED" w:rsidRDefault="00C820B5" w:rsidP="00C820B5">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Pr>
          <w:lang w:val="en-GB"/>
        </w:rPr>
        <w:t>I</w:t>
      </w:r>
      <w:r w:rsidRPr="007E716B">
        <w:rPr>
          <w:lang w:val="en-GB"/>
        </w:rPr>
        <w:t>.</w:t>
      </w:r>
      <w:r>
        <w:rPr>
          <w:lang w:val="en-GB"/>
        </w:rPr>
        <w:t>11</w:t>
      </w:r>
      <w:r w:rsidRPr="007E716B">
        <w:rPr>
          <w:lang w:val="en-GB"/>
        </w:rPr>
        <w:t>,</w:t>
      </w:r>
      <w:r>
        <w:rPr>
          <w:lang w:val="en-GB"/>
        </w:rPr>
        <w:t xml:space="preserve"> 37.4,</w:t>
      </w:r>
      <w:r w:rsidRPr="007E716B">
        <w:rPr>
          <w:lang w:val="en-GB"/>
        </w:rPr>
        <w:t xml:space="preserve"> p. </w:t>
      </w:r>
      <w:r>
        <w:rPr>
          <w:lang w:val="en-GB"/>
        </w:rPr>
        <w:t>46</w:t>
      </w:r>
      <w:r w:rsidRPr="007E716B">
        <w:rPr>
          <w:lang w:val="en-GB"/>
        </w:rPr>
        <w:t>.</w:t>
      </w:r>
      <w:r w:rsidR="000912ED">
        <w:rPr>
          <w:lang w:val="en-GB"/>
        </w:rPr>
        <w:t xml:space="preserve"> </w:t>
      </w:r>
      <w:r w:rsidR="000912ED" w:rsidRPr="007276DB">
        <w:rPr>
          <w:i/>
          <w:iCs/>
        </w:rPr>
        <w:t xml:space="preserve">Papyri Graecae Magicae, Die Griechischen Zauberpapyri, </w:t>
      </w:r>
      <w:r w:rsidR="000912ED" w:rsidRPr="007276DB">
        <w:t>eds.</w:t>
      </w:r>
      <w:r w:rsidR="000912ED" w:rsidRPr="006C1BBA">
        <w:t xml:space="preserve"> Karl Preisendanz Vol. 1,</w:t>
      </w:r>
      <w:r w:rsidR="000912ED" w:rsidRPr="000912ED">
        <w:t xml:space="preserve"> I. 127; I. 131;</w:t>
      </w:r>
      <w:r w:rsidR="000912ED" w:rsidRPr="006C1BBA">
        <w:t xml:space="preserve"> </w:t>
      </w:r>
      <w:r w:rsidR="000912ED" w:rsidRPr="000912ED">
        <w:t xml:space="preserve">IV. 172; IV. 476; IV. 723; IV. 744;  </w:t>
      </w:r>
      <w:r w:rsidR="000912ED" w:rsidRPr="000912ED">
        <w:t xml:space="preserve">IV. 794; </w:t>
      </w:r>
      <w:r w:rsidR="000912ED" w:rsidRPr="000912ED">
        <w:t xml:space="preserve">IV. 2254; IV. 2592; </w:t>
      </w:r>
      <w:r w:rsidR="00A3422B" w:rsidRPr="00A3422B">
        <w:t>V</w:t>
      </w:r>
      <w:r w:rsidR="000912ED" w:rsidRPr="000912ED">
        <w:t xml:space="preserve">. 110; XII. 331, 33; Vol. 2, XII. 322; XIII. 57; XIII. 128; XIII. 428; IXI. a.52. </w:t>
      </w:r>
    </w:p>
  </w:footnote>
  <w:footnote w:id="118">
    <w:p w14:paraId="2D0EDB9B" w14:textId="67C932E1" w:rsidR="00490418" w:rsidRPr="00490418" w:rsidRDefault="00490418">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Pr>
          <w:lang w:val="en-GB"/>
        </w:rPr>
        <w:t>V</w:t>
      </w:r>
      <w:r w:rsidRPr="007E716B">
        <w:rPr>
          <w:lang w:val="en-GB"/>
        </w:rPr>
        <w:t>.</w:t>
      </w:r>
      <w:r>
        <w:rPr>
          <w:lang w:val="en-GB"/>
        </w:rPr>
        <w:t>1, 200.6-9, p. 226.</w:t>
      </w:r>
    </w:p>
  </w:footnote>
  <w:footnote w:id="119">
    <w:p w14:paraId="085D5230" w14:textId="5570DC63" w:rsidR="003F6471" w:rsidRPr="003F6471" w:rsidRDefault="003F6471">
      <w:pPr>
        <w:pStyle w:val="FootnoteText"/>
        <w:rPr>
          <w:lang w:val="en-GB"/>
        </w:rPr>
      </w:pPr>
      <w:r>
        <w:rPr>
          <w:rStyle w:val="FootnoteReference"/>
        </w:rPr>
        <w:footnoteRef/>
      </w:r>
      <w:r>
        <w:t xml:space="preserve"> </w:t>
      </w:r>
      <w:r w:rsidRPr="00810615">
        <w:rPr>
          <w:lang w:val="en-GB"/>
        </w:rPr>
        <w:t xml:space="preserve">Gregory Shaw, </w:t>
      </w:r>
      <w:r w:rsidRPr="00810615">
        <w:rPr>
          <w:i/>
          <w:iCs/>
          <w:lang w:val="en-GB"/>
        </w:rPr>
        <w:t>Theurgy and the Soul: The Neoplatonism of Iamblichus</w:t>
      </w:r>
      <w:r w:rsidRPr="00810615">
        <w:rPr>
          <w:lang w:val="en-GB"/>
        </w:rPr>
        <w:t xml:space="preserve">, (The Pennsylvania State University Press, 1995), p. 183. </w:t>
      </w:r>
    </w:p>
  </w:footnote>
  <w:footnote w:id="120">
    <w:p w14:paraId="123741B4" w14:textId="4EB10846" w:rsidR="00232369" w:rsidRPr="00232369" w:rsidRDefault="00232369">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sidR="00D2663A">
        <w:rPr>
          <w:lang w:val="en-GB"/>
        </w:rPr>
        <w:t>I</w:t>
      </w:r>
      <w:r w:rsidRPr="007E716B">
        <w:rPr>
          <w:lang w:val="en-GB"/>
        </w:rPr>
        <w:t>.</w:t>
      </w:r>
      <w:r w:rsidR="008430A0">
        <w:rPr>
          <w:lang w:val="en-GB"/>
        </w:rPr>
        <w:t>9</w:t>
      </w:r>
      <w:r w:rsidRPr="007E716B">
        <w:rPr>
          <w:lang w:val="en-GB"/>
        </w:rPr>
        <w:t>,</w:t>
      </w:r>
      <w:r w:rsidR="008430A0">
        <w:rPr>
          <w:lang w:val="en-GB"/>
        </w:rPr>
        <w:t xml:space="preserve"> 30.4,</w:t>
      </w:r>
      <w:r w:rsidRPr="007E716B">
        <w:rPr>
          <w:lang w:val="en-GB"/>
        </w:rPr>
        <w:t xml:space="preserve"> p. </w:t>
      </w:r>
      <w:r>
        <w:rPr>
          <w:lang w:val="en-GB"/>
        </w:rPr>
        <w:t>3</w:t>
      </w:r>
      <w:r w:rsidR="008430A0">
        <w:rPr>
          <w:lang w:val="en-GB"/>
        </w:rPr>
        <w:t>6</w:t>
      </w:r>
      <w:r w:rsidRPr="007E716B">
        <w:rPr>
          <w:lang w:val="en-GB"/>
        </w:rPr>
        <w:t>.</w:t>
      </w:r>
    </w:p>
  </w:footnote>
  <w:footnote w:id="121">
    <w:p w14:paraId="784FC93C" w14:textId="53D4E073" w:rsidR="00232369" w:rsidRPr="007E716B" w:rsidRDefault="00232369" w:rsidP="00232369">
      <w:pPr>
        <w:pStyle w:val="FootnoteText"/>
        <w:rPr>
          <w:lang w:val="en-GB"/>
        </w:rPr>
      </w:pPr>
      <w:r w:rsidRPr="00CB6DE3">
        <w:rPr>
          <w:rStyle w:val="FootnoteReference"/>
          <w:lang w:val="en-GB"/>
        </w:rPr>
        <w:footnoteRef/>
      </w:r>
      <w:r w:rsidRPr="00CB6DE3">
        <w:rPr>
          <w:lang w:val="en-GB"/>
        </w:rPr>
        <w:t xml:space="preserve"> R. T. Wallis, </w:t>
      </w:r>
      <w:r w:rsidRPr="00CB6DE3">
        <w:rPr>
          <w:i/>
          <w:iCs/>
          <w:lang w:val="en-GB"/>
        </w:rPr>
        <w:t>Neoplatonism</w:t>
      </w:r>
      <w:r w:rsidRPr="00CB6DE3">
        <w:rPr>
          <w:lang w:val="en-GB"/>
        </w:rPr>
        <w:t xml:space="preserve">, </w:t>
      </w:r>
      <w:r w:rsidR="00CB6DE3" w:rsidRPr="00CB6DE3">
        <w:rPr>
          <w:lang w:val="en-GB"/>
        </w:rPr>
        <w:t>2</w:t>
      </w:r>
      <w:r w:rsidR="00CB6DE3" w:rsidRPr="00CB6DE3">
        <w:rPr>
          <w:vertAlign w:val="superscript"/>
          <w:lang w:val="en-GB"/>
        </w:rPr>
        <w:t>nd</w:t>
      </w:r>
      <w:r w:rsidRPr="00CB6DE3">
        <w:rPr>
          <w:lang w:val="en-GB"/>
        </w:rPr>
        <w:t xml:space="preserve"> ed., (London: Gerald Duckworth, 1995), p. 155.</w:t>
      </w:r>
      <w:r w:rsidRPr="007E716B">
        <w:rPr>
          <w:lang w:val="en-GB"/>
        </w:rPr>
        <w:t xml:space="preserve"> </w:t>
      </w:r>
    </w:p>
  </w:footnote>
  <w:footnote w:id="122">
    <w:p w14:paraId="4C1EE1E7" w14:textId="6FEBD6D8" w:rsidR="00AF18BC" w:rsidRPr="00AF18BC" w:rsidRDefault="00AF18BC">
      <w:pPr>
        <w:pStyle w:val="FootnoteText"/>
        <w:rPr>
          <w:lang w:val="en-US"/>
        </w:rPr>
      </w:pPr>
      <w:r>
        <w:rPr>
          <w:rStyle w:val="FootnoteReference"/>
        </w:rPr>
        <w:footnoteRef/>
      </w:r>
      <w:r>
        <w:t xml:space="preserve"> </w:t>
      </w:r>
      <w:r w:rsidRPr="00AF18BC">
        <w:rPr>
          <w:lang w:val="en-US"/>
        </w:rPr>
        <w:t>Derek Collins, “Nat</w:t>
      </w:r>
      <w:r>
        <w:rPr>
          <w:lang w:val="en-US"/>
        </w:rPr>
        <w:t xml:space="preserve">ure, Cause and Agency in Greek Magic”, </w:t>
      </w:r>
      <w:r w:rsidRPr="00AF18BC">
        <w:rPr>
          <w:i/>
          <w:iCs/>
          <w:lang w:val="en-US"/>
        </w:rPr>
        <w:t>Transactions of the American Philological Association (1974-2014)</w:t>
      </w:r>
      <w:r>
        <w:rPr>
          <w:lang w:val="en-US"/>
        </w:rPr>
        <w:t xml:space="preserve">, Vo. 133, No. 1 (Spring 2003), pp. 17-49, (p. 43). </w:t>
      </w:r>
    </w:p>
  </w:footnote>
  <w:footnote w:id="123">
    <w:p w14:paraId="2B8762FD" w14:textId="77777777" w:rsidR="00232369" w:rsidRPr="007E716B" w:rsidRDefault="00232369" w:rsidP="00232369">
      <w:pPr>
        <w:pStyle w:val="FootnoteText"/>
        <w:rPr>
          <w:lang w:val="en-GB"/>
        </w:rPr>
      </w:pPr>
      <w:r w:rsidRPr="007E716B">
        <w:rPr>
          <w:rStyle w:val="FootnoteReference"/>
          <w:lang w:val="en-GB"/>
        </w:rPr>
        <w:footnoteRef/>
      </w:r>
      <w:r w:rsidRPr="007E716B">
        <w:rPr>
          <w:lang w:val="en-GB"/>
        </w:rPr>
        <w:t xml:space="preserve"> 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Pr="007E716B">
        <w:rPr>
          <w:lang w:val="en-GB"/>
        </w:rPr>
        <w:t xml:space="preserve">80. </w:t>
      </w:r>
    </w:p>
  </w:footnote>
  <w:footnote w:id="124">
    <w:p w14:paraId="1274B584" w14:textId="36824833" w:rsidR="00AF18BC" w:rsidRPr="00AF18BC" w:rsidRDefault="00AF18BC">
      <w:pPr>
        <w:pStyle w:val="FootnoteText"/>
      </w:pPr>
      <w:r>
        <w:rPr>
          <w:rStyle w:val="FootnoteReference"/>
        </w:rPr>
        <w:footnoteRef/>
      </w:r>
      <w:r>
        <w:t xml:space="preserve"> </w:t>
      </w:r>
      <w:r w:rsidRPr="007E716B">
        <w:rPr>
          <w:lang w:val="en-GB"/>
        </w:rPr>
        <w:t xml:space="preserve">Peter T. Struck, </w:t>
      </w:r>
      <w:r w:rsidRPr="007E716B">
        <w:rPr>
          <w:i/>
          <w:iCs/>
          <w:lang w:val="en-GB"/>
        </w:rPr>
        <w:t xml:space="preserve">Birth of Symbol, </w:t>
      </w:r>
      <w:r w:rsidR="00CB6DE3">
        <w:rPr>
          <w:lang w:val="en-GB"/>
        </w:rPr>
        <w:t>(Princeton and Oxford: Princeton University Press, 2004), (1965)</w:t>
      </w:r>
      <w:r w:rsidR="009479BB">
        <w:rPr>
          <w:lang w:val="en-GB"/>
        </w:rPr>
        <w:t xml:space="preserve">, </w:t>
      </w:r>
      <w:r w:rsidRPr="007E716B">
        <w:rPr>
          <w:lang w:val="en-GB"/>
        </w:rPr>
        <w:t>p. 2</w:t>
      </w:r>
      <w:r w:rsidR="005B4425">
        <w:rPr>
          <w:lang w:val="en-GB"/>
        </w:rPr>
        <w:t>14</w:t>
      </w:r>
      <w:r w:rsidRPr="007E716B">
        <w:rPr>
          <w:lang w:val="en-GB"/>
        </w:rPr>
        <w:t>.</w:t>
      </w:r>
    </w:p>
  </w:footnote>
  <w:footnote w:id="125">
    <w:p w14:paraId="37714BC1" w14:textId="494EDC72" w:rsidR="005B4425" w:rsidRPr="005B4425" w:rsidRDefault="005B4425">
      <w:pPr>
        <w:pStyle w:val="FootnoteText"/>
      </w:pPr>
      <w:r>
        <w:rPr>
          <w:rStyle w:val="FootnoteReference"/>
        </w:rPr>
        <w:footnoteRef/>
      </w:r>
      <w:r>
        <w:t xml:space="preserve"> </w:t>
      </w:r>
      <w:r w:rsidR="000C73BE" w:rsidRPr="007E716B">
        <w:rPr>
          <w:lang w:val="en-GB"/>
        </w:rPr>
        <w:t xml:space="preserve">Iamblichus, </w:t>
      </w:r>
      <w:r w:rsidR="000C73BE" w:rsidRPr="007E716B">
        <w:rPr>
          <w:i/>
          <w:iCs/>
          <w:lang w:val="en-GB"/>
        </w:rPr>
        <w:t>De Mysteriis</w:t>
      </w:r>
      <w:r w:rsidR="000C73BE">
        <w:rPr>
          <w:i/>
          <w:iCs/>
          <w:lang w:val="en-GB"/>
        </w:rPr>
        <w:t xml:space="preserve">, </w:t>
      </w:r>
      <w:r w:rsidR="000C73BE">
        <w:rPr>
          <w:lang w:val="en-GB"/>
        </w:rPr>
        <w:t>III.25 160, 161, p</w:t>
      </w:r>
      <w:r w:rsidR="00A3422B">
        <w:rPr>
          <w:lang w:val="en-GB"/>
        </w:rPr>
        <w:t>p</w:t>
      </w:r>
      <w:r w:rsidR="000C73BE">
        <w:rPr>
          <w:lang w:val="en-GB"/>
        </w:rPr>
        <w:t>. 180, 182.</w:t>
      </w:r>
      <w:r w:rsidR="000C73BE" w:rsidRPr="007E716B">
        <w:rPr>
          <w:lang w:val="en-GB"/>
        </w:rP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177</w:t>
      </w:r>
      <w:r w:rsidRPr="007E716B">
        <w:rPr>
          <w:lang w:val="en-GB"/>
        </w:rPr>
        <w:t>.</w:t>
      </w:r>
    </w:p>
  </w:footnote>
  <w:footnote w:id="126">
    <w:p w14:paraId="334089CE" w14:textId="716BEE0F" w:rsidR="005B4425" w:rsidRPr="00484B91" w:rsidRDefault="005B4425" w:rsidP="005B4425">
      <w:pPr>
        <w:pStyle w:val="FootnoteText"/>
      </w:pPr>
      <w:r>
        <w:rPr>
          <w:rStyle w:val="FootnoteReference"/>
        </w:rPr>
        <w:footnoteRef/>
      </w:r>
      <w:r>
        <w:t xml:space="preserve"> </w:t>
      </w:r>
      <w:r w:rsidRPr="004A720D">
        <w:rPr>
          <w:lang w:val="en-US"/>
        </w:rPr>
        <w:t xml:space="preserve">Robert L. Fowler, </w:t>
      </w:r>
      <w:r>
        <w:rPr>
          <w:lang w:val="en-US"/>
        </w:rPr>
        <w:t>“Greek Magic, Greek Religion”, p</w:t>
      </w:r>
      <w:r w:rsidR="00A3422B">
        <w:rPr>
          <w:lang w:val="en-US"/>
        </w:rPr>
        <w:t>p</w:t>
      </w:r>
      <w:r>
        <w:rPr>
          <w:lang w:val="en-US"/>
        </w:rPr>
        <w:t>. 17, 18.</w:t>
      </w:r>
    </w:p>
  </w:footnote>
  <w:footnote w:id="127">
    <w:p w14:paraId="624511DD" w14:textId="3AA18FB7" w:rsidR="005B4425" w:rsidRPr="005B4425" w:rsidRDefault="005B4425">
      <w:pPr>
        <w:pStyle w:val="FootnoteText"/>
      </w:pPr>
      <w:r>
        <w:rPr>
          <w:rStyle w:val="FootnoteReference"/>
        </w:rPr>
        <w:footnoteRef/>
      </w:r>
      <w:r>
        <w:t xml:space="preserve"> </w:t>
      </w:r>
      <w:r w:rsidR="00F74C19" w:rsidRPr="007E716B">
        <w:rPr>
          <w:lang w:val="en-GB"/>
        </w:rPr>
        <w:t xml:space="preserve">Iamblichus, </w:t>
      </w:r>
      <w:r w:rsidR="00F74C19" w:rsidRPr="007E716B">
        <w:rPr>
          <w:i/>
          <w:iCs/>
          <w:lang w:val="en-GB"/>
        </w:rPr>
        <w:t>De Mysteriis</w:t>
      </w:r>
      <w:r w:rsidR="00F74C19" w:rsidRPr="00F74C19">
        <w:rPr>
          <w:lang w:val="en-US"/>
        </w:rPr>
        <w:t>, VI.1</w:t>
      </w:r>
      <w:r w:rsidR="00F74C19">
        <w:rPr>
          <w:lang w:val="en-US"/>
        </w:rPr>
        <w:t>,</w:t>
      </w:r>
      <w:r w:rsidR="00F74C19" w:rsidRPr="00F74C19">
        <w:rPr>
          <w:lang w:val="en-US"/>
        </w:rPr>
        <w:t xml:space="preserve"> 241.4</w:t>
      </w:r>
      <w:r w:rsidR="00A3422B">
        <w:rPr>
          <w:lang w:val="en-US"/>
        </w:rPr>
        <w:t>, p. 280</w:t>
      </w:r>
      <w:r w:rsidR="00F74C19" w:rsidRPr="00F74C19">
        <w:rPr>
          <w:lang w:val="en-US"/>
        </w:rPr>
        <w:t xml:space="preserve">. </w:t>
      </w:r>
      <w:r w:rsidRPr="007E716B">
        <w:rPr>
          <w:lang w:val="en-GB"/>
        </w:rPr>
        <w:t>Otto, “Towards Historicizing “Magic” in Antiquity”, p. 3</w:t>
      </w:r>
      <w:r>
        <w:rPr>
          <w:lang w:val="en-GB"/>
        </w:rPr>
        <w:t>36.</w:t>
      </w:r>
    </w:p>
  </w:footnote>
  <w:footnote w:id="128">
    <w:p w14:paraId="6870D342" w14:textId="34CB656E" w:rsidR="00684288" w:rsidRPr="007E716B" w:rsidRDefault="00684288" w:rsidP="00684288">
      <w:pPr>
        <w:pStyle w:val="FootnoteText"/>
        <w:rPr>
          <w:lang w:val="en-GB"/>
        </w:rPr>
      </w:pPr>
      <w:r w:rsidRPr="007E716B">
        <w:rPr>
          <w:rStyle w:val="FootnoteReference"/>
          <w:lang w:val="en-GB"/>
        </w:rPr>
        <w:footnoteRef/>
      </w:r>
      <w:r w:rsidRPr="007E716B">
        <w:rPr>
          <w:lang w:val="en-GB"/>
        </w:rPr>
        <w:t xml:space="preserve"> </w:t>
      </w:r>
      <w:r w:rsidR="000C73BE" w:rsidRPr="007E716B">
        <w:rPr>
          <w:lang w:val="en-GB"/>
        </w:rPr>
        <w:t xml:space="preserve">Iamblichus, </w:t>
      </w:r>
      <w:r w:rsidR="000C73BE" w:rsidRPr="007E716B">
        <w:rPr>
          <w:i/>
          <w:iCs/>
          <w:lang w:val="en-GB"/>
        </w:rPr>
        <w:t>De Mysteriis</w:t>
      </w:r>
      <w:r w:rsidR="000C73BE">
        <w:rPr>
          <w:i/>
          <w:iCs/>
          <w:lang w:val="en-GB"/>
        </w:rPr>
        <w:t xml:space="preserve">, </w:t>
      </w:r>
      <w:r w:rsidR="000C73BE">
        <w:rPr>
          <w:lang w:val="en-GB"/>
        </w:rPr>
        <w:t>VII.5 257.3-4, p. 298.</w:t>
      </w:r>
      <w:r w:rsidR="000C73BE" w:rsidRPr="007E716B">
        <w:rPr>
          <w:lang w:val="en-GB"/>
        </w:rPr>
        <w:t xml:space="preserve">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xml:space="preserve">, p. </w:t>
      </w:r>
      <w:r w:rsidRPr="007E716B">
        <w:rPr>
          <w:lang w:val="en-GB"/>
        </w:rPr>
        <w:t>92; 107; 111.</w:t>
      </w:r>
    </w:p>
  </w:footnote>
  <w:footnote w:id="129">
    <w:p w14:paraId="4B657EF7" w14:textId="6BF22E7B" w:rsidR="00684288" w:rsidRPr="007E716B" w:rsidRDefault="00684288" w:rsidP="00684288">
      <w:pPr>
        <w:pStyle w:val="FootnoteText"/>
        <w:rPr>
          <w:lang w:val="en-GB"/>
        </w:rPr>
      </w:pPr>
      <w:r w:rsidRPr="007E716B">
        <w:rPr>
          <w:rStyle w:val="FootnoteReference"/>
          <w:lang w:val="en-GB"/>
        </w:rPr>
        <w:footnoteRef/>
      </w:r>
      <w:r w:rsidRPr="007E716B">
        <w:rPr>
          <w:lang w:val="en-GB"/>
        </w:rPr>
        <w:t xml:space="preserve"> </w:t>
      </w:r>
      <w:r w:rsidRPr="00C06368">
        <w:rPr>
          <w:lang w:val="en-GB"/>
        </w:rPr>
        <w:t xml:space="preserve">Gregory Shaw, </w:t>
      </w:r>
      <w:r w:rsidRPr="00C06368">
        <w:rPr>
          <w:i/>
          <w:iCs/>
          <w:lang w:val="en-GB"/>
        </w:rPr>
        <w:t>Theurgy and the Soul: The Neoplatonism of Iamblichus</w:t>
      </w:r>
      <w:r w:rsidRPr="00C06368">
        <w:rPr>
          <w:lang w:val="en-GB"/>
        </w:rPr>
        <w:t>, p. 182.</w:t>
      </w:r>
    </w:p>
  </w:footnote>
  <w:footnote w:id="130">
    <w:p w14:paraId="6D50A110" w14:textId="5196F5C8" w:rsidR="00020D1D" w:rsidRPr="00020D1D" w:rsidRDefault="00020D1D">
      <w:pPr>
        <w:pStyle w:val="FootnoteText"/>
        <w:rPr>
          <w:lang w:val="en-US"/>
        </w:rPr>
      </w:pPr>
      <w:r>
        <w:rPr>
          <w:rStyle w:val="FootnoteReference"/>
        </w:rPr>
        <w:footnoteRef/>
      </w:r>
      <w:r>
        <w:t xml:space="preserve"> </w:t>
      </w:r>
      <w:r w:rsidRPr="00020D1D">
        <w:rPr>
          <w:lang w:val="en-US"/>
        </w:rPr>
        <w:t>PGM C</w:t>
      </w:r>
      <w:r>
        <w:rPr>
          <w:lang w:val="en-US"/>
        </w:rPr>
        <w:t>XXIIIb, c, d</w:t>
      </w:r>
      <w:r w:rsidR="00F03CEC">
        <w:rPr>
          <w:lang w:val="en-US"/>
        </w:rPr>
        <w:t>; PDM xiv 1056-62</w:t>
      </w:r>
      <w:r w:rsidR="00CE2B3A">
        <w:rPr>
          <w:lang w:val="en-US"/>
        </w:rPr>
        <w:t>; XCIV. 1-3.</w:t>
      </w:r>
      <w:r>
        <w:rPr>
          <w:lang w:val="en-US"/>
        </w:rPr>
        <w:t xml:space="preserve"> </w:t>
      </w:r>
    </w:p>
  </w:footnote>
  <w:footnote w:id="131">
    <w:p w14:paraId="038BF177" w14:textId="77777777" w:rsidR="00684288" w:rsidRPr="00F720EF" w:rsidRDefault="00684288" w:rsidP="00684288">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p. 229.</w:t>
      </w:r>
    </w:p>
  </w:footnote>
  <w:footnote w:id="132">
    <w:p w14:paraId="3CF16A62" w14:textId="680467E4" w:rsidR="00A377B7" w:rsidRPr="00A377B7" w:rsidRDefault="00A377B7">
      <w:pPr>
        <w:pStyle w:val="FootnoteText"/>
        <w:rPr>
          <w:lang w:val="en-US"/>
        </w:rPr>
      </w:pPr>
      <w:r>
        <w:rPr>
          <w:rStyle w:val="FootnoteReference"/>
        </w:rPr>
        <w:footnoteRef/>
      </w:r>
      <w:r>
        <w:t xml:space="preserve"> </w:t>
      </w:r>
      <w:r w:rsidRPr="00A377B7">
        <w:rPr>
          <w:lang w:val="en-US"/>
        </w:rPr>
        <w:t>“They</w:t>
      </w:r>
      <w:r>
        <w:rPr>
          <w:lang w:val="en-US"/>
        </w:rPr>
        <w:t xml:space="preserve"> included Egyptian and Coptic divine names, spirit names, meaningless combinations of letters, combinations with numerical value and significance, vowel combinations…” in </w:t>
      </w:r>
      <w:r w:rsidRPr="00DF1A5C">
        <w:rPr>
          <w:lang w:val="en-US"/>
        </w:rPr>
        <w:t xml:space="preserve">A. D. Nock, </w:t>
      </w:r>
      <w:r>
        <w:rPr>
          <w:lang w:val="en-US"/>
        </w:rPr>
        <w:t>“</w:t>
      </w:r>
      <w:r w:rsidRPr="00DF1A5C">
        <w:rPr>
          <w:lang w:val="en-US"/>
        </w:rPr>
        <w:t>Greek Magical</w:t>
      </w:r>
      <w:r>
        <w:rPr>
          <w:lang w:val="en-US"/>
        </w:rPr>
        <w:t xml:space="preserve"> Papyri”, p. 229.</w:t>
      </w:r>
    </w:p>
  </w:footnote>
  <w:footnote w:id="133">
    <w:p w14:paraId="7F117334" w14:textId="0280DEFB" w:rsidR="000C73BE" w:rsidRPr="000C73BE" w:rsidRDefault="000C73BE">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Pr>
          <w:i/>
          <w:iCs/>
          <w:lang w:val="en-GB"/>
        </w:rPr>
        <w:t xml:space="preserve">, </w:t>
      </w:r>
      <w:r>
        <w:rPr>
          <w:lang w:val="en-GB"/>
        </w:rPr>
        <w:t>VII.5 257.3-4, p. 298</w:t>
      </w:r>
      <w:r>
        <w:rPr>
          <w:lang w:val="en-GB"/>
        </w:rPr>
        <w:t>; VII.5 258, 259, p. 300.</w:t>
      </w:r>
    </w:p>
  </w:footnote>
  <w:footnote w:id="134">
    <w:p w14:paraId="5A643939" w14:textId="63141572" w:rsidR="00A377B7" w:rsidRPr="00A377B7" w:rsidRDefault="00A377B7">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w:t>
      </w:r>
      <w:r w:rsidR="009479BB">
        <w:rPr>
          <w:lang w:val="en-GB"/>
        </w:rPr>
        <w:t xml:space="preserve"> </w:t>
      </w:r>
      <w:r w:rsidR="008430A0">
        <w:rPr>
          <w:lang w:val="en-GB"/>
        </w:rPr>
        <w:t>VII</w:t>
      </w:r>
      <w:r w:rsidR="00C06368">
        <w:rPr>
          <w:lang w:val="en-GB"/>
        </w:rPr>
        <w:t xml:space="preserve">.5, </w:t>
      </w:r>
      <w:r w:rsidR="008430A0">
        <w:rPr>
          <w:lang w:val="en-GB"/>
        </w:rPr>
        <w:t xml:space="preserve">257, </w:t>
      </w:r>
      <w:r w:rsidR="00C06368">
        <w:rPr>
          <w:lang w:val="en-GB"/>
        </w:rPr>
        <w:t xml:space="preserve">p. </w:t>
      </w:r>
      <w:r w:rsidR="008430A0">
        <w:rPr>
          <w:lang w:val="en-GB"/>
        </w:rPr>
        <w:t>298</w:t>
      </w:r>
      <w:r w:rsidR="00C06368">
        <w:rPr>
          <w:lang w:val="en-GB"/>
        </w:rPr>
        <w:t xml:space="preserve">, </w:t>
      </w:r>
      <w:r w:rsidR="008430A0">
        <w:rPr>
          <w:lang w:val="en-GB"/>
        </w:rPr>
        <w:t xml:space="preserve">VII.5, 258, 269, 260, p. </w:t>
      </w:r>
      <w:r w:rsidR="00C06368">
        <w:rPr>
          <w:lang w:val="en-GB"/>
        </w:rPr>
        <w:t>30</w:t>
      </w:r>
      <w:r w:rsidR="008430A0">
        <w:rPr>
          <w:lang w:val="en-GB"/>
        </w:rPr>
        <w:t>0, 302</w:t>
      </w:r>
      <w:r w:rsidRPr="007E716B">
        <w:rPr>
          <w:lang w:val="en-GB"/>
        </w:rPr>
        <w:t>.</w:t>
      </w:r>
    </w:p>
  </w:footnote>
  <w:footnote w:id="135">
    <w:p w14:paraId="72CFAE20" w14:textId="3C2F05B3" w:rsidR="009657F8" w:rsidRPr="009657F8" w:rsidRDefault="009657F8">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sidR="008430A0">
        <w:rPr>
          <w:lang w:val="en-GB"/>
        </w:rPr>
        <w:t>VII</w:t>
      </w:r>
      <w:r w:rsidRPr="007E716B">
        <w:rPr>
          <w:lang w:val="en-GB"/>
        </w:rPr>
        <w:t>.</w:t>
      </w:r>
      <w:r>
        <w:rPr>
          <w:lang w:val="en-GB"/>
        </w:rPr>
        <w:t>5</w:t>
      </w:r>
      <w:r w:rsidRPr="007E716B">
        <w:rPr>
          <w:lang w:val="en-GB"/>
        </w:rPr>
        <w:t xml:space="preserve">, </w:t>
      </w:r>
      <w:r w:rsidR="008430A0">
        <w:rPr>
          <w:lang w:val="en-GB"/>
        </w:rPr>
        <w:t xml:space="preserve">260, </w:t>
      </w:r>
      <w:r w:rsidRPr="007E716B">
        <w:rPr>
          <w:lang w:val="en-GB"/>
        </w:rPr>
        <w:t xml:space="preserve">p. </w:t>
      </w:r>
      <w:r>
        <w:rPr>
          <w:lang w:val="en-GB"/>
        </w:rPr>
        <w:t>30</w:t>
      </w:r>
      <w:r w:rsidR="008430A0">
        <w:rPr>
          <w:lang w:val="en-GB"/>
        </w:rPr>
        <w:t>2</w:t>
      </w:r>
      <w:r w:rsidRPr="007E716B">
        <w:rPr>
          <w:lang w:val="en-GB"/>
        </w:rPr>
        <w:t>.</w:t>
      </w:r>
    </w:p>
  </w:footnote>
  <w:footnote w:id="136">
    <w:p w14:paraId="3089A543" w14:textId="57FFA783" w:rsidR="00046DB5" w:rsidRPr="00046DB5" w:rsidRDefault="00046DB5">
      <w:pPr>
        <w:pStyle w:val="FootnoteText"/>
      </w:pPr>
      <w:r>
        <w:rPr>
          <w:rStyle w:val="FootnoteReference"/>
        </w:rPr>
        <w:footnoteRef/>
      </w:r>
      <w:r>
        <w:t xml:space="preserve"> </w:t>
      </w:r>
      <w:r w:rsidRPr="007E716B">
        <w:rPr>
          <w:lang w:val="en-GB"/>
        </w:rPr>
        <w:t>Harold Remus, “Magic”, Method, Madness”, p. 2</w:t>
      </w:r>
      <w:r>
        <w:rPr>
          <w:lang w:val="en-GB"/>
        </w:rPr>
        <w:t>76</w:t>
      </w:r>
      <w:r w:rsidRPr="007E716B">
        <w:rPr>
          <w:lang w:val="en-GB"/>
        </w:rPr>
        <w:t>.</w:t>
      </w:r>
    </w:p>
  </w:footnote>
  <w:footnote w:id="137">
    <w:p w14:paraId="5C5F5577" w14:textId="77777777" w:rsidR="00D2098F" w:rsidRPr="0093685A" w:rsidRDefault="00D2098F" w:rsidP="00D2098F">
      <w:pPr>
        <w:pStyle w:val="FootnoteText"/>
        <w:rPr>
          <w:lang w:val="en-US"/>
        </w:rPr>
      </w:pPr>
      <w:r>
        <w:rPr>
          <w:rStyle w:val="FootnoteReference"/>
        </w:rPr>
        <w:footnoteRef/>
      </w:r>
      <w:r>
        <w:t xml:space="preserve"> </w:t>
      </w:r>
      <w:r w:rsidRPr="0093685A">
        <w:rPr>
          <w:lang w:val="en-US"/>
        </w:rPr>
        <w:t xml:space="preserve">Simon Pulleyn, “The </w:t>
      </w:r>
      <w:r>
        <w:rPr>
          <w:lang w:val="en-US"/>
        </w:rPr>
        <w:t xml:space="preserve">Power of Names in Classical Greek Religion”, </w:t>
      </w:r>
      <w:r w:rsidRPr="0093685A">
        <w:rPr>
          <w:i/>
          <w:iCs/>
          <w:lang w:val="en-US"/>
        </w:rPr>
        <w:t>The Classical Quarterly</w:t>
      </w:r>
      <w:r>
        <w:rPr>
          <w:lang w:val="en-US"/>
        </w:rPr>
        <w:t xml:space="preserve">, Vol. 44, No. 1 (1994), pp. 17-25, (p. 23). </w:t>
      </w:r>
    </w:p>
  </w:footnote>
  <w:footnote w:id="138">
    <w:p w14:paraId="460D2FA1" w14:textId="36FDE73C" w:rsidR="00684288" w:rsidRPr="00BB5BE8" w:rsidRDefault="00684288" w:rsidP="00684288">
      <w:pPr>
        <w:pStyle w:val="FootnoteText"/>
        <w:rPr>
          <w:lang w:val="en-US"/>
        </w:rPr>
      </w:pPr>
      <w:r w:rsidRPr="00C06368">
        <w:rPr>
          <w:rStyle w:val="FootnoteReference"/>
        </w:rPr>
        <w:footnoteRef/>
      </w:r>
      <w:r w:rsidRPr="00C06368">
        <w:t xml:space="preserve"> </w:t>
      </w:r>
      <w:r w:rsidR="00C06368" w:rsidRPr="0093685A">
        <w:rPr>
          <w:lang w:val="en-US"/>
        </w:rPr>
        <w:t xml:space="preserve">Simon Pulleyn, “The </w:t>
      </w:r>
      <w:r w:rsidR="00C06368">
        <w:rPr>
          <w:lang w:val="en-US"/>
        </w:rPr>
        <w:t>Power of Names in Classical Greek Religion”, p. 17.</w:t>
      </w:r>
      <w:r w:rsidR="00487847">
        <w:rPr>
          <w:lang w:val="en-US"/>
        </w:rPr>
        <w:t xml:space="preserve"> Betz noted: “For these magicians, there was no longer any cultural difference between the Egyptians and the Greek gods, or between them and the Jewish god and the Jewish angels; and even Jesus was occasionally assimilated to the truly ‘ecumenical’ religious syncretism of the Hellenic world culture” in Hans </w:t>
      </w:r>
      <w:r w:rsidR="00487847" w:rsidRPr="00BD7DE3">
        <w:rPr>
          <w:lang w:val="en-US"/>
        </w:rPr>
        <w:t xml:space="preserve">Dieter Betz, ed., </w:t>
      </w:r>
      <w:r w:rsidR="00487847">
        <w:rPr>
          <w:lang w:val="en-US"/>
        </w:rPr>
        <w:t xml:space="preserve">“Introduction to the Greek Magical Papyri, in </w:t>
      </w:r>
      <w:r w:rsidR="00487847" w:rsidRPr="00BD7DE3">
        <w:rPr>
          <w:i/>
          <w:iCs/>
          <w:lang w:val="en-US"/>
        </w:rPr>
        <w:t>The Greek Magical Papyri in Translation Including the Demotic Spells</w:t>
      </w:r>
      <w:r w:rsidR="00487847">
        <w:rPr>
          <w:lang w:val="en-US"/>
        </w:rPr>
        <w:t>, p. xlvi.</w:t>
      </w:r>
    </w:p>
  </w:footnote>
  <w:footnote w:id="139">
    <w:p w14:paraId="2ABB23A5" w14:textId="77777777" w:rsidR="00684288" w:rsidRPr="00F720EF" w:rsidRDefault="00684288" w:rsidP="00684288">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p. 227.</w:t>
      </w:r>
    </w:p>
  </w:footnote>
  <w:footnote w:id="140">
    <w:p w14:paraId="12B8AEF6" w14:textId="631323AA" w:rsidR="00F80A50" w:rsidRPr="0035236A" w:rsidRDefault="00F80A50" w:rsidP="00F80A50">
      <w:pPr>
        <w:pStyle w:val="FootnoteText"/>
      </w:pPr>
      <w:r>
        <w:rPr>
          <w:rStyle w:val="FootnoteReference"/>
        </w:rPr>
        <w:footnoteRef/>
      </w:r>
      <w:r>
        <w:t xml:space="preserve"> </w:t>
      </w:r>
      <w:r w:rsidRPr="00646CEE">
        <w:rPr>
          <w:lang w:val="en-US"/>
        </w:rPr>
        <w:t>Hans Dieter Betz, “</w:t>
      </w:r>
      <w:r>
        <w:rPr>
          <w:lang w:val="en-US"/>
        </w:rPr>
        <w:t>The Delphic Maxim “Know Yourself” in the Greek Magical Papyri,</w:t>
      </w:r>
      <w:r w:rsidR="00C06368">
        <w:rPr>
          <w:lang w:val="en-US"/>
        </w:rPr>
        <w:t xml:space="preserve"> </w:t>
      </w:r>
      <w:r w:rsidR="00C06368" w:rsidRPr="00FD11AD">
        <w:rPr>
          <w:i/>
          <w:iCs/>
          <w:lang w:val="en-US"/>
        </w:rPr>
        <w:t>History of Religions</w:t>
      </w:r>
      <w:r w:rsidR="00C06368">
        <w:rPr>
          <w:lang w:val="en-US"/>
        </w:rPr>
        <w:t>, Vol</w:t>
      </w:r>
      <w:r w:rsidR="00A3422B">
        <w:rPr>
          <w:lang w:val="en-US"/>
        </w:rPr>
        <w:t>.</w:t>
      </w:r>
      <w:r w:rsidR="00C06368">
        <w:rPr>
          <w:lang w:val="en-US"/>
        </w:rPr>
        <w:t xml:space="preserve"> 21, No. 2 (Nov. 1981), pp. 156-171,</w:t>
      </w:r>
      <w:r>
        <w:rPr>
          <w:lang w:val="en-US"/>
        </w:rPr>
        <w:t xml:space="preserve"> </w:t>
      </w:r>
      <w:r w:rsidR="00C06368">
        <w:rPr>
          <w:lang w:val="en-US"/>
        </w:rPr>
        <w:t>(</w:t>
      </w:r>
      <w:r>
        <w:rPr>
          <w:lang w:val="en-US"/>
        </w:rPr>
        <w:t>p. 168</w:t>
      </w:r>
      <w:r w:rsidR="00C06368">
        <w:rPr>
          <w:lang w:val="en-US"/>
        </w:rPr>
        <w:t>)</w:t>
      </w:r>
      <w:r>
        <w:rPr>
          <w:lang w:val="en-US"/>
        </w:rPr>
        <w:t>.</w:t>
      </w:r>
    </w:p>
  </w:footnote>
  <w:footnote w:id="141">
    <w:p w14:paraId="0FD9E69C" w14:textId="5B3CDE7A" w:rsidR="00A1170A" w:rsidRPr="00A969AE" w:rsidRDefault="00A1170A">
      <w:pPr>
        <w:pStyle w:val="FootnoteText"/>
        <w:rPr>
          <w:lang w:val="en-US"/>
        </w:rPr>
      </w:pPr>
      <w:r>
        <w:rPr>
          <w:rStyle w:val="FootnoteReference"/>
        </w:rPr>
        <w:footnoteRef/>
      </w:r>
      <w:r>
        <w:t xml:space="preserve"> </w:t>
      </w:r>
      <w:r w:rsidR="00A969AE" w:rsidRPr="00A55CEE">
        <w:rPr>
          <w:lang w:val="en-GB"/>
        </w:rPr>
        <w:t xml:space="preserve">Plato, </w:t>
      </w:r>
      <w:r w:rsidR="00A969AE" w:rsidRPr="00A55CEE">
        <w:rPr>
          <w:i/>
          <w:iCs/>
          <w:lang w:val="en-GB"/>
        </w:rPr>
        <w:t>Plato Complete Works</w:t>
      </w:r>
      <w:r w:rsidR="00A969AE" w:rsidRPr="00A55CEE">
        <w:rPr>
          <w:lang w:val="en-GB"/>
        </w:rPr>
        <w:t xml:space="preserve">, </w:t>
      </w:r>
      <w:r w:rsidR="00A969AE" w:rsidRPr="00A55CEE">
        <w:rPr>
          <w:i/>
          <w:iCs/>
          <w:lang w:val="en-GB"/>
        </w:rPr>
        <w:t>Republic</w:t>
      </w:r>
      <w:r w:rsidR="00A969AE" w:rsidRPr="00A55CEE">
        <w:rPr>
          <w:lang w:val="en-GB"/>
        </w:rPr>
        <w:t xml:space="preserve">, </w:t>
      </w:r>
      <w:r w:rsidR="00A969AE" w:rsidRPr="00A969AE">
        <w:rPr>
          <w:lang w:val="en-US"/>
        </w:rPr>
        <w:t>Republic, Book X, 614bff</w:t>
      </w:r>
      <w:r w:rsidR="00A969AE">
        <w:rPr>
          <w:lang w:val="en-US"/>
        </w:rPr>
        <w:t>.</w:t>
      </w:r>
    </w:p>
  </w:footnote>
  <w:footnote w:id="142">
    <w:p w14:paraId="3C59BA1B" w14:textId="5021956C" w:rsidR="00A1170A" w:rsidRPr="00A1170A" w:rsidRDefault="00A1170A">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Pr>
          <w:i/>
          <w:iCs/>
          <w:lang w:val="en-GB"/>
        </w:rPr>
        <w:t xml:space="preserve">, </w:t>
      </w:r>
      <w:r w:rsidRPr="00A1170A">
        <w:rPr>
          <w:lang w:val="en-GB"/>
        </w:rPr>
        <w:t>IX.6</w:t>
      </w:r>
      <w:r>
        <w:rPr>
          <w:lang w:val="en-GB"/>
        </w:rPr>
        <w:t xml:space="preserve"> 280.6-10</w:t>
      </w:r>
      <w:r w:rsidR="00A3422B">
        <w:rPr>
          <w:lang w:val="en-GB"/>
        </w:rPr>
        <w:t>, p. 334</w:t>
      </w:r>
      <w:r>
        <w:rPr>
          <w:lang w:val="en-GB"/>
        </w:rPr>
        <w:t>.</w:t>
      </w:r>
    </w:p>
  </w:footnote>
  <w:footnote w:id="143">
    <w:p w14:paraId="6D425DBE" w14:textId="005C0B64" w:rsidR="00143887" w:rsidRPr="00646CEE" w:rsidRDefault="00143887" w:rsidP="00143887">
      <w:pPr>
        <w:pStyle w:val="FootnoteText"/>
        <w:rPr>
          <w:lang w:val="en-US"/>
        </w:rPr>
      </w:pPr>
      <w:r>
        <w:rPr>
          <w:rStyle w:val="FootnoteReference"/>
        </w:rPr>
        <w:footnoteRef/>
      </w:r>
      <w:r>
        <w:t xml:space="preserve"> </w:t>
      </w:r>
      <w:r w:rsidRPr="00646CEE">
        <w:rPr>
          <w:lang w:val="en-US"/>
        </w:rPr>
        <w:t>Hans Dieter Betz, “</w:t>
      </w:r>
      <w:r>
        <w:rPr>
          <w:lang w:val="en-US"/>
        </w:rPr>
        <w:t>The Delphic Maxim “Know Yourself” in the Greek Magical Papyri, p. 159.</w:t>
      </w:r>
    </w:p>
  </w:footnote>
  <w:footnote w:id="144">
    <w:p w14:paraId="5E6D9E05" w14:textId="258E3B72" w:rsidR="00AC49AE" w:rsidRPr="000529B1" w:rsidRDefault="00AC49AE" w:rsidP="00AC49AE">
      <w:pPr>
        <w:pStyle w:val="FootnoteText"/>
      </w:pPr>
      <w:r>
        <w:rPr>
          <w:rStyle w:val="FootnoteReference"/>
        </w:rPr>
        <w:footnoteRef/>
      </w:r>
      <w:r>
        <w:t xml:space="preserve"> </w:t>
      </w:r>
      <w:r w:rsidRPr="00646CEE">
        <w:rPr>
          <w:lang w:val="en-US"/>
        </w:rPr>
        <w:t>Hans Dieter Betz, “</w:t>
      </w:r>
      <w:r>
        <w:rPr>
          <w:lang w:val="en-US"/>
        </w:rPr>
        <w:t>The Delphic Maxim “Know Yourself” in the Greek Magical Papyri, p. 167</w:t>
      </w:r>
      <w:r w:rsidR="00C06368">
        <w:rPr>
          <w:lang w:val="en-US"/>
        </w:rPr>
        <w:t>.</w:t>
      </w:r>
    </w:p>
  </w:footnote>
  <w:footnote w:id="145">
    <w:p w14:paraId="54D2421B" w14:textId="5D0A4664" w:rsidR="00D0057C" w:rsidRPr="00F03CEC" w:rsidRDefault="00D0057C">
      <w:pPr>
        <w:pStyle w:val="FootnoteText"/>
      </w:pPr>
      <w:r>
        <w:rPr>
          <w:rStyle w:val="FootnoteReference"/>
        </w:rPr>
        <w:footnoteRef/>
      </w:r>
      <w:r>
        <w:t xml:space="preserve"> </w:t>
      </w:r>
      <w:r w:rsidRPr="00F03CEC">
        <w:t xml:space="preserve">PGM, I. 1-42; I. 42-195; VII. </w:t>
      </w:r>
      <w:r w:rsidR="00020D1D" w:rsidRPr="00F03CEC">
        <w:t>505-28</w:t>
      </w:r>
      <w:r w:rsidR="00F03CEC" w:rsidRPr="00F03CEC">
        <w:t>; LVII. 1-37</w:t>
      </w:r>
      <w:r w:rsidR="00020D1D" w:rsidRPr="00F03CEC">
        <w:t>.</w:t>
      </w:r>
    </w:p>
  </w:footnote>
  <w:footnote w:id="146">
    <w:p w14:paraId="187339AA" w14:textId="77777777" w:rsidR="007A7BBD" w:rsidRPr="007E716B" w:rsidRDefault="007A7BBD" w:rsidP="007A7BBD">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7. </w:t>
      </w:r>
    </w:p>
  </w:footnote>
  <w:footnote w:id="147">
    <w:p w14:paraId="3143D75F" w14:textId="49A04133" w:rsidR="00420C38" w:rsidRPr="007E716B" w:rsidRDefault="00420C38" w:rsidP="00420C38">
      <w:pPr>
        <w:pStyle w:val="FootnoteText"/>
        <w:rPr>
          <w:lang w:val="en-GB"/>
        </w:rPr>
      </w:pPr>
      <w:r w:rsidRPr="007E716B">
        <w:rPr>
          <w:rStyle w:val="FootnoteReference"/>
          <w:lang w:val="en-GB"/>
        </w:rPr>
        <w:footnoteRef/>
      </w:r>
      <w:r w:rsidRPr="007E716B">
        <w:rPr>
          <w:lang w:val="en-GB"/>
        </w:rPr>
        <w:t xml:space="preserve"> </w:t>
      </w:r>
      <w:r w:rsidR="00FD69CD" w:rsidRPr="007E716B">
        <w:rPr>
          <w:lang w:val="en-GB"/>
        </w:rPr>
        <w:t xml:space="preserve">Addey, </w:t>
      </w:r>
      <w:r w:rsidR="00FD69CD" w:rsidRPr="007E716B">
        <w:rPr>
          <w:i/>
          <w:iCs/>
          <w:lang w:val="en-GB"/>
        </w:rPr>
        <w:t>Divination and Theurgy in Neoplatonism,</w:t>
      </w:r>
      <w:r w:rsidR="00FD69CD" w:rsidRPr="007E716B">
        <w:rPr>
          <w:lang w:val="en-GB"/>
        </w:rPr>
        <w:t xml:space="preserve"> p. 1.</w:t>
      </w:r>
    </w:p>
  </w:footnote>
  <w:footnote w:id="148">
    <w:p w14:paraId="12AA1CAC" w14:textId="77777777" w:rsidR="00420C38" w:rsidRPr="007E716B" w:rsidRDefault="00420C38" w:rsidP="00420C38">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1.</w:t>
      </w:r>
    </w:p>
  </w:footnote>
  <w:footnote w:id="149">
    <w:p w14:paraId="0F8740E7" w14:textId="08F3079C" w:rsidR="00F14CD0" w:rsidRPr="00F14CD0" w:rsidRDefault="00F14CD0">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1</w:t>
      </w:r>
      <w:r>
        <w:rPr>
          <w:lang w:val="en-GB"/>
        </w:rPr>
        <w:t>1</w:t>
      </w:r>
      <w:r w:rsidRPr="007E716B">
        <w:rPr>
          <w:lang w:val="en-GB"/>
        </w:rPr>
        <w:t>.</w:t>
      </w:r>
    </w:p>
  </w:footnote>
  <w:footnote w:id="150">
    <w:p w14:paraId="5685FA84" w14:textId="77777777" w:rsidR="00FD69CD" w:rsidRPr="007E716B" w:rsidRDefault="00FD69CD" w:rsidP="00FD69CD">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11.</w:t>
      </w:r>
    </w:p>
  </w:footnote>
  <w:footnote w:id="151">
    <w:p w14:paraId="2CB01DF0" w14:textId="77777777" w:rsidR="00FD69CD" w:rsidRPr="007E716B" w:rsidRDefault="00FD69CD" w:rsidP="00FD69CD">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4.</w:t>
      </w:r>
    </w:p>
  </w:footnote>
  <w:footnote w:id="152">
    <w:p w14:paraId="635B552B" w14:textId="77777777" w:rsidR="00FD69CD" w:rsidRPr="007E716B" w:rsidRDefault="00FD69CD" w:rsidP="00FD69CD">
      <w:pPr>
        <w:pStyle w:val="FootnoteText"/>
        <w:rPr>
          <w:lang w:val="en-GB"/>
        </w:rPr>
      </w:pPr>
      <w:r w:rsidRPr="007E716B">
        <w:rPr>
          <w:rStyle w:val="FootnoteReference"/>
          <w:lang w:val="en-GB"/>
        </w:rPr>
        <w:footnoteRef/>
      </w:r>
      <w:r w:rsidRPr="007E716B">
        <w:rPr>
          <w:lang w:val="en-GB"/>
        </w:rPr>
        <w:t xml:space="preserve"> Addey, </w:t>
      </w:r>
      <w:r w:rsidRPr="007E716B">
        <w:rPr>
          <w:i/>
          <w:iCs/>
          <w:lang w:val="en-GB"/>
        </w:rPr>
        <w:t>Divination and Theurgy in Neoplatonism,</w:t>
      </w:r>
      <w:r w:rsidRPr="007E716B">
        <w:rPr>
          <w:lang w:val="en-GB"/>
        </w:rPr>
        <w:t xml:space="preserve"> p. 4.</w:t>
      </w:r>
    </w:p>
  </w:footnote>
  <w:footnote w:id="153">
    <w:p w14:paraId="32ADDA92" w14:textId="77777777" w:rsidR="00680776" w:rsidRPr="00FD69CD" w:rsidRDefault="00680776" w:rsidP="00680776">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17</w:t>
      </w:r>
      <w:r w:rsidRPr="007E716B">
        <w:rPr>
          <w:lang w:val="en-GB"/>
        </w:rPr>
        <w:t>.</w:t>
      </w:r>
    </w:p>
  </w:footnote>
  <w:footnote w:id="154">
    <w:p w14:paraId="7A4484E6" w14:textId="6F1ABBC7" w:rsidR="00680776" w:rsidRPr="00680776" w:rsidRDefault="00680776">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265</w:t>
      </w:r>
      <w:r w:rsidRPr="007E716B">
        <w:rPr>
          <w:lang w:val="en-GB"/>
        </w:rPr>
        <w:t>.</w:t>
      </w:r>
    </w:p>
  </w:footnote>
  <w:footnote w:id="155">
    <w:p w14:paraId="0E2A9255" w14:textId="2F47E4BA" w:rsidR="007A7BBD" w:rsidRPr="007A7BBD" w:rsidRDefault="007A7BBD">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272</w:t>
      </w:r>
      <w:r w:rsidRPr="007E716B">
        <w:rPr>
          <w:lang w:val="en-GB"/>
        </w:rPr>
        <w:t>.</w:t>
      </w:r>
    </w:p>
  </w:footnote>
  <w:footnote w:id="156">
    <w:p w14:paraId="3CC1442B" w14:textId="77777777" w:rsidR="0079379E" w:rsidRPr="001A7DFF" w:rsidRDefault="0079379E" w:rsidP="0079379E">
      <w:pPr>
        <w:pStyle w:val="FootnoteText"/>
      </w:pPr>
      <w:r>
        <w:rPr>
          <w:rStyle w:val="FootnoteReference"/>
        </w:rPr>
        <w:footnoteRef/>
      </w:r>
      <w:r>
        <w:t xml:space="preserve"> </w:t>
      </w:r>
      <w:r w:rsidRPr="007E716B">
        <w:rPr>
          <w:lang w:val="en-GB"/>
        </w:rPr>
        <w:t>Harold Remus, “Magic”, Method, Madness”, p. 2</w:t>
      </w:r>
      <w:r>
        <w:rPr>
          <w:lang w:val="en-GB"/>
        </w:rPr>
        <w:t>77</w:t>
      </w:r>
      <w:r w:rsidRPr="007E716B">
        <w:rPr>
          <w:lang w:val="en-GB"/>
        </w:rPr>
        <w:t>.</w:t>
      </w:r>
    </w:p>
  </w:footnote>
  <w:footnote w:id="157">
    <w:p w14:paraId="4E4A7708" w14:textId="080DCE17" w:rsidR="00A80D74" w:rsidRPr="00A80D74" w:rsidRDefault="00A80D74">
      <w:pPr>
        <w:pStyle w:val="FootnoteText"/>
      </w:pPr>
      <w:r>
        <w:rPr>
          <w:rStyle w:val="FootnoteReference"/>
        </w:rPr>
        <w:footnoteRef/>
      </w:r>
      <w:r>
        <w:t xml:space="preserve"> </w:t>
      </w:r>
      <w:r w:rsidRPr="007E716B">
        <w:rPr>
          <w:lang w:val="en-GB"/>
        </w:rPr>
        <w:t>Harold Remus, “Magic”, Method, Madness”, p. 2</w:t>
      </w:r>
      <w:r>
        <w:rPr>
          <w:lang w:val="en-GB"/>
        </w:rPr>
        <w:t>78.</w:t>
      </w:r>
    </w:p>
  </w:footnote>
  <w:footnote w:id="158">
    <w:p w14:paraId="485B1D24" w14:textId="25740D08" w:rsidR="00A80D74" w:rsidRPr="00A80D74" w:rsidRDefault="00A80D74">
      <w:pPr>
        <w:pStyle w:val="FootnoteText"/>
        <w:rPr>
          <w:lang w:val="en-GB"/>
        </w:rPr>
      </w:pPr>
      <w:r>
        <w:rPr>
          <w:rStyle w:val="FootnoteReference"/>
        </w:rPr>
        <w:footnoteRef/>
      </w:r>
      <w:r>
        <w:t xml:space="preserve"> </w:t>
      </w:r>
      <w:r w:rsidRPr="007E716B">
        <w:rPr>
          <w:lang w:val="en-GB"/>
        </w:rPr>
        <w:t>John. G. Gager, “Panel Discussion: “Magic in the Ancient World” by Fritz Graf”, p. 29</w:t>
      </w:r>
      <w:r>
        <w:rPr>
          <w:lang w:val="en-GB"/>
        </w:rPr>
        <w:t>8</w:t>
      </w:r>
      <w:r w:rsidRPr="007E716B">
        <w:rPr>
          <w:lang w:val="en-GB"/>
        </w:rPr>
        <w:t>.</w:t>
      </w:r>
    </w:p>
  </w:footnote>
  <w:footnote w:id="159">
    <w:p w14:paraId="5DC110BF" w14:textId="5A06C618" w:rsidR="00A80D74" w:rsidRPr="00A80D74" w:rsidRDefault="00A80D74">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185</w:t>
      </w:r>
      <w:r w:rsidRPr="007E716B">
        <w:rPr>
          <w:lang w:val="en-GB"/>
        </w:rPr>
        <w:t>.</w:t>
      </w:r>
    </w:p>
  </w:footnote>
  <w:footnote w:id="160">
    <w:p w14:paraId="4046BB3A" w14:textId="77777777" w:rsidR="0018445B" w:rsidRPr="004158B5" w:rsidRDefault="0018445B" w:rsidP="0018445B">
      <w:pPr>
        <w:pStyle w:val="FootnoteText"/>
        <w:rPr>
          <w:lang w:val="en-US"/>
        </w:rPr>
      </w:pPr>
      <w:r>
        <w:rPr>
          <w:rStyle w:val="FootnoteReference"/>
        </w:rPr>
        <w:footnoteRef/>
      </w:r>
      <w:r>
        <w:t xml:space="preserve"> </w:t>
      </w:r>
      <w:r w:rsidRPr="00DF1A5C">
        <w:rPr>
          <w:lang w:val="en-US"/>
        </w:rPr>
        <w:t xml:space="preserve">A. D. Nock, </w:t>
      </w:r>
      <w:r>
        <w:rPr>
          <w:lang w:val="en-US"/>
        </w:rPr>
        <w:t>“</w:t>
      </w:r>
      <w:r w:rsidRPr="00DF1A5C">
        <w:rPr>
          <w:lang w:val="en-US"/>
        </w:rPr>
        <w:t>Greek Magical</w:t>
      </w:r>
      <w:r>
        <w:rPr>
          <w:lang w:val="en-US"/>
        </w:rPr>
        <w:t xml:space="preserve"> Papyri”, p. 232.</w:t>
      </w:r>
    </w:p>
  </w:footnote>
  <w:footnote w:id="161">
    <w:p w14:paraId="0AE5226D" w14:textId="1BC5D66E" w:rsidR="0079379E" w:rsidRPr="00550339" w:rsidRDefault="0079379E">
      <w:pPr>
        <w:pStyle w:val="FootnoteText"/>
        <w:rPr>
          <w:lang w:val="en-US"/>
        </w:rPr>
      </w:pPr>
      <w:r>
        <w:rPr>
          <w:rStyle w:val="FootnoteReference"/>
        </w:rPr>
        <w:footnoteRef/>
      </w:r>
      <w:r>
        <w:t xml:space="preserve"> </w:t>
      </w:r>
      <w:r w:rsidRPr="00550339">
        <w:rPr>
          <w:lang w:val="en-US"/>
        </w:rPr>
        <w:t>Hans Dieter Betz, “The Formation of Authoritative Tradition in the Greek Magical Papyri”</w:t>
      </w:r>
      <w:r w:rsidR="00550339" w:rsidRPr="00550339">
        <w:rPr>
          <w:lang w:val="en-US"/>
        </w:rPr>
        <w:t xml:space="preserve">, </w:t>
      </w:r>
      <w:r w:rsidRPr="00550339">
        <w:rPr>
          <w:lang w:val="en-US"/>
        </w:rPr>
        <w:t>p. 161</w:t>
      </w:r>
      <w:r w:rsidR="00550339" w:rsidRPr="00550339">
        <w:rPr>
          <w:lang w:val="en-US"/>
        </w:rPr>
        <w:t>.</w:t>
      </w:r>
    </w:p>
  </w:footnote>
  <w:footnote w:id="162">
    <w:p w14:paraId="011AB27F" w14:textId="00842D7E" w:rsidR="0079379E" w:rsidRPr="00550339" w:rsidRDefault="0079379E">
      <w:pPr>
        <w:pStyle w:val="FootnoteText"/>
        <w:rPr>
          <w:lang w:val="en-US"/>
        </w:rPr>
      </w:pPr>
      <w:r w:rsidRPr="00550339">
        <w:rPr>
          <w:rStyle w:val="FootnoteReference"/>
        </w:rPr>
        <w:footnoteRef/>
      </w:r>
      <w:r w:rsidRPr="00550339">
        <w:t xml:space="preserve"> </w:t>
      </w:r>
      <w:r w:rsidRPr="00550339">
        <w:rPr>
          <w:lang w:val="en-US"/>
        </w:rPr>
        <w:t>Hans Dieter Betz, “The Formation of Authoritative Tradition in the Greek Magical Papyri”</w:t>
      </w:r>
      <w:r w:rsidR="00550339" w:rsidRPr="00550339">
        <w:rPr>
          <w:lang w:val="en-US"/>
        </w:rPr>
        <w:t xml:space="preserve">, </w:t>
      </w:r>
      <w:r w:rsidRPr="00550339">
        <w:rPr>
          <w:lang w:val="en-US"/>
        </w:rPr>
        <w:t>p. 161</w:t>
      </w:r>
      <w:r w:rsidR="00550339" w:rsidRPr="00550339">
        <w:rPr>
          <w:lang w:val="en-US"/>
        </w:rPr>
        <w:t xml:space="preserve">. </w:t>
      </w:r>
    </w:p>
  </w:footnote>
  <w:footnote w:id="163">
    <w:p w14:paraId="748988E4" w14:textId="023063AF" w:rsidR="0018445B" w:rsidRPr="00E8202C" w:rsidRDefault="0018445B" w:rsidP="0018445B">
      <w:pPr>
        <w:pStyle w:val="FootnoteText"/>
        <w:rPr>
          <w:lang w:val="en-US"/>
        </w:rPr>
      </w:pPr>
      <w:r w:rsidRPr="00550339">
        <w:rPr>
          <w:rStyle w:val="FootnoteReference"/>
        </w:rPr>
        <w:footnoteRef/>
      </w:r>
      <w:r w:rsidRPr="00550339">
        <w:t xml:space="preserve"> </w:t>
      </w:r>
      <w:r w:rsidRPr="00550339">
        <w:rPr>
          <w:lang w:val="en-US"/>
        </w:rPr>
        <w:t>Hans Dieter Betz, “The Formation of Authoritative Tradition in the Greek Magical Papyri”</w:t>
      </w:r>
      <w:r w:rsidR="00550339" w:rsidRPr="00550339">
        <w:rPr>
          <w:lang w:val="en-US"/>
        </w:rPr>
        <w:t xml:space="preserve">, </w:t>
      </w:r>
      <w:r w:rsidRPr="00550339">
        <w:rPr>
          <w:lang w:val="en-US"/>
        </w:rPr>
        <w:t>p. 161</w:t>
      </w:r>
      <w:r>
        <w:rPr>
          <w:lang w:val="en-US"/>
        </w:rPr>
        <w:t xml:space="preserve"> </w:t>
      </w:r>
    </w:p>
  </w:footnote>
  <w:footnote w:id="164">
    <w:p w14:paraId="710A17C8" w14:textId="37135151" w:rsidR="00767730" w:rsidRPr="00767730" w:rsidRDefault="00767730" w:rsidP="00767730">
      <w:pPr>
        <w:rPr>
          <w:sz w:val="20"/>
          <w:szCs w:val="20"/>
          <w:lang w:val="en-US"/>
        </w:rPr>
      </w:pPr>
      <w:r>
        <w:rPr>
          <w:rStyle w:val="FootnoteReference"/>
        </w:rPr>
        <w:footnoteRef/>
      </w:r>
      <w:r>
        <w:t xml:space="preserve"> </w:t>
      </w:r>
      <w:r w:rsidRPr="00767730">
        <w:rPr>
          <w:sz w:val="20"/>
          <w:szCs w:val="20"/>
          <w:lang w:val="en-US"/>
        </w:rPr>
        <w:t>Hans Dieter Betz, “The Formation of Authoritative Tradition in the Greek Magical Papyri”, p. 162</w:t>
      </w:r>
      <w:r w:rsidR="00B80594">
        <w:rPr>
          <w:sz w:val="20"/>
          <w:szCs w:val="20"/>
          <w:lang w:val="en-US"/>
        </w:rPr>
        <w:t>:</w:t>
      </w:r>
      <w:r w:rsidRPr="00767730">
        <w:rPr>
          <w:sz w:val="20"/>
          <w:szCs w:val="20"/>
          <w:lang w:val="en-US"/>
        </w:rPr>
        <w:t xml:space="preserve"> </w:t>
      </w:r>
      <w:r w:rsidR="00B80594">
        <w:rPr>
          <w:sz w:val="20"/>
          <w:szCs w:val="20"/>
          <w:lang w:val="en-US"/>
        </w:rPr>
        <w:t>t</w:t>
      </w:r>
      <w:r w:rsidRPr="00767730">
        <w:rPr>
          <w:sz w:val="20"/>
          <w:szCs w:val="20"/>
          <w:lang w:val="en-US"/>
        </w:rPr>
        <w:t xml:space="preserve">he terms used to describe the operations carried out by various spells </w:t>
      </w:r>
      <w:r>
        <w:rPr>
          <w:sz w:val="20"/>
          <w:szCs w:val="20"/>
          <w:lang w:val="en-US"/>
        </w:rPr>
        <w:t>are</w:t>
      </w:r>
      <w:r w:rsidRPr="00767730">
        <w:rPr>
          <w:sz w:val="20"/>
          <w:szCs w:val="20"/>
          <w:lang w:val="en-US"/>
        </w:rPr>
        <w:t xml:space="preserve"> then used by the redactors “as sections titles indicating and separating spells in the collections, such as ‘love spells’, ‘spells to gain favour’, ‘spells to gain victory’, ‘request for dream revelation’, ‘spells for protection’, and so forth. Other titles arrange</w:t>
      </w:r>
      <w:r>
        <w:rPr>
          <w:sz w:val="20"/>
          <w:szCs w:val="20"/>
          <w:lang w:val="en-US"/>
        </w:rPr>
        <w:t>d</w:t>
      </w:r>
      <w:r w:rsidRPr="00767730">
        <w:rPr>
          <w:sz w:val="20"/>
          <w:szCs w:val="20"/>
          <w:lang w:val="en-US"/>
        </w:rPr>
        <w:t xml:space="preserve"> spells by imitating the physician’s prescription book, e.g., ‘against scorpion sting’, ‘against running eyes’, ‘against headache’, and so forth”. Another approach is to give them “distinctive names, such as ‘The Sword of Dardanos’…, ‘The Prayer of Jacob’…, ‘The Seal of Solomon’…”.</w:t>
      </w:r>
      <w:r>
        <w:rPr>
          <w:sz w:val="20"/>
          <w:szCs w:val="20"/>
          <w:lang w:val="en-US"/>
        </w:rPr>
        <w:t xml:space="preserve"> </w:t>
      </w:r>
      <w:r w:rsidRPr="00767730">
        <w:rPr>
          <w:sz w:val="20"/>
          <w:szCs w:val="20"/>
          <w:lang w:val="en-US"/>
        </w:rPr>
        <w:t>Moreover, the fact that there are annotation to spells such as ‘tested and approved’ or ‘this really works’ show the attempt to creating a selection, “sifting through the whole mass of magical material available at the time and select the best and most effective spells”</w:t>
      </w:r>
      <w:r>
        <w:rPr>
          <w:sz w:val="20"/>
          <w:szCs w:val="20"/>
          <w:lang w:val="en-US"/>
        </w:rPr>
        <w:t xml:space="preserve">. </w:t>
      </w:r>
      <w:r w:rsidR="00B80594" w:rsidRPr="00767730">
        <w:rPr>
          <w:sz w:val="20"/>
          <w:szCs w:val="20"/>
          <w:lang w:val="en-US"/>
        </w:rPr>
        <w:t xml:space="preserve">Hans Dieter Betz, “The Formation of Authoritative Tradition in the Greek Magical Papyri”, </w:t>
      </w:r>
      <w:r>
        <w:rPr>
          <w:sz w:val="20"/>
          <w:szCs w:val="20"/>
          <w:lang w:val="en-US"/>
        </w:rPr>
        <w:t>p. 169.</w:t>
      </w:r>
    </w:p>
  </w:footnote>
  <w:footnote w:id="165">
    <w:p w14:paraId="37AF0C46" w14:textId="77777777" w:rsidR="00767730" w:rsidRPr="00B1179C" w:rsidRDefault="00767730" w:rsidP="00767730">
      <w:pPr>
        <w:pStyle w:val="FootnoteText"/>
        <w:rPr>
          <w:lang w:val="en-US"/>
        </w:rPr>
      </w:pPr>
      <w:r>
        <w:rPr>
          <w:rStyle w:val="FootnoteReference"/>
        </w:rPr>
        <w:footnoteRef/>
      </w:r>
      <w:r>
        <w:t xml:space="preserve"> </w:t>
      </w:r>
      <w:r w:rsidRPr="00B1179C">
        <w:rPr>
          <w:lang w:val="en-US"/>
        </w:rPr>
        <w:t>Hans Dieter Betz, “Magic and Myster</w:t>
      </w:r>
      <w:r>
        <w:rPr>
          <w:lang w:val="en-US"/>
        </w:rPr>
        <w:t>y in the Greek Magical Papyri”, p. 254.</w:t>
      </w:r>
    </w:p>
  </w:footnote>
  <w:footnote w:id="166">
    <w:p w14:paraId="5176996B" w14:textId="77777777" w:rsidR="00767730" w:rsidRPr="00287784" w:rsidRDefault="00767730" w:rsidP="00767730">
      <w:pPr>
        <w:pStyle w:val="FootnoteText"/>
      </w:pPr>
      <w:r>
        <w:rPr>
          <w:rStyle w:val="FootnoteReference"/>
        </w:rPr>
        <w:footnoteRef/>
      </w:r>
      <w:r>
        <w:t xml:space="preserve"> </w:t>
      </w:r>
      <w:r w:rsidRPr="00E8202C">
        <w:rPr>
          <w:lang w:val="en-US"/>
        </w:rPr>
        <w:t>Hans Dieter Betz</w:t>
      </w:r>
      <w:r w:rsidRPr="00E65E1E">
        <w:rPr>
          <w:lang w:val="en-US"/>
        </w:rPr>
        <w:t>, “</w:t>
      </w:r>
      <w:r w:rsidRPr="00E8202C">
        <w:rPr>
          <w:lang w:val="en-US"/>
        </w:rPr>
        <w:t xml:space="preserve">The </w:t>
      </w:r>
      <w:r w:rsidRPr="00E65E1E">
        <w:rPr>
          <w:lang w:val="en-US"/>
        </w:rPr>
        <w:t>F</w:t>
      </w:r>
      <w:r w:rsidRPr="00E8202C">
        <w:rPr>
          <w:lang w:val="en-US"/>
        </w:rPr>
        <w:t xml:space="preserve">ormation of </w:t>
      </w:r>
      <w:r w:rsidRPr="00E65E1E">
        <w:rPr>
          <w:lang w:val="en-US"/>
        </w:rPr>
        <w:t>A</w:t>
      </w:r>
      <w:r w:rsidRPr="00E8202C">
        <w:rPr>
          <w:lang w:val="en-US"/>
        </w:rPr>
        <w:t xml:space="preserve">uthoritative </w:t>
      </w:r>
      <w:r w:rsidRPr="00E65E1E">
        <w:rPr>
          <w:lang w:val="en-US"/>
        </w:rPr>
        <w:t>T</w:t>
      </w:r>
      <w:r w:rsidRPr="00E8202C">
        <w:rPr>
          <w:lang w:val="en-US"/>
        </w:rPr>
        <w:t xml:space="preserve">radition in the Greek </w:t>
      </w:r>
      <w:r w:rsidRPr="00E65E1E">
        <w:rPr>
          <w:lang w:val="en-US"/>
        </w:rPr>
        <w:t>M</w:t>
      </w:r>
      <w:r w:rsidRPr="00E8202C">
        <w:rPr>
          <w:lang w:val="en-US"/>
        </w:rPr>
        <w:t xml:space="preserve">agical </w:t>
      </w:r>
      <w:r w:rsidRPr="00E65E1E">
        <w:rPr>
          <w:lang w:val="en-US"/>
        </w:rPr>
        <w:t>P</w:t>
      </w:r>
      <w:r w:rsidRPr="00E8202C">
        <w:rPr>
          <w:lang w:val="en-US"/>
        </w:rPr>
        <w:t>apyri</w:t>
      </w:r>
      <w:r w:rsidRPr="00E65E1E">
        <w:rPr>
          <w:lang w:val="en-US"/>
        </w:rPr>
        <w:t>”, p. 16</w:t>
      </w:r>
      <w:r>
        <w:rPr>
          <w:lang w:val="en-US"/>
        </w:rPr>
        <w:t>6</w:t>
      </w:r>
      <w:r w:rsidRPr="00E65E1E">
        <w:rPr>
          <w:lang w:val="en-US"/>
        </w:rPr>
        <w:t>.</w:t>
      </w:r>
    </w:p>
  </w:footnote>
  <w:footnote w:id="167">
    <w:p w14:paraId="798A730D" w14:textId="71FCE29C" w:rsidR="003D0CC0" w:rsidRPr="003D0CC0" w:rsidRDefault="003D0CC0">
      <w:pPr>
        <w:pStyle w:val="FootnoteText"/>
        <w:rPr>
          <w:lang w:val="en-GB"/>
        </w:rPr>
      </w:pPr>
      <w:r>
        <w:rPr>
          <w:rStyle w:val="FootnoteReference"/>
        </w:rPr>
        <w:footnoteRef/>
      </w:r>
      <w:r>
        <w:t xml:space="preserve"> </w:t>
      </w:r>
      <w:r w:rsidRPr="007E716B">
        <w:rPr>
          <w:lang w:val="en-GB"/>
        </w:rPr>
        <w:t xml:space="preserve">Murray Wax and Rosalie Wax, “The Notion of Magic”, </w:t>
      </w:r>
      <w:r>
        <w:rPr>
          <w:lang w:val="en-GB"/>
        </w:rPr>
        <w:t>p. 502.</w:t>
      </w:r>
    </w:p>
  </w:footnote>
  <w:footnote w:id="168">
    <w:p w14:paraId="59B1F630" w14:textId="5E15526A" w:rsidR="007D41C6" w:rsidRPr="007D41C6" w:rsidRDefault="007D41C6">
      <w:pPr>
        <w:pStyle w:val="FootnoteText"/>
      </w:pPr>
      <w:r>
        <w:rPr>
          <w:rStyle w:val="FootnoteReference"/>
        </w:rPr>
        <w:footnoteRef/>
      </w:r>
      <w:r>
        <w:t xml:space="preserve"> </w:t>
      </w:r>
      <w:r w:rsidRPr="007E716B">
        <w:rPr>
          <w:lang w:val="en-GB"/>
        </w:rPr>
        <w:t>Otto, “Towards Historicizing “Magic” in Antiquity”, p. 3</w:t>
      </w:r>
      <w:r>
        <w:rPr>
          <w:lang w:val="en-GB"/>
        </w:rPr>
        <w:t>25.</w:t>
      </w:r>
    </w:p>
  </w:footnote>
  <w:footnote w:id="169">
    <w:p w14:paraId="4F20DFB4" w14:textId="762F0879" w:rsidR="007D41C6" w:rsidRPr="005031CC" w:rsidRDefault="007D41C6">
      <w:pPr>
        <w:pStyle w:val="FootnoteText"/>
        <w:rPr>
          <w:lang w:val="en-GB"/>
        </w:rPr>
      </w:pPr>
      <w:r>
        <w:rPr>
          <w:rStyle w:val="FootnoteReference"/>
        </w:rPr>
        <w:footnoteRef/>
      </w:r>
      <w:r>
        <w:t xml:space="preserve"> </w:t>
      </w:r>
      <w:r w:rsidR="005031CC" w:rsidRPr="007E716B">
        <w:rPr>
          <w:lang w:val="en-GB"/>
        </w:rPr>
        <w:t xml:space="preserve">Murray Wax and Rosalie Wax, “The Notion of Magic”, </w:t>
      </w:r>
      <w:r w:rsidR="005031CC">
        <w:rPr>
          <w:lang w:val="en-GB"/>
        </w:rPr>
        <w:t>p. 495.</w:t>
      </w:r>
    </w:p>
  </w:footnote>
  <w:footnote w:id="170">
    <w:p w14:paraId="0445C6D8" w14:textId="46E6EF37" w:rsidR="00E724B7" w:rsidRPr="00E724B7" w:rsidRDefault="00E724B7">
      <w:pPr>
        <w:pStyle w:val="FootnoteText"/>
      </w:pPr>
      <w:r>
        <w:rPr>
          <w:rStyle w:val="FootnoteReference"/>
        </w:rPr>
        <w:footnoteRef/>
      </w:r>
      <w:r>
        <w:t xml:space="preserve"> </w:t>
      </w:r>
      <w:r w:rsidRPr="00AF18BC">
        <w:rPr>
          <w:lang w:val="en-US"/>
        </w:rPr>
        <w:t>Derek Collins, “Nat</w:t>
      </w:r>
      <w:r>
        <w:rPr>
          <w:lang w:val="en-US"/>
        </w:rPr>
        <w:t>ure, Cause and Agency in Greek Magic”, p. 33.</w:t>
      </w:r>
    </w:p>
  </w:footnote>
  <w:footnote w:id="171">
    <w:p w14:paraId="6D98A673" w14:textId="0922CD04" w:rsidR="00DD4516" w:rsidRPr="00DD4516" w:rsidRDefault="00DD4516">
      <w:pPr>
        <w:pStyle w:val="FootnoteText"/>
      </w:pPr>
      <w:r>
        <w:rPr>
          <w:rStyle w:val="FootnoteReference"/>
        </w:rPr>
        <w:footnoteRef/>
      </w:r>
      <w:r>
        <w:t xml:space="preserve"> </w:t>
      </w:r>
      <w:r w:rsidRPr="00AF18BC">
        <w:rPr>
          <w:lang w:val="en-US"/>
        </w:rPr>
        <w:t>Derek Collins, “Nat</w:t>
      </w:r>
      <w:r>
        <w:rPr>
          <w:lang w:val="en-US"/>
        </w:rPr>
        <w:t>ure, Cause and Agency in Greek Magic”, p. 34.</w:t>
      </w:r>
    </w:p>
  </w:footnote>
  <w:footnote w:id="172">
    <w:p w14:paraId="2D15C6F7" w14:textId="3A5B3AA8" w:rsidR="00DD4516" w:rsidRPr="00DD4516" w:rsidRDefault="00DD4516">
      <w:pPr>
        <w:pStyle w:val="FootnoteText"/>
      </w:pPr>
      <w:r>
        <w:rPr>
          <w:rStyle w:val="FootnoteReference"/>
        </w:rPr>
        <w:footnoteRef/>
      </w:r>
      <w:r>
        <w:t xml:space="preserve"> </w:t>
      </w:r>
      <w:r w:rsidRPr="00AF18BC">
        <w:rPr>
          <w:lang w:val="en-US"/>
        </w:rPr>
        <w:t>Derek Collins, “Nat</w:t>
      </w:r>
      <w:r>
        <w:rPr>
          <w:lang w:val="en-US"/>
        </w:rPr>
        <w:t>ure, Cause and Agency in Greek Magic”, p. 34.</w:t>
      </w:r>
    </w:p>
  </w:footnote>
  <w:footnote w:id="173">
    <w:p w14:paraId="48C6CCF8" w14:textId="034F696B" w:rsidR="00DD4516" w:rsidRPr="00DD4516" w:rsidRDefault="00DD4516">
      <w:pPr>
        <w:pStyle w:val="FootnoteText"/>
      </w:pPr>
      <w:r>
        <w:rPr>
          <w:rStyle w:val="FootnoteReference"/>
        </w:rPr>
        <w:footnoteRef/>
      </w:r>
      <w:r>
        <w:t xml:space="preserve"> </w:t>
      </w:r>
      <w:r w:rsidRPr="00AF18BC">
        <w:rPr>
          <w:lang w:val="en-US"/>
        </w:rPr>
        <w:t>Derek Collins, “Nat</w:t>
      </w:r>
      <w:r>
        <w:rPr>
          <w:lang w:val="en-US"/>
        </w:rPr>
        <w:t>ure, Cause and Agency in Greek Magic”, p. 35.</w:t>
      </w:r>
    </w:p>
  </w:footnote>
  <w:footnote w:id="174">
    <w:p w14:paraId="6C15EC91" w14:textId="20A4B1AD" w:rsidR="007D41C6" w:rsidRPr="007D41C6" w:rsidRDefault="007D41C6">
      <w:pPr>
        <w:pStyle w:val="FootnoteText"/>
      </w:pPr>
      <w:r>
        <w:rPr>
          <w:rStyle w:val="FootnoteReference"/>
        </w:rPr>
        <w:footnoteRef/>
      </w:r>
      <w:r>
        <w:t xml:space="preserve"> </w:t>
      </w:r>
      <w:r w:rsidRPr="00AF18BC">
        <w:rPr>
          <w:lang w:val="en-US"/>
        </w:rPr>
        <w:t>Derek Collins, “Nat</w:t>
      </w:r>
      <w:r>
        <w:rPr>
          <w:lang w:val="en-US"/>
        </w:rPr>
        <w:t>ure, Cause and Agency in Greek Magic”, p. 27.</w:t>
      </w:r>
    </w:p>
  </w:footnote>
  <w:footnote w:id="175">
    <w:p w14:paraId="4729AE97" w14:textId="1BDBB669" w:rsidR="005479A4" w:rsidRPr="005479A4" w:rsidRDefault="005479A4">
      <w:pPr>
        <w:pStyle w:val="FootnoteText"/>
      </w:pPr>
      <w:r>
        <w:rPr>
          <w:rStyle w:val="FootnoteReference"/>
        </w:rPr>
        <w:footnoteRef/>
      </w:r>
      <w:r>
        <w:t xml:space="preserve"> </w:t>
      </w:r>
      <w:r w:rsidRPr="007E716B">
        <w:rPr>
          <w:lang w:val="en-GB"/>
        </w:rPr>
        <w:t xml:space="preserve">Addey, </w:t>
      </w:r>
      <w:r w:rsidRPr="007E716B">
        <w:rPr>
          <w:i/>
          <w:iCs/>
          <w:lang w:val="en-GB"/>
        </w:rPr>
        <w:t>Divination and Theurgy in Neoplatonism,</w:t>
      </w:r>
      <w:r w:rsidRPr="007E716B">
        <w:rPr>
          <w:lang w:val="en-GB"/>
        </w:rPr>
        <w:t xml:space="preserve"> p. </w:t>
      </w:r>
      <w:r>
        <w:rPr>
          <w:lang w:val="en-GB"/>
        </w:rPr>
        <w:t>264</w:t>
      </w:r>
      <w:r w:rsidRPr="007E716B">
        <w:rPr>
          <w:lang w:val="en-GB"/>
        </w:rPr>
        <w:t>.</w:t>
      </w:r>
    </w:p>
  </w:footnote>
  <w:footnote w:id="176">
    <w:p w14:paraId="35AEC59C" w14:textId="336E2C79" w:rsidR="007D41C6" w:rsidRPr="007D41C6" w:rsidRDefault="007D41C6">
      <w:pPr>
        <w:pStyle w:val="FootnoteText"/>
      </w:pPr>
      <w:r>
        <w:rPr>
          <w:rStyle w:val="FootnoteReference"/>
        </w:rPr>
        <w:footnoteRef/>
      </w:r>
      <w:r>
        <w:t xml:space="preserve"> </w:t>
      </w:r>
      <w:r w:rsidRPr="007E716B">
        <w:rPr>
          <w:lang w:val="en-GB"/>
        </w:rPr>
        <w:t xml:space="preserve">Iamblichus, </w:t>
      </w:r>
      <w:r w:rsidRPr="007E716B">
        <w:rPr>
          <w:i/>
          <w:iCs/>
          <w:lang w:val="en-GB"/>
        </w:rPr>
        <w:t>De Mysteriis</w:t>
      </w:r>
      <w:r w:rsidRPr="007E716B">
        <w:rPr>
          <w:lang w:val="en-GB"/>
        </w:rPr>
        <w:t xml:space="preserve">, </w:t>
      </w:r>
      <w:r w:rsidR="00D2663A">
        <w:rPr>
          <w:lang w:val="en-GB"/>
        </w:rPr>
        <w:t>III</w:t>
      </w:r>
      <w:r w:rsidRPr="007D41C6">
        <w:rPr>
          <w:lang w:val="en-GB"/>
        </w:rPr>
        <w:t>.28-30</w:t>
      </w:r>
      <w:r w:rsidRPr="007E716B">
        <w:rPr>
          <w:lang w:val="en-GB"/>
        </w:rPr>
        <w:t xml:space="preserve">, </w:t>
      </w:r>
      <w:r w:rsidRPr="007E716B">
        <w:rPr>
          <w:lang w:val="en-GB"/>
        </w:rPr>
        <w:t>p</w:t>
      </w:r>
      <w:r w:rsidR="00A3422B">
        <w:rPr>
          <w:lang w:val="en-GB"/>
        </w:rPr>
        <w:t>p</w:t>
      </w:r>
      <w:r w:rsidRPr="007E716B">
        <w:rPr>
          <w:lang w:val="en-GB"/>
        </w:rPr>
        <w:t xml:space="preserve">. </w:t>
      </w:r>
      <w:r>
        <w:rPr>
          <w:lang w:val="en-GB"/>
        </w:rPr>
        <w:t>18</w:t>
      </w:r>
      <w:r w:rsidR="00D2663A">
        <w:rPr>
          <w:lang w:val="en-GB"/>
        </w:rPr>
        <w:t>8</w:t>
      </w:r>
      <w:r>
        <w:rPr>
          <w:lang w:val="en-GB"/>
        </w:rPr>
        <w:t>-19</w:t>
      </w:r>
      <w:r w:rsidR="00D2663A">
        <w:rPr>
          <w:lang w:val="en-GB"/>
        </w:rPr>
        <w:t>4</w:t>
      </w:r>
      <w:r w:rsidRPr="007E716B">
        <w:rPr>
          <w:lang w:val="en-GB"/>
        </w:rPr>
        <w:t>.</w:t>
      </w:r>
    </w:p>
  </w:footnote>
  <w:footnote w:id="177">
    <w:p w14:paraId="7A10914C" w14:textId="256D6175" w:rsidR="00B55B27" w:rsidRPr="005E020D" w:rsidRDefault="00B55B27" w:rsidP="00B55B27">
      <w:pPr>
        <w:pStyle w:val="FootnoteText"/>
        <w:rPr>
          <w:lang w:val="en-US"/>
        </w:rPr>
      </w:pPr>
      <w:r>
        <w:rPr>
          <w:rStyle w:val="FootnoteReference"/>
        </w:rPr>
        <w:footnoteRef/>
      </w:r>
      <w:r>
        <w:t xml:space="preserve"> </w:t>
      </w:r>
      <w:r w:rsidRPr="005E020D">
        <w:rPr>
          <w:lang w:val="en-US"/>
        </w:rPr>
        <w:t xml:space="preserve">Christian Meier, </w:t>
      </w:r>
      <w:r w:rsidRPr="00DB6AA8">
        <w:rPr>
          <w:i/>
          <w:iCs/>
          <w:lang w:val="en-US"/>
        </w:rPr>
        <w:t xml:space="preserve">From Athens to Auschwitz. The </w:t>
      </w:r>
      <w:r w:rsidR="00DB6AA8" w:rsidRPr="00DB6AA8">
        <w:rPr>
          <w:i/>
          <w:iCs/>
          <w:lang w:val="en-US"/>
        </w:rPr>
        <w:t>U</w:t>
      </w:r>
      <w:r w:rsidRPr="00DB6AA8">
        <w:rPr>
          <w:i/>
          <w:iCs/>
          <w:lang w:val="en-US"/>
        </w:rPr>
        <w:t xml:space="preserve">ses of </w:t>
      </w:r>
      <w:r w:rsidR="00DB6AA8" w:rsidRPr="00DB6AA8">
        <w:rPr>
          <w:i/>
          <w:iCs/>
          <w:lang w:val="en-US"/>
        </w:rPr>
        <w:t>H</w:t>
      </w:r>
      <w:r w:rsidRPr="00DB6AA8">
        <w:rPr>
          <w:i/>
          <w:iCs/>
          <w:lang w:val="en-US"/>
        </w:rPr>
        <w:t>istory</w:t>
      </w:r>
      <w:r>
        <w:rPr>
          <w:lang w:val="en-US"/>
        </w:rPr>
        <w:t>, (Cambridge, MA: Oxford University Press, 2005), p. 41.</w:t>
      </w:r>
    </w:p>
  </w:footnote>
  <w:footnote w:id="178">
    <w:p w14:paraId="456D7FC5" w14:textId="3E135A40" w:rsidR="0077417D" w:rsidRPr="0077417D" w:rsidRDefault="0077417D">
      <w:pPr>
        <w:pStyle w:val="FootnoteText"/>
        <w:rPr>
          <w:lang w:val="en-US"/>
        </w:rPr>
      </w:pPr>
      <w:r>
        <w:rPr>
          <w:rStyle w:val="FootnoteReference"/>
        </w:rPr>
        <w:footnoteRef/>
      </w:r>
      <w:r>
        <w:t xml:space="preserve"> </w:t>
      </w:r>
      <w:r w:rsidRPr="00781F7A">
        <w:rPr>
          <w:lang w:val="en-US"/>
        </w:rPr>
        <w:t xml:space="preserve">Martha Himmelfarb, </w:t>
      </w:r>
      <w:r w:rsidRPr="003716EC">
        <w:rPr>
          <w:lang w:val="en-US"/>
        </w:rPr>
        <w:t>“Panel Discussion: ‘Magic</w:t>
      </w:r>
      <w:r>
        <w:rPr>
          <w:lang w:val="en-US"/>
        </w:rPr>
        <w:t xml:space="preserve"> in the Ancient World’ by Fritz Graf”, p. 300.</w:t>
      </w:r>
    </w:p>
  </w:footnote>
  <w:footnote w:id="179">
    <w:p w14:paraId="5D0B34E7" w14:textId="7855DF05" w:rsidR="00220BC1" w:rsidRPr="00220BC1" w:rsidRDefault="00220BC1">
      <w:pPr>
        <w:pStyle w:val="FootnoteText"/>
        <w:rPr>
          <w:lang w:val="en-GB"/>
        </w:rPr>
      </w:pPr>
      <w:r>
        <w:rPr>
          <w:rStyle w:val="FootnoteReference"/>
        </w:rPr>
        <w:footnoteRef/>
      </w:r>
      <w:r>
        <w:t xml:space="preserve"> </w:t>
      </w:r>
      <w:r w:rsidRPr="007E716B">
        <w:rPr>
          <w:lang w:val="en-GB"/>
        </w:rPr>
        <w:t>U</w:t>
      </w:r>
      <w:r w:rsidRPr="007E716B">
        <w:rPr>
          <w:rFonts w:ascii="Calibri" w:hAnsi="Calibri" w:cs="Calibri"/>
          <w:lang w:val="en-GB"/>
        </w:rPr>
        <w:t xml:space="preserve">ždavinys, </w:t>
      </w:r>
      <w:r w:rsidRPr="007E716B">
        <w:rPr>
          <w:rFonts w:ascii="Calibri" w:hAnsi="Calibri" w:cs="Calibri"/>
          <w:i/>
          <w:iCs/>
          <w:lang w:val="en-GB"/>
        </w:rPr>
        <w:t>Philosophy &amp; Theurgy in Late Antiquity</w:t>
      </w:r>
      <w:r w:rsidRPr="007E716B">
        <w:rPr>
          <w:rFonts w:ascii="Calibri" w:hAnsi="Calibri" w:cs="Calibri"/>
          <w:lang w:val="en-GB"/>
        </w:rPr>
        <w:t>, p. 10.</w:t>
      </w:r>
    </w:p>
  </w:footnote>
  <w:footnote w:id="180">
    <w:p w14:paraId="67CDF8BB" w14:textId="4334E15D" w:rsidR="00F14CD0" w:rsidRPr="00F14CD0" w:rsidRDefault="00F14CD0">
      <w:pPr>
        <w:pStyle w:val="FootnoteText"/>
      </w:pPr>
      <w:r>
        <w:rPr>
          <w:rStyle w:val="FootnoteReference"/>
        </w:rPr>
        <w:footnoteRef/>
      </w:r>
      <w:r>
        <w:t xml:space="preserve"> </w:t>
      </w:r>
      <w:r>
        <w:rPr>
          <w:lang w:val="en-GB"/>
        </w:rPr>
        <w:t xml:space="preserve">Suzanne Marchand, “What did the Greek owe to the Orient? The question we can’t stop asking (even though we can’t answer it)”, </w:t>
      </w:r>
      <w:r w:rsidRPr="00910FD8">
        <w:rPr>
          <w:i/>
          <w:iCs/>
          <w:lang w:val="en-GB"/>
        </w:rPr>
        <w:t>Archaeological Dialogues</w:t>
      </w:r>
      <w:r>
        <w:rPr>
          <w:lang w:val="en-GB"/>
        </w:rPr>
        <w:t>, vol. 17 (1), (Cambridge University Press, 2010), pp. 117 – 140.</w:t>
      </w:r>
    </w:p>
  </w:footnote>
  <w:footnote w:id="181">
    <w:p w14:paraId="7288F56D" w14:textId="1B55E1D6" w:rsidR="00220BC1" w:rsidRPr="00220BC1" w:rsidRDefault="00220BC1">
      <w:pPr>
        <w:pStyle w:val="FootnoteText"/>
      </w:pPr>
      <w:r>
        <w:rPr>
          <w:rStyle w:val="FootnoteReference"/>
        </w:rPr>
        <w:footnoteRef/>
      </w:r>
      <w:r>
        <w:t xml:space="preserve"> </w:t>
      </w:r>
      <w:r w:rsidRPr="004B7507">
        <w:rPr>
          <w:lang w:val="en-US"/>
        </w:rPr>
        <w:t>Dorothy Hammond, “</w:t>
      </w:r>
      <w:r>
        <w:rPr>
          <w:lang w:val="en-US"/>
        </w:rPr>
        <w:t>Magic: A Problem in Semantics, p.1354.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C25D8"/>
    <w:multiLevelType w:val="hybridMultilevel"/>
    <w:tmpl w:val="566E2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7B5FEF"/>
    <w:multiLevelType w:val="hybridMultilevel"/>
    <w:tmpl w:val="D1E28260"/>
    <w:lvl w:ilvl="0" w:tplc="336C345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E0551"/>
    <w:multiLevelType w:val="hybridMultilevel"/>
    <w:tmpl w:val="09521158"/>
    <w:lvl w:ilvl="0" w:tplc="45621C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96045A"/>
    <w:multiLevelType w:val="multilevel"/>
    <w:tmpl w:val="51348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98035F"/>
    <w:multiLevelType w:val="hybridMultilevel"/>
    <w:tmpl w:val="582044BE"/>
    <w:lvl w:ilvl="0" w:tplc="61DEDA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2535E7"/>
    <w:multiLevelType w:val="hybridMultilevel"/>
    <w:tmpl w:val="7AA8F6DC"/>
    <w:lvl w:ilvl="0" w:tplc="508C86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486"/>
    <w:rsid w:val="0000425B"/>
    <w:rsid w:val="00004E40"/>
    <w:rsid w:val="00013208"/>
    <w:rsid w:val="00015F8C"/>
    <w:rsid w:val="00016106"/>
    <w:rsid w:val="00020D1D"/>
    <w:rsid w:val="0002178E"/>
    <w:rsid w:val="000235BD"/>
    <w:rsid w:val="0002379D"/>
    <w:rsid w:val="00025486"/>
    <w:rsid w:val="00042FFB"/>
    <w:rsid w:val="00045A5A"/>
    <w:rsid w:val="00045AC8"/>
    <w:rsid w:val="00046DB5"/>
    <w:rsid w:val="000564AD"/>
    <w:rsid w:val="00061870"/>
    <w:rsid w:val="000626C3"/>
    <w:rsid w:val="000632E5"/>
    <w:rsid w:val="00085DBF"/>
    <w:rsid w:val="00090616"/>
    <w:rsid w:val="000912ED"/>
    <w:rsid w:val="000A1B88"/>
    <w:rsid w:val="000B57C1"/>
    <w:rsid w:val="000C03BF"/>
    <w:rsid w:val="000C446F"/>
    <w:rsid w:val="000C4830"/>
    <w:rsid w:val="000C73BE"/>
    <w:rsid w:val="000E13D0"/>
    <w:rsid w:val="000E5964"/>
    <w:rsid w:val="000E5B79"/>
    <w:rsid w:val="000F4912"/>
    <w:rsid w:val="000F585B"/>
    <w:rsid w:val="000F7F4C"/>
    <w:rsid w:val="0010037F"/>
    <w:rsid w:val="00101246"/>
    <w:rsid w:val="00102927"/>
    <w:rsid w:val="00102958"/>
    <w:rsid w:val="001053E9"/>
    <w:rsid w:val="00105E17"/>
    <w:rsid w:val="00106410"/>
    <w:rsid w:val="0012035E"/>
    <w:rsid w:val="00122A91"/>
    <w:rsid w:val="001313DC"/>
    <w:rsid w:val="00131CAA"/>
    <w:rsid w:val="001360F7"/>
    <w:rsid w:val="00136355"/>
    <w:rsid w:val="001425E7"/>
    <w:rsid w:val="00143355"/>
    <w:rsid w:val="00143887"/>
    <w:rsid w:val="001463F3"/>
    <w:rsid w:val="00151BEC"/>
    <w:rsid w:val="00152F13"/>
    <w:rsid w:val="00161EF1"/>
    <w:rsid w:val="00180BE2"/>
    <w:rsid w:val="00183FCF"/>
    <w:rsid w:val="0018445B"/>
    <w:rsid w:val="00186D49"/>
    <w:rsid w:val="00191088"/>
    <w:rsid w:val="00193E62"/>
    <w:rsid w:val="001A21FD"/>
    <w:rsid w:val="001A337D"/>
    <w:rsid w:val="001A7DFF"/>
    <w:rsid w:val="001B6CFD"/>
    <w:rsid w:val="001C1A52"/>
    <w:rsid w:val="001C7741"/>
    <w:rsid w:val="001D30A1"/>
    <w:rsid w:val="001D4BE7"/>
    <w:rsid w:val="001D4EAF"/>
    <w:rsid w:val="001D6279"/>
    <w:rsid w:val="001D7192"/>
    <w:rsid w:val="001E0049"/>
    <w:rsid w:val="001E44A3"/>
    <w:rsid w:val="001E50F3"/>
    <w:rsid w:val="001E7BDC"/>
    <w:rsid w:val="001F116F"/>
    <w:rsid w:val="001F5474"/>
    <w:rsid w:val="001F5D7C"/>
    <w:rsid w:val="001F69C4"/>
    <w:rsid w:val="001F7015"/>
    <w:rsid w:val="0020228D"/>
    <w:rsid w:val="0020720D"/>
    <w:rsid w:val="002113B0"/>
    <w:rsid w:val="00220BC1"/>
    <w:rsid w:val="002236A1"/>
    <w:rsid w:val="002252BB"/>
    <w:rsid w:val="002271AE"/>
    <w:rsid w:val="00231BD5"/>
    <w:rsid w:val="00232369"/>
    <w:rsid w:val="00235463"/>
    <w:rsid w:val="00244DF8"/>
    <w:rsid w:val="00262259"/>
    <w:rsid w:val="002638A0"/>
    <w:rsid w:val="00266C25"/>
    <w:rsid w:val="002701C5"/>
    <w:rsid w:val="002723B4"/>
    <w:rsid w:val="002749E8"/>
    <w:rsid w:val="0027772A"/>
    <w:rsid w:val="002823EA"/>
    <w:rsid w:val="00297CB3"/>
    <w:rsid w:val="002A2A27"/>
    <w:rsid w:val="002A5729"/>
    <w:rsid w:val="002B5326"/>
    <w:rsid w:val="002B6837"/>
    <w:rsid w:val="002B7E76"/>
    <w:rsid w:val="002C5FDB"/>
    <w:rsid w:val="002D36BE"/>
    <w:rsid w:val="002D4D0C"/>
    <w:rsid w:val="002D583F"/>
    <w:rsid w:val="002D778C"/>
    <w:rsid w:val="002F2CC7"/>
    <w:rsid w:val="002F5624"/>
    <w:rsid w:val="00300EDE"/>
    <w:rsid w:val="003012AF"/>
    <w:rsid w:val="0030557A"/>
    <w:rsid w:val="003057FA"/>
    <w:rsid w:val="00305A45"/>
    <w:rsid w:val="00305B2D"/>
    <w:rsid w:val="00306FCE"/>
    <w:rsid w:val="00307594"/>
    <w:rsid w:val="0031294B"/>
    <w:rsid w:val="00314564"/>
    <w:rsid w:val="00314A47"/>
    <w:rsid w:val="00315D28"/>
    <w:rsid w:val="00322767"/>
    <w:rsid w:val="003267BE"/>
    <w:rsid w:val="003350CB"/>
    <w:rsid w:val="003408B8"/>
    <w:rsid w:val="00343F43"/>
    <w:rsid w:val="003631F6"/>
    <w:rsid w:val="0036473D"/>
    <w:rsid w:val="003650C7"/>
    <w:rsid w:val="00372E98"/>
    <w:rsid w:val="003741FF"/>
    <w:rsid w:val="00377C91"/>
    <w:rsid w:val="00380235"/>
    <w:rsid w:val="00382C5E"/>
    <w:rsid w:val="0038660E"/>
    <w:rsid w:val="00386EE4"/>
    <w:rsid w:val="00390A44"/>
    <w:rsid w:val="00391516"/>
    <w:rsid w:val="00391C3A"/>
    <w:rsid w:val="00395245"/>
    <w:rsid w:val="00395C75"/>
    <w:rsid w:val="00395E84"/>
    <w:rsid w:val="003A23C9"/>
    <w:rsid w:val="003A3978"/>
    <w:rsid w:val="003A3C25"/>
    <w:rsid w:val="003A50A9"/>
    <w:rsid w:val="003B5E2C"/>
    <w:rsid w:val="003B75EE"/>
    <w:rsid w:val="003B7B71"/>
    <w:rsid w:val="003C018E"/>
    <w:rsid w:val="003C02D7"/>
    <w:rsid w:val="003C3468"/>
    <w:rsid w:val="003C3975"/>
    <w:rsid w:val="003C7379"/>
    <w:rsid w:val="003D06BA"/>
    <w:rsid w:val="003D0CC0"/>
    <w:rsid w:val="003D5C6F"/>
    <w:rsid w:val="003E69D0"/>
    <w:rsid w:val="003F159C"/>
    <w:rsid w:val="003F3614"/>
    <w:rsid w:val="003F3DB4"/>
    <w:rsid w:val="003F6471"/>
    <w:rsid w:val="0040403E"/>
    <w:rsid w:val="00406486"/>
    <w:rsid w:val="00407B94"/>
    <w:rsid w:val="00412F2A"/>
    <w:rsid w:val="00420C38"/>
    <w:rsid w:val="0043061B"/>
    <w:rsid w:val="00431A3B"/>
    <w:rsid w:val="00431A5E"/>
    <w:rsid w:val="00432CF8"/>
    <w:rsid w:val="004342A1"/>
    <w:rsid w:val="00443124"/>
    <w:rsid w:val="00450454"/>
    <w:rsid w:val="0046069D"/>
    <w:rsid w:val="00464263"/>
    <w:rsid w:val="004717E9"/>
    <w:rsid w:val="00476486"/>
    <w:rsid w:val="00487847"/>
    <w:rsid w:val="00490418"/>
    <w:rsid w:val="004962EA"/>
    <w:rsid w:val="004A15A3"/>
    <w:rsid w:val="004A3022"/>
    <w:rsid w:val="004B0C40"/>
    <w:rsid w:val="004B14D0"/>
    <w:rsid w:val="004B7507"/>
    <w:rsid w:val="004C12F2"/>
    <w:rsid w:val="004C1E35"/>
    <w:rsid w:val="004C48E3"/>
    <w:rsid w:val="004C6EA6"/>
    <w:rsid w:val="004C7364"/>
    <w:rsid w:val="004C7A66"/>
    <w:rsid w:val="004D0169"/>
    <w:rsid w:val="004D1EFB"/>
    <w:rsid w:val="004D3A2C"/>
    <w:rsid w:val="004D7FA5"/>
    <w:rsid w:val="004E2048"/>
    <w:rsid w:val="004E33E8"/>
    <w:rsid w:val="004F4A3D"/>
    <w:rsid w:val="004F7706"/>
    <w:rsid w:val="005031CC"/>
    <w:rsid w:val="00503B5E"/>
    <w:rsid w:val="00506077"/>
    <w:rsid w:val="0050684A"/>
    <w:rsid w:val="0051646B"/>
    <w:rsid w:val="005214C8"/>
    <w:rsid w:val="00527812"/>
    <w:rsid w:val="0053036B"/>
    <w:rsid w:val="00531A14"/>
    <w:rsid w:val="005362B4"/>
    <w:rsid w:val="005441EB"/>
    <w:rsid w:val="0054664C"/>
    <w:rsid w:val="005479A4"/>
    <w:rsid w:val="00550339"/>
    <w:rsid w:val="005518EE"/>
    <w:rsid w:val="00551922"/>
    <w:rsid w:val="00553517"/>
    <w:rsid w:val="00553E30"/>
    <w:rsid w:val="005562D3"/>
    <w:rsid w:val="00565FD5"/>
    <w:rsid w:val="005662B8"/>
    <w:rsid w:val="00566A84"/>
    <w:rsid w:val="005763DE"/>
    <w:rsid w:val="005822FA"/>
    <w:rsid w:val="0058466D"/>
    <w:rsid w:val="005920C4"/>
    <w:rsid w:val="00592D95"/>
    <w:rsid w:val="005953FB"/>
    <w:rsid w:val="00596DA3"/>
    <w:rsid w:val="005A26A5"/>
    <w:rsid w:val="005A4F9C"/>
    <w:rsid w:val="005A7CEE"/>
    <w:rsid w:val="005B26EC"/>
    <w:rsid w:val="005B4425"/>
    <w:rsid w:val="005B73DC"/>
    <w:rsid w:val="005C259A"/>
    <w:rsid w:val="005C4849"/>
    <w:rsid w:val="005D4F3D"/>
    <w:rsid w:val="005E020D"/>
    <w:rsid w:val="005E643B"/>
    <w:rsid w:val="005F7922"/>
    <w:rsid w:val="00601F6B"/>
    <w:rsid w:val="0060366D"/>
    <w:rsid w:val="00614BEA"/>
    <w:rsid w:val="00621437"/>
    <w:rsid w:val="006354CF"/>
    <w:rsid w:val="00636719"/>
    <w:rsid w:val="00640C9E"/>
    <w:rsid w:val="0064558A"/>
    <w:rsid w:val="006464BA"/>
    <w:rsid w:val="00646C30"/>
    <w:rsid w:val="0065003C"/>
    <w:rsid w:val="00652B55"/>
    <w:rsid w:val="00656423"/>
    <w:rsid w:val="0066287D"/>
    <w:rsid w:val="00666D54"/>
    <w:rsid w:val="006740FC"/>
    <w:rsid w:val="00677BBF"/>
    <w:rsid w:val="00680776"/>
    <w:rsid w:val="00681CB4"/>
    <w:rsid w:val="00684288"/>
    <w:rsid w:val="00684917"/>
    <w:rsid w:val="00692D5F"/>
    <w:rsid w:val="006A23BA"/>
    <w:rsid w:val="006A263E"/>
    <w:rsid w:val="006A4B1B"/>
    <w:rsid w:val="006C12B9"/>
    <w:rsid w:val="006C1BBA"/>
    <w:rsid w:val="006C39A2"/>
    <w:rsid w:val="006C58A5"/>
    <w:rsid w:val="006D7879"/>
    <w:rsid w:val="006D7A33"/>
    <w:rsid w:val="006E71BE"/>
    <w:rsid w:val="006F3578"/>
    <w:rsid w:val="00703D0E"/>
    <w:rsid w:val="00704FD6"/>
    <w:rsid w:val="00705D38"/>
    <w:rsid w:val="00710ADE"/>
    <w:rsid w:val="00726ABD"/>
    <w:rsid w:val="007276DB"/>
    <w:rsid w:val="00731C75"/>
    <w:rsid w:val="00733100"/>
    <w:rsid w:val="007401A4"/>
    <w:rsid w:val="00742D80"/>
    <w:rsid w:val="00746F2C"/>
    <w:rsid w:val="0075563F"/>
    <w:rsid w:val="0076130B"/>
    <w:rsid w:val="00764CF4"/>
    <w:rsid w:val="00765B29"/>
    <w:rsid w:val="00765E70"/>
    <w:rsid w:val="00767730"/>
    <w:rsid w:val="00767B53"/>
    <w:rsid w:val="00770A74"/>
    <w:rsid w:val="00772B9D"/>
    <w:rsid w:val="0077306B"/>
    <w:rsid w:val="007734A7"/>
    <w:rsid w:val="0077417D"/>
    <w:rsid w:val="00780DC4"/>
    <w:rsid w:val="007819A9"/>
    <w:rsid w:val="0078218E"/>
    <w:rsid w:val="007841C4"/>
    <w:rsid w:val="007844A8"/>
    <w:rsid w:val="0079350A"/>
    <w:rsid w:val="0079379E"/>
    <w:rsid w:val="007A0CEF"/>
    <w:rsid w:val="007A5968"/>
    <w:rsid w:val="007A7BBD"/>
    <w:rsid w:val="007B025C"/>
    <w:rsid w:val="007B116B"/>
    <w:rsid w:val="007B47AE"/>
    <w:rsid w:val="007B7957"/>
    <w:rsid w:val="007B7B03"/>
    <w:rsid w:val="007D41C6"/>
    <w:rsid w:val="007E651B"/>
    <w:rsid w:val="007E716B"/>
    <w:rsid w:val="007E7B47"/>
    <w:rsid w:val="007F30D2"/>
    <w:rsid w:val="00800E13"/>
    <w:rsid w:val="00801197"/>
    <w:rsid w:val="008054A7"/>
    <w:rsid w:val="00810615"/>
    <w:rsid w:val="00813051"/>
    <w:rsid w:val="008238C1"/>
    <w:rsid w:val="00823F43"/>
    <w:rsid w:val="00826058"/>
    <w:rsid w:val="00827B0F"/>
    <w:rsid w:val="00830EB1"/>
    <w:rsid w:val="00833494"/>
    <w:rsid w:val="00834F94"/>
    <w:rsid w:val="0084120B"/>
    <w:rsid w:val="008430A0"/>
    <w:rsid w:val="008434F8"/>
    <w:rsid w:val="00843980"/>
    <w:rsid w:val="00844DFB"/>
    <w:rsid w:val="008506D4"/>
    <w:rsid w:val="008522FE"/>
    <w:rsid w:val="0085752D"/>
    <w:rsid w:val="00860706"/>
    <w:rsid w:val="00864390"/>
    <w:rsid w:val="00865B4D"/>
    <w:rsid w:val="00865C3B"/>
    <w:rsid w:val="00870277"/>
    <w:rsid w:val="00871635"/>
    <w:rsid w:val="00871841"/>
    <w:rsid w:val="0087602E"/>
    <w:rsid w:val="008804B1"/>
    <w:rsid w:val="0088140E"/>
    <w:rsid w:val="0088168C"/>
    <w:rsid w:val="00885F20"/>
    <w:rsid w:val="00886981"/>
    <w:rsid w:val="00887C0E"/>
    <w:rsid w:val="00887F2D"/>
    <w:rsid w:val="0089062D"/>
    <w:rsid w:val="00891332"/>
    <w:rsid w:val="00893C7A"/>
    <w:rsid w:val="008949CD"/>
    <w:rsid w:val="00896DC4"/>
    <w:rsid w:val="008A4782"/>
    <w:rsid w:val="008A783B"/>
    <w:rsid w:val="008B4568"/>
    <w:rsid w:val="008B6B94"/>
    <w:rsid w:val="008B6D03"/>
    <w:rsid w:val="008B7FD3"/>
    <w:rsid w:val="008D0A37"/>
    <w:rsid w:val="008D5394"/>
    <w:rsid w:val="008D6476"/>
    <w:rsid w:val="008E554D"/>
    <w:rsid w:val="008F17FC"/>
    <w:rsid w:val="008F249C"/>
    <w:rsid w:val="00903F58"/>
    <w:rsid w:val="00910FD8"/>
    <w:rsid w:val="0091120F"/>
    <w:rsid w:val="00913718"/>
    <w:rsid w:val="00915E2E"/>
    <w:rsid w:val="0092120C"/>
    <w:rsid w:val="0092177D"/>
    <w:rsid w:val="00922DDC"/>
    <w:rsid w:val="00925C9B"/>
    <w:rsid w:val="00931036"/>
    <w:rsid w:val="00932BE4"/>
    <w:rsid w:val="009479BB"/>
    <w:rsid w:val="00963CA2"/>
    <w:rsid w:val="009657F8"/>
    <w:rsid w:val="00970D21"/>
    <w:rsid w:val="009721C5"/>
    <w:rsid w:val="009806B1"/>
    <w:rsid w:val="00982360"/>
    <w:rsid w:val="009951B7"/>
    <w:rsid w:val="00996C79"/>
    <w:rsid w:val="00997596"/>
    <w:rsid w:val="009A0A9B"/>
    <w:rsid w:val="009A12DA"/>
    <w:rsid w:val="009A1607"/>
    <w:rsid w:val="009B40F6"/>
    <w:rsid w:val="009B4B1A"/>
    <w:rsid w:val="009B50A1"/>
    <w:rsid w:val="009C0C14"/>
    <w:rsid w:val="009C46D7"/>
    <w:rsid w:val="009C52EF"/>
    <w:rsid w:val="009C5E0A"/>
    <w:rsid w:val="009C7455"/>
    <w:rsid w:val="009D5DCE"/>
    <w:rsid w:val="009D6562"/>
    <w:rsid w:val="009E57B6"/>
    <w:rsid w:val="009E648A"/>
    <w:rsid w:val="009F12DC"/>
    <w:rsid w:val="009F2668"/>
    <w:rsid w:val="00A1170A"/>
    <w:rsid w:val="00A1396D"/>
    <w:rsid w:val="00A140B3"/>
    <w:rsid w:val="00A20134"/>
    <w:rsid w:val="00A20757"/>
    <w:rsid w:val="00A22503"/>
    <w:rsid w:val="00A30E4B"/>
    <w:rsid w:val="00A3422B"/>
    <w:rsid w:val="00A373ED"/>
    <w:rsid w:val="00A377B7"/>
    <w:rsid w:val="00A40E12"/>
    <w:rsid w:val="00A44887"/>
    <w:rsid w:val="00A503BE"/>
    <w:rsid w:val="00A55CEE"/>
    <w:rsid w:val="00A64413"/>
    <w:rsid w:val="00A73B1A"/>
    <w:rsid w:val="00A73B38"/>
    <w:rsid w:val="00A7636F"/>
    <w:rsid w:val="00A80D74"/>
    <w:rsid w:val="00A82302"/>
    <w:rsid w:val="00A83455"/>
    <w:rsid w:val="00A85A20"/>
    <w:rsid w:val="00A969AE"/>
    <w:rsid w:val="00AA45D7"/>
    <w:rsid w:val="00AA5857"/>
    <w:rsid w:val="00AA5D16"/>
    <w:rsid w:val="00AB109E"/>
    <w:rsid w:val="00AB79EB"/>
    <w:rsid w:val="00AB7A4C"/>
    <w:rsid w:val="00AC49AE"/>
    <w:rsid w:val="00AD0A7E"/>
    <w:rsid w:val="00AD564B"/>
    <w:rsid w:val="00AE03F3"/>
    <w:rsid w:val="00AE4A34"/>
    <w:rsid w:val="00AE513D"/>
    <w:rsid w:val="00AF0481"/>
    <w:rsid w:val="00AF11E9"/>
    <w:rsid w:val="00AF18BC"/>
    <w:rsid w:val="00B049DA"/>
    <w:rsid w:val="00B05D14"/>
    <w:rsid w:val="00B1067B"/>
    <w:rsid w:val="00B17545"/>
    <w:rsid w:val="00B55B27"/>
    <w:rsid w:val="00B55FD3"/>
    <w:rsid w:val="00B5714A"/>
    <w:rsid w:val="00B61A6C"/>
    <w:rsid w:val="00B61F72"/>
    <w:rsid w:val="00B6562A"/>
    <w:rsid w:val="00B709E4"/>
    <w:rsid w:val="00B71CB4"/>
    <w:rsid w:val="00B73A1C"/>
    <w:rsid w:val="00B776D2"/>
    <w:rsid w:val="00B80594"/>
    <w:rsid w:val="00B8169F"/>
    <w:rsid w:val="00B83705"/>
    <w:rsid w:val="00B956F9"/>
    <w:rsid w:val="00BA288B"/>
    <w:rsid w:val="00BA41D5"/>
    <w:rsid w:val="00BA4A26"/>
    <w:rsid w:val="00BB15DB"/>
    <w:rsid w:val="00BB49CB"/>
    <w:rsid w:val="00BB670E"/>
    <w:rsid w:val="00BC2F09"/>
    <w:rsid w:val="00BC498E"/>
    <w:rsid w:val="00BC4E73"/>
    <w:rsid w:val="00BC7687"/>
    <w:rsid w:val="00BD2F63"/>
    <w:rsid w:val="00BD7F4D"/>
    <w:rsid w:val="00BF1180"/>
    <w:rsid w:val="00BF6C43"/>
    <w:rsid w:val="00C00432"/>
    <w:rsid w:val="00C06368"/>
    <w:rsid w:val="00C10AFC"/>
    <w:rsid w:val="00C159D0"/>
    <w:rsid w:val="00C2358B"/>
    <w:rsid w:val="00C279B8"/>
    <w:rsid w:val="00C324D4"/>
    <w:rsid w:val="00C34833"/>
    <w:rsid w:val="00C361B1"/>
    <w:rsid w:val="00C368E0"/>
    <w:rsid w:val="00C374AC"/>
    <w:rsid w:val="00C40615"/>
    <w:rsid w:val="00C41889"/>
    <w:rsid w:val="00C477E4"/>
    <w:rsid w:val="00C508B2"/>
    <w:rsid w:val="00C630AA"/>
    <w:rsid w:val="00C634E3"/>
    <w:rsid w:val="00C64B75"/>
    <w:rsid w:val="00C64D51"/>
    <w:rsid w:val="00C66BCF"/>
    <w:rsid w:val="00C70925"/>
    <w:rsid w:val="00C74688"/>
    <w:rsid w:val="00C748F4"/>
    <w:rsid w:val="00C820B5"/>
    <w:rsid w:val="00C850FC"/>
    <w:rsid w:val="00C8777E"/>
    <w:rsid w:val="00C919D5"/>
    <w:rsid w:val="00C92869"/>
    <w:rsid w:val="00C95D4D"/>
    <w:rsid w:val="00C97885"/>
    <w:rsid w:val="00CA084A"/>
    <w:rsid w:val="00CB6DE3"/>
    <w:rsid w:val="00CB7791"/>
    <w:rsid w:val="00CC09CC"/>
    <w:rsid w:val="00CC15CB"/>
    <w:rsid w:val="00CC2980"/>
    <w:rsid w:val="00CD044B"/>
    <w:rsid w:val="00CD69A1"/>
    <w:rsid w:val="00CD730F"/>
    <w:rsid w:val="00CE0DB1"/>
    <w:rsid w:val="00CE141E"/>
    <w:rsid w:val="00CE2B3A"/>
    <w:rsid w:val="00CE2DE7"/>
    <w:rsid w:val="00CF0234"/>
    <w:rsid w:val="00CF25AE"/>
    <w:rsid w:val="00CF46D1"/>
    <w:rsid w:val="00CF680D"/>
    <w:rsid w:val="00D00232"/>
    <w:rsid w:val="00D0057C"/>
    <w:rsid w:val="00D00E33"/>
    <w:rsid w:val="00D01503"/>
    <w:rsid w:val="00D01EFA"/>
    <w:rsid w:val="00D05512"/>
    <w:rsid w:val="00D2098F"/>
    <w:rsid w:val="00D21AC0"/>
    <w:rsid w:val="00D23315"/>
    <w:rsid w:val="00D24A63"/>
    <w:rsid w:val="00D25636"/>
    <w:rsid w:val="00D2663A"/>
    <w:rsid w:val="00D2686C"/>
    <w:rsid w:val="00D32A23"/>
    <w:rsid w:val="00D41E2B"/>
    <w:rsid w:val="00D42409"/>
    <w:rsid w:val="00D55F48"/>
    <w:rsid w:val="00D61A97"/>
    <w:rsid w:val="00D63288"/>
    <w:rsid w:val="00D643C8"/>
    <w:rsid w:val="00D64989"/>
    <w:rsid w:val="00D661CA"/>
    <w:rsid w:val="00D73844"/>
    <w:rsid w:val="00D766CE"/>
    <w:rsid w:val="00D81541"/>
    <w:rsid w:val="00D85429"/>
    <w:rsid w:val="00D86268"/>
    <w:rsid w:val="00D87A54"/>
    <w:rsid w:val="00D915A4"/>
    <w:rsid w:val="00DA1AF1"/>
    <w:rsid w:val="00DB2C5F"/>
    <w:rsid w:val="00DB2D96"/>
    <w:rsid w:val="00DB2F99"/>
    <w:rsid w:val="00DB3028"/>
    <w:rsid w:val="00DB4410"/>
    <w:rsid w:val="00DB6AA8"/>
    <w:rsid w:val="00DC1103"/>
    <w:rsid w:val="00DC6250"/>
    <w:rsid w:val="00DD4516"/>
    <w:rsid w:val="00DD4CE0"/>
    <w:rsid w:val="00DE4BE3"/>
    <w:rsid w:val="00DE56D7"/>
    <w:rsid w:val="00DE7229"/>
    <w:rsid w:val="00DF3515"/>
    <w:rsid w:val="00DF3B5E"/>
    <w:rsid w:val="00DF5402"/>
    <w:rsid w:val="00DF64BE"/>
    <w:rsid w:val="00E0140E"/>
    <w:rsid w:val="00E07EE7"/>
    <w:rsid w:val="00E104E8"/>
    <w:rsid w:val="00E1422B"/>
    <w:rsid w:val="00E1602D"/>
    <w:rsid w:val="00E17666"/>
    <w:rsid w:val="00E20826"/>
    <w:rsid w:val="00E24AAD"/>
    <w:rsid w:val="00E25573"/>
    <w:rsid w:val="00E2585B"/>
    <w:rsid w:val="00E31D41"/>
    <w:rsid w:val="00E35321"/>
    <w:rsid w:val="00E37327"/>
    <w:rsid w:val="00E37612"/>
    <w:rsid w:val="00E40CBF"/>
    <w:rsid w:val="00E45071"/>
    <w:rsid w:val="00E47823"/>
    <w:rsid w:val="00E52808"/>
    <w:rsid w:val="00E53FE4"/>
    <w:rsid w:val="00E60B3A"/>
    <w:rsid w:val="00E614D1"/>
    <w:rsid w:val="00E651AE"/>
    <w:rsid w:val="00E71E5C"/>
    <w:rsid w:val="00E72267"/>
    <w:rsid w:val="00E72330"/>
    <w:rsid w:val="00E724B7"/>
    <w:rsid w:val="00E84AAC"/>
    <w:rsid w:val="00EA00C9"/>
    <w:rsid w:val="00EA2AB8"/>
    <w:rsid w:val="00EA496F"/>
    <w:rsid w:val="00EA67BC"/>
    <w:rsid w:val="00EB3298"/>
    <w:rsid w:val="00EC26FD"/>
    <w:rsid w:val="00EC348C"/>
    <w:rsid w:val="00EC4328"/>
    <w:rsid w:val="00EC669F"/>
    <w:rsid w:val="00ED40DC"/>
    <w:rsid w:val="00EE23F7"/>
    <w:rsid w:val="00EE540A"/>
    <w:rsid w:val="00EF54F1"/>
    <w:rsid w:val="00EF66EF"/>
    <w:rsid w:val="00EF7962"/>
    <w:rsid w:val="00EF7D6E"/>
    <w:rsid w:val="00F0163B"/>
    <w:rsid w:val="00F03104"/>
    <w:rsid w:val="00F03CEC"/>
    <w:rsid w:val="00F14CD0"/>
    <w:rsid w:val="00F164B6"/>
    <w:rsid w:val="00F17095"/>
    <w:rsid w:val="00F17B13"/>
    <w:rsid w:val="00F20193"/>
    <w:rsid w:val="00F210C3"/>
    <w:rsid w:val="00F24C33"/>
    <w:rsid w:val="00F30811"/>
    <w:rsid w:val="00F44732"/>
    <w:rsid w:val="00F47182"/>
    <w:rsid w:val="00F545CF"/>
    <w:rsid w:val="00F54E8E"/>
    <w:rsid w:val="00F551E7"/>
    <w:rsid w:val="00F579A9"/>
    <w:rsid w:val="00F62768"/>
    <w:rsid w:val="00F67473"/>
    <w:rsid w:val="00F74C19"/>
    <w:rsid w:val="00F800C3"/>
    <w:rsid w:val="00F80A50"/>
    <w:rsid w:val="00F82B29"/>
    <w:rsid w:val="00FA196E"/>
    <w:rsid w:val="00FB032F"/>
    <w:rsid w:val="00FB2B84"/>
    <w:rsid w:val="00FB4CBF"/>
    <w:rsid w:val="00FC443B"/>
    <w:rsid w:val="00FC5F6A"/>
    <w:rsid w:val="00FC7908"/>
    <w:rsid w:val="00FD424D"/>
    <w:rsid w:val="00FD503D"/>
    <w:rsid w:val="00FD69CD"/>
    <w:rsid w:val="00FF1F86"/>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2F5F5F"/>
  <w15:chartTrackingRefBased/>
  <w15:docId w15:val="{20E14F51-C421-D543-8FF5-9DE7E3F7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A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0AD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7A4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379D"/>
    <w:pPr>
      <w:ind w:left="720"/>
      <w:contextualSpacing/>
    </w:pPr>
  </w:style>
  <w:style w:type="paragraph" w:styleId="Title">
    <w:name w:val="Title"/>
    <w:basedOn w:val="Normal"/>
    <w:next w:val="Normal"/>
    <w:link w:val="TitleChar"/>
    <w:uiPriority w:val="10"/>
    <w:qFormat/>
    <w:rsid w:val="00710A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AD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10AD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10A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B7A4C"/>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666D54"/>
    <w:pPr>
      <w:tabs>
        <w:tab w:val="center" w:pos="4513"/>
        <w:tab w:val="right" w:pos="9026"/>
      </w:tabs>
    </w:pPr>
  </w:style>
  <w:style w:type="character" w:customStyle="1" w:styleId="FooterChar">
    <w:name w:val="Footer Char"/>
    <w:basedOn w:val="DefaultParagraphFont"/>
    <w:link w:val="Footer"/>
    <w:uiPriority w:val="99"/>
    <w:rsid w:val="00666D54"/>
  </w:style>
  <w:style w:type="character" w:styleId="PageNumber">
    <w:name w:val="page number"/>
    <w:basedOn w:val="DefaultParagraphFont"/>
    <w:uiPriority w:val="99"/>
    <w:semiHidden/>
    <w:unhideWhenUsed/>
    <w:rsid w:val="00666D54"/>
  </w:style>
  <w:style w:type="paragraph" w:styleId="FootnoteText">
    <w:name w:val="footnote text"/>
    <w:basedOn w:val="Normal"/>
    <w:link w:val="FootnoteTextChar"/>
    <w:uiPriority w:val="99"/>
    <w:unhideWhenUsed/>
    <w:rsid w:val="001463F3"/>
    <w:rPr>
      <w:sz w:val="20"/>
      <w:szCs w:val="20"/>
    </w:rPr>
  </w:style>
  <w:style w:type="character" w:customStyle="1" w:styleId="FootnoteTextChar">
    <w:name w:val="Footnote Text Char"/>
    <w:basedOn w:val="DefaultParagraphFont"/>
    <w:link w:val="FootnoteText"/>
    <w:uiPriority w:val="99"/>
    <w:rsid w:val="001463F3"/>
    <w:rPr>
      <w:sz w:val="20"/>
      <w:szCs w:val="20"/>
    </w:rPr>
  </w:style>
  <w:style w:type="character" w:styleId="FootnoteReference">
    <w:name w:val="footnote reference"/>
    <w:basedOn w:val="DefaultParagraphFont"/>
    <w:uiPriority w:val="99"/>
    <w:semiHidden/>
    <w:unhideWhenUsed/>
    <w:rsid w:val="001463F3"/>
    <w:rPr>
      <w:vertAlign w:val="superscript"/>
    </w:rPr>
  </w:style>
  <w:style w:type="character" w:customStyle="1" w:styleId="apple-converted-space">
    <w:name w:val="apple-converted-space"/>
    <w:basedOn w:val="DefaultParagraphFont"/>
    <w:rsid w:val="008A4782"/>
  </w:style>
  <w:style w:type="character" w:styleId="Hyperlink">
    <w:name w:val="Hyperlink"/>
    <w:basedOn w:val="DefaultParagraphFont"/>
    <w:uiPriority w:val="99"/>
    <w:unhideWhenUsed/>
    <w:rsid w:val="008A4782"/>
    <w:rPr>
      <w:color w:val="0000FF"/>
      <w:u w:val="single"/>
    </w:rPr>
  </w:style>
  <w:style w:type="character" w:customStyle="1" w:styleId="text">
    <w:name w:val="text"/>
    <w:basedOn w:val="DefaultParagraphFont"/>
    <w:rsid w:val="008A4782"/>
  </w:style>
  <w:style w:type="character" w:customStyle="1" w:styleId="item-detail">
    <w:name w:val="item-detail"/>
    <w:basedOn w:val="DefaultParagraphFont"/>
    <w:rsid w:val="0018445B"/>
  </w:style>
  <w:style w:type="paragraph" w:styleId="Caption">
    <w:name w:val="caption"/>
    <w:basedOn w:val="Normal"/>
    <w:next w:val="Normal"/>
    <w:uiPriority w:val="35"/>
    <w:unhideWhenUsed/>
    <w:qFormat/>
    <w:rsid w:val="00A503BE"/>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1F116F"/>
    <w:rPr>
      <w:sz w:val="16"/>
      <w:szCs w:val="16"/>
    </w:rPr>
  </w:style>
  <w:style w:type="paragraph" w:styleId="CommentText">
    <w:name w:val="annotation text"/>
    <w:basedOn w:val="Normal"/>
    <w:link w:val="CommentTextChar"/>
    <w:uiPriority w:val="99"/>
    <w:semiHidden/>
    <w:unhideWhenUsed/>
    <w:rsid w:val="001F116F"/>
    <w:rPr>
      <w:sz w:val="20"/>
      <w:szCs w:val="20"/>
    </w:rPr>
  </w:style>
  <w:style w:type="character" w:customStyle="1" w:styleId="CommentTextChar">
    <w:name w:val="Comment Text Char"/>
    <w:basedOn w:val="DefaultParagraphFont"/>
    <w:link w:val="CommentText"/>
    <w:uiPriority w:val="99"/>
    <w:semiHidden/>
    <w:rsid w:val="001F116F"/>
    <w:rPr>
      <w:sz w:val="20"/>
      <w:szCs w:val="20"/>
    </w:rPr>
  </w:style>
  <w:style w:type="paragraph" w:styleId="CommentSubject">
    <w:name w:val="annotation subject"/>
    <w:basedOn w:val="CommentText"/>
    <w:next w:val="CommentText"/>
    <w:link w:val="CommentSubjectChar"/>
    <w:uiPriority w:val="99"/>
    <w:semiHidden/>
    <w:unhideWhenUsed/>
    <w:rsid w:val="001F116F"/>
    <w:rPr>
      <w:b/>
      <w:bCs/>
    </w:rPr>
  </w:style>
  <w:style w:type="character" w:customStyle="1" w:styleId="CommentSubjectChar">
    <w:name w:val="Comment Subject Char"/>
    <w:basedOn w:val="CommentTextChar"/>
    <w:link w:val="CommentSubject"/>
    <w:uiPriority w:val="99"/>
    <w:semiHidden/>
    <w:rsid w:val="001F116F"/>
    <w:rPr>
      <w:b/>
      <w:bCs/>
      <w:sz w:val="20"/>
      <w:szCs w:val="20"/>
    </w:rPr>
  </w:style>
  <w:style w:type="paragraph" w:styleId="Revision">
    <w:name w:val="Revision"/>
    <w:hidden/>
    <w:uiPriority w:val="99"/>
    <w:semiHidden/>
    <w:rsid w:val="001F116F"/>
  </w:style>
  <w:style w:type="paragraph" w:styleId="NormalWeb">
    <w:name w:val="Normal (Web)"/>
    <w:basedOn w:val="Normal"/>
    <w:rsid w:val="00B17545"/>
    <w:pPr>
      <w:spacing w:before="100" w:beforeAutospacing="1" w:after="100" w:afterAutospacing="1"/>
    </w:pPr>
    <w:rPr>
      <w:rFonts w:ascii="Georgia" w:eastAsia="SimSun" w:hAnsi="Georgia" w:cs="Times New Roman"/>
      <w:color w:val="000000"/>
      <w:sz w:val="21"/>
      <w:szCs w:val="21"/>
      <w:lang w:val="en-GB" w:eastAsia="zh-CN"/>
    </w:rPr>
  </w:style>
  <w:style w:type="character" w:styleId="Emphasis">
    <w:name w:val="Emphasis"/>
    <w:basedOn w:val="DefaultParagraphFont"/>
    <w:uiPriority w:val="20"/>
    <w:qFormat/>
    <w:rsid w:val="004E2048"/>
    <w:rPr>
      <w:i/>
      <w:iCs/>
    </w:rPr>
  </w:style>
  <w:style w:type="character" w:customStyle="1" w:styleId="xapple-converted-space">
    <w:name w:val="x_apple-converted-space"/>
    <w:basedOn w:val="DefaultParagraphFont"/>
    <w:rsid w:val="005B73DC"/>
  </w:style>
  <w:style w:type="character" w:styleId="UnresolvedMention">
    <w:name w:val="Unresolved Mention"/>
    <w:basedOn w:val="DefaultParagraphFont"/>
    <w:uiPriority w:val="99"/>
    <w:semiHidden/>
    <w:unhideWhenUsed/>
    <w:rsid w:val="00305B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519455">
      <w:bodyDiv w:val="1"/>
      <w:marLeft w:val="0"/>
      <w:marRight w:val="0"/>
      <w:marTop w:val="0"/>
      <w:marBottom w:val="0"/>
      <w:divBdr>
        <w:top w:val="none" w:sz="0" w:space="0" w:color="auto"/>
        <w:left w:val="none" w:sz="0" w:space="0" w:color="auto"/>
        <w:bottom w:val="none" w:sz="0" w:space="0" w:color="auto"/>
        <w:right w:val="none" w:sz="0" w:space="0" w:color="auto"/>
      </w:divBdr>
    </w:div>
    <w:div w:id="205459444">
      <w:bodyDiv w:val="1"/>
      <w:marLeft w:val="0"/>
      <w:marRight w:val="0"/>
      <w:marTop w:val="0"/>
      <w:marBottom w:val="0"/>
      <w:divBdr>
        <w:top w:val="none" w:sz="0" w:space="0" w:color="auto"/>
        <w:left w:val="none" w:sz="0" w:space="0" w:color="auto"/>
        <w:bottom w:val="none" w:sz="0" w:space="0" w:color="auto"/>
        <w:right w:val="none" w:sz="0" w:space="0" w:color="auto"/>
      </w:divBdr>
    </w:div>
    <w:div w:id="524755011">
      <w:bodyDiv w:val="1"/>
      <w:marLeft w:val="0"/>
      <w:marRight w:val="0"/>
      <w:marTop w:val="0"/>
      <w:marBottom w:val="0"/>
      <w:divBdr>
        <w:top w:val="none" w:sz="0" w:space="0" w:color="auto"/>
        <w:left w:val="none" w:sz="0" w:space="0" w:color="auto"/>
        <w:bottom w:val="none" w:sz="0" w:space="0" w:color="auto"/>
        <w:right w:val="none" w:sz="0" w:space="0" w:color="auto"/>
      </w:divBdr>
    </w:div>
    <w:div w:id="636760952">
      <w:bodyDiv w:val="1"/>
      <w:marLeft w:val="0"/>
      <w:marRight w:val="0"/>
      <w:marTop w:val="0"/>
      <w:marBottom w:val="0"/>
      <w:divBdr>
        <w:top w:val="none" w:sz="0" w:space="0" w:color="auto"/>
        <w:left w:val="none" w:sz="0" w:space="0" w:color="auto"/>
        <w:bottom w:val="none" w:sz="0" w:space="0" w:color="auto"/>
        <w:right w:val="none" w:sz="0" w:space="0" w:color="auto"/>
      </w:divBdr>
    </w:div>
    <w:div w:id="738596779">
      <w:bodyDiv w:val="1"/>
      <w:marLeft w:val="0"/>
      <w:marRight w:val="0"/>
      <w:marTop w:val="0"/>
      <w:marBottom w:val="0"/>
      <w:divBdr>
        <w:top w:val="none" w:sz="0" w:space="0" w:color="auto"/>
        <w:left w:val="none" w:sz="0" w:space="0" w:color="auto"/>
        <w:bottom w:val="none" w:sz="0" w:space="0" w:color="auto"/>
        <w:right w:val="none" w:sz="0" w:space="0" w:color="auto"/>
      </w:divBdr>
    </w:div>
    <w:div w:id="808400772">
      <w:bodyDiv w:val="1"/>
      <w:marLeft w:val="0"/>
      <w:marRight w:val="0"/>
      <w:marTop w:val="0"/>
      <w:marBottom w:val="0"/>
      <w:divBdr>
        <w:top w:val="none" w:sz="0" w:space="0" w:color="auto"/>
        <w:left w:val="none" w:sz="0" w:space="0" w:color="auto"/>
        <w:bottom w:val="none" w:sz="0" w:space="0" w:color="auto"/>
        <w:right w:val="none" w:sz="0" w:space="0" w:color="auto"/>
      </w:divBdr>
    </w:div>
    <w:div w:id="1050804846">
      <w:bodyDiv w:val="1"/>
      <w:marLeft w:val="0"/>
      <w:marRight w:val="0"/>
      <w:marTop w:val="0"/>
      <w:marBottom w:val="0"/>
      <w:divBdr>
        <w:top w:val="none" w:sz="0" w:space="0" w:color="auto"/>
        <w:left w:val="none" w:sz="0" w:space="0" w:color="auto"/>
        <w:bottom w:val="none" w:sz="0" w:space="0" w:color="auto"/>
        <w:right w:val="none" w:sz="0" w:space="0" w:color="auto"/>
      </w:divBdr>
    </w:div>
    <w:div w:id="1541361350">
      <w:bodyDiv w:val="1"/>
      <w:marLeft w:val="0"/>
      <w:marRight w:val="0"/>
      <w:marTop w:val="0"/>
      <w:marBottom w:val="0"/>
      <w:divBdr>
        <w:top w:val="none" w:sz="0" w:space="0" w:color="auto"/>
        <w:left w:val="none" w:sz="0" w:space="0" w:color="auto"/>
        <w:bottom w:val="none" w:sz="0" w:space="0" w:color="auto"/>
        <w:right w:val="none" w:sz="0" w:space="0" w:color="auto"/>
      </w:divBdr>
    </w:div>
    <w:div w:id="1747528851">
      <w:bodyDiv w:val="1"/>
      <w:marLeft w:val="0"/>
      <w:marRight w:val="0"/>
      <w:marTop w:val="0"/>
      <w:marBottom w:val="0"/>
      <w:divBdr>
        <w:top w:val="none" w:sz="0" w:space="0" w:color="auto"/>
        <w:left w:val="none" w:sz="0" w:space="0" w:color="auto"/>
        <w:bottom w:val="none" w:sz="0" w:space="0" w:color="auto"/>
        <w:right w:val="none" w:sz="0" w:space="0" w:color="auto"/>
      </w:divBdr>
    </w:div>
    <w:div w:id="211532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ref.com/John/1/John-1-3.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927</TotalTime>
  <Pages>24</Pages>
  <Words>6000</Words>
  <Characters>34200</Characters>
  <Application>Microsoft Office Word</Application>
  <DocSecurity>0</DocSecurity>
  <Lines>285</Lines>
  <Paragraphs>80</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40120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Boglioli</dc:creator>
  <cp:keywords/>
  <dc:description/>
  <cp:lastModifiedBy>Stefania Boglioli</cp:lastModifiedBy>
  <cp:revision>24</cp:revision>
  <cp:lastPrinted>2021-05-23T13:35:00Z</cp:lastPrinted>
  <dcterms:created xsi:type="dcterms:W3CDTF">2021-05-20T19:54:00Z</dcterms:created>
  <dcterms:modified xsi:type="dcterms:W3CDTF">2021-05-23T19:15:00Z</dcterms:modified>
</cp:coreProperties>
</file>