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9765A95" w14:textId="77777777" w:rsidR="008C1D02" w:rsidRDefault="008C1D02" w:rsidP="008C1D02">
      <w:r>
        <w:t>Marriott International – Financial Ratio Analysis &amp; Benchmark Comparison (2021-2025)</w:t>
      </w:r>
    </w:p>
    <w:p w14:paraId="7C7DF159" w14:textId="77777777" w:rsidR="008C1D02" w:rsidRDefault="008C1D02" w:rsidP="008C1D02"/>
    <w:p w14:paraId="06A0E0C4" w14:textId="77777777" w:rsidR="008C1D02" w:rsidRDefault="008C1D02" w:rsidP="008C1D02">
      <w:r>
        <w:t>1. Introduction</w:t>
      </w:r>
    </w:p>
    <w:p w14:paraId="64DB7539" w14:textId="77777777" w:rsidR="008C1D02" w:rsidRDefault="008C1D02" w:rsidP="008C1D02">
      <w:r>
        <w:t xml:space="preserve">Marriott International operates an asset-light, fee-driven business model. This report </w:t>
      </w:r>
      <w:proofErr w:type="spellStart"/>
      <w:r>
        <w:t>analyzes</w:t>
      </w:r>
      <w:proofErr w:type="spellEnd"/>
      <w:r>
        <w:t xml:space="preserve"> five key financial ratios (ROE, ROA, P/E, Operating Cash Flow Ratio, Free Cash Flow Margin) over five years and benchmarks 2025 against Hilton, Hyatt, and industry averages.</w:t>
      </w:r>
    </w:p>
    <w:p w14:paraId="522D0A7C" w14:textId="77777777" w:rsidR="008C1D02" w:rsidRDefault="008C1D02" w:rsidP="008C1D02"/>
    <w:p w14:paraId="24F81DC7" w14:textId="77777777" w:rsidR="008C1D02" w:rsidRDefault="008C1D02" w:rsidP="008C1D02">
      <w:r>
        <w:t>2. Financial Performance (2021-2025)</w:t>
      </w:r>
    </w:p>
    <w:p w14:paraId="5D9B0FE4" w14:textId="77777777" w:rsidR="008C1D02" w:rsidRDefault="008C1D02" w:rsidP="008C1D02"/>
    <w:p w14:paraId="20BD8B4D" w14:textId="77777777" w:rsidR="008C1D02" w:rsidRDefault="008C1D02" w:rsidP="008C1D02">
      <w:r>
        <w:t xml:space="preserve">· ROA: Recovered from 4.3% (2021) to a peak of 12.0% (2023), </w:t>
      </w:r>
      <w:proofErr w:type="spellStart"/>
      <w:r>
        <w:t>stabilizing</w:t>
      </w:r>
      <w:proofErr w:type="spellEnd"/>
      <w:r>
        <w:t xml:space="preserve"> at 9.4% (2025).</w:t>
      </w:r>
    </w:p>
    <w:p w14:paraId="2295CAE9" w14:textId="77777777" w:rsidR="008C1D02" w:rsidRDefault="008C1D02" w:rsidP="008C1D02">
      <w:r>
        <w:t>· P/E Ratio: Dropped from 51.4x (2021) to 22.3x (2023), rising to 33.3x in 2025 on growth expectations.</w:t>
      </w:r>
    </w:p>
    <w:p w14:paraId="6796207D" w14:textId="77777777" w:rsidR="008C1D02" w:rsidRDefault="008C1D02" w:rsidP="008C1D02">
      <w:r>
        <w:t>· Operating Cash Flow Ratio: Improved from 0.18x to a healthy 0.38x, indicating strong liquidity.</w:t>
      </w:r>
    </w:p>
    <w:p w14:paraId="05693F12" w14:textId="77777777" w:rsidR="008C1D02" w:rsidRDefault="008C1D02" w:rsidP="008C1D02">
      <w:r>
        <w:t>· FCF Margin: Improved from 7.2% to a peak of 11.5% (2023), moderating to 9.9% in 2025 due to tech investments.</w:t>
      </w:r>
    </w:p>
    <w:p w14:paraId="31A538FB" w14:textId="77777777" w:rsidR="008C1D02" w:rsidRDefault="008C1D02" w:rsidP="008C1D02">
      <w:r>
        <w:t>· ROE: Became non-calculable from 2023 due to negative equity from aggressive share buybacks (capital return strategy).</w:t>
      </w:r>
    </w:p>
    <w:p w14:paraId="2A87CBCD" w14:textId="77777777" w:rsidR="008C1D02" w:rsidRDefault="008C1D02" w:rsidP="008C1D02"/>
    <w:p w14:paraId="36A2506A" w14:textId="77777777" w:rsidR="008C1D02" w:rsidRDefault="008C1D02" w:rsidP="008C1D02">
      <w:r>
        <w:t>3. Benchmark Comparison (2025)</w:t>
      </w:r>
    </w:p>
    <w:p w14:paraId="0BF3BD4A" w14:textId="77777777" w:rsidR="008C1D02" w:rsidRDefault="008C1D02" w:rsidP="008C1D02"/>
    <w:p w14:paraId="20B17E00" w14:textId="77777777" w:rsidR="008C1D02" w:rsidRDefault="008C1D02" w:rsidP="008C1D02">
      <w:r>
        <w:t>· Profitability (ROA): Marriott (9.4%) exceeds the industry average (8%) and Hyatt (3.5%), but trails Hilton (12%).</w:t>
      </w:r>
    </w:p>
    <w:p w14:paraId="543B8FBB" w14:textId="77777777" w:rsidR="008C1D02" w:rsidRDefault="008C1D02" w:rsidP="008C1D02">
      <w:r>
        <w:t xml:space="preserve">· Valuation (P/E): Trading at a premium (33.3x vs industry 28x), justified by global scale and Marriott </w:t>
      </w:r>
      <w:proofErr w:type="spellStart"/>
      <w:r>
        <w:t>Bonvoy</w:t>
      </w:r>
      <w:proofErr w:type="spellEnd"/>
      <w:r>
        <w:t>.</w:t>
      </w:r>
    </w:p>
    <w:p w14:paraId="0C05C896" w14:textId="77777777" w:rsidR="008C1D02" w:rsidRDefault="008C1D02" w:rsidP="008C1D02">
      <w:r>
        <w:t>· Efficiency: FCF margin (9.9%) aligns with the industry average, while OCF ratio (0.38x) is competitive.</w:t>
      </w:r>
    </w:p>
    <w:p w14:paraId="54ECD930" w14:textId="77777777" w:rsidR="008C1D02" w:rsidRDefault="008C1D02" w:rsidP="008C1D02"/>
    <w:p w14:paraId="1D54F735" w14:textId="77777777" w:rsidR="008C1D02" w:rsidRDefault="008C1D02" w:rsidP="008C1D02">
      <w:r>
        <w:t>4. Strengths &amp; Weaknesses</w:t>
      </w:r>
    </w:p>
    <w:p w14:paraId="5F9C6DE4" w14:textId="77777777" w:rsidR="008C1D02" w:rsidRDefault="008C1D02" w:rsidP="008C1D02"/>
    <w:p w14:paraId="0F30A22B" w14:textId="77777777" w:rsidR="008C1D02" w:rsidRDefault="008C1D02" w:rsidP="008C1D02">
      <w:r>
        <w:t>· Strengths: Dominant market share, powerful loyalty program, resilient asset-light model generating consistent cash flows.</w:t>
      </w:r>
    </w:p>
    <w:p w14:paraId="57C9F308" w14:textId="77777777" w:rsidR="008C1D02" w:rsidRDefault="008C1D02" w:rsidP="008C1D02">
      <w:r>
        <w:t>· Weaknesses: Negative equity distorts ROE; operational efficiency lags slightly behind Hilton; shares are relatively expensive.</w:t>
      </w:r>
    </w:p>
    <w:p w14:paraId="797D6892" w14:textId="77777777" w:rsidR="008C1D02" w:rsidRDefault="008C1D02" w:rsidP="008C1D02"/>
    <w:p w14:paraId="5B21B41B" w14:textId="77777777" w:rsidR="008C1D02" w:rsidRDefault="008C1D02" w:rsidP="008C1D02">
      <w:r>
        <w:t>5. Conclusion</w:t>
      </w:r>
    </w:p>
    <w:p w14:paraId="410530C8" w14:textId="37074E72" w:rsidR="00723022" w:rsidRDefault="008C1D02">
      <w:r>
        <w:t>Marriott International remains a top-tier hospitality player. Despite aggressive buybacks skewing equity metrics, underlying fundamentals (ROA, cash flow, margins) are strong and competitive. The premium valuation is supported by its market leadership.</w:t>
      </w:r>
    </w:p>
    <w:sectPr w:rsidR="00723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22"/>
    <w:rsid w:val="002F65E7"/>
    <w:rsid w:val="004316C5"/>
    <w:rsid w:val="00723022"/>
    <w:rsid w:val="008C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4CA95E"/>
  <w15:chartTrackingRefBased/>
  <w15:docId w15:val="{909E3043-4589-AA40-A281-CA0F1684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3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3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3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3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3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3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3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3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0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30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30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30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30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3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3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3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3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3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3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3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3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3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3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3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30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3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30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30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ZAID</dc:creator>
  <cp:keywords/>
  <dc:description/>
  <cp:lastModifiedBy>MUHAMMED ZAID</cp:lastModifiedBy>
  <cp:revision>2</cp:revision>
  <dcterms:created xsi:type="dcterms:W3CDTF">2026-07-17T16:06:00Z</dcterms:created>
  <dcterms:modified xsi:type="dcterms:W3CDTF">2026-07-17T16:06:00Z</dcterms:modified>
</cp:coreProperties>
</file>