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E74F7" w14:textId="3352D1B2" w:rsidR="00B151A8" w:rsidRDefault="00C5605F" w:rsidP="00C5605F">
      <w:pPr>
        <w:spacing w:line="360" w:lineRule="auto"/>
        <w:rPr>
          <w:rFonts w:ascii="Arial" w:hAnsi="Arial" w:cs="Arial"/>
          <w:b/>
          <w:bCs/>
          <w:sz w:val="32"/>
          <w:szCs w:val="32"/>
        </w:rPr>
      </w:pPr>
      <w:r w:rsidRPr="00C5605F">
        <w:rPr>
          <w:rFonts w:ascii="Arial" w:hAnsi="Arial" w:cs="Arial"/>
          <w:b/>
          <w:bCs/>
          <w:sz w:val="32"/>
          <w:szCs w:val="32"/>
        </w:rPr>
        <w:t>BMIH5006</w:t>
      </w:r>
    </w:p>
    <w:p w14:paraId="04636D5A" w14:textId="77777777" w:rsidR="00C5605F" w:rsidRPr="00C5605F" w:rsidRDefault="00C5605F" w:rsidP="00C5605F">
      <w:pPr>
        <w:spacing w:line="360" w:lineRule="auto"/>
        <w:rPr>
          <w:rFonts w:ascii="Arial" w:hAnsi="Arial" w:cs="Arial"/>
          <w:b/>
          <w:bCs/>
          <w:sz w:val="24"/>
          <w:szCs w:val="24"/>
        </w:rPr>
      </w:pPr>
      <w:r w:rsidRPr="00C5605F">
        <w:rPr>
          <w:rFonts w:ascii="Arial" w:hAnsi="Arial" w:cs="Arial"/>
          <w:b/>
          <w:bCs/>
          <w:sz w:val="24"/>
          <w:szCs w:val="24"/>
        </w:rPr>
        <w:t>Lecturer:  Kathryn Roberts</w:t>
      </w:r>
    </w:p>
    <w:p w14:paraId="29A7947E" w14:textId="2AA9D872" w:rsidR="00C5605F" w:rsidRDefault="00C5605F" w:rsidP="00C5605F">
      <w:pPr>
        <w:spacing w:line="360" w:lineRule="auto"/>
        <w:rPr>
          <w:rFonts w:ascii="Arial" w:hAnsi="Arial" w:cs="Arial"/>
          <w:b/>
          <w:bCs/>
          <w:sz w:val="24"/>
          <w:szCs w:val="24"/>
        </w:rPr>
      </w:pPr>
      <w:r w:rsidRPr="00C5605F">
        <w:rPr>
          <w:rFonts w:ascii="Arial" w:hAnsi="Arial" w:cs="Arial"/>
          <w:b/>
          <w:bCs/>
          <w:sz w:val="24"/>
          <w:szCs w:val="24"/>
        </w:rPr>
        <w:t>Report</w:t>
      </w:r>
    </w:p>
    <w:p w14:paraId="2A1B340B" w14:textId="77777777" w:rsidR="00C5605F" w:rsidRDefault="00C5605F" w:rsidP="00C5605F">
      <w:pPr>
        <w:spacing w:line="360" w:lineRule="auto"/>
        <w:rPr>
          <w:rFonts w:ascii="Arial" w:hAnsi="Arial" w:cs="Arial"/>
          <w:b/>
          <w:bCs/>
          <w:sz w:val="24"/>
          <w:szCs w:val="24"/>
        </w:rPr>
      </w:pPr>
    </w:p>
    <w:p w14:paraId="2D155A41" w14:textId="12353387" w:rsidR="00FC39F6" w:rsidRPr="00FC39F6" w:rsidRDefault="00FC39F6" w:rsidP="00FC39F6">
      <w:pPr>
        <w:spacing w:line="360" w:lineRule="auto"/>
        <w:rPr>
          <w:rFonts w:ascii="Arial" w:hAnsi="Arial" w:cs="Arial"/>
          <w:b/>
          <w:bCs/>
          <w:sz w:val="24"/>
          <w:szCs w:val="24"/>
        </w:rPr>
      </w:pPr>
      <w:r w:rsidRPr="00FC39F6">
        <w:rPr>
          <w:rFonts w:ascii="Arial" w:hAnsi="Arial" w:cs="Arial"/>
          <w:b/>
          <w:bCs/>
          <w:sz w:val="24"/>
          <w:szCs w:val="24"/>
        </w:rPr>
        <w:t>Student id:</w:t>
      </w:r>
      <w:r w:rsidR="00D021A4">
        <w:rPr>
          <w:rFonts w:ascii="Arial" w:hAnsi="Arial" w:cs="Arial"/>
          <w:b/>
          <w:bCs/>
          <w:sz w:val="24"/>
          <w:szCs w:val="24"/>
        </w:rPr>
        <w:t xml:space="preserve"> </w:t>
      </w:r>
      <w:r w:rsidR="00ED4734">
        <w:rPr>
          <w:rFonts w:ascii="Arial" w:hAnsi="Arial" w:cs="Arial"/>
          <w:b/>
          <w:bCs/>
          <w:sz w:val="24"/>
          <w:szCs w:val="24"/>
        </w:rPr>
        <w:t>2126</w:t>
      </w:r>
      <w:r w:rsidR="00D021A4">
        <w:rPr>
          <w:rFonts w:ascii="Arial" w:hAnsi="Arial" w:cs="Arial"/>
          <w:b/>
          <w:bCs/>
          <w:sz w:val="24"/>
          <w:szCs w:val="24"/>
        </w:rPr>
        <w:t>974</w:t>
      </w:r>
    </w:p>
    <w:p w14:paraId="273435AC" w14:textId="03438A80" w:rsidR="00FC39F6" w:rsidRPr="00FC39F6" w:rsidRDefault="00FC39F6" w:rsidP="00FC39F6">
      <w:pPr>
        <w:spacing w:line="360" w:lineRule="auto"/>
        <w:rPr>
          <w:rFonts w:ascii="Arial" w:hAnsi="Arial" w:cs="Arial"/>
          <w:b/>
          <w:bCs/>
          <w:sz w:val="24"/>
          <w:szCs w:val="24"/>
        </w:rPr>
      </w:pPr>
      <w:r w:rsidRPr="00FC39F6">
        <w:rPr>
          <w:rFonts w:ascii="Arial" w:hAnsi="Arial" w:cs="Arial"/>
          <w:b/>
          <w:bCs/>
          <w:sz w:val="24"/>
          <w:szCs w:val="24"/>
        </w:rPr>
        <w:t>Student name</w:t>
      </w:r>
      <w:r w:rsidR="00CF5838">
        <w:rPr>
          <w:rFonts w:ascii="Arial" w:hAnsi="Arial" w:cs="Arial"/>
          <w:b/>
          <w:bCs/>
          <w:sz w:val="24"/>
          <w:szCs w:val="24"/>
        </w:rPr>
        <w:t xml:space="preserve"> : Gabriela Iuliana Matei</w:t>
      </w:r>
    </w:p>
    <w:p w14:paraId="18FBDAF5" w14:textId="77777777" w:rsidR="00FC39F6" w:rsidRPr="00FC39F6" w:rsidRDefault="00FC39F6" w:rsidP="00FC39F6">
      <w:pPr>
        <w:spacing w:line="360" w:lineRule="auto"/>
        <w:rPr>
          <w:rFonts w:ascii="Arial" w:hAnsi="Arial" w:cs="Arial"/>
          <w:b/>
          <w:bCs/>
          <w:sz w:val="24"/>
          <w:szCs w:val="24"/>
        </w:rPr>
      </w:pPr>
    </w:p>
    <w:p w14:paraId="01BE1776" w14:textId="110BA9D2" w:rsidR="00C5605F" w:rsidRPr="00FC39F6" w:rsidRDefault="00FC39F6" w:rsidP="00FC39F6">
      <w:pPr>
        <w:spacing w:line="360" w:lineRule="auto"/>
        <w:rPr>
          <w:rFonts w:ascii="Arial" w:hAnsi="Arial" w:cs="Arial"/>
          <w:sz w:val="24"/>
          <w:szCs w:val="24"/>
        </w:rPr>
      </w:pPr>
      <w:r w:rsidRPr="00FC39F6">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2A3ED1" w14:textId="77777777" w:rsidR="00C5605F" w:rsidRDefault="00C5605F" w:rsidP="00C5605F">
      <w:pPr>
        <w:spacing w:line="360" w:lineRule="auto"/>
        <w:rPr>
          <w:rFonts w:ascii="Arial" w:hAnsi="Arial" w:cs="Arial"/>
          <w:b/>
          <w:bCs/>
          <w:sz w:val="24"/>
          <w:szCs w:val="24"/>
        </w:rPr>
      </w:pPr>
    </w:p>
    <w:p w14:paraId="118826DC" w14:textId="77777777" w:rsidR="00C5605F" w:rsidRDefault="00C5605F" w:rsidP="00C5605F">
      <w:pPr>
        <w:spacing w:line="360" w:lineRule="auto"/>
        <w:rPr>
          <w:rFonts w:ascii="Arial" w:hAnsi="Arial" w:cs="Arial"/>
          <w:b/>
          <w:bCs/>
          <w:sz w:val="24"/>
          <w:szCs w:val="24"/>
        </w:rPr>
      </w:pPr>
    </w:p>
    <w:p w14:paraId="63459885" w14:textId="77777777" w:rsidR="00C5605F" w:rsidRDefault="00C5605F" w:rsidP="00C5605F">
      <w:pPr>
        <w:spacing w:line="360" w:lineRule="auto"/>
        <w:rPr>
          <w:rFonts w:ascii="Arial" w:hAnsi="Arial" w:cs="Arial"/>
          <w:b/>
          <w:bCs/>
          <w:sz w:val="24"/>
          <w:szCs w:val="24"/>
        </w:rPr>
      </w:pPr>
    </w:p>
    <w:p w14:paraId="1036FCCF" w14:textId="77777777" w:rsidR="00C5605F" w:rsidRDefault="00C5605F" w:rsidP="00C5605F">
      <w:pPr>
        <w:spacing w:line="360" w:lineRule="auto"/>
        <w:rPr>
          <w:rFonts w:ascii="Arial" w:hAnsi="Arial" w:cs="Arial"/>
          <w:b/>
          <w:bCs/>
          <w:sz w:val="24"/>
          <w:szCs w:val="24"/>
        </w:rPr>
      </w:pPr>
    </w:p>
    <w:p w14:paraId="4DD87ACC" w14:textId="77777777" w:rsidR="00C5605F" w:rsidRDefault="00C5605F" w:rsidP="00C5605F">
      <w:pPr>
        <w:spacing w:line="360" w:lineRule="auto"/>
        <w:rPr>
          <w:rFonts w:ascii="Arial" w:hAnsi="Arial" w:cs="Arial"/>
          <w:b/>
          <w:bCs/>
          <w:sz w:val="24"/>
          <w:szCs w:val="24"/>
        </w:rPr>
      </w:pPr>
    </w:p>
    <w:p w14:paraId="6219AE00" w14:textId="77777777" w:rsidR="00C5605F" w:rsidRDefault="00C5605F" w:rsidP="00C5605F">
      <w:pPr>
        <w:spacing w:line="360" w:lineRule="auto"/>
        <w:rPr>
          <w:rFonts w:ascii="Arial" w:hAnsi="Arial" w:cs="Arial"/>
          <w:b/>
          <w:bCs/>
          <w:sz w:val="24"/>
          <w:szCs w:val="24"/>
        </w:rPr>
      </w:pPr>
    </w:p>
    <w:p w14:paraId="2798DB28" w14:textId="77777777" w:rsidR="00C5605F" w:rsidRDefault="00C5605F" w:rsidP="00C5605F">
      <w:pPr>
        <w:spacing w:line="360" w:lineRule="auto"/>
        <w:rPr>
          <w:rFonts w:ascii="Arial" w:hAnsi="Arial" w:cs="Arial"/>
          <w:b/>
          <w:bCs/>
          <w:sz w:val="24"/>
          <w:szCs w:val="24"/>
        </w:rPr>
      </w:pPr>
    </w:p>
    <w:p w14:paraId="0D4CF786" w14:textId="77777777" w:rsidR="00C5605F" w:rsidRDefault="00C5605F" w:rsidP="00C5605F">
      <w:pPr>
        <w:spacing w:line="360" w:lineRule="auto"/>
        <w:rPr>
          <w:rFonts w:ascii="Arial" w:hAnsi="Arial" w:cs="Arial"/>
          <w:b/>
          <w:bCs/>
          <w:sz w:val="24"/>
          <w:szCs w:val="24"/>
        </w:rPr>
      </w:pPr>
    </w:p>
    <w:p w14:paraId="5F1B76B8" w14:textId="77777777" w:rsidR="00C5605F" w:rsidRDefault="00C5605F" w:rsidP="00C5605F">
      <w:pPr>
        <w:spacing w:line="360" w:lineRule="auto"/>
        <w:rPr>
          <w:rFonts w:ascii="Arial" w:hAnsi="Arial" w:cs="Arial"/>
          <w:b/>
          <w:bCs/>
          <w:sz w:val="24"/>
          <w:szCs w:val="24"/>
        </w:rPr>
      </w:pPr>
    </w:p>
    <w:p w14:paraId="7A99730C" w14:textId="77777777" w:rsidR="00C5605F" w:rsidRDefault="00C5605F" w:rsidP="00C5605F">
      <w:pPr>
        <w:spacing w:line="360" w:lineRule="auto"/>
        <w:rPr>
          <w:rFonts w:ascii="Arial" w:hAnsi="Arial" w:cs="Arial"/>
          <w:b/>
          <w:bCs/>
          <w:sz w:val="24"/>
          <w:szCs w:val="24"/>
        </w:rPr>
      </w:pPr>
    </w:p>
    <w:p w14:paraId="79276456" w14:textId="77777777" w:rsidR="00C5605F" w:rsidRDefault="00C5605F" w:rsidP="00C5605F">
      <w:pPr>
        <w:spacing w:line="360" w:lineRule="auto"/>
        <w:rPr>
          <w:rFonts w:ascii="Arial" w:hAnsi="Arial" w:cs="Arial"/>
          <w:b/>
          <w:bCs/>
          <w:sz w:val="24"/>
          <w:szCs w:val="24"/>
        </w:rPr>
      </w:pPr>
    </w:p>
    <w:p w14:paraId="192482C1" w14:textId="77777777" w:rsidR="00C5605F" w:rsidRDefault="00C5605F" w:rsidP="00C5605F">
      <w:pPr>
        <w:spacing w:line="360" w:lineRule="auto"/>
        <w:rPr>
          <w:rFonts w:ascii="Arial" w:hAnsi="Arial" w:cs="Arial"/>
          <w:b/>
          <w:bCs/>
          <w:sz w:val="24"/>
          <w:szCs w:val="24"/>
        </w:rPr>
      </w:pPr>
    </w:p>
    <w:p w14:paraId="57E4B77D" w14:textId="77777777" w:rsidR="00C5605F" w:rsidRDefault="00C5605F" w:rsidP="00C5605F">
      <w:pPr>
        <w:spacing w:line="360" w:lineRule="auto"/>
        <w:rPr>
          <w:rFonts w:ascii="Arial" w:hAnsi="Arial" w:cs="Arial"/>
          <w:b/>
          <w:bCs/>
          <w:sz w:val="24"/>
          <w:szCs w:val="24"/>
        </w:rPr>
      </w:pPr>
    </w:p>
    <w:p w14:paraId="760E0F2E" w14:textId="77777777" w:rsidR="00C5605F" w:rsidRDefault="00C5605F" w:rsidP="00C5605F">
      <w:pPr>
        <w:spacing w:line="360" w:lineRule="auto"/>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2051998271"/>
        <w:docPartObj>
          <w:docPartGallery w:val="Table of Contents"/>
          <w:docPartUnique/>
        </w:docPartObj>
      </w:sdtPr>
      <w:sdtEndPr>
        <w:rPr>
          <w:b/>
          <w:bCs/>
          <w:noProof/>
        </w:rPr>
      </w:sdtEndPr>
      <w:sdtContent>
        <w:p w14:paraId="183C320F" w14:textId="4B818501" w:rsidR="00E04B8A" w:rsidRPr="00E04B8A" w:rsidRDefault="00E04B8A">
          <w:pPr>
            <w:pStyle w:val="TOCHeading"/>
            <w:rPr>
              <w:rFonts w:ascii="Arial" w:hAnsi="Arial" w:cs="Arial"/>
            </w:rPr>
          </w:pPr>
          <w:r w:rsidRPr="00E04B8A">
            <w:rPr>
              <w:rFonts w:ascii="Arial" w:hAnsi="Arial" w:cs="Arial"/>
            </w:rPr>
            <w:t>Table of Contents</w:t>
          </w:r>
        </w:p>
        <w:p w14:paraId="6DC1688B" w14:textId="73E34549" w:rsidR="00E04B8A" w:rsidRPr="00E04B8A" w:rsidRDefault="00E04B8A">
          <w:pPr>
            <w:pStyle w:val="TOC1"/>
            <w:tabs>
              <w:tab w:val="right" w:leader="dot" w:pos="9016"/>
            </w:tabs>
            <w:rPr>
              <w:rFonts w:ascii="Arial" w:hAnsi="Arial" w:cs="Arial"/>
              <w:noProof/>
            </w:rPr>
          </w:pPr>
          <w:r w:rsidRPr="00E04B8A">
            <w:rPr>
              <w:rFonts w:ascii="Arial" w:hAnsi="Arial" w:cs="Arial"/>
            </w:rPr>
            <w:fldChar w:fldCharType="begin"/>
          </w:r>
          <w:r w:rsidRPr="00E04B8A">
            <w:rPr>
              <w:rFonts w:ascii="Arial" w:hAnsi="Arial" w:cs="Arial"/>
            </w:rPr>
            <w:instrText xml:space="preserve"> TOC \o "1-3" \h \z \u </w:instrText>
          </w:r>
          <w:r w:rsidRPr="00E04B8A">
            <w:rPr>
              <w:rFonts w:ascii="Arial" w:hAnsi="Arial" w:cs="Arial"/>
            </w:rPr>
            <w:fldChar w:fldCharType="separate"/>
          </w:r>
          <w:hyperlink w:anchor="_Toc200497321" w:history="1">
            <w:r w:rsidRPr="00E04B8A">
              <w:rPr>
                <w:rStyle w:val="Hyperlink"/>
                <w:rFonts w:ascii="Arial" w:hAnsi="Arial" w:cs="Arial"/>
                <w:noProof/>
              </w:rPr>
              <w:t>Introduction</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_Toc200497321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3</w:t>
            </w:r>
            <w:r w:rsidRPr="00E04B8A">
              <w:rPr>
                <w:rFonts w:ascii="Arial" w:hAnsi="Arial" w:cs="Arial"/>
                <w:noProof/>
                <w:webHidden/>
              </w:rPr>
              <w:fldChar w:fldCharType="end"/>
            </w:r>
          </w:hyperlink>
        </w:p>
        <w:p w14:paraId="2FD48852" w14:textId="4394DFAD" w:rsidR="00E04B8A" w:rsidRPr="00E04B8A" w:rsidRDefault="00E04B8A">
          <w:pPr>
            <w:pStyle w:val="TOC1"/>
            <w:tabs>
              <w:tab w:val="right" w:leader="dot" w:pos="9016"/>
            </w:tabs>
            <w:rPr>
              <w:rFonts w:ascii="Arial" w:hAnsi="Arial" w:cs="Arial"/>
              <w:noProof/>
            </w:rPr>
          </w:pPr>
          <w:hyperlink w:anchor="_Toc200497322" w:history="1">
            <w:r w:rsidRPr="00E04B8A">
              <w:rPr>
                <w:rStyle w:val="Hyperlink"/>
                <w:rFonts w:ascii="Arial" w:hAnsi="Arial" w:cs="Arial"/>
                <w:noProof/>
              </w:rPr>
              <w:t>Theoretical Frameworks</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_Toc200497322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3</w:t>
            </w:r>
            <w:r w:rsidRPr="00E04B8A">
              <w:rPr>
                <w:rFonts w:ascii="Arial" w:hAnsi="Arial" w:cs="Arial"/>
                <w:noProof/>
                <w:webHidden/>
              </w:rPr>
              <w:fldChar w:fldCharType="end"/>
            </w:r>
          </w:hyperlink>
        </w:p>
        <w:p w14:paraId="077E73F4" w14:textId="14DC22F4" w:rsidR="00E04B8A" w:rsidRPr="00E04B8A" w:rsidRDefault="00E04B8A">
          <w:pPr>
            <w:pStyle w:val="TOC1"/>
            <w:tabs>
              <w:tab w:val="right" w:leader="dot" w:pos="9016"/>
            </w:tabs>
            <w:rPr>
              <w:rFonts w:ascii="Arial" w:hAnsi="Arial" w:cs="Arial"/>
              <w:noProof/>
            </w:rPr>
          </w:pPr>
          <w:hyperlink w:anchor="_Toc200497323" w:history="1">
            <w:r w:rsidRPr="00E04B8A">
              <w:rPr>
                <w:rStyle w:val="Hyperlink"/>
                <w:rFonts w:ascii="Arial" w:hAnsi="Arial" w:cs="Arial"/>
                <w:noProof/>
              </w:rPr>
              <w:t>Triple Bottom Line</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_Toc200497323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3</w:t>
            </w:r>
            <w:r w:rsidRPr="00E04B8A">
              <w:rPr>
                <w:rFonts w:ascii="Arial" w:hAnsi="Arial" w:cs="Arial"/>
                <w:noProof/>
                <w:webHidden/>
              </w:rPr>
              <w:fldChar w:fldCharType="end"/>
            </w:r>
          </w:hyperlink>
        </w:p>
        <w:p w14:paraId="19331A08" w14:textId="13CB4ADC" w:rsidR="00E04B8A" w:rsidRPr="00E04B8A" w:rsidRDefault="00E04B8A">
          <w:pPr>
            <w:pStyle w:val="TOC1"/>
            <w:tabs>
              <w:tab w:val="right" w:leader="dot" w:pos="9016"/>
            </w:tabs>
            <w:rPr>
              <w:rFonts w:ascii="Arial" w:hAnsi="Arial" w:cs="Arial"/>
              <w:noProof/>
            </w:rPr>
          </w:pPr>
          <w:hyperlink w:anchor="_Toc200497324" w:history="1">
            <w:r w:rsidRPr="00E04B8A">
              <w:rPr>
                <w:rStyle w:val="Hyperlink"/>
                <w:rFonts w:ascii="Arial" w:hAnsi="Arial" w:cs="Arial"/>
                <w:noProof/>
              </w:rPr>
              <w:t>Corporate Social Responsibility</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_Toc200497324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4</w:t>
            </w:r>
            <w:r w:rsidRPr="00E04B8A">
              <w:rPr>
                <w:rFonts w:ascii="Arial" w:hAnsi="Arial" w:cs="Arial"/>
                <w:noProof/>
                <w:webHidden/>
              </w:rPr>
              <w:fldChar w:fldCharType="end"/>
            </w:r>
          </w:hyperlink>
        </w:p>
        <w:p w14:paraId="587A55D5" w14:textId="1C3CA6B9" w:rsidR="00E04B8A" w:rsidRPr="00E04B8A" w:rsidRDefault="00E04B8A">
          <w:pPr>
            <w:pStyle w:val="TOC1"/>
            <w:tabs>
              <w:tab w:val="right" w:leader="dot" w:pos="9016"/>
            </w:tabs>
            <w:rPr>
              <w:rFonts w:ascii="Arial" w:hAnsi="Arial" w:cs="Arial"/>
              <w:noProof/>
            </w:rPr>
          </w:pPr>
          <w:hyperlink w:anchor="_Toc200497325" w:history="1">
            <w:r w:rsidRPr="00E04B8A">
              <w:rPr>
                <w:rStyle w:val="Hyperlink"/>
                <w:rFonts w:ascii="Arial" w:hAnsi="Arial" w:cs="Arial"/>
                <w:noProof/>
              </w:rPr>
              <w:t>Circular Economy</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_Toc200497325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4</w:t>
            </w:r>
            <w:r w:rsidRPr="00E04B8A">
              <w:rPr>
                <w:rFonts w:ascii="Arial" w:hAnsi="Arial" w:cs="Arial"/>
                <w:noProof/>
                <w:webHidden/>
              </w:rPr>
              <w:fldChar w:fldCharType="end"/>
            </w:r>
          </w:hyperlink>
        </w:p>
        <w:p w14:paraId="683BBDAB" w14:textId="488B74E5" w:rsidR="00E04B8A" w:rsidRPr="00E04B8A" w:rsidRDefault="00E04B8A">
          <w:pPr>
            <w:pStyle w:val="TOC1"/>
            <w:tabs>
              <w:tab w:val="right" w:leader="dot" w:pos="9016"/>
            </w:tabs>
            <w:rPr>
              <w:rFonts w:ascii="Arial" w:hAnsi="Arial" w:cs="Arial"/>
              <w:noProof/>
            </w:rPr>
          </w:pPr>
          <w:hyperlink w:anchor="_Toc200497326" w:history="1">
            <w:r w:rsidRPr="00E04B8A">
              <w:rPr>
                <w:rStyle w:val="Hyperlink"/>
                <w:rFonts w:ascii="Arial" w:hAnsi="Arial" w:cs="Arial"/>
                <w:noProof/>
              </w:rPr>
              <w:t>Industry Drivers</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_Toc200497326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5</w:t>
            </w:r>
            <w:r w:rsidRPr="00E04B8A">
              <w:rPr>
                <w:rFonts w:ascii="Arial" w:hAnsi="Arial" w:cs="Arial"/>
                <w:noProof/>
                <w:webHidden/>
              </w:rPr>
              <w:fldChar w:fldCharType="end"/>
            </w:r>
          </w:hyperlink>
        </w:p>
        <w:p w14:paraId="56E83B89" w14:textId="746C5847" w:rsidR="00E04B8A" w:rsidRPr="00E04B8A" w:rsidRDefault="00E04B8A">
          <w:pPr>
            <w:pStyle w:val="TOC1"/>
            <w:tabs>
              <w:tab w:val="right" w:leader="dot" w:pos="9016"/>
            </w:tabs>
            <w:rPr>
              <w:rFonts w:ascii="Arial" w:hAnsi="Arial" w:cs="Arial"/>
              <w:noProof/>
            </w:rPr>
          </w:pPr>
          <w:hyperlink w:anchor="_Toc200497327" w:history="1">
            <w:r w:rsidRPr="00E04B8A">
              <w:rPr>
                <w:rStyle w:val="Hyperlink"/>
                <w:rFonts w:ascii="Arial" w:hAnsi="Arial" w:cs="Arial"/>
                <w:noProof/>
              </w:rPr>
              <w:t>Case Applications</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_Toc200497327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6</w:t>
            </w:r>
            <w:r w:rsidRPr="00E04B8A">
              <w:rPr>
                <w:rFonts w:ascii="Arial" w:hAnsi="Arial" w:cs="Arial"/>
                <w:noProof/>
                <w:webHidden/>
              </w:rPr>
              <w:fldChar w:fldCharType="end"/>
            </w:r>
          </w:hyperlink>
        </w:p>
        <w:p w14:paraId="2640DE9F" w14:textId="02F8D7E8" w:rsidR="00E04B8A" w:rsidRPr="00E04B8A" w:rsidRDefault="00E04B8A">
          <w:pPr>
            <w:pStyle w:val="TOC1"/>
            <w:tabs>
              <w:tab w:val="right" w:leader="dot" w:pos="9016"/>
            </w:tabs>
            <w:rPr>
              <w:rFonts w:ascii="Arial" w:hAnsi="Arial" w:cs="Arial"/>
              <w:noProof/>
            </w:rPr>
          </w:pPr>
          <w:hyperlink w:anchor="_Toc200497328" w:history="1">
            <w:r w:rsidRPr="00E04B8A">
              <w:rPr>
                <w:rStyle w:val="Hyperlink"/>
                <w:rFonts w:ascii="Arial" w:hAnsi="Arial" w:cs="Arial"/>
                <w:noProof/>
              </w:rPr>
              <w:t>Critical evaluation</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_Toc200497328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7</w:t>
            </w:r>
            <w:r w:rsidRPr="00E04B8A">
              <w:rPr>
                <w:rFonts w:ascii="Arial" w:hAnsi="Arial" w:cs="Arial"/>
                <w:noProof/>
                <w:webHidden/>
              </w:rPr>
              <w:fldChar w:fldCharType="end"/>
            </w:r>
          </w:hyperlink>
        </w:p>
        <w:p w14:paraId="21A94A29" w14:textId="79E38888" w:rsidR="00E04B8A" w:rsidRPr="00E04B8A" w:rsidRDefault="00E04B8A">
          <w:pPr>
            <w:pStyle w:val="TOC1"/>
            <w:tabs>
              <w:tab w:val="right" w:leader="dot" w:pos="9016"/>
            </w:tabs>
            <w:rPr>
              <w:rFonts w:ascii="Arial" w:hAnsi="Arial" w:cs="Arial"/>
              <w:noProof/>
            </w:rPr>
          </w:pPr>
          <w:hyperlink w:anchor="_Toc200497329" w:history="1">
            <w:r w:rsidRPr="00E04B8A">
              <w:rPr>
                <w:rStyle w:val="Hyperlink"/>
                <w:rFonts w:ascii="Arial" w:hAnsi="Arial" w:cs="Arial"/>
                <w:noProof/>
              </w:rPr>
              <w:t>Recommendations</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_Toc200497329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8</w:t>
            </w:r>
            <w:r w:rsidRPr="00E04B8A">
              <w:rPr>
                <w:rFonts w:ascii="Arial" w:hAnsi="Arial" w:cs="Arial"/>
                <w:noProof/>
                <w:webHidden/>
              </w:rPr>
              <w:fldChar w:fldCharType="end"/>
            </w:r>
          </w:hyperlink>
        </w:p>
        <w:p w14:paraId="768EDCE9" w14:textId="0EDB3853" w:rsidR="00E04B8A" w:rsidRPr="00E04B8A" w:rsidRDefault="00E04B8A">
          <w:pPr>
            <w:pStyle w:val="TOC1"/>
            <w:tabs>
              <w:tab w:val="right" w:leader="dot" w:pos="9016"/>
            </w:tabs>
            <w:rPr>
              <w:rFonts w:ascii="Arial" w:hAnsi="Arial" w:cs="Arial"/>
              <w:noProof/>
            </w:rPr>
          </w:pPr>
          <w:hyperlink w:anchor="_Toc200497330" w:history="1">
            <w:r w:rsidRPr="00E04B8A">
              <w:rPr>
                <w:rStyle w:val="Hyperlink"/>
                <w:rFonts w:ascii="Arial" w:hAnsi="Arial" w:cs="Arial"/>
                <w:noProof/>
              </w:rPr>
              <w:t>Conclusion</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_Toc200497330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9</w:t>
            </w:r>
            <w:r w:rsidRPr="00E04B8A">
              <w:rPr>
                <w:rFonts w:ascii="Arial" w:hAnsi="Arial" w:cs="Arial"/>
                <w:noProof/>
                <w:webHidden/>
              </w:rPr>
              <w:fldChar w:fldCharType="end"/>
            </w:r>
          </w:hyperlink>
        </w:p>
        <w:p w14:paraId="61BDC490" w14:textId="7B2027F0" w:rsidR="00E04B8A" w:rsidRPr="00E04B8A" w:rsidRDefault="00E04B8A">
          <w:pPr>
            <w:pStyle w:val="TOC1"/>
            <w:tabs>
              <w:tab w:val="right" w:leader="dot" w:pos="9016"/>
            </w:tabs>
            <w:rPr>
              <w:rFonts w:ascii="Arial" w:hAnsi="Arial" w:cs="Arial"/>
              <w:noProof/>
            </w:rPr>
          </w:pPr>
          <w:hyperlink w:anchor="_Toc200497331" w:history="1">
            <w:r w:rsidRPr="00E04B8A">
              <w:rPr>
                <w:rStyle w:val="Hyperlink"/>
                <w:rFonts w:ascii="Arial" w:hAnsi="Arial" w:cs="Arial"/>
                <w:noProof/>
              </w:rPr>
              <w:t>References</w:t>
            </w:r>
            <w:r w:rsidRPr="00E04B8A">
              <w:rPr>
                <w:rFonts w:ascii="Arial" w:hAnsi="Arial" w:cs="Arial"/>
                <w:noProof/>
                <w:webHidden/>
              </w:rPr>
              <w:tab/>
            </w:r>
            <w:r w:rsidRPr="00E04B8A">
              <w:rPr>
                <w:rFonts w:ascii="Arial" w:hAnsi="Arial" w:cs="Arial"/>
                <w:noProof/>
                <w:webHidden/>
              </w:rPr>
              <w:fldChar w:fldCharType="begin"/>
            </w:r>
            <w:r w:rsidRPr="00E04B8A">
              <w:rPr>
                <w:rFonts w:ascii="Arial" w:hAnsi="Arial" w:cs="Arial"/>
                <w:noProof/>
                <w:webHidden/>
              </w:rPr>
              <w:instrText xml:space="preserve"> PAGEREF _Toc200497331 \h </w:instrText>
            </w:r>
            <w:r w:rsidRPr="00E04B8A">
              <w:rPr>
                <w:rFonts w:ascii="Arial" w:hAnsi="Arial" w:cs="Arial"/>
                <w:noProof/>
                <w:webHidden/>
              </w:rPr>
            </w:r>
            <w:r w:rsidRPr="00E04B8A">
              <w:rPr>
                <w:rFonts w:ascii="Arial" w:hAnsi="Arial" w:cs="Arial"/>
                <w:noProof/>
                <w:webHidden/>
              </w:rPr>
              <w:fldChar w:fldCharType="separate"/>
            </w:r>
            <w:r w:rsidR="007E1EF0">
              <w:rPr>
                <w:rFonts w:ascii="Arial" w:hAnsi="Arial" w:cs="Arial"/>
                <w:noProof/>
                <w:webHidden/>
              </w:rPr>
              <w:t>10</w:t>
            </w:r>
            <w:r w:rsidRPr="00E04B8A">
              <w:rPr>
                <w:rFonts w:ascii="Arial" w:hAnsi="Arial" w:cs="Arial"/>
                <w:noProof/>
                <w:webHidden/>
              </w:rPr>
              <w:fldChar w:fldCharType="end"/>
            </w:r>
          </w:hyperlink>
        </w:p>
        <w:p w14:paraId="5859264A" w14:textId="741101DE" w:rsidR="00E04B8A" w:rsidRDefault="00E04B8A">
          <w:r w:rsidRPr="00E04B8A">
            <w:rPr>
              <w:rFonts w:ascii="Arial" w:hAnsi="Arial" w:cs="Arial"/>
              <w:b/>
              <w:bCs/>
              <w:noProof/>
            </w:rPr>
            <w:fldChar w:fldCharType="end"/>
          </w:r>
        </w:p>
      </w:sdtContent>
    </w:sdt>
    <w:p w14:paraId="251FC335" w14:textId="77777777" w:rsidR="00C5605F" w:rsidRDefault="00C5605F" w:rsidP="00C5605F">
      <w:pPr>
        <w:spacing w:line="360" w:lineRule="auto"/>
        <w:rPr>
          <w:rFonts w:ascii="Arial" w:hAnsi="Arial" w:cs="Arial"/>
          <w:b/>
          <w:bCs/>
          <w:sz w:val="24"/>
          <w:szCs w:val="24"/>
        </w:rPr>
      </w:pPr>
    </w:p>
    <w:p w14:paraId="1A2F0C5B" w14:textId="77777777" w:rsidR="00C5605F" w:rsidRDefault="00C5605F" w:rsidP="00C5605F">
      <w:pPr>
        <w:spacing w:line="360" w:lineRule="auto"/>
        <w:rPr>
          <w:rFonts w:ascii="Arial" w:hAnsi="Arial" w:cs="Arial"/>
          <w:b/>
          <w:bCs/>
          <w:sz w:val="24"/>
          <w:szCs w:val="24"/>
        </w:rPr>
      </w:pPr>
    </w:p>
    <w:p w14:paraId="1C4E576B" w14:textId="77777777" w:rsidR="00C5605F" w:rsidRDefault="00C5605F" w:rsidP="00C5605F">
      <w:pPr>
        <w:spacing w:line="360" w:lineRule="auto"/>
        <w:rPr>
          <w:rFonts w:ascii="Arial" w:hAnsi="Arial" w:cs="Arial"/>
          <w:b/>
          <w:bCs/>
          <w:sz w:val="24"/>
          <w:szCs w:val="24"/>
        </w:rPr>
      </w:pPr>
    </w:p>
    <w:p w14:paraId="312CE322" w14:textId="77777777" w:rsidR="00C5605F" w:rsidRDefault="00C5605F" w:rsidP="00C5605F">
      <w:pPr>
        <w:spacing w:line="360" w:lineRule="auto"/>
        <w:rPr>
          <w:rFonts w:ascii="Arial" w:hAnsi="Arial" w:cs="Arial"/>
          <w:b/>
          <w:bCs/>
          <w:sz w:val="24"/>
          <w:szCs w:val="24"/>
        </w:rPr>
      </w:pPr>
    </w:p>
    <w:p w14:paraId="37E72823" w14:textId="77777777" w:rsidR="00C5605F" w:rsidRDefault="00C5605F" w:rsidP="00C5605F">
      <w:pPr>
        <w:spacing w:line="360" w:lineRule="auto"/>
        <w:rPr>
          <w:rFonts w:ascii="Arial" w:hAnsi="Arial" w:cs="Arial"/>
          <w:b/>
          <w:bCs/>
          <w:sz w:val="24"/>
          <w:szCs w:val="24"/>
        </w:rPr>
      </w:pPr>
    </w:p>
    <w:p w14:paraId="03B5EB7F" w14:textId="77777777" w:rsidR="00C5605F" w:rsidRDefault="00C5605F" w:rsidP="00C5605F">
      <w:pPr>
        <w:spacing w:line="360" w:lineRule="auto"/>
        <w:rPr>
          <w:rFonts w:ascii="Arial" w:hAnsi="Arial" w:cs="Arial"/>
          <w:b/>
          <w:bCs/>
          <w:sz w:val="24"/>
          <w:szCs w:val="24"/>
        </w:rPr>
      </w:pPr>
    </w:p>
    <w:p w14:paraId="398821C9" w14:textId="77777777" w:rsidR="00C5605F" w:rsidRDefault="00C5605F" w:rsidP="00C5605F">
      <w:pPr>
        <w:spacing w:line="360" w:lineRule="auto"/>
        <w:rPr>
          <w:rFonts w:ascii="Arial" w:hAnsi="Arial" w:cs="Arial"/>
          <w:b/>
          <w:bCs/>
          <w:sz w:val="24"/>
          <w:szCs w:val="24"/>
        </w:rPr>
      </w:pPr>
    </w:p>
    <w:p w14:paraId="236BE688" w14:textId="77777777" w:rsidR="00C5605F" w:rsidRDefault="00C5605F" w:rsidP="00C5605F">
      <w:pPr>
        <w:spacing w:line="360" w:lineRule="auto"/>
        <w:rPr>
          <w:rFonts w:ascii="Arial" w:hAnsi="Arial" w:cs="Arial"/>
          <w:b/>
          <w:bCs/>
          <w:sz w:val="24"/>
          <w:szCs w:val="24"/>
        </w:rPr>
      </w:pPr>
    </w:p>
    <w:p w14:paraId="72CA3D19" w14:textId="77777777" w:rsidR="00C5605F" w:rsidRDefault="00C5605F" w:rsidP="00C5605F">
      <w:pPr>
        <w:spacing w:line="360" w:lineRule="auto"/>
        <w:rPr>
          <w:rFonts w:ascii="Arial" w:hAnsi="Arial" w:cs="Arial"/>
          <w:b/>
          <w:bCs/>
          <w:sz w:val="24"/>
          <w:szCs w:val="24"/>
        </w:rPr>
      </w:pPr>
    </w:p>
    <w:p w14:paraId="5C40ADF5" w14:textId="77777777" w:rsidR="00C5605F" w:rsidRDefault="00C5605F" w:rsidP="00C5605F">
      <w:pPr>
        <w:spacing w:line="360" w:lineRule="auto"/>
        <w:rPr>
          <w:rFonts w:ascii="Arial" w:hAnsi="Arial" w:cs="Arial"/>
          <w:b/>
          <w:bCs/>
          <w:sz w:val="24"/>
          <w:szCs w:val="24"/>
        </w:rPr>
      </w:pPr>
    </w:p>
    <w:p w14:paraId="1DC3BEF5" w14:textId="77777777" w:rsidR="00C5605F" w:rsidRDefault="00C5605F" w:rsidP="00C5605F">
      <w:pPr>
        <w:spacing w:line="360" w:lineRule="auto"/>
        <w:rPr>
          <w:rFonts w:ascii="Arial" w:hAnsi="Arial" w:cs="Arial"/>
          <w:b/>
          <w:bCs/>
          <w:sz w:val="24"/>
          <w:szCs w:val="24"/>
        </w:rPr>
      </w:pPr>
    </w:p>
    <w:p w14:paraId="75A551C6" w14:textId="77777777" w:rsidR="00C5605F" w:rsidRDefault="00C5605F" w:rsidP="00C5605F">
      <w:pPr>
        <w:spacing w:line="360" w:lineRule="auto"/>
        <w:rPr>
          <w:rFonts w:ascii="Arial" w:hAnsi="Arial" w:cs="Arial"/>
          <w:b/>
          <w:bCs/>
          <w:sz w:val="24"/>
          <w:szCs w:val="24"/>
        </w:rPr>
      </w:pPr>
    </w:p>
    <w:p w14:paraId="2AB0F3B8" w14:textId="77777777" w:rsidR="00C5605F" w:rsidRDefault="00C5605F" w:rsidP="00C5605F">
      <w:pPr>
        <w:spacing w:line="360" w:lineRule="auto"/>
        <w:rPr>
          <w:rFonts w:ascii="Arial" w:hAnsi="Arial" w:cs="Arial"/>
          <w:b/>
          <w:bCs/>
          <w:sz w:val="24"/>
          <w:szCs w:val="24"/>
        </w:rPr>
      </w:pPr>
    </w:p>
    <w:p w14:paraId="6C9344FF" w14:textId="77777777" w:rsidR="00C5605F" w:rsidRDefault="00C5605F" w:rsidP="00C5605F">
      <w:pPr>
        <w:spacing w:line="360" w:lineRule="auto"/>
        <w:rPr>
          <w:rFonts w:ascii="Arial" w:hAnsi="Arial" w:cs="Arial"/>
          <w:b/>
          <w:bCs/>
          <w:sz w:val="24"/>
          <w:szCs w:val="24"/>
        </w:rPr>
      </w:pPr>
    </w:p>
    <w:p w14:paraId="491F089E" w14:textId="77777777" w:rsidR="00C5605F" w:rsidRDefault="00C5605F" w:rsidP="00C5605F">
      <w:pPr>
        <w:spacing w:line="360" w:lineRule="auto"/>
        <w:rPr>
          <w:rFonts w:ascii="Arial" w:hAnsi="Arial" w:cs="Arial"/>
          <w:b/>
          <w:bCs/>
          <w:sz w:val="24"/>
          <w:szCs w:val="24"/>
        </w:rPr>
      </w:pPr>
    </w:p>
    <w:p w14:paraId="569FEF7F" w14:textId="77777777" w:rsidR="00C5605F" w:rsidRDefault="00C5605F" w:rsidP="00C5605F">
      <w:pPr>
        <w:spacing w:line="360" w:lineRule="auto"/>
        <w:rPr>
          <w:rFonts w:ascii="Arial" w:hAnsi="Arial" w:cs="Arial"/>
          <w:b/>
          <w:bCs/>
          <w:sz w:val="24"/>
          <w:szCs w:val="24"/>
        </w:rPr>
      </w:pPr>
    </w:p>
    <w:p w14:paraId="1BDBEDD8" w14:textId="6383EDA0" w:rsidR="00C5605F" w:rsidRPr="007E1EF0" w:rsidRDefault="00C5605F" w:rsidP="007E1EF0">
      <w:pPr>
        <w:pStyle w:val="EU"/>
        <w:spacing w:line="360" w:lineRule="auto"/>
        <w:rPr>
          <w:color w:val="000000" w:themeColor="text1"/>
        </w:rPr>
      </w:pPr>
      <w:bookmarkStart w:id="0" w:name="_Toc200497321"/>
      <w:r w:rsidRPr="007E1EF0">
        <w:rPr>
          <w:color w:val="000000" w:themeColor="text1"/>
        </w:rPr>
        <w:lastRenderedPageBreak/>
        <w:t>Introduction</w:t>
      </w:r>
      <w:bookmarkEnd w:id="0"/>
      <w:r w:rsidRPr="007E1EF0">
        <w:rPr>
          <w:color w:val="000000" w:themeColor="text1"/>
        </w:rPr>
        <w:t xml:space="preserve"> </w:t>
      </w:r>
    </w:p>
    <w:p w14:paraId="0568C0E4" w14:textId="320A916E" w:rsidR="00C5605F" w:rsidRPr="007E1EF0" w:rsidRDefault="00C5605F"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In recent years, the hotel industry has been under heightened criticism owing to its enormous resource consumption and environmental effect.  Sustainability, defined by the United Nations World Tourism Organization as addressing existing demands without sacrificing future generations, requires balanced attention to environmental, social, and economic consequences (</w:t>
      </w:r>
      <w:r w:rsidR="00066D64" w:rsidRPr="007E1EF0">
        <w:rPr>
          <w:rFonts w:ascii="Arial" w:hAnsi="Arial" w:cs="Arial"/>
          <w:color w:val="000000" w:themeColor="text1"/>
          <w:sz w:val="24"/>
          <w:szCs w:val="24"/>
          <w:lang w:eastAsia="en-GB"/>
        </w:rPr>
        <w:t>Jones, Hillier, and Comfort, 2016</w:t>
      </w:r>
      <w:r w:rsidRPr="007E1EF0">
        <w:rPr>
          <w:rFonts w:ascii="Arial" w:hAnsi="Arial" w:cs="Arial"/>
          <w:color w:val="000000" w:themeColor="text1"/>
          <w:sz w:val="24"/>
          <w:szCs w:val="24"/>
          <w:lang w:eastAsia="en-GB"/>
        </w:rPr>
        <w:t>).  Circularity, as articulated by Kirchherr et al. (2017), extends this responsibility by designing out waste and pollution, preserving goods and materials in use, and renewing natural systems.  This approach urges hospitality operators to adopt closed-loop processes—from sourcing and operations to disposal.  Both sustainability and circularity have become crucial in hospitality owing to rising regulatory, stakeholder, and commercial demands.  Energy and water shortages, trash buildup, and carbon emissions pose immediate operating concerns.  At the same time, visitors and investors increasingly expect confirmation of ethical behaviour and environmental stewardship</w:t>
      </w:r>
      <w:r w:rsidR="00533E9E" w:rsidRPr="007E1EF0">
        <w:rPr>
          <w:rFonts w:ascii="Arial" w:hAnsi="Arial" w:cs="Arial"/>
          <w:color w:val="000000" w:themeColor="text1"/>
          <w:sz w:val="24"/>
          <w:szCs w:val="24"/>
          <w:lang w:eastAsia="en-GB"/>
        </w:rPr>
        <w:t>.</w:t>
      </w:r>
      <w:r w:rsidRPr="007E1EF0">
        <w:rPr>
          <w:rFonts w:ascii="Arial" w:hAnsi="Arial" w:cs="Arial"/>
          <w:color w:val="000000" w:themeColor="text1"/>
          <w:sz w:val="24"/>
          <w:szCs w:val="24"/>
          <w:lang w:eastAsia="en-GB"/>
        </w:rPr>
        <w:t xml:space="preserve"> These forces push hotel firms to incorporate sustainable and circular business models not just as moral choices, but as important aspects of competitive strategy</w:t>
      </w:r>
      <w:r w:rsidR="00533E9E" w:rsidRPr="007E1EF0">
        <w:rPr>
          <w:rFonts w:ascii="Arial" w:hAnsi="Arial" w:cs="Arial"/>
          <w:color w:val="000000" w:themeColor="text1"/>
          <w:sz w:val="24"/>
          <w:szCs w:val="24"/>
          <w:lang w:eastAsia="en-GB"/>
        </w:rPr>
        <w:t xml:space="preserve"> (Legrand, Chen, and Laeis, 2022)</w:t>
      </w:r>
      <w:r w:rsidRPr="007E1EF0">
        <w:rPr>
          <w:rFonts w:ascii="Arial" w:hAnsi="Arial" w:cs="Arial"/>
          <w:color w:val="000000" w:themeColor="text1"/>
          <w:sz w:val="24"/>
          <w:szCs w:val="24"/>
          <w:lang w:eastAsia="en-GB"/>
        </w:rPr>
        <w:t>.  This research critically investigates why sustainable and circular business models are increasingly important for hotel businesses.  It uses three theoretical frameworks—Triple Bottom Line, Corporate Social Responsibility, and Circular Economy—to case studies of Hilton, Six Senses, and The Scarlet Hotel. The paper then assesses obstacles and gaps and closes with evidence-based strategic suggestions.</w:t>
      </w:r>
    </w:p>
    <w:p w14:paraId="6955FA87" w14:textId="08087D68" w:rsidR="00C5605F" w:rsidRPr="007E1EF0" w:rsidRDefault="00360E1C" w:rsidP="007E1EF0">
      <w:pPr>
        <w:pStyle w:val="EU"/>
        <w:spacing w:line="360" w:lineRule="auto"/>
        <w:rPr>
          <w:color w:val="000000" w:themeColor="text1"/>
        </w:rPr>
      </w:pPr>
      <w:bookmarkStart w:id="1" w:name="_Toc200497322"/>
      <w:r w:rsidRPr="007E1EF0">
        <w:rPr>
          <w:color w:val="000000" w:themeColor="text1"/>
        </w:rPr>
        <w:t>Theoretical Frameworks</w:t>
      </w:r>
      <w:bookmarkEnd w:id="1"/>
    </w:p>
    <w:p w14:paraId="197359CE" w14:textId="505104B5" w:rsidR="00360E1C" w:rsidRPr="007E1EF0" w:rsidRDefault="00360E1C" w:rsidP="007E1EF0">
      <w:pPr>
        <w:pStyle w:val="EU"/>
        <w:spacing w:line="360" w:lineRule="auto"/>
        <w:rPr>
          <w:color w:val="000000" w:themeColor="text1"/>
        </w:rPr>
      </w:pPr>
      <w:bookmarkStart w:id="2" w:name="_Toc200497323"/>
      <w:r w:rsidRPr="007E1EF0">
        <w:rPr>
          <w:color w:val="000000" w:themeColor="text1"/>
        </w:rPr>
        <w:t>Triple Bottom Line</w:t>
      </w:r>
      <w:bookmarkEnd w:id="2"/>
    </w:p>
    <w:p w14:paraId="453D3A39" w14:textId="1A147417" w:rsidR="00360E1C" w:rsidRPr="007E1EF0" w:rsidRDefault="00360E1C"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The Triple Bottom Line (TBL) paradigm says that businesses should look at their performance in three areas that are connected: economic, social, and environmental. In the "people" dimension, hotels make sure that their workers, visitors, suppliers, and communities are treated fairly since they know that social equality is important for long-term prosperity. The "planet" component means that hotels have to keep track of and cut down on their consumption of resources, emissions, and trash</w:t>
      </w:r>
      <w:r w:rsidR="00533E9E" w:rsidRPr="007E1EF0">
        <w:rPr>
          <w:rFonts w:ascii="Arial" w:hAnsi="Arial" w:cs="Arial"/>
          <w:color w:val="000000" w:themeColor="text1"/>
          <w:sz w:val="24"/>
          <w:szCs w:val="24"/>
          <w:lang w:eastAsia="en-GB"/>
        </w:rPr>
        <w:t xml:space="preserve"> (Arowoshegbe, Emmanuel, and Gina, 2016)</w:t>
      </w:r>
      <w:r w:rsidRPr="007E1EF0">
        <w:rPr>
          <w:rFonts w:ascii="Arial" w:hAnsi="Arial" w:cs="Arial"/>
          <w:color w:val="000000" w:themeColor="text1"/>
          <w:sz w:val="24"/>
          <w:szCs w:val="24"/>
          <w:lang w:eastAsia="en-GB"/>
        </w:rPr>
        <w:t xml:space="preserve">. This shows that they are responsible for having as little of an effect on the environment as possible in all of their activities. The "profit" </w:t>
      </w:r>
      <w:r w:rsidRPr="007E1EF0">
        <w:rPr>
          <w:rFonts w:ascii="Arial" w:hAnsi="Arial" w:cs="Arial"/>
          <w:color w:val="000000" w:themeColor="text1"/>
          <w:sz w:val="24"/>
          <w:szCs w:val="24"/>
          <w:lang w:eastAsia="en-GB"/>
        </w:rPr>
        <w:lastRenderedPageBreak/>
        <w:t>dimension goes beyond just making money to encompass doing business in a way that is good for the environment and the economy over the long term. To use TBL successfully, hotels need to include quantitative indicators for all three areas in their strategic planning and reporting</w:t>
      </w:r>
      <w:r w:rsidR="00533E9E" w:rsidRPr="007E1EF0">
        <w:rPr>
          <w:rFonts w:ascii="Arial" w:hAnsi="Arial" w:cs="Arial"/>
          <w:color w:val="000000" w:themeColor="text1"/>
          <w:sz w:val="24"/>
          <w:szCs w:val="24"/>
          <w:lang w:eastAsia="en-GB"/>
        </w:rPr>
        <w:t xml:space="preserve"> (Hogevold et al., 2015)</w:t>
      </w:r>
      <w:r w:rsidRPr="007E1EF0">
        <w:rPr>
          <w:rFonts w:ascii="Arial" w:hAnsi="Arial" w:cs="Arial"/>
          <w:color w:val="000000" w:themeColor="text1"/>
          <w:sz w:val="24"/>
          <w:szCs w:val="24"/>
          <w:lang w:eastAsia="en-GB"/>
        </w:rPr>
        <w:t>. This will make sure that they take a balanced approach to making money, being socially responsible, and taking care of the environment.</w:t>
      </w:r>
    </w:p>
    <w:p w14:paraId="16602D9A" w14:textId="68192A4C" w:rsidR="00360E1C" w:rsidRPr="007E1EF0" w:rsidRDefault="00360E1C" w:rsidP="007E1EF0">
      <w:pPr>
        <w:pStyle w:val="EU"/>
        <w:spacing w:line="360" w:lineRule="auto"/>
        <w:rPr>
          <w:color w:val="000000" w:themeColor="text1"/>
        </w:rPr>
      </w:pPr>
      <w:bookmarkStart w:id="3" w:name="_Toc200497324"/>
      <w:r w:rsidRPr="007E1EF0">
        <w:rPr>
          <w:color w:val="000000" w:themeColor="text1"/>
        </w:rPr>
        <w:t>Corporate Social Responsibility</w:t>
      </w:r>
      <w:bookmarkEnd w:id="3"/>
    </w:p>
    <w:p w14:paraId="330BA173" w14:textId="1CF48BD6" w:rsidR="00360E1C" w:rsidRPr="007E1EF0" w:rsidRDefault="00360E1C"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Corporate Social Responsibility (CSR) is structured around four levels of obligation: economic, legal, ethical and philanthropic. The foundational economic responsibility requires hotels to remain viable enough to fulfil broader commitments. Legal responsibility ensures compliance with labour, safety and environmental regulations that govern operations</w:t>
      </w:r>
      <w:r w:rsidR="00E71D7E" w:rsidRPr="007E1EF0">
        <w:rPr>
          <w:rFonts w:ascii="Arial" w:hAnsi="Arial" w:cs="Arial"/>
          <w:color w:val="000000" w:themeColor="text1"/>
          <w:sz w:val="24"/>
          <w:szCs w:val="24"/>
        </w:rPr>
        <w:t xml:space="preserve"> </w:t>
      </w:r>
      <w:r w:rsidR="00E71D7E" w:rsidRPr="007E1EF0">
        <w:rPr>
          <w:rFonts w:ascii="Arial" w:hAnsi="Arial" w:cs="Arial"/>
          <w:color w:val="000000" w:themeColor="text1"/>
          <w:sz w:val="24"/>
          <w:szCs w:val="24"/>
          <w:lang w:eastAsia="en-GB"/>
        </w:rPr>
        <w:t>(Stobierski, 2021)</w:t>
      </w:r>
      <w:r w:rsidRPr="007E1EF0">
        <w:rPr>
          <w:rFonts w:ascii="Arial" w:hAnsi="Arial" w:cs="Arial"/>
          <w:color w:val="000000" w:themeColor="text1"/>
          <w:sz w:val="24"/>
          <w:szCs w:val="24"/>
          <w:lang w:eastAsia="en-GB"/>
        </w:rPr>
        <w:t>. Ethical responsibility addresses expectations beyond compliance, calling on hotels to treat stakeholders—such as employees, guests and local populations—with fairness, respect and cultural sensitivity. The philanthropic layer encourages hotels to contribute voluntarily to social and community development initiatives, such as job creation or partnerships with local groups</w:t>
      </w:r>
      <w:r w:rsidR="00E71D7E" w:rsidRPr="007E1EF0">
        <w:rPr>
          <w:rFonts w:ascii="Arial" w:hAnsi="Arial" w:cs="Arial"/>
          <w:color w:val="000000" w:themeColor="text1"/>
          <w:sz w:val="24"/>
          <w:szCs w:val="24"/>
        </w:rPr>
        <w:t xml:space="preserve"> </w:t>
      </w:r>
      <w:r w:rsidR="00E71D7E" w:rsidRPr="007E1EF0">
        <w:rPr>
          <w:rFonts w:ascii="Arial" w:hAnsi="Arial" w:cs="Arial"/>
          <w:color w:val="000000" w:themeColor="text1"/>
          <w:sz w:val="24"/>
          <w:szCs w:val="24"/>
          <w:lang w:eastAsia="en-GB"/>
        </w:rPr>
        <w:t>(Khatter, 2025)</w:t>
      </w:r>
      <w:r w:rsidRPr="007E1EF0">
        <w:rPr>
          <w:rFonts w:ascii="Arial" w:hAnsi="Arial" w:cs="Arial"/>
          <w:color w:val="000000" w:themeColor="text1"/>
          <w:sz w:val="24"/>
          <w:szCs w:val="24"/>
          <w:lang w:eastAsia="en-GB"/>
        </w:rPr>
        <w:t>. By following CSR’s four-tiered model, hotels align their internal policies and practices with evolving societal expectations, advancing trust and legitimacy across stakeholder groups</w:t>
      </w:r>
      <w:r w:rsidR="00E71D7E" w:rsidRPr="007E1EF0">
        <w:rPr>
          <w:rFonts w:ascii="Arial" w:hAnsi="Arial" w:cs="Arial"/>
          <w:color w:val="000000" w:themeColor="text1"/>
          <w:sz w:val="24"/>
          <w:szCs w:val="24"/>
        </w:rPr>
        <w:t xml:space="preserve"> </w:t>
      </w:r>
      <w:r w:rsidR="00E71D7E" w:rsidRPr="007E1EF0">
        <w:rPr>
          <w:rFonts w:ascii="Arial" w:hAnsi="Arial" w:cs="Arial"/>
          <w:color w:val="000000" w:themeColor="text1"/>
          <w:sz w:val="24"/>
          <w:szCs w:val="24"/>
          <w:lang w:eastAsia="en-GB"/>
        </w:rPr>
        <w:t>(Carroll, 2016)</w:t>
      </w:r>
      <w:r w:rsidRPr="007E1EF0">
        <w:rPr>
          <w:rFonts w:ascii="Arial" w:hAnsi="Arial" w:cs="Arial"/>
          <w:color w:val="000000" w:themeColor="text1"/>
          <w:sz w:val="24"/>
          <w:szCs w:val="24"/>
          <w:lang w:eastAsia="en-GB"/>
        </w:rPr>
        <w:t>.</w:t>
      </w:r>
    </w:p>
    <w:p w14:paraId="40787974" w14:textId="0097A937" w:rsidR="00360E1C" w:rsidRPr="007E1EF0" w:rsidRDefault="00360E1C" w:rsidP="007E1EF0">
      <w:pPr>
        <w:pStyle w:val="EU"/>
        <w:spacing w:line="360" w:lineRule="auto"/>
        <w:rPr>
          <w:color w:val="000000" w:themeColor="text1"/>
        </w:rPr>
      </w:pPr>
      <w:bookmarkStart w:id="4" w:name="_Toc200497325"/>
      <w:r w:rsidRPr="007E1EF0">
        <w:rPr>
          <w:color w:val="000000" w:themeColor="text1"/>
        </w:rPr>
        <w:t>Circular Economy</w:t>
      </w:r>
      <w:bookmarkEnd w:id="4"/>
    </w:p>
    <w:p w14:paraId="189B8AEB" w14:textId="1DA7F17C" w:rsidR="00360E1C" w:rsidRPr="007E1EF0" w:rsidRDefault="00360E1C"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The Circular Economy framework revolves around three core principles: eliminate waste and pollution; circulate products and materials at their highest value; and regenerate natural systems. Rather than following a linear approach of “take, make, dispose,” CE encourages retention, reuse, refurbishment, remanufacturing and recycling to prolong resource life and secure ongoing value</w:t>
      </w:r>
      <w:r w:rsidR="00E71D7E" w:rsidRPr="007E1EF0">
        <w:rPr>
          <w:rFonts w:ascii="Arial" w:hAnsi="Arial" w:cs="Arial"/>
          <w:color w:val="000000" w:themeColor="text1"/>
          <w:sz w:val="24"/>
          <w:szCs w:val="24"/>
        </w:rPr>
        <w:t xml:space="preserve"> </w:t>
      </w:r>
      <w:r w:rsidR="00E71D7E" w:rsidRPr="007E1EF0">
        <w:rPr>
          <w:rFonts w:ascii="Arial" w:hAnsi="Arial" w:cs="Arial"/>
          <w:color w:val="000000" w:themeColor="text1"/>
          <w:sz w:val="24"/>
          <w:szCs w:val="24"/>
          <w:lang w:eastAsia="en-GB"/>
        </w:rPr>
        <w:t>(Ho et al., 2024)</w:t>
      </w:r>
      <w:r w:rsidRPr="007E1EF0">
        <w:rPr>
          <w:rFonts w:ascii="Arial" w:hAnsi="Arial" w:cs="Arial"/>
          <w:color w:val="000000" w:themeColor="text1"/>
          <w:sz w:val="24"/>
          <w:szCs w:val="24"/>
          <w:lang w:eastAsia="en-GB"/>
        </w:rPr>
        <w:t>. In a hotel context, this translates into practical steps such as treating and reusing greywater for landscaping, composting organic waste, repairing and reusing linens, offering refillable amenities, and investing in renewable energy systems. These practices reduce overall resource intensity, lower operational costs and stimulate innovation in service design</w:t>
      </w:r>
      <w:r w:rsidR="00E71D7E" w:rsidRPr="007E1EF0">
        <w:rPr>
          <w:rFonts w:ascii="Arial" w:hAnsi="Arial" w:cs="Arial"/>
          <w:color w:val="000000" w:themeColor="text1"/>
          <w:sz w:val="24"/>
          <w:szCs w:val="24"/>
          <w:lang w:eastAsia="en-GB"/>
        </w:rPr>
        <w:t xml:space="preserve"> (Sorin and Sivarajah, 2021)</w:t>
      </w:r>
      <w:r w:rsidRPr="007E1EF0">
        <w:rPr>
          <w:rFonts w:ascii="Arial" w:hAnsi="Arial" w:cs="Arial"/>
          <w:color w:val="000000" w:themeColor="text1"/>
          <w:sz w:val="24"/>
          <w:szCs w:val="24"/>
          <w:lang w:eastAsia="en-GB"/>
        </w:rPr>
        <w:t>. Embedding circular principles within a hospitality operation guides hotels towards holistic systems thinking, where material loops close and environmental regeneration replaces resource depletion.</w:t>
      </w:r>
    </w:p>
    <w:p w14:paraId="3E69F04E" w14:textId="14FD56C4" w:rsidR="005C7302" w:rsidRPr="007E1EF0" w:rsidRDefault="00360E1C" w:rsidP="007E1EF0">
      <w:pPr>
        <w:pStyle w:val="EU"/>
        <w:spacing w:line="360" w:lineRule="auto"/>
        <w:rPr>
          <w:color w:val="000000" w:themeColor="text1"/>
        </w:rPr>
      </w:pPr>
      <w:bookmarkStart w:id="5" w:name="_Toc200497326"/>
      <w:r w:rsidRPr="007E1EF0">
        <w:rPr>
          <w:color w:val="000000" w:themeColor="text1"/>
        </w:rPr>
        <w:lastRenderedPageBreak/>
        <w:t>Industry Drivers</w:t>
      </w:r>
      <w:bookmarkEnd w:id="5"/>
    </w:p>
    <w:p w14:paraId="5C72DD91" w14:textId="10CC0C25" w:rsidR="005C7302" w:rsidRPr="007E1EF0" w:rsidRDefault="005C7302"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The hotel business has a big impact on the environment since it uses a lot of energy, water, and trash. Hotels frequently use a lot more resources per person than homes do, which adds a lot of global carbon emissions (Makoondlall</w:t>
      </w:r>
      <w:r w:rsidRPr="007E1EF0">
        <w:rPr>
          <w:rFonts w:ascii="Cambria Math" w:hAnsi="Cambria Math" w:cs="Cambria Math"/>
          <w:color w:val="000000" w:themeColor="text1"/>
          <w:sz w:val="24"/>
          <w:szCs w:val="24"/>
          <w:lang w:eastAsia="en-GB"/>
        </w:rPr>
        <w:t>‑</w:t>
      </w:r>
      <w:r w:rsidRPr="007E1EF0">
        <w:rPr>
          <w:rFonts w:ascii="Arial" w:hAnsi="Arial" w:cs="Arial"/>
          <w:color w:val="000000" w:themeColor="text1"/>
          <w:sz w:val="24"/>
          <w:szCs w:val="24"/>
          <w:lang w:eastAsia="en-GB"/>
        </w:rPr>
        <w:t xml:space="preserve">Chadee &amp; Bokhoree, 2024).  Hotel managers have to rethink how they run their businesses because of resource shortages and climate-related problems. For instance, hotels may use environmental management systems like ISO 14001 and certification methods that are in line with the Sustainable Development Goals to keep track of and lower their impact on the environment </w:t>
      </w:r>
      <w:r w:rsidR="00E71D7E" w:rsidRPr="007E1EF0">
        <w:rPr>
          <w:rFonts w:ascii="Arial" w:hAnsi="Arial" w:cs="Arial"/>
          <w:color w:val="000000" w:themeColor="text1"/>
          <w:sz w:val="24"/>
          <w:szCs w:val="24"/>
          <w:lang w:eastAsia="en-GB"/>
        </w:rPr>
        <w:t xml:space="preserve">(Velaoras et al., 2025). </w:t>
      </w:r>
      <w:r w:rsidRPr="007E1EF0">
        <w:rPr>
          <w:rFonts w:ascii="Arial" w:hAnsi="Arial" w:cs="Arial"/>
          <w:color w:val="000000" w:themeColor="text1"/>
          <w:sz w:val="24"/>
          <w:szCs w:val="24"/>
          <w:lang w:eastAsia="en-GB"/>
        </w:rPr>
        <w:t>A lot of places now have rules on how to handle energy use, wastewater discharge, and waste management. This raises compliance costs and the chance of fines for not following the rules (Khatter, 202</w:t>
      </w:r>
      <w:r w:rsidR="00E71D7E" w:rsidRPr="007E1EF0">
        <w:rPr>
          <w:rFonts w:ascii="Arial" w:hAnsi="Arial" w:cs="Arial"/>
          <w:color w:val="000000" w:themeColor="text1"/>
          <w:sz w:val="24"/>
          <w:szCs w:val="24"/>
          <w:lang w:eastAsia="en-GB"/>
        </w:rPr>
        <w:t>5</w:t>
      </w:r>
      <w:r w:rsidRPr="007E1EF0">
        <w:rPr>
          <w:rFonts w:ascii="Arial" w:hAnsi="Arial" w:cs="Arial"/>
          <w:color w:val="000000" w:themeColor="text1"/>
          <w:sz w:val="24"/>
          <w:szCs w:val="24"/>
          <w:lang w:eastAsia="en-GB"/>
        </w:rPr>
        <w:t xml:space="preserve">). If a hotel </w:t>
      </w:r>
      <w:r w:rsidR="00E71D7E" w:rsidRPr="007E1EF0">
        <w:rPr>
          <w:rFonts w:ascii="Arial" w:hAnsi="Arial" w:cs="Arial"/>
          <w:color w:val="000000" w:themeColor="text1"/>
          <w:sz w:val="24"/>
          <w:szCs w:val="24"/>
          <w:lang w:eastAsia="en-GB"/>
        </w:rPr>
        <w:t>does not</w:t>
      </w:r>
      <w:r w:rsidRPr="007E1EF0">
        <w:rPr>
          <w:rFonts w:ascii="Arial" w:hAnsi="Arial" w:cs="Arial"/>
          <w:color w:val="000000" w:themeColor="text1"/>
          <w:sz w:val="24"/>
          <w:szCs w:val="24"/>
          <w:lang w:eastAsia="en-GB"/>
        </w:rPr>
        <w:t xml:space="preserve"> deal with these environmental challenges, it might lose its ability to operate in sensitive or heavily regulated areas, which would hurt its operational resilience. Guest desire for responsible consumption, employee expectations of ethical employment, and investor attention on Environmental, Social, and Governance (ESG) standards have changed the order of importance for stakeholders. Research shows that demand from customers and competition drive hotels to be more environmentally friendly and operate better (Sun </w:t>
      </w:r>
      <w:r w:rsidR="00E71D7E" w:rsidRPr="007E1EF0">
        <w:rPr>
          <w:rFonts w:ascii="Arial" w:hAnsi="Arial" w:cs="Arial"/>
          <w:color w:val="000000" w:themeColor="text1"/>
          <w:sz w:val="24"/>
          <w:szCs w:val="24"/>
          <w:lang w:eastAsia="en-GB"/>
        </w:rPr>
        <w:t>and</w:t>
      </w:r>
      <w:r w:rsidRPr="007E1EF0">
        <w:rPr>
          <w:rFonts w:ascii="Arial" w:hAnsi="Arial" w:cs="Arial"/>
          <w:color w:val="000000" w:themeColor="text1"/>
          <w:sz w:val="24"/>
          <w:szCs w:val="24"/>
          <w:lang w:eastAsia="en-GB"/>
        </w:rPr>
        <w:t xml:space="preserve"> Nasrullah, 2024).  Hotels that try to get green certifications like Green Key or LEED generally have happier guests who stay longer since eco-conscious travellers like companies that show they care about the environment</w:t>
      </w:r>
      <w:r w:rsidR="00AE0A48" w:rsidRPr="007E1EF0">
        <w:rPr>
          <w:rFonts w:ascii="Arial" w:hAnsi="Arial" w:cs="Arial"/>
          <w:color w:val="000000" w:themeColor="text1"/>
          <w:sz w:val="24"/>
          <w:szCs w:val="24"/>
          <w:lang w:eastAsia="en-GB"/>
        </w:rPr>
        <w:t xml:space="preserve">. </w:t>
      </w:r>
      <w:r w:rsidRPr="007E1EF0">
        <w:rPr>
          <w:rFonts w:ascii="Arial" w:hAnsi="Arial" w:cs="Arial"/>
          <w:color w:val="000000" w:themeColor="text1"/>
          <w:sz w:val="24"/>
          <w:szCs w:val="24"/>
          <w:lang w:eastAsia="en-GB"/>
        </w:rPr>
        <w:t xml:space="preserve">Internally, workplace regulations that are based on ethics—like fair pay, safe working conditions, and opportunities for professional growth—make employees more loyal and improve the quality of service </w:t>
      </w:r>
      <w:r w:rsidR="00AE0A48" w:rsidRPr="007E1EF0">
        <w:rPr>
          <w:rFonts w:ascii="Arial" w:hAnsi="Arial" w:cs="Arial"/>
          <w:color w:val="000000" w:themeColor="text1"/>
          <w:sz w:val="24"/>
          <w:szCs w:val="24"/>
          <w:lang w:eastAsia="en-GB"/>
        </w:rPr>
        <w:t xml:space="preserve">(Velaoras et al., 2025). </w:t>
      </w:r>
      <w:r w:rsidRPr="007E1EF0">
        <w:rPr>
          <w:rFonts w:ascii="Arial" w:hAnsi="Arial" w:cs="Arial"/>
          <w:color w:val="000000" w:themeColor="text1"/>
          <w:sz w:val="24"/>
          <w:szCs w:val="24"/>
          <w:lang w:eastAsia="en-GB"/>
        </w:rPr>
        <w:t>Additionally, investors are increasingly including ESG due diligence into their financing choices. Properties that show credible ESG performance have better access to finance and better loan terms</w:t>
      </w:r>
      <w:r w:rsidR="00AE0A48" w:rsidRPr="007E1EF0">
        <w:rPr>
          <w:rFonts w:ascii="Arial" w:hAnsi="Arial" w:cs="Arial"/>
          <w:color w:val="000000" w:themeColor="text1"/>
          <w:sz w:val="24"/>
          <w:szCs w:val="24"/>
          <w:lang w:eastAsia="en-GB"/>
        </w:rPr>
        <w:t xml:space="preserve">. </w:t>
      </w:r>
      <w:r w:rsidRPr="007E1EF0">
        <w:rPr>
          <w:rFonts w:ascii="Arial" w:hAnsi="Arial" w:cs="Arial"/>
          <w:color w:val="000000" w:themeColor="text1"/>
          <w:sz w:val="24"/>
          <w:szCs w:val="24"/>
          <w:lang w:eastAsia="en-GB"/>
        </w:rPr>
        <w:t>This change makes social and ethical success a key part of hotels' long-term economic plans. In the hotel industry, using sustainable methods may save money, lower risks, and boost profits. By using LED lights, water-saving fixtures, and better insulation, you can usually cut your energy bills by up to 20%. (</w:t>
      </w:r>
      <w:r w:rsidR="00AE0A48" w:rsidRPr="007E1EF0">
        <w:rPr>
          <w:rFonts w:ascii="Arial" w:hAnsi="Arial" w:cs="Arial"/>
          <w:color w:val="000000" w:themeColor="text1"/>
          <w:sz w:val="24"/>
          <w:szCs w:val="24"/>
          <w:lang w:eastAsia="en-GB"/>
        </w:rPr>
        <w:t>Matos</w:t>
      </w:r>
      <w:r w:rsidRPr="007E1EF0">
        <w:rPr>
          <w:rFonts w:ascii="Arial" w:hAnsi="Arial" w:cs="Arial"/>
          <w:color w:val="000000" w:themeColor="text1"/>
          <w:sz w:val="24"/>
          <w:szCs w:val="24"/>
          <w:lang w:eastAsia="en-GB"/>
        </w:rPr>
        <w:t>, 202</w:t>
      </w:r>
      <w:r w:rsidR="00AE0A48" w:rsidRPr="007E1EF0">
        <w:rPr>
          <w:rFonts w:ascii="Arial" w:hAnsi="Arial" w:cs="Arial"/>
          <w:color w:val="000000" w:themeColor="text1"/>
          <w:sz w:val="24"/>
          <w:szCs w:val="24"/>
          <w:lang w:eastAsia="en-GB"/>
        </w:rPr>
        <w:t>0</w:t>
      </w:r>
      <w:r w:rsidRPr="007E1EF0">
        <w:rPr>
          <w:rFonts w:ascii="Arial" w:hAnsi="Arial" w:cs="Arial"/>
          <w:color w:val="000000" w:themeColor="text1"/>
          <w:sz w:val="24"/>
          <w:szCs w:val="24"/>
          <w:lang w:eastAsia="en-GB"/>
        </w:rPr>
        <w:t>). Certified hotels generally have lower operating expenses and a better market position that boosts occupancy rates</w:t>
      </w:r>
      <w:r w:rsidR="00AE0A48" w:rsidRPr="007E1EF0">
        <w:rPr>
          <w:rFonts w:ascii="Arial" w:hAnsi="Arial" w:cs="Arial"/>
          <w:color w:val="000000" w:themeColor="text1"/>
          <w:sz w:val="24"/>
          <w:szCs w:val="24"/>
          <w:lang w:eastAsia="en-GB"/>
        </w:rPr>
        <w:t xml:space="preserve">. </w:t>
      </w:r>
      <w:r w:rsidRPr="007E1EF0">
        <w:rPr>
          <w:rFonts w:ascii="Arial" w:hAnsi="Arial" w:cs="Arial"/>
          <w:color w:val="000000" w:themeColor="text1"/>
          <w:sz w:val="24"/>
          <w:szCs w:val="24"/>
          <w:lang w:eastAsia="en-GB"/>
        </w:rPr>
        <w:t>Also, environmental management systems help reduce risk by making sure that businesses follow the rules, which lowers the chances of getting penalties, hurting their reputation, or shutting down (</w:t>
      </w:r>
      <w:r w:rsidR="00AE0A48" w:rsidRPr="007E1EF0">
        <w:rPr>
          <w:rFonts w:ascii="Arial" w:hAnsi="Arial" w:cs="Arial"/>
          <w:color w:val="000000" w:themeColor="text1"/>
          <w:sz w:val="24"/>
          <w:szCs w:val="24"/>
          <w:lang w:eastAsia="en-GB"/>
        </w:rPr>
        <w:t>Eskerod and Đurić, 2018</w:t>
      </w:r>
      <w:r w:rsidRPr="007E1EF0">
        <w:rPr>
          <w:rFonts w:ascii="Arial" w:hAnsi="Arial" w:cs="Arial"/>
          <w:color w:val="000000" w:themeColor="text1"/>
          <w:sz w:val="24"/>
          <w:szCs w:val="24"/>
          <w:lang w:eastAsia="en-GB"/>
        </w:rPr>
        <w:t xml:space="preserve">). Financial case studies show that green-certified hotels </w:t>
      </w:r>
      <w:r w:rsidRPr="007E1EF0">
        <w:rPr>
          <w:rFonts w:ascii="Arial" w:hAnsi="Arial" w:cs="Arial"/>
          <w:color w:val="000000" w:themeColor="text1"/>
          <w:sz w:val="24"/>
          <w:szCs w:val="24"/>
          <w:lang w:eastAsia="en-GB"/>
        </w:rPr>
        <w:lastRenderedPageBreak/>
        <w:t>have a competitive edge since they can get better financing choices like green bonds, sustainability-linked loans, or tax breaks</w:t>
      </w:r>
      <w:r w:rsidR="00AE0A48" w:rsidRPr="007E1EF0">
        <w:rPr>
          <w:rFonts w:ascii="Arial" w:hAnsi="Arial" w:cs="Arial"/>
          <w:color w:val="000000" w:themeColor="text1"/>
          <w:sz w:val="24"/>
          <w:szCs w:val="24"/>
          <w:lang w:eastAsia="en-GB"/>
        </w:rPr>
        <w:t xml:space="preserve">. </w:t>
      </w:r>
      <w:r w:rsidRPr="007E1EF0">
        <w:rPr>
          <w:rFonts w:ascii="Arial" w:hAnsi="Arial" w:cs="Arial"/>
          <w:color w:val="000000" w:themeColor="text1"/>
          <w:sz w:val="24"/>
          <w:szCs w:val="24"/>
          <w:lang w:eastAsia="en-GB"/>
        </w:rPr>
        <w:t xml:space="preserve">When sustainability efforts lead to new sources of income, such charging more for eco-friendly customers or working with ethical travel platforms, the business case becomes even stronger </w:t>
      </w:r>
      <w:r w:rsidR="00AE0A48" w:rsidRPr="007E1EF0">
        <w:rPr>
          <w:rFonts w:ascii="Arial" w:hAnsi="Arial" w:cs="Arial"/>
          <w:color w:val="000000" w:themeColor="text1"/>
          <w:sz w:val="24"/>
          <w:szCs w:val="24"/>
          <w:lang w:eastAsia="en-GB"/>
        </w:rPr>
        <w:t xml:space="preserve">(Woltering, 2024). </w:t>
      </w:r>
      <w:r w:rsidRPr="007E1EF0">
        <w:rPr>
          <w:rFonts w:ascii="Arial" w:hAnsi="Arial" w:cs="Arial"/>
          <w:color w:val="000000" w:themeColor="text1"/>
          <w:sz w:val="24"/>
          <w:szCs w:val="24"/>
          <w:lang w:eastAsia="en-GB"/>
        </w:rPr>
        <w:t>In short, sustainability is now an important part of hotel profitability since it lowers costs, controls risks, and makes hotels more competitive in the market.</w:t>
      </w:r>
    </w:p>
    <w:p w14:paraId="6933AA55" w14:textId="12A1AF62" w:rsidR="005C7302" w:rsidRPr="007E1EF0" w:rsidRDefault="005C7302" w:rsidP="007E1EF0">
      <w:pPr>
        <w:pStyle w:val="EU"/>
        <w:spacing w:line="360" w:lineRule="auto"/>
        <w:rPr>
          <w:color w:val="000000" w:themeColor="text1"/>
        </w:rPr>
      </w:pPr>
      <w:bookmarkStart w:id="6" w:name="_Toc200497327"/>
      <w:r w:rsidRPr="007E1EF0">
        <w:rPr>
          <w:color w:val="000000" w:themeColor="text1"/>
        </w:rPr>
        <w:t>Case Applications</w:t>
      </w:r>
      <w:bookmarkEnd w:id="6"/>
    </w:p>
    <w:p w14:paraId="6B81FFCD" w14:textId="5C882056" w:rsidR="005C7302" w:rsidRPr="007E1EF0" w:rsidRDefault="005C7302" w:rsidP="007E1EF0">
      <w:pPr>
        <w:spacing w:line="360" w:lineRule="auto"/>
        <w:jc w:val="both"/>
        <w:rPr>
          <w:rFonts w:ascii="Arial" w:hAnsi="Arial" w:cs="Arial"/>
          <w:b/>
          <w:bCs/>
          <w:color w:val="000000" w:themeColor="text1"/>
          <w:sz w:val="24"/>
          <w:szCs w:val="24"/>
          <w:lang w:eastAsia="en-GB"/>
        </w:rPr>
      </w:pPr>
      <w:r w:rsidRPr="007E1EF0">
        <w:rPr>
          <w:rFonts w:ascii="Arial" w:hAnsi="Arial" w:cs="Arial"/>
          <w:b/>
          <w:bCs/>
          <w:color w:val="000000" w:themeColor="text1"/>
          <w:sz w:val="24"/>
          <w:szCs w:val="24"/>
          <w:lang w:eastAsia="en-GB"/>
        </w:rPr>
        <w:t xml:space="preserve">Hilton Hotels </w:t>
      </w:r>
    </w:p>
    <w:p w14:paraId="046ADB49" w14:textId="4DF629D3" w:rsidR="005C7302" w:rsidRPr="007E1EF0" w:rsidRDefault="005C7302"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Hilton's "Travel with Purpose" program is a full integration of sustainable strategy throughout all of its properties around the world. LightStay is a patented performance monitoring system that the firm uses on hundreds of buildings to track energy, water, waste, and social impact indicators</w:t>
      </w:r>
      <w:r w:rsidR="003466A2" w:rsidRPr="007E1EF0">
        <w:rPr>
          <w:rFonts w:ascii="Arial" w:hAnsi="Arial" w:cs="Arial"/>
          <w:color w:val="000000" w:themeColor="text1"/>
          <w:sz w:val="24"/>
          <w:szCs w:val="24"/>
        </w:rPr>
        <w:t xml:space="preserve"> </w:t>
      </w:r>
      <w:r w:rsidR="003466A2" w:rsidRPr="007E1EF0">
        <w:rPr>
          <w:rFonts w:ascii="Arial" w:hAnsi="Arial" w:cs="Arial"/>
          <w:color w:val="000000" w:themeColor="text1"/>
          <w:sz w:val="24"/>
          <w:szCs w:val="24"/>
          <w:lang w:eastAsia="en-GB"/>
        </w:rPr>
        <w:t>(Hilton, 2022)</w:t>
      </w:r>
      <w:r w:rsidRPr="007E1EF0">
        <w:rPr>
          <w:rFonts w:ascii="Arial" w:hAnsi="Arial" w:cs="Arial"/>
          <w:color w:val="000000" w:themeColor="text1"/>
          <w:sz w:val="24"/>
          <w:szCs w:val="24"/>
          <w:lang w:eastAsia="en-GB"/>
        </w:rPr>
        <w:t>. Since 2008, this has led to a 34% decrease in Scope 1 and 2 emissions and a 41% reduction in landfill trash. It has also cut its water use by 34.3% and set high targets for 2030 that are in line with the UN Sustainable Development Agenda. Hilton's responsible sourcing program focusses on suppliers who spend a lot of money and are high-risk. It requires ESG evaluations and includes sustainability factors in all procurement procedures</w:t>
      </w:r>
      <w:r w:rsidR="00D117AC" w:rsidRPr="007E1EF0">
        <w:rPr>
          <w:rFonts w:ascii="Arial" w:hAnsi="Arial" w:cs="Arial"/>
          <w:color w:val="000000" w:themeColor="text1"/>
          <w:sz w:val="24"/>
          <w:szCs w:val="24"/>
          <w:lang w:eastAsia="en-GB"/>
        </w:rPr>
        <w:t xml:space="preserve"> (Hilton Worldwide, 2023)</w:t>
      </w:r>
      <w:r w:rsidRPr="007E1EF0">
        <w:rPr>
          <w:rFonts w:ascii="Arial" w:hAnsi="Arial" w:cs="Arial"/>
          <w:color w:val="000000" w:themeColor="text1"/>
          <w:sz w:val="24"/>
          <w:szCs w:val="24"/>
          <w:lang w:eastAsia="en-GB"/>
        </w:rPr>
        <w:t>. In 2022, 26% of invited vendors completed EcoVadis assessments. By doing these things, Hilton has made it standard to make progress that is open and based on data, and it has shown that it is possible to widely embrace circular and sustainable processes</w:t>
      </w:r>
      <w:r w:rsidR="003466A2" w:rsidRPr="007E1EF0">
        <w:rPr>
          <w:rFonts w:ascii="Arial" w:hAnsi="Arial" w:cs="Arial"/>
          <w:color w:val="000000" w:themeColor="text1"/>
          <w:sz w:val="24"/>
          <w:szCs w:val="24"/>
          <w:lang w:eastAsia="en-GB"/>
        </w:rPr>
        <w:t>(Hilton, 2022)</w:t>
      </w:r>
      <w:r w:rsidRPr="007E1EF0">
        <w:rPr>
          <w:rFonts w:ascii="Arial" w:hAnsi="Arial" w:cs="Arial"/>
          <w:color w:val="000000" w:themeColor="text1"/>
          <w:sz w:val="24"/>
          <w:szCs w:val="24"/>
          <w:lang w:eastAsia="en-GB"/>
        </w:rPr>
        <w:t>. The quantitative results—less resource usage, less waste, and better supply chain governance—show how a worldwide hotel chain can put the Triple Bottom Line and Circular Economy principles into action</w:t>
      </w:r>
      <w:r w:rsidR="003466A2" w:rsidRPr="007E1EF0">
        <w:rPr>
          <w:rFonts w:ascii="Arial" w:hAnsi="Arial" w:cs="Arial"/>
          <w:color w:val="000000" w:themeColor="text1"/>
          <w:sz w:val="24"/>
          <w:szCs w:val="24"/>
        </w:rPr>
        <w:t>.</w:t>
      </w:r>
    </w:p>
    <w:p w14:paraId="126B2091" w14:textId="23AFB262" w:rsidR="005C7302" w:rsidRPr="007E1EF0" w:rsidRDefault="005C7302" w:rsidP="007E1EF0">
      <w:pPr>
        <w:spacing w:line="360" w:lineRule="auto"/>
        <w:jc w:val="both"/>
        <w:rPr>
          <w:rFonts w:ascii="Arial" w:hAnsi="Arial" w:cs="Arial"/>
          <w:b/>
          <w:bCs/>
          <w:color w:val="000000" w:themeColor="text1"/>
          <w:sz w:val="24"/>
          <w:szCs w:val="24"/>
          <w:lang w:eastAsia="en-GB"/>
        </w:rPr>
      </w:pPr>
      <w:r w:rsidRPr="007E1EF0">
        <w:rPr>
          <w:rFonts w:ascii="Arial" w:hAnsi="Arial" w:cs="Arial"/>
          <w:b/>
          <w:bCs/>
          <w:color w:val="000000" w:themeColor="text1"/>
          <w:sz w:val="24"/>
          <w:szCs w:val="24"/>
          <w:lang w:eastAsia="en-GB"/>
        </w:rPr>
        <w:t xml:space="preserve">Six Senses </w:t>
      </w:r>
    </w:p>
    <w:p w14:paraId="006C7453" w14:textId="17A73A6B" w:rsidR="005C7302" w:rsidRPr="007E1EF0" w:rsidRDefault="005C7302"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Six Senses resorts use Circular Economy ideas in their high-end hospitality business by offering full resource stewardship programs. Each resort has organic gardens and composts all of its biodegradable trash, turning it into nutrient-rich soil for the landscapes on the property. Resorts include refill stations and restrict single-use plastics. They also have onsite greywater systems that treat and recycle water for irrigation</w:t>
      </w:r>
      <w:r w:rsidR="00D117AC" w:rsidRPr="007E1EF0">
        <w:rPr>
          <w:rFonts w:ascii="Arial" w:hAnsi="Arial" w:cs="Arial"/>
          <w:color w:val="000000" w:themeColor="text1"/>
          <w:sz w:val="24"/>
          <w:szCs w:val="24"/>
        </w:rPr>
        <w:t xml:space="preserve"> </w:t>
      </w:r>
      <w:r w:rsidR="00D117AC" w:rsidRPr="007E1EF0">
        <w:rPr>
          <w:rFonts w:ascii="Arial" w:hAnsi="Arial" w:cs="Arial"/>
          <w:color w:val="000000" w:themeColor="text1"/>
          <w:sz w:val="24"/>
          <w:szCs w:val="24"/>
          <w:lang w:eastAsia="en-GB"/>
        </w:rPr>
        <w:t>(Six Senses, 2024)</w:t>
      </w:r>
      <w:r w:rsidRPr="007E1EF0">
        <w:rPr>
          <w:rFonts w:ascii="Arial" w:hAnsi="Arial" w:cs="Arial"/>
          <w:color w:val="000000" w:themeColor="text1"/>
          <w:sz w:val="24"/>
          <w:szCs w:val="24"/>
          <w:lang w:eastAsia="en-GB"/>
        </w:rPr>
        <w:t xml:space="preserve">. The brand's Circular Economy strategy is based on the "6 Rs": rethink, reject, reduce, reuse, recycle, and restore. It also applies these ideas to supply chains by getting rid of plastic packaging and procuring food locally, which </w:t>
      </w:r>
      <w:r w:rsidRPr="007E1EF0">
        <w:rPr>
          <w:rFonts w:ascii="Arial" w:hAnsi="Arial" w:cs="Arial"/>
          <w:color w:val="000000" w:themeColor="text1"/>
          <w:sz w:val="24"/>
          <w:szCs w:val="24"/>
          <w:lang w:eastAsia="en-GB"/>
        </w:rPr>
        <w:lastRenderedPageBreak/>
        <w:t>cuts down on food miles. These methods have won awards like the Global Tourism Plastics Initiative prize, which shows how luxury experiences and ecological resilience can work together. Six Senses' approach shows how strong circular business models may work in high-end hotels, helping both the guests and the local environment while also helping to reach bigger sustainability objectives.</w:t>
      </w:r>
    </w:p>
    <w:p w14:paraId="2B8E91B8" w14:textId="14D75A10" w:rsidR="00F13B6F" w:rsidRPr="007E1EF0" w:rsidRDefault="00F13B6F" w:rsidP="007E1EF0">
      <w:pPr>
        <w:pStyle w:val="EU"/>
        <w:spacing w:line="360" w:lineRule="auto"/>
        <w:rPr>
          <w:color w:val="000000" w:themeColor="text1"/>
        </w:rPr>
      </w:pPr>
      <w:bookmarkStart w:id="7" w:name="_Toc200497328"/>
      <w:r w:rsidRPr="007E1EF0">
        <w:rPr>
          <w:color w:val="000000" w:themeColor="text1"/>
        </w:rPr>
        <w:t>Critical evaluation</w:t>
      </w:r>
      <w:bookmarkEnd w:id="7"/>
    </w:p>
    <w:p w14:paraId="2C63280C" w14:textId="25C5D058" w:rsidR="00F13B6F" w:rsidRPr="007E1EF0" w:rsidRDefault="00F13B6F"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Luxury hotels emphasise visitor expectations such luxury services, plush materials, and ample energy consumption, which might contradict with environmental aims. Opulent hotels may struggle to reconcile client comfort with resource reduction, challenging Circular Economy and Triple Bottom Line policies. Research suggests that passive design, linen reuse, and energy-efficient technology may be regarded by some visitors as reducing luxury unless presented as improved comfort and quality</w:t>
      </w:r>
      <w:r w:rsidR="007E1EF0" w:rsidRPr="007E1EF0">
        <w:rPr>
          <w:rFonts w:ascii="Arial" w:hAnsi="Arial" w:cs="Arial"/>
          <w:color w:val="000000" w:themeColor="text1"/>
          <w:sz w:val="24"/>
          <w:szCs w:val="24"/>
          <w:lang w:eastAsia="en-GB"/>
        </w:rPr>
        <w:t xml:space="preserve"> (A</w:t>
      </w:r>
      <w:r w:rsidR="007E1EF0" w:rsidRPr="007E1EF0">
        <w:rPr>
          <w:rFonts w:ascii="Arial" w:hAnsi="Arial" w:cs="Arial"/>
          <w:color w:val="000000" w:themeColor="text1"/>
          <w:sz w:val="24"/>
          <w:szCs w:val="24"/>
        </w:rPr>
        <w:t xml:space="preserve"> </w:t>
      </w:r>
      <w:r w:rsidR="007E1EF0" w:rsidRPr="007E1EF0">
        <w:rPr>
          <w:rFonts w:ascii="Arial" w:hAnsi="Arial" w:cs="Arial"/>
          <w:color w:val="000000" w:themeColor="text1"/>
          <w:sz w:val="24"/>
          <w:szCs w:val="24"/>
          <w:lang w:eastAsia="en-GB"/>
        </w:rPr>
        <w:t>matulli, De Angelis, and Stoppani, 2021</w:t>
      </w:r>
      <w:r w:rsidRPr="007E1EF0">
        <w:rPr>
          <w:rFonts w:ascii="Arial" w:hAnsi="Arial" w:cs="Arial"/>
          <w:color w:val="000000" w:themeColor="text1"/>
          <w:sz w:val="24"/>
          <w:szCs w:val="24"/>
          <w:lang w:eastAsia="en-GB"/>
        </w:rPr>
        <w:t xml:space="preserve">. Thus, luxury firms must innovate in service delivery, positioning eco-friendly options like solar-heated rooms and water-saving equipment as premium amenities to satisfy guests and reduce environmental impact. When CSR programs lack third-party verification or open reporting, greenwashing is dangerous. If shallow or false, hotel sustainability promises destroy guest trust and brand image. When CSR rhetoric differs from reality, perceived greenwashing lowers customer trust, purchase intentions, and staff identification, according to empirical </w:t>
      </w:r>
      <w:r w:rsidR="007E1EF0" w:rsidRPr="007E1EF0">
        <w:rPr>
          <w:rFonts w:ascii="Arial" w:hAnsi="Arial" w:cs="Arial"/>
          <w:color w:val="000000" w:themeColor="text1"/>
          <w:sz w:val="24"/>
          <w:szCs w:val="24"/>
          <w:lang w:eastAsia="en-GB"/>
        </w:rPr>
        <w:t>research (Velaoras et al., 2025)</w:t>
      </w:r>
      <w:r w:rsidRPr="007E1EF0">
        <w:rPr>
          <w:rFonts w:ascii="Arial" w:hAnsi="Arial" w:cs="Arial"/>
          <w:color w:val="000000" w:themeColor="text1"/>
          <w:sz w:val="24"/>
          <w:szCs w:val="24"/>
          <w:lang w:eastAsia="en-GB"/>
        </w:rPr>
        <w:t>. Authentic communication and openness, preferably via accepted standards and certifications that confirm environmental claims, are needed for mitigation. Hotels seeking sustainability should invest in third-party audits, validated impact data, and unambiguous traceability across operations and supplier chains rather than green shine</w:t>
      </w:r>
      <w:r w:rsidR="007E1EF0" w:rsidRPr="007E1EF0">
        <w:rPr>
          <w:rFonts w:ascii="Arial" w:hAnsi="Arial" w:cs="Arial"/>
          <w:color w:val="000000" w:themeColor="text1"/>
          <w:sz w:val="24"/>
          <w:szCs w:val="24"/>
          <w:lang w:eastAsia="en-GB"/>
        </w:rPr>
        <w:t xml:space="preserve"> (Mic, 2021)</w:t>
      </w:r>
      <w:r w:rsidRPr="007E1EF0">
        <w:rPr>
          <w:rFonts w:ascii="Arial" w:hAnsi="Arial" w:cs="Arial"/>
          <w:color w:val="000000" w:themeColor="text1"/>
          <w:sz w:val="24"/>
          <w:szCs w:val="24"/>
          <w:lang w:eastAsia="en-GB"/>
        </w:rPr>
        <w:t>. Scaling circular and sustainable methods from boutique hotels to major hotel networks may be difficult. Smaller hotels may refit infrastructure, source locally, and experiment creative resource designs, while major chains must manage different building inventories, global supply networks, and standardised guest experiences. Research shows that variable supplier behaviour, limited circular procurement frameworks, and regional regulatory diversity hinder chain-wide replication</w:t>
      </w:r>
      <w:r w:rsidR="007E1EF0" w:rsidRPr="007E1EF0">
        <w:rPr>
          <w:rFonts w:ascii="Arial" w:hAnsi="Arial" w:cs="Arial"/>
          <w:color w:val="000000" w:themeColor="text1"/>
          <w:sz w:val="24"/>
          <w:szCs w:val="24"/>
        </w:rPr>
        <w:t xml:space="preserve"> </w:t>
      </w:r>
      <w:r w:rsidR="007E1EF0" w:rsidRPr="007E1EF0">
        <w:rPr>
          <w:rFonts w:ascii="Arial" w:hAnsi="Arial" w:cs="Arial"/>
          <w:color w:val="000000" w:themeColor="text1"/>
          <w:sz w:val="24"/>
          <w:szCs w:val="24"/>
          <w:lang w:eastAsia="en-GB"/>
        </w:rPr>
        <w:t>(Rissman et al., 2020)</w:t>
      </w:r>
      <w:r w:rsidRPr="007E1EF0">
        <w:rPr>
          <w:rFonts w:ascii="Arial" w:hAnsi="Arial" w:cs="Arial"/>
          <w:color w:val="000000" w:themeColor="text1"/>
          <w:sz w:val="24"/>
          <w:szCs w:val="24"/>
          <w:lang w:eastAsia="en-GB"/>
        </w:rPr>
        <w:t xml:space="preserve">. Capital restrictions and complexity in integrating circular systems like greywater treatment or onsite composting into existing infrastructure impede deployment. Scaling involves careful planning, cross-functional cooperation, and enough resources to transform small-scale pilots into scalable </w:t>
      </w:r>
      <w:r w:rsidRPr="007E1EF0">
        <w:rPr>
          <w:rFonts w:ascii="Arial" w:hAnsi="Arial" w:cs="Arial"/>
          <w:color w:val="000000" w:themeColor="text1"/>
          <w:sz w:val="24"/>
          <w:szCs w:val="24"/>
          <w:lang w:eastAsia="en-GB"/>
        </w:rPr>
        <w:lastRenderedPageBreak/>
        <w:t>solutions across brands and regions. Circularity and sustainability need strong, compliant supply chains and infrastructure investment</w:t>
      </w:r>
      <w:r w:rsidR="007E1EF0" w:rsidRPr="007E1EF0">
        <w:rPr>
          <w:rFonts w:ascii="Arial" w:hAnsi="Arial" w:cs="Arial"/>
          <w:color w:val="000000" w:themeColor="text1"/>
          <w:sz w:val="24"/>
          <w:szCs w:val="24"/>
          <w:lang w:eastAsia="en-GB"/>
        </w:rPr>
        <w:t xml:space="preserve"> (Energy transition: The road to scale, n.d.)</w:t>
      </w:r>
      <w:r w:rsidRPr="007E1EF0">
        <w:rPr>
          <w:rFonts w:ascii="Arial" w:hAnsi="Arial" w:cs="Arial"/>
          <w:color w:val="000000" w:themeColor="text1"/>
          <w:sz w:val="24"/>
          <w:szCs w:val="24"/>
          <w:lang w:eastAsia="en-GB"/>
        </w:rPr>
        <w:t>. Many hotels fail to verify supplier environmental compliance owing to fragmented procurement networks and lack of common compliance methods. Hospitality supply chain sustainability studies demonstrate that high investment costs, expertise gaps, and insufficient supplier integration limit circular procurement</w:t>
      </w:r>
      <w:r w:rsidR="007E1EF0" w:rsidRPr="007E1EF0">
        <w:rPr>
          <w:rFonts w:ascii="Arial" w:hAnsi="Arial" w:cs="Arial"/>
          <w:color w:val="000000" w:themeColor="text1"/>
          <w:sz w:val="24"/>
          <w:szCs w:val="24"/>
          <w:lang w:eastAsia="en-GB"/>
        </w:rPr>
        <w:t xml:space="preserve"> (Chen and Chen, 2019)</w:t>
      </w:r>
      <w:r w:rsidRPr="007E1EF0">
        <w:rPr>
          <w:rFonts w:ascii="Arial" w:hAnsi="Arial" w:cs="Arial"/>
          <w:color w:val="000000" w:themeColor="text1"/>
          <w:sz w:val="24"/>
          <w:szCs w:val="24"/>
          <w:lang w:eastAsia="en-GB"/>
        </w:rPr>
        <w:t>. Hotels cannot adopt CE activities like recyclable amenity packages or restored furnishings without competent suppliers. Infrastructure issues including lack of local compost facilities, electricity grid limits, and renewable system capital also slow growth. To allow circular operations, strategic collaborations, staff training, and funding arrangements for infrastructure improvements and supplier growth are crucial</w:t>
      </w:r>
      <w:r w:rsidR="007E1EF0" w:rsidRPr="007E1EF0">
        <w:rPr>
          <w:rFonts w:ascii="Arial" w:hAnsi="Arial" w:cs="Arial"/>
          <w:color w:val="000000" w:themeColor="text1"/>
          <w:sz w:val="24"/>
          <w:szCs w:val="24"/>
        </w:rPr>
        <w:t xml:space="preserve"> </w:t>
      </w:r>
      <w:r w:rsidR="007E1EF0" w:rsidRPr="007E1EF0">
        <w:rPr>
          <w:rFonts w:ascii="Arial" w:hAnsi="Arial" w:cs="Arial"/>
          <w:color w:val="000000" w:themeColor="text1"/>
          <w:sz w:val="24"/>
          <w:szCs w:val="24"/>
          <w:lang w:eastAsia="en-GB"/>
        </w:rPr>
        <w:t>(Al-Husain et al., 2024)</w:t>
      </w:r>
      <w:r w:rsidRPr="007E1EF0">
        <w:rPr>
          <w:rFonts w:ascii="Arial" w:hAnsi="Arial" w:cs="Arial"/>
          <w:color w:val="000000" w:themeColor="text1"/>
          <w:sz w:val="24"/>
          <w:szCs w:val="24"/>
          <w:lang w:eastAsia="en-GB"/>
        </w:rPr>
        <w:t>.</w:t>
      </w:r>
    </w:p>
    <w:p w14:paraId="00C6FD16" w14:textId="1BBB5F07" w:rsidR="00F13B6F" w:rsidRPr="007E1EF0" w:rsidRDefault="00F13B6F" w:rsidP="007E1EF0">
      <w:pPr>
        <w:pStyle w:val="EU"/>
        <w:spacing w:line="360" w:lineRule="auto"/>
        <w:rPr>
          <w:color w:val="000000" w:themeColor="text1"/>
        </w:rPr>
      </w:pPr>
      <w:bookmarkStart w:id="8" w:name="_Toc200497329"/>
      <w:r w:rsidRPr="007E1EF0">
        <w:rPr>
          <w:color w:val="000000" w:themeColor="text1"/>
        </w:rPr>
        <w:t>Recommendations</w:t>
      </w:r>
      <w:bookmarkEnd w:id="8"/>
    </w:p>
    <w:p w14:paraId="08363FD9" w14:textId="7A06CF28" w:rsidR="00F13B6F" w:rsidRPr="007E1EF0" w:rsidRDefault="00F13B6F"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To decrease waste and save money, hotels should start using a systematic circular economy (CE) strategy. This should start with life-cycle evaluations to find areas with the most effect and then go on to closed-loop systems like greywater reuse, on-site composting, and facilities refills. Giving employees regular training and creating sustainability champion positions to encourage bottom-up innovation is just as vital. Research shows that employee-led green initiatives greatly improve environmental performance</w:t>
      </w:r>
      <w:r w:rsidR="00066D64" w:rsidRPr="007E1EF0">
        <w:rPr>
          <w:rFonts w:ascii="Arial" w:hAnsi="Arial" w:cs="Arial"/>
          <w:color w:val="000000" w:themeColor="text1"/>
          <w:sz w:val="24"/>
          <w:szCs w:val="24"/>
        </w:rPr>
        <w:t xml:space="preserve"> </w:t>
      </w:r>
      <w:r w:rsidR="00066D64" w:rsidRPr="007E1EF0">
        <w:rPr>
          <w:rFonts w:ascii="Arial" w:hAnsi="Arial" w:cs="Arial"/>
          <w:color w:val="000000" w:themeColor="text1"/>
          <w:sz w:val="24"/>
          <w:szCs w:val="24"/>
          <w:lang w:eastAsia="en-GB"/>
        </w:rPr>
        <w:t>(Antón and Almeida, 2019)</w:t>
      </w:r>
      <w:r w:rsidRPr="007E1EF0">
        <w:rPr>
          <w:rFonts w:ascii="Arial" w:hAnsi="Arial" w:cs="Arial"/>
          <w:color w:val="000000" w:themeColor="text1"/>
          <w:sz w:val="24"/>
          <w:szCs w:val="24"/>
          <w:lang w:eastAsia="en-GB"/>
        </w:rPr>
        <w:t xml:space="preserve">. To be credible, hotels need to have strong ESG reporting that follows global standards like GRI and SASB and gets third-party audits to meet the needs of investors and other stakeholders. Using digital and smart technology, such as IoT sensors for real-time monitoring, energy management systems, and sustainability dashboards for guests, may save resource use by up to 40% while also getting guests more </w:t>
      </w:r>
      <w:r w:rsidR="00066D64" w:rsidRPr="007E1EF0">
        <w:rPr>
          <w:rFonts w:ascii="Arial" w:hAnsi="Arial" w:cs="Arial"/>
          <w:color w:val="000000" w:themeColor="text1"/>
          <w:sz w:val="24"/>
          <w:szCs w:val="24"/>
          <w:lang w:eastAsia="en-GB"/>
        </w:rPr>
        <w:t>involved (Deloitte, 2024)</w:t>
      </w:r>
      <w:r w:rsidRPr="007E1EF0">
        <w:rPr>
          <w:rFonts w:ascii="Arial" w:hAnsi="Arial" w:cs="Arial"/>
          <w:color w:val="000000" w:themeColor="text1"/>
          <w:sz w:val="24"/>
          <w:szCs w:val="24"/>
          <w:lang w:eastAsia="en-GB"/>
        </w:rPr>
        <w:t>. Finally, a pilot-to-scale plan is necessary: hotels should test these ideas in one property, see how well they work, and then roll out successful models to all of their properties. Smaller hotels may also work together in their area to share infrastructure like composting or water treatment plants. This would save their capital costs and make it easier for other hotels to use the infrastructure</w:t>
      </w:r>
      <w:r w:rsidR="00066D64" w:rsidRPr="007E1EF0">
        <w:rPr>
          <w:rFonts w:ascii="Arial" w:hAnsi="Arial" w:cs="Arial"/>
          <w:color w:val="000000" w:themeColor="text1"/>
          <w:sz w:val="24"/>
          <w:szCs w:val="24"/>
        </w:rPr>
        <w:t xml:space="preserve"> </w:t>
      </w:r>
      <w:r w:rsidR="00066D64" w:rsidRPr="007E1EF0">
        <w:rPr>
          <w:rFonts w:ascii="Arial" w:hAnsi="Arial" w:cs="Arial"/>
          <w:color w:val="000000" w:themeColor="text1"/>
          <w:sz w:val="24"/>
          <w:szCs w:val="24"/>
          <w:lang w:eastAsia="en-GB"/>
        </w:rPr>
        <w:t>(Ashkenas and Matta, 2021)</w:t>
      </w:r>
      <w:r w:rsidRPr="007E1EF0">
        <w:rPr>
          <w:rFonts w:ascii="Arial" w:hAnsi="Arial" w:cs="Arial"/>
          <w:color w:val="000000" w:themeColor="text1"/>
          <w:sz w:val="24"/>
          <w:szCs w:val="24"/>
          <w:lang w:eastAsia="en-GB"/>
        </w:rPr>
        <w:t>. This comprehensive, evidence-based method makes sure that operational innovation fits with strategic goals, which leads to sustainable and circular hotel growth.</w:t>
      </w:r>
    </w:p>
    <w:p w14:paraId="62D84732" w14:textId="349FACB0" w:rsidR="00A47909" w:rsidRPr="007E1EF0" w:rsidRDefault="00A47909" w:rsidP="007E1EF0">
      <w:pPr>
        <w:pStyle w:val="EU"/>
        <w:spacing w:line="360" w:lineRule="auto"/>
        <w:rPr>
          <w:color w:val="000000" w:themeColor="text1"/>
        </w:rPr>
      </w:pPr>
      <w:bookmarkStart w:id="9" w:name="_Toc200497330"/>
      <w:r w:rsidRPr="007E1EF0">
        <w:rPr>
          <w:color w:val="000000" w:themeColor="text1"/>
        </w:rPr>
        <w:lastRenderedPageBreak/>
        <w:t>Conclusion</w:t>
      </w:r>
      <w:bookmarkEnd w:id="9"/>
    </w:p>
    <w:p w14:paraId="243C1CE2" w14:textId="1E867A86" w:rsidR="00F13B6F" w:rsidRPr="007E1EF0" w:rsidRDefault="00E04B8A"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In conclusion, the hotel sector must now make it a priority to include sustainable and circular practices in its main activities. Recent studies show that integrated sustainability frameworks like the Triple Bottom Line and Circular Economy improve operational efficiency, lower environmental impact, and provide businesses a competitive edge. Furthermore, empirical data indicates that well stated, authentic sustainability initiatives impact visitor trust, premium pricing, and employee engagement. Thus, hotels that use clear criteria, give staff more control, and make scalable circular programs will be more resilient in the long run, earn the trust of stakeholders, and stand out in the market.</w:t>
      </w:r>
    </w:p>
    <w:p w14:paraId="312CD4A8" w14:textId="77777777" w:rsidR="00F13B6F" w:rsidRDefault="00F13B6F" w:rsidP="00F13B6F">
      <w:pPr>
        <w:rPr>
          <w:lang w:eastAsia="en-GB"/>
        </w:rPr>
      </w:pPr>
    </w:p>
    <w:p w14:paraId="5DE6C789" w14:textId="77777777" w:rsidR="00E04B8A" w:rsidRDefault="00E04B8A" w:rsidP="00F13B6F">
      <w:pPr>
        <w:rPr>
          <w:lang w:eastAsia="en-GB"/>
        </w:rPr>
      </w:pPr>
    </w:p>
    <w:p w14:paraId="7EC4CE78" w14:textId="77777777" w:rsidR="00E04B8A" w:rsidRDefault="00E04B8A" w:rsidP="00F13B6F">
      <w:pPr>
        <w:rPr>
          <w:lang w:eastAsia="en-GB"/>
        </w:rPr>
      </w:pPr>
    </w:p>
    <w:p w14:paraId="15DA0A65" w14:textId="77777777" w:rsidR="00E04B8A" w:rsidRDefault="00E04B8A" w:rsidP="00F13B6F">
      <w:pPr>
        <w:rPr>
          <w:lang w:eastAsia="en-GB"/>
        </w:rPr>
      </w:pPr>
    </w:p>
    <w:p w14:paraId="2C5FC89D" w14:textId="77777777" w:rsidR="00E04B8A" w:rsidRDefault="00E04B8A" w:rsidP="00F13B6F">
      <w:pPr>
        <w:rPr>
          <w:lang w:eastAsia="en-GB"/>
        </w:rPr>
      </w:pPr>
    </w:p>
    <w:p w14:paraId="23CEE78F" w14:textId="77777777" w:rsidR="00E04B8A" w:rsidRDefault="00E04B8A" w:rsidP="00F13B6F">
      <w:pPr>
        <w:rPr>
          <w:lang w:eastAsia="en-GB"/>
        </w:rPr>
      </w:pPr>
    </w:p>
    <w:p w14:paraId="3EEBBD52" w14:textId="77777777" w:rsidR="00E04B8A" w:rsidRDefault="00E04B8A" w:rsidP="00F13B6F">
      <w:pPr>
        <w:rPr>
          <w:lang w:eastAsia="en-GB"/>
        </w:rPr>
      </w:pPr>
    </w:p>
    <w:p w14:paraId="235E0B0F" w14:textId="77777777" w:rsidR="00E04B8A" w:rsidRDefault="00E04B8A" w:rsidP="00F13B6F">
      <w:pPr>
        <w:rPr>
          <w:lang w:eastAsia="en-GB"/>
        </w:rPr>
      </w:pPr>
    </w:p>
    <w:p w14:paraId="11E1475B" w14:textId="77777777" w:rsidR="00E04B8A" w:rsidRDefault="00E04B8A" w:rsidP="00F13B6F">
      <w:pPr>
        <w:rPr>
          <w:lang w:eastAsia="en-GB"/>
        </w:rPr>
      </w:pPr>
    </w:p>
    <w:p w14:paraId="31FE8837" w14:textId="77777777" w:rsidR="00E04B8A" w:rsidRDefault="00E04B8A" w:rsidP="00F13B6F">
      <w:pPr>
        <w:rPr>
          <w:lang w:eastAsia="en-GB"/>
        </w:rPr>
      </w:pPr>
    </w:p>
    <w:p w14:paraId="377D6195" w14:textId="77777777" w:rsidR="00E04B8A" w:rsidRDefault="00E04B8A" w:rsidP="00F13B6F">
      <w:pPr>
        <w:rPr>
          <w:lang w:eastAsia="en-GB"/>
        </w:rPr>
      </w:pPr>
    </w:p>
    <w:p w14:paraId="2E095C8C" w14:textId="77777777" w:rsidR="00E04B8A" w:rsidRDefault="00E04B8A" w:rsidP="00F13B6F">
      <w:pPr>
        <w:rPr>
          <w:lang w:eastAsia="en-GB"/>
        </w:rPr>
      </w:pPr>
    </w:p>
    <w:p w14:paraId="2B9F8230" w14:textId="77777777" w:rsidR="00E04B8A" w:rsidRDefault="00E04B8A" w:rsidP="00F13B6F">
      <w:pPr>
        <w:rPr>
          <w:lang w:eastAsia="en-GB"/>
        </w:rPr>
      </w:pPr>
    </w:p>
    <w:p w14:paraId="693BE8DD" w14:textId="77777777" w:rsidR="00E04B8A" w:rsidRDefault="00E04B8A" w:rsidP="00F13B6F">
      <w:pPr>
        <w:rPr>
          <w:lang w:eastAsia="en-GB"/>
        </w:rPr>
      </w:pPr>
    </w:p>
    <w:p w14:paraId="4321B80D" w14:textId="77777777" w:rsidR="00E04B8A" w:rsidRDefault="00E04B8A" w:rsidP="00F13B6F">
      <w:pPr>
        <w:rPr>
          <w:lang w:eastAsia="en-GB"/>
        </w:rPr>
      </w:pPr>
    </w:p>
    <w:p w14:paraId="0466B6A0" w14:textId="77777777" w:rsidR="00E04B8A" w:rsidRDefault="00E04B8A" w:rsidP="00F13B6F">
      <w:pPr>
        <w:rPr>
          <w:lang w:eastAsia="en-GB"/>
        </w:rPr>
      </w:pPr>
    </w:p>
    <w:p w14:paraId="7D4717AE" w14:textId="77777777" w:rsidR="00E04B8A" w:rsidRDefault="00E04B8A" w:rsidP="00F13B6F">
      <w:pPr>
        <w:rPr>
          <w:lang w:eastAsia="en-GB"/>
        </w:rPr>
      </w:pPr>
    </w:p>
    <w:p w14:paraId="485C99B3" w14:textId="77777777" w:rsidR="00E04B8A" w:rsidRDefault="00E04B8A" w:rsidP="00F13B6F">
      <w:pPr>
        <w:rPr>
          <w:lang w:eastAsia="en-GB"/>
        </w:rPr>
      </w:pPr>
    </w:p>
    <w:p w14:paraId="3332B784" w14:textId="77777777" w:rsidR="00E04B8A" w:rsidRDefault="00E04B8A" w:rsidP="00F13B6F">
      <w:pPr>
        <w:rPr>
          <w:lang w:eastAsia="en-GB"/>
        </w:rPr>
      </w:pPr>
    </w:p>
    <w:p w14:paraId="7A3A5087" w14:textId="77777777" w:rsidR="00E04B8A" w:rsidRDefault="00E04B8A" w:rsidP="00F13B6F">
      <w:pPr>
        <w:rPr>
          <w:lang w:eastAsia="en-GB"/>
        </w:rPr>
      </w:pPr>
    </w:p>
    <w:p w14:paraId="6A8DF0D6" w14:textId="77777777" w:rsidR="00E04B8A" w:rsidRDefault="00E04B8A" w:rsidP="00F13B6F">
      <w:pPr>
        <w:rPr>
          <w:lang w:eastAsia="en-GB"/>
        </w:rPr>
      </w:pPr>
    </w:p>
    <w:p w14:paraId="771D395B" w14:textId="445496D6" w:rsidR="00F13B6F" w:rsidRPr="007E1EF0" w:rsidRDefault="00E04B8A" w:rsidP="007E1EF0">
      <w:pPr>
        <w:pStyle w:val="EU"/>
        <w:spacing w:line="360" w:lineRule="auto"/>
        <w:rPr>
          <w:color w:val="000000" w:themeColor="text1"/>
        </w:rPr>
      </w:pPr>
      <w:bookmarkStart w:id="10" w:name="_Toc200497331"/>
      <w:r w:rsidRPr="007E1EF0">
        <w:rPr>
          <w:color w:val="000000" w:themeColor="text1"/>
        </w:rPr>
        <w:lastRenderedPageBreak/>
        <w:t>References</w:t>
      </w:r>
      <w:bookmarkEnd w:id="10"/>
    </w:p>
    <w:p w14:paraId="68F4E249" w14:textId="77777777" w:rsidR="007E1EF0" w:rsidRPr="007E1EF0" w:rsidRDefault="007E1EF0"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Al-Husain, R.A., Elshaer, A.M., Alzuman, A., Albadry, O.M., Sheikhelsouk, S., Monawer, N.S.A. and Alsetoohy, O. (2024). Toward Sustainable Performance in the Hotel Food Supply Chain: Influences of Quality Management Practices and Digital Integration. Administrative Sciences, [online] 14(12), p.314. doi:https://doi.org/10.3390/admsci14120314.</w:t>
      </w:r>
    </w:p>
    <w:p w14:paraId="1E49D500" w14:textId="7E342812" w:rsidR="007E1EF0" w:rsidRPr="007E1EF0" w:rsidRDefault="007E1EF0"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Amatulli, C., De Angelis, M. and Stoppani, A., 2021. The appeal of sustainability in luxury hospitality: An investigation on the role of perceived integrity. Tourism Management, 83, p.104228.</w:t>
      </w:r>
    </w:p>
    <w:p w14:paraId="14D665EC" w14:textId="1BA83018" w:rsidR="00066D64" w:rsidRPr="007E1EF0" w:rsidRDefault="00066D64"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Antón, R. and Almeida, A. (2019). The Circular Economy Strategy in Hospitality: A Multicase Approach. Sustainability, [online] 11(20), p.5665. doi:https://doi.org/10.3390/su11205665.</w:t>
      </w:r>
    </w:p>
    <w:p w14:paraId="0C5B39B0" w14:textId="234D2070" w:rsidR="00533E9E" w:rsidRPr="007E1EF0" w:rsidRDefault="00533E9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Arowoshegbe, A.O., Emmanuel, U. and Gina, A., 2016. Sustainability and triple bottom line: An overview of two interrelated concepts. Igbinedion University Journal of Accounting, 2(16), pp.88-126.</w:t>
      </w:r>
    </w:p>
    <w:p w14:paraId="0BA0D798" w14:textId="302D3575" w:rsidR="00066D64" w:rsidRPr="007E1EF0" w:rsidRDefault="00066D64"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 xml:space="preserve">Ashkenas, R. and Matta, N. (2021). How to Scale a Successful Pilot Project. [online] Harvard Business Review. Available at: </w:t>
      </w:r>
      <w:hyperlink r:id="rId6" w:history="1">
        <w:r w:rsidR="00E71D7E" w:rsidRPr="007E1EF0">
          <w:rPr>
            <w:rStyle w:val="Hyperlink"/>
            <w:rFonts w:ascii="Arial" w:hAnsi="Arial" w:cs="Arial"/>
            <w:color w:val="000000" w:themeColor="text1"/>
            <w:sz w:val="24"/>
            <w:szCs w:val="24"/>
            <w:lang w:eastAsia="en-GB"/>
          </w:rPr>
          <w:t>https://hbr.org/2021/01/how-to-scale-a-successful-pilot-project</w:t>
        </w:r>
      </w:hyperlink>
      <w:r w:rsidRPr="007E1EF0">
        <w:rPr>
          <w:rFonts w:ascii="Arial" w:hAnsi="Arial" w:cs="Arial"/>
          <w:color w:val="000000" w:themeColor="text1"/>
          <w:sz w:val="24"/>
          <w:szCs w:val="24"/>
          <w:lang w:eastAsia="en-GB"/>
        </w:rPr>
        <w:t>.</w:t>
      </w:r>
    </w:p>
    <w:p w14:paraId="20C5BAE9" w14:textId="3D0EEB12"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Carroll, A.B. (2016). Carroll’s Pyramid of CSR: Taking Another Look. International Journal of Corporate Social Responsibility, [online] 1(3), pp.1–8. doi:https://doi.org/10.1186/s40991-016-0004-6.</w:t>
      </w:r>
    </w:p>
    <w:p w14:paraId="3208A0B2" w14:textId="3D4AA391" w:rsidR="007E1EF0" w:rsidRPr="007E1EF0" w:rsidRDefault="007E1EF0"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Chen, Y. and Chen, I.J., 2019. Mixed sustainability motives, mixed results: the role of compliance and commitment in sustainable supply chain practices. Supply Chain Management: An International Journal, 24(5), pp.622-636.</w:t>
      </w:r>
    </w:p>
    <w:p w14:paraId="340FC0CC" w14:textId="5FD9B33B" w:rsidR="00066D64" w:rsidRPr="007E1EF0" w:rsidRDefault="00066D64"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 xml:space="preserve">Deloitte. (2024). Globally Consistent ESG Reporting | Deloitte global. [online] Available at: </w:t>
      </w:r>
      <w:hyperlink r:id="rId7" w:history="1">
        <w:r w:rsidR="00533E9E" w:rsidRPr="007E1EF0">
          <w:rPr>
            <w:rStyle w:val="Hyperlink"/>
            <w:rFonts w:ascii="Arial" w:hAnsi="Arial" w:cs="Arial"/>
            <w:color w:val="000000" w:themeColor="text1"/>
            <w:sz w:val="24"/>
            <w:szCs w:val="24"/>
            <w:lang w:eastAsia="en-GB"/>
          </w:rPr>
          <w:t>https://www.deloitte.com/ng/en/about/people/social-responsibility/globally-consistent-esg-reporting.html</w:t>
        </w:r>
      </w:hyperlink>
      <w:r w:rsidRPr="007E1EF0">
        <w:rPr>
          <w:rFonts w:ascii="Arial" w:hAnsi="Arial" w:cs="Arial"/>
          <w:color w:val="000000" w:themeColor="text1"/>
          <w:sz w:val="24"/>
          <w:szCs w:val="24"/>
          <w:lang w:eastAsia="en-GB"/>
        </w:rPr>
        <w:t>.</w:t>
      </w:r>
    </w:p>
    <w:p w14:paraId="656729B9" w14:textId="4D354EC0" w:rsidR="007E1EF0" w:rsidRPr="007E1EF0" w:rsidRDefault="007E1EF0"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Energy transition: The road to scale. (n.d.). Available at: https://www2.deloitte.com/content/dam/insights/articles/us187222_e-i_road-to-scale_landing-page-and-pdf/DI_Energy-transition-the-road-to-scale.pdf.</w:t>
      </w:r>
    </w:p>
    <w:p w14:paraId="71A117BB" w14:textId="52E2A99A" w:rsidR="00AE0A48" w:rsidRPr="007E1EF0" w:rsidRDefault="00AE0A48"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lastRenderedPageBreak/>
        <w:t>Eskerod, P. and Đurić, J., 2018. Motivations for and comparisons of green certificates within the hotel industry. Universal Journal of Management, 6(6), pp.179-189.</w:t>
      </w:r>
    </w:p>
    <w:p w14:paraId="134B10C5" w14:textId="31459DBA" w:rsidR="003466A2" w:rsidRPr="007E1EF0" w:rsidRDefault="003466A2"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 xml:space="preserve">Hilton (2022). Hilton 2022 Environmental, Social and Governance Report. [online] Available at: </w:t>
      </w:r>
      <w:hyperlink r:id="rId8" w:history="1">
        <w:r w:rsidRPr="007E1EF0">
          <w:rPr>
            <w:rStyle w:val="Hyperlink"/>
            <w:rFonts w:ascii="Arial" w:hAnsi="Arial" w:cs="Arial"/>
            <w:color w:val="000000" w:themeColor="text1"/>
            <w:sz w:val="24"/>
            <w:szCs w:val="24"/>
            <w:lang w:eastAsia="en-GB"/>
          </w:rPr>
          <w:t>https://esg.hilton.com/wp-content/uploads/sites/4/2023/04/Hilton-2022-Environmental-Social-and-Governance-Report.pdf</w:t>
        </w:r>
      </w:hyperlink>
      <w:r w:rsidRPr="007E1EF0">
        <w:rPr>
          <w:rFonts w:ascii="Arial" w:hAnsi="Arial" w:cs="Arial"/>
          <w:color w:val="000000" w:themeColor="text1"/>
          <w:sz w:val="24"/>
          <w:szCs w:val="24"/>
          <w:lang w:eastAsia="en-GB"/>
        </w:rPr>
        <w:t>.</w:t>
      </w:r>
    </w:p>
    <w:p w14:paraId="0CF40969" w14:textId="07948223" w:rsidR="003466A2" w:rsidRPr="007E1EF0" w:rsidRDefault="003466A2"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 xml:space="preserve">Hilton (2022). RESPONSIBLE SOURCING 2022 Goal Progress GOALS PROGRESS. [online] Available at: </w:t>
      </w:r>
      <w:hyperlink r:id="rId9" w:history="1">
        <w:r w:rsidR="00D117AC" w:rsidRPr="007E1EF0">
          <w:rPr>
            <w:rStyle w:val="Hyperlink"/>
            <w:rFonts w:ascii="Arial" w:hAnsi="Arial" w:cs="Arial"/>
            <w:color w:val="000000" w:themeColor="text1"/>
            <w:sz w:val="24"/>
            <w:szCs w:val="24"/>
            <w:lang w:eastAsia="en-GB"/>
          </w:rPr>
          <w:t>https://esg.hilton.com/wp-content/uploads/sites/4/2023/04/2022-Hilton-ESG-Report_Responsible-Sourcing-Goals.pdf</w:t>
        </w:r>
      </w:hyperlink>
      <w:r w:rsidRPr="007E1EF0">
        <w:rPr>
          <w:rFonts w:ascii="Arial" w:hAnsi="Arial" w:cs="Arial"/>
          <w:color w:val="000000" w:themeColor="text1"/>
          <w:sz w:val="24"/>
          <w:szCs w:val="24"/>
          <w:lang w:eastAsia="en-GB"/>
        </w:rPr>
        <w:t>.</w:t>
      </w:r>
    </w:p>
    <w:p w14:paraId="20DB7755" w14:textId="6B5E0FBD" w:rsidR="00D117AC" w:rsidRPr="007E1EF0" w:rsidRDefault="00D117AC"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Hilton Worldwide, Inc. (2023) CDP Climate Change 2022 report. London: Hilton Worldwide Inc. Available at: https://esg.hilton.com/wp-content/uploads/sites/4/2023/05/CDP-Climate-2022_Hilton-Worldwide.pdf</w:t>
      </w:r>
    </w:p>
    <w:p w14:paraId="6E2C24DB" w14:textId="4C0BB84C"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Ho, O., Iyer-Raniga, U., Chinara Sadykova, Balasooriya, M., Sylva, K., Mahanama Dissanayaka, Kullanan Sukwanchai, Pal, I., Bhatia, A., Jain, D. and Subarna Sivapalan (2024). A conceptual model for integrating circular economy in the built environment: An analysis of literature and local-based case studies. Journal of cleaner production, 449, pp.141516–141516. doi:https://doi.org/10.1016/j.jclepro.2024.141516.</w:t>
      </w:r>
    </w:p>
    <w:p w14:paraId="77746871" w14:textId="5509C62C" w:rsidR="00533E9E" w:rsidRPr="007E1EF0" w:rsidRDefault="00533E9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Høgevold, N.M., Svensson, G., Klopper, H.B., Wagner, B., Valera, J.C.S., Padin, C., Ferro, C. and Petzer, D., 2015. A triple bottom line construct and reasons for implementing sustainable business practices in companies and their business networks. Corporate Governance, 15(4), pp.427-443.</w:t>
      </w:r>
    </w:p>
    <w:p w14:paraId="1FC90E57" w14:textId="464145A6" w:rsidR="00066D64" w:rsidRPr="007E1EF0" w:rsidRDefault="00066D64"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Jones, P., Hillier, D. and Comfort, D., 2016. Sustainability in the hospitality industry: Some personal reflections on corporate challenges and research agendas. International Journal of Contemporary Hospitality Management, 28(1), pp.36-67.</w:t>
      </w:r>
    </w:p>
    <w:p w14:paraId="1CF755D8" w14:textId="6C4CA2A2"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Khatter, A. (2025). Challenges and Solutions for Corporate Social Responsibility in the Hospitality Industry. Challenges, [online] 16(1), p.9. doi:https://doi.org/10.3390/challe16010009.</w:t>
      </w:r>
    </w:p>
    <w:p w14:paraId="633067E9" w14:textId="736775A2" w:rsidR="00533E9E" w:rsidRPr="007E1EF0" w:rsidRDefault="00533E9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Kirchherr, J., Reike, D. and Hekkert, M., 2017. Conceptualizing the circular economy: An analysis of 114 definitions. Resources, conservation and recycling, 127, pp.221-232.</w:t>
      </w:r>
    </w:p>
    <w:p w14:paraId="12B3C7B6" w14:textId="52BC242E" w:rsidR="00533E9E" w:rsidRPr="007E1EF0" w:rsidRDefault="00533E9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lastRenderedPageBreak/>
        <w:t>Legrand, W., Chen, J.S. and Laeis, G.C., 2022. Sustainability in the hospitality industry: Principles of sustainable operations. Routledge.</w:t>
      </w:r>
    </w:p>
    <w:p w14:paraId="638F432E" w14:textId="41AA0E42"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Makoondlall-Chadee, T. and Bokhoree, C., 2024. Environmental Sustainability in Hotels: A Review of the Relevance and Contributions of Assessment Tools and Techniques. Administrative Sciences, 14(12), p.320.</w:t>
      </w:r>
    </w:p>
    <w:p w14:paraId="48C664AD" w14:textId="0792953D" w:rsidR="00AE0A48" w:rsidRPr="007E1EF0" w:rsidRDefault="00AE0A48"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Matos, P., 2020. ESG and responsible institutional investing around the world: A critical review.</w:t>
      </w:r>
    </w:p>
    <w:p w14:paraId="6E369675" w14:textId="131B17C3" w:rsidR="007E1EF0" w:rsidRPr="007E1EF0" w:rsidRDefault="007E1EF0"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Mic, M., 2021. Tourism certification audits: Reviewing sustainable certification programs. In Handbook for Sustainable Tourism Practitioners (pp. 447-469). Edward Elgar Publishing.</w:t>
      </w:r>
    </w:p>
    <w:p w14:paraId="71064DBF" w14:textId="3A87C7CE" w:rsidR="007E1EF0" w:rsidRPr="007E1EF0" w:rsidRDefault="007E1EF0"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Rissman, J., Bataille, C., Masanet, E., Aden, N., Morrow, W.R., Zhou, N., Elliott, N., Dell, R., Heeren, N., Huckestein, B., Cresko, J., Miller, S.A., Roy, J., Fennell, P., Cremmins, B., Koch Blank, T., Hone, D., Williams, E.D., de la Rue du Can, S. and Sisson, B. (2020). Technologies and policies to decarbonize global industry: Review and assessment of mitigation drivers through 2070. Applied Energy, 266(1), p.114848. doi:https://doi.org/10.1016/j.apenergy.2020.114848.</w:t>
      </w:r>
    </w:p>
    <w:p w14:paraId="063DA1C2" w14:textId="451531F1" w:rsidR="00D117AC" w:rsidRPr="007E1EF0" w:rsidRDefault="00D117AC"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Six Senses (2024). Sustainable Resorts and Responsible Travel | Six Senses. [online] www.sixsenses.com. Available at: https://www.sixsenses.com/en/sustainability/.</w:t>
      </w:r>
    </w:p>
    <w:p w14:paraId="2FA0DFB9" w14:textId="5955AE75"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Sorin, F. and Sivarajah, U., 2021. Exploring Circular economy in the hospitality industry: empirical evidence from Scandinavian hotel operators. Scandinavian Journal of Hospitality and Tourism, 21(3), pp.265-285.</w:t>
      </w:r>
    </w:p>
    <w:p w14:paraId="11F09BB3" w14:textId="31E08556"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 xml:space="preserve">Stobierski, T. (2021). What Is Corporate Social responsibility? [online] Harvard Business School. Available at: </w:t>
      </w:r>
      <w:hyperlink r:id="rId10" w:history="1">
        <w:r w:rsidRPr="007E1EF0">
          <w:rPr>
            <w:rStyle w:val="Hyperlink"/>
            <w:rFonts w:ascii="Arial" w:hAnsi="Arial" w:cs="Arial"/>
            <w:color w:val="000000" w:themeColor="text1"/>
            <w:sz w:val="24"/>
            <w:szCs w:val="24"/>
            <w:lang w:eastAsia="en-GB"/>
          </w:rPr>
          <w:t>https://online.hbs.edu/blog/post/types-of-corporate-social-responsibility</w:t>
        </w:r>
      </w:hyperlink>
      <w:r w:rsidRPr="007E1EF0">
        <w:rPr>
          <w:rFonts w:ascii="Arial" w:hAnsi="Arial" w:cs="Arial"/>
          <w:color w:val="000000" w:themeColor="text1"/>
          <w:sz w:val="24"/>
          <w:szCs w:val="24"/>
          <w:lang w:eastAsia="en-GB"/>
        </w:rPr>
        <w:t>.</w:t>
      </w:r>
    </w:p>
    <w:p w14:paraId="049C9548" w14:textId="228169EE"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Sun, J. and Nasrullah, A., 2024. Green transition in the hospitality industry: The influence of market forces and customer dynamics on sustainable performance in the digital era. Heliyon, 10(8).</w:t>
      </w:r>
    </w:p>
    <w:p w14:paraId="2D68B2E2" w14:textId="77777777" w:rsidR="00E71D7E" w:rsidRPr="007E1EF0" w:rsidRDefault="00E71D7E"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 xml:space="preserve">Velaoras, K., Menegaki, A.N., Polyzos, S. and Gotzamani, K. (2025). The Role of Environmental Certification in the Hospitality Industry: Assessing Sustainability, </w:t>
      </w:r>
      <w:r w:rsidRPr="007E1EF0">
        <w:rPr>
          <w:rFonts w:ascii="Arial" w:hAnsi="Arial" w:cs="Arial"/>
          <w:color w:val="000000" w:themeColor="text1"/>
          <w:sz w:val="24"/>
          <w:szCs w:val="24"/>
          <w:lang w:eastAsia="en-GB"/>
        </w:rPr>
        <w:lastRenderedPageBreak/>
        <w:t>Consumer Preferences, and the Economic Impact. Sustainability, [online] 17(2), p.650. doi:https://doi.org/10.3390/su17020650.</w:t>
      </w:r>
    </w:p>
    <w:p w14:paraId="658D2517" w14:textId="77777777" w:rsidR="00AE0A48" w:rsidRPr="007E1EF0" w:rsidRDefault="00AE0A48" w:rsidP="007E1EF0">
      <w:pPr>
        <w:spacing w:line="360" w:lineRule="auto"/>
        <w:jc w:val="both"/>
        <w:rPr>
          <w:rFonts w:ascii="Arial" w:hAnsi="Arial" w:cs="Arial"/>
          <w:color w:val="000000" w:themeColor="text1"/>
          <w:sz w:val="24"/>
          <w:szCs w:val="24"/>
          <w:lang w:eastAsia="en-GB"/>
        </w:rPr>
      </w:pPr>
      <w:r w:rsidRPr="007E1EF0">
        <w:rPr>
          <w:rFonts w:ascii="Arial" w:hAnsi="Arial" w:cs="Arial"/>
          <w:color w:val="000000" w:themeColor="text1"/>
          <w:sz w:val="24"/>
          <w:szCs w:val="24"/>
          <w:lang w:eastAsia="en-GB"/>
        </w:rPr>
        <w:t>Woltering, D.R.-O. (2024). Green financing: Paving the way for sustainable hotel Real Estate in asia. [online] Ehl.edu. Available at: https://hospitalityinsights.ehl.edu/green-financing-hotel-real-estate-asia.</w:t>
      </w:r>
    </w:p>
    <w:p w14:paraId="72D4C37C" w14:textId="77777777" w:rsidR="00AE0A48" w:rsidRPr="00AE0A48" w:rsidRDefault="00AE0A48" w:rsidP="00AE0A48">
      <w:pPr>
        <w:rPr>
          <w:rFonts w:ascii="Arial" w:hAnsi="Arial" w:cs="Arial"/>
          <w:sz w:val="24"/>
          <w:szCs w:val="24"/>
          <w:lang w:eastAsia="en-GB"/>
        </w:rPr>
      </w:pPr>
    </w:p>
    <w:p w14:paraId="24A34791" w14:textId="675C6DF8" w:rsidR="00E71D7E" w:rsidRPr="00E71D7E" w:rsidRDefault="00AE0A48" w:rsidP="00AE0A48">
      <w:pPr>
        <w:rPr>
          <w:rFonts w:ascii="Arial" w:hAnsi="Arial" w:cs="Arial"/>
          <w:sz w:val="24"/>
          <w:szCs w:val="24"/>
          <w:lang w:eastAsia="en-GB"/>
        </w:rPr>
      </w:pPr>
      <w:r w:rsidRPr="00AE0A48">
        <w:rPr>
          <w:rFonts w:ascii="Arial" w:hAnsi="Arial" w:cs="Arial"/>
          <w:sz w:val="24"/>
          <w:szCs w:val="24"/>
          <w:lang w:eastAsia="en-GB"/>
        </w:rPr>
        <w:t>‌</w:t>
      </w:r>
    </w:p>
    <w:p w14:paraId="5691D44E" w14:textId="26FD59BF" w:rsidR="00E71D7E" w:rsidRPr="00E71D7E" w:rsidRDefault="00E71D7E" w:rsidP="00E71D7E">
      <w:pPr>
        <w:rPr>
          <w:rFonts w:ascii="Arial" w:hAnsi="Arial" w:cs="Arial"/>
          <w:sz w:val="24"/>
          <w:szCs w:val="24"/>
          <w:lang w:eastAsia="en-GB"/>
        </w:rPr>
      </w:pPr>
      <w:r w:rsidRPr="00E71D7E">
        <w:rPr>
          <w:rFonts w:ascii="Arial" w:hAnsi="Arial" w:cs="Arial"/>
          <w:sz w:val="24"/>
          <w:szCs w:val="24"/>
          <w:lang w:eastAsia="en-GB"/>
        </w:rPr>
        <w:t>‌</w:t>
      </w:r>
    </w:p>
    <w:p w14:paraId="7CDF6980" w14:textId="338A899B" w:rsidR="00E71D7E" w:rsidRPr="00E71D7E" w:rsidRDefault="00E71D7E" w:rsidP="00E71D7E">
      <w:pPr>
        <w:rPr>
          <w:rFonts w:ascii="Arial" w:hAnsi="Arial" w:cs="Arial"/>
          <w:sz w:val="24"/>
          <w:szCs w:val="24"/>
          <w:lang w:eastAsia="en-GB"/>
        </w:rPr>
      </w:pPr>
      <w:r w:rsidRPr="00E71D7E">
        <w:rPr>
          <w:rFonts w:ascii="Arial" w:hAnsi="Arial" w:cs="Arial"/>
          <w:sz w:val="24"/>
          <w:szCs w:val="24"/>
          <w:lang w:eastAsia="en-GB"/>
        </w:rPr>
        <w:t>‌</w:t>
      </w:r>
    </w:p>
    <w:sectPr w:rsidR="00E71D7E" w:rsidRPr="00E71D7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3EC16" w14:textId="77777777" w:rsidR="009A7138" w:rsidRDefault="009A7138" w:rsidP="00C5605F">
      <w:pPr>
        <w:spacing w:after="0" w:line="240" w:lineRule="auto"/>
      </w:pPr>
      <w:r>
        <w:separator/>
      </w:r>
    </w:p>
  </w:endnote>
  <w:endnote w:type="continuationSeparator" w:id="0">
    <w:p w14:paraId="2E248678" w14:textId="77777777" w:rsidR="009A7138" w:rsidRDefault="009A7138" w:rsidP="00C56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412657"/>
      <w:docPartObj>
        <w:docPartGallery w:val="Page Numbers (Bottom of Page)"/>
        <w:docPartUnique/>
      </w:docPartObj>
    </w:sdtPr>
    <w:sdtEndPr>
      <w:rPr>
        <w:noProof/>
      </w:rPr>
    </w:sdtEndPr>
    <w:sdtContent>
      <w:p w14:paraId="6C8021CC" w14:textId="56CCA19F" w:rsidR="00C5605F" w:rsidRDefault="00C560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55666" w14:textId="77777777" w:rsidR="00C5605F" w:rsidRDefault="00C5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F8690" w14:textId="77777777" w:rsidR="009A7138" w:rsidRDefault="009A7138" w:rsidP="00C5605F">
      <w:pPr>
        <w:spacing w:after="0" w:line="240" w:lineRule="auto"/>
      </w:pPr>
      <w:r>
        <w:separator/>
      </w:r>
    </w:p>
  </w:footnote>
  <w:footnote w:type="continuationSeparator" w:id="0">
    <w:p w14:paraId="1FF762C6" w14:textId="77777777" w:rsidR="009A7138" w:rsidRDefault="009A7138" w:rsidP="00C560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05F"/>
    <w:rsid w:val="00017D27"/>
    <w:rsid w:val="00066D64"/>
    <w:rsid w:val="003466A2"/>
    <w:rsid w:val="00360E1C"/>
    <w:rsid w:val="00533E9E"/>
    <w:rsid w:val="005C7302"/>
    <w:rsid w:val="007B0CC3"/>
    <w:rsid w:val="007E1EF0"/>
    <w:rsid w:val="009A7138"/>
    <w:rsid w:val="00A47909"/>
    <w:rsid w:val="00AE0A48"/>
    <w:rsid w:val="00B151A8"/>
    <w:rsid w:val="00BA296D"/>
    <w:rsid w:val="00C5605F"/>
    <w:rsid w:val="00C82D1F"/>
    <w:rsid w:val="00CF5838"/>
    <w:rsid w:val="00D021A4"/>
    <w:rsid w:val="00D117AC"/>
    <w:rsid w:val="00D73CFE"/>
    <w:rsid w:val="00E04B8A"/>
    <w:rsid w:val="00E71D7E"/>
    <w:rsid w:val="00ED4734"/>
    <w:rsid w:val="00F0628C"/>
    <w:rsid w:val="00F128E5"/>
    <w:rsid w:val="00F13B6F"/>
    <w:rsid w:val="00F26A36"/>
    <w:rsid w:val="00FC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644AF"/>
  <w15:chartTrackingRefBased/>
  <w15:docId w15:val="{19BB15A0-415D-43D8-A8FF-F5B166EF7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560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60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60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60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60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0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0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0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560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60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60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60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60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0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0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05F"/>
    <w:rPr>
      <w:rFonts w:eastAsiaTheme="majorEastAsia" w:cstheme="majorBidi"/>
      <w:color w:val="272727" w:themeColor="text1" w:themeTint="D8"/>
    </w:rPr>
  </w:style>
  <w:style w:type="paragraph" w:styleId="Title">
    <w:name w:val="Title"/>
    <w:basedOn w:val="Normal"/>
    <w:next w:val="Normal"/>
    <w:link w:val="TitleChar"/>
    <w:uiPriority w:val="10"/>
    <w:qFormat/>
    <w:rsid w:val="00C56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0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0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0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05F"/>
    <w:pPr>
      <w:spacing w:before="160"/>
      <w:jc w:val="center"/>
    </w:pPr>
    <w:rPr>
      <w:i/>
      <w:iCs/>
      <w:color w:val="404040" w:themeColor="text1" w:themeTint="BF"/>
    </w:rPr>
  </w:style>
  <w:style w:type="character" w:customStyle="1" w:styleId="QuoteChar">
    <w:name w:val="Quote Char"/>
    <w:basedOn w:val="DefaultParagraphFont"/>
    <w:link w:val="Quote"/>
    <w:uiPriority w:val="29"/>
    <w:rsid w:val="00C5605F"/>
    <w:rPr>
      <w:i/>
      <w:iCs/>
      <w:color w:val="404040" w:themeColor="text1" w:themeTint="BF"/>
    </w:rPr>
  </w:style>
  <w:style w:type="paragraph" w:styleId="ListParagraph">
    <w:name w:val="List Paragraph"/>
    <w:basedOn w:val="Normal"/>
    <w:uiPriority w:val="34"/>
    <w:qFormat/>
    <w:rsid w:val="00C5605F"/>
    <w:pPr>
      <w:ind w:left="720"/>
      <w:contextualSpacing/>
    </w:pPr>
  </w:style>
  <w:style w:type="character" w:styleId="IntenseEmphasis">
    <w:name w:val="Intense Emphasis"/>
    <w:basedOn w:val="DefaultParagraphFont"/>
    <w:uiPriority w:val="21"/>
    <w:qFormat/>
    <w:rsid w:val="00C5605F"/>
    <w:rPr>
      <w:i/>
      <w:iCs/>
      <w:color w:val="2F5496" w:themeColor="accent1" w:themeShade="BF"/>
    </w:rPr>
  </w:style>
  <w:style w:type="paragraph" w:styleId="IntenseQuote">
    <w:name w:val="Intense Quote"/>
    <w:basedOn w:val="Normal"/>
    <w:next w:val="Normal"/>
    <w:link w:val="IntenseQuoteChar"/>
    <w:uiPriority w:val="30"/>
    <w:qFormat/>
    <w:rsid w:val="00C560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605F"/>
    <w:rPr>
      <w:i/>
      <w:iCs/>
      <w:color w:val="2F5496" w:themeColor="accent1" w:themeShade="BF"/>
    </w:rPr>
  </w:style>
  <w:style w:type="character" w:styleId="IntenseReference">
    <w:name w:val="Intense Reference"/>
    <w:basedOn w:val="DefaultParagraphFont"/>
    <w:uiPriority w:val="32"/>
    <w:qFormat/>
    <w:rsid w:val="00C5605F"/>
    <w:rPr>
      <w:b/>
      <w:bCs/>
      <w:smallCaps/>
      <w:color w:val="2F5496" w:themeColor="accent1" w:themeShade="BF"/>
      <w:spacing w:val="5"/>
    </w:rPr>
  </w:style>
  <w:style w:type="paragraph" w:styleId="Header">
    <w:name w:val="header"/>
    <w:basedOn w:val="Normal"/>
    <w:link w:val="HeaderChar"/>
    <w:uiPriority w:val="99"/>
    <w:unhideWhenUsed/>
    <w:rsid w:val="00C56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05F"/>
  </w:style>
  <w:style w:type="paragraph" w:styleId="Footer">
    <w:name w:val="footer"/>
    <w:basedOn w:val="Normal"/>
    <w:link w:val="FooterChar"/>
    <w:uiPriority w:val="99"/>
    <w:unhideWhenUsed/>
    <w:rsid w:val="00C56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05F"/>
  </w:style>
  <w:style w:type="paragraph" w:styleId="TOCHeading">
    <w:name w:val="TOC Heading"/>
    <w:basedOn w:val="Heading1"/>
    <w:next w:val="Normal"/>
    <w:uiPriority w:val="39"/>
    <w:unhideWhenUsed/>
    <w:qFormat/>
    <w:rsid w:val="00E04B8A"/>
    <w:pPr>
      <w:outlineLvl w:val="9"/>
    </w:pPr>
    <w:rPr>
      <w:kern w:val="0"/>
      <w:lang w:val="en-US"/>
      <w14:ligatures w14:val="none"/>
    </w:rPr>
  </w:style>
  <w:style w:type="paragraph" w:styleId="TOC1">
    <w:name w:val="toc 1"/>
    <w:basedOn w:val="Normal"/>
    <w:next w:val="Normal"/>
    <w:autoRedefine/>
    <w:uiPriority w:val="39"/>
    <w:unhideWhenUsed/>
    <w:rsid w:val="00E04B8A"/>
    <w:pPr>
      <w:spacing w:after="100"/>
    </w:pPr>
  </w:style>
  <w:style w:type="character" w:styleId="Hyperlink">
    <w:name w:val="Hyperlink"/>
    <w:basedOn w:val="DefaultParagraphFont"/>
    <w:uiPriority w:val="99"/>
    <w:unhideWhenUsed/>
    <w:rsid w:val="00E04B8A"/>
    <w:rPr>
      <w:color w:val="0563C1" w:themeColor="hyperlink"/>
      <w:u w:val="single"/>
    </w:rPr>
  </w:style>
  <w:style w:type="character" w:styleId="UnresolvedMention">
    <w:name w:val="Unresolved Mention"/>
    <w:basedOn w:val="DefaultParagraphFont"/>
    <w:uiPriority w:val="99"/>
    <w:semiHidden/>
    <w:unhideWhenUsed/>
    <w:rsid w:val="00533E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974384">
      <w:bodyDiv w:val="1"/>
      <w:marLeft w:val="0"/>
      <w:marRight w:val="0"/>
      <w:marTop w:val="0"/>
      <w:marBottom w:val="0"/>
      <w:divBdr>
        <w:top w:val="none" w:sz="0" w:space="0" w:color="auto"/>
        <w:left w:val="none" w:sz="0" w:space="0" w:color="auto"/>
        <w:bottom w:val="none" w:sz="0" w:space="0" w:color="auto"/>
        <w:right w:val="none" w:sz="0" w:space="0" w:color="auto"/>
      </w:divBdr>
    </w:div>
    <w:div w:id="125593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wp-content/uploads/sites/4/2023/04/Hilton-2022-Environmental-Social-and-Governance-Report.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deloitte.com/ng/en/about/people/social-responsibility/globally-consistent-esg-reporting.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21/01/how-to-scale-a-successful-pilot-project"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online.hbs.edu/blog/post/types-of-corporate-social-responsibility" TargetMode="External"/><Relationship Id="rId4" Type="http://schemas.openxmlformats.org/officeDocument/2006/relationships/footnotes" Target="footnotes.xml"/><Relationship Id="rId9" Type="http://schemas.openxmlformats.org/officeDocument/2006/relationships/hyperlink" Target="https://esg.hilton.com/wp-content/uploads/sites/4/2023/04/2022-Hilton-ESG-Report_Responsible-Sourcing-Go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13</Pages>
  <Words>3630</Words>
  <Characters>20696</Characters>
  <Application>Microsoft Office Word</Application>
  <DocSecurity>0</DocSecurity>
  <Lines>172</Lines>
  <Paragraphs>48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Introduction </vt:lpstr>
      <vt:lpstr>Theoretical Frameworks</vt:lpstr>
      <vt:lpstr>Triple Bottom Line</vt:lpstr>
      <vt:lpstr>Corporate Social Responsibility</vt:lpstr>
      <vt:lpstr>Circular Economy</vt:lpstr>
      <vt:lpstr>Industry Drivers</vt:lpstr>
      <vt:lpstr>Case Applications</vt:lpstr>
      <vt:lpstr>Critical evaluation</vt:lpstr>
      <vt:lpstr>Recommendations</vt:lpstr>
      <vt:lpstr>Conclusion</vt:lpstr>
      <vt:lpstr>References</vt:lpstr>
    </vt:vector>
  </TitlesOfParts>
  <Company/>
  <LinksUpToDate>false</LinksUpToDate>
  <CharactersWithSpaces>24278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Vlad matei</cp:lastModifiedBy>
  <cp:revision>6</cp:revision>
  <dcterms:created xsi:type="dcterms:W3CDTF">2025-06-10T21:23:00Z</dcterms:created>
  <dcterms:modified xsi:type="dcterms:W3CDTF">2025-06-11T20:34:00Z</dcterms:modified>
</cp:coreProperties>
</file>