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49627463"/>
        <w:docPartObj>
          <w:docPartGallery w:val="Cover Pages"/>
          <w:docPartUnique/>
        </w:docPartObj>
      </w:sdtPr>
      <w:sdtEndPr>
        <w:rPr>
          <w:rFonts w:eastAsia="Times New Roman" w:cstheme="minorHAnsi"/>
          <w:color w:val="auto"/>
          <w:sz w:val="24"/>
          <w:szCs w:val="24"/>
          <w:lang w:val="en-IN"/>
        </w:rPr>
      </w:sdtEndPr>
      <w:sdtContent>
        <w:p w14:paraId="64A627DD" w14:textId="3DCC2427" w:rsidR="00D72159" w:rsidRDefault="00D72159" w:rsidP="00D72159">
          <w:pPr>
            <w:pStyle w:val="NoSpacing"/>
            <w:spacing w:before="1540" w:after="240"/>
            <w:rPr>
              <w:color w:val="4472C4" w:themeColor="accent1"/>
            </w:rPr>
          </w:pPr>
          <w:r>
            <w:rPr>
              <w:color w:val="4472C4" w:themeColor="accent1"/>
            </w:rPr>
            <w:t xml:space="preserve">                                                                    </w:t>
          </w:r>
          <w:r>
            <w:rPr>
              <w:noProof/>
              <w:color w:val="4472C4" w:themeColor="accent1"/>
            </w:rPr>
            <w:drawing>
              <wp:inline distT="0" distB="0" distL="0" distR="0" wp14:anchorId="3AC84BA6" wp14:editId="310B00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BC48BD87187488C9B761A9998A39A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542931" w14:textId="1371EA8D" w:rsidR="00D72159" w:rsidRDefault="00D7215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Legal Process</w:t>
              </w:r>
            </w:p>
          </w:sdtContent>
        </w:sdt>
        <w:sdt>
          <w:sdtPr>
            <w:rPr>
              <w:b/>
              <w:color w:val="000000"/>
            </w:rPr>
            <w:alias w:val="Subtitle"/>
            <w:tag w:val=""/>
            <w:id w:val="328029620"/>
            <w:placeholder>
              <w:docPart w:val="82884125D9BA46ADA879F17371FC5808"/>
            </w:placeholder>
            <w:dataBinding w:prefixMappings="xmlns:ns0='http://purl.org/dc/elements/1.1/' xmlns:ns1='http://schemas.openxmlformats.org/package/2006/metadata/core-properties' " w:xpath="/ns1:coreProperties[1]/ns0:subject[1]" w:storeItemID="{6C3C8BC8-F283-45AE-878A-BAB7291924A1}"/>
            <w:text/>
          </w:sdtPr>
          <w:sdtContent>
            <w:p w14:paraId="18BD29D3" w14:textId="4A6BD47C" w:rsidR="00D72159" w:rsidRDefault="00D72159">
              <w:pPr>
                <w:pStyle w:val="NoSpacing"/>
                <w:jc w:val="center"/>
                <w:rPr>
                  <w:color w:val="4472C4" w:themeColor="accent1"/>
                  <w:sz w:val="28"/>
                  <w:szCs w:val="28"/>
                </w:rPr>
              </w:pPr>
              <w:r w:rsidRPr="00D72159">
                <w:rPr>
                  <w:b/>
                  <w:color w:val="000000"/>
                </w:rPr>
                <w:t>It is sometimes argued that diversity in the judiciary is of little importance: what matters is that judges are experts and make sound decisions. However, judges have considerable power to make decisions that matter both constitutionally and</w:t>
              </w:r>
            </w:p>
          </w:sdtContent>
        </w:sdt>
        <w:p w14:paraId="2BFA4225" w14:textId="77777777" w:rsidR="00D72159" w:rsidRDefault="00D7215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27250E" wp14:editId="0EC542E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4472C4" w:themeColor="accent1"/>
                                    <w:sz w:val="44"/>
                                    <w:szCs w:val="4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659438" w14:textId="3BFF4076" w:rsidR="00D72159" w:rsidRPr="00D72159" w:rsidRDefault="00D72159" w:rsidP="00D72159">
                                    <w:pPr>
                                      <w:pStyle w:val="NoSpacing"/>
                                      <w:spacing w:after="40"/>
                                      <w:rPr>
                                        <w:rFonts w:ascii="Algerian" w:hAnsi="Algerian"/>
                                        <w:caps/>
                                        <w:color w:val="4472C4" w:themeColor="accent1"/>
                                        <w:sz w:val="44"/>
                                        <w:szCs w:val="44"/>
                                      </w:rPr>
                                    </w:pPr>
                                    <w:r w:rsidRPr="00D72159">
                                      <w:rPr>
                                        <w:rFonts w:ascii="Algerian" w:hAnsi="Algerian"/>
                                        <w:caps/>
                                        <w:color w:val="4472C4" w:themeColor="accent1"/>
                                        <w:sz w:val="44"/>
                                        <w:szCs w:val="44"/>
                                      </w:rPr>
                                      <w:t xml:space="preserve">     </w:t>
                                    </w:r>
                                  </w:p>
                                </w:sdtContent>
                              </w:sdt>
                              <w:p w14:paraId="0FF40B8D" w14:textId="0EE56000" w:rsidR="00D72159" w:rsidRPr="00D72159" w:rsidRDefault="00D72159">
                                <w:pPr>
                                  <w:pStyle w:val="NoSpacing"/>
                                  <w:jc w:val="center"/>
                                  <w:rPr>
                                    <w:rFonts w:ascii="Algerian" w:hAnsi="Algerian"/>
                                    <w:color w:val="4472C4" w:themeColor="accent1"/>
                                    <w:sz w:val="44"/>
                                    <w:szCs w:val="44"/>
                                  </w:rPr>
                                </w:pPr>
                                <w:sdt>
                                  <w:sdtPr>
                                    <w:rPr>
                                      <w:rFonts w:ascii="Algerian" w:hAnsi="Algerian"/>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D72159">
                                      <w:rPr>
                                        <w:rFonts w:ascii="Algerian" w:hAnsi="Algerian"/>
                                        <w:caps/>
                                        <w:color w:val="4472C4" w:themeColor="accent1"/>
                                        <w:sz w:val="44"/>
                                        <w:szCs w:val="44"/>
                                      </w:rPr>
                                      <w:t>Denyss Nagy</w:t>
                                    </w:r>
                                  </w:sdtContent>
                                </w:sdt>
                              </w:p>
                              <w:p w14:paraId="206BE695" w14:textId="7AC806AE" w:rsidR="00D72159" w:rsidRDefault="00D7215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27250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aps/>
                              <w:color w:val="4472C4" w:themeColor="accent1"/>
                              <w:sz w:val="44"/>
                              <w:szCs w:val="4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659438" w14:textId="3BFF4076" w:rsidR="00D72159" w:rsidRPr="00D72159" w:rsidRDefault="00D72159" w:rsidP="00D72159">
                              <w:pPr>
                                <w:pStyle w:val="NoSpacing"/>
                                <w:spacing w:after="40"/>
                                <w:rPr>
                                  <w:rFonts w:ascii="Algerian" w:hAnsi="Algerian"/>
                                  <w:caps/>
                                  <w:color w:val="4472C4" w:themeColor="accent1"/>
                                  <w:sz w:val="44"/>
                                  <w:szCs w:val="44"/>
                                </w:rPr>
                              </w:pPr>
                              <w:r w:rsidRPr="00D72159">
                                <w:rPr>
                                  <w:rFonts w:ascii="Algerian" w:hAnsi="Algerian"/>
                                  <w:caps/>
                                  <w:color w:val="4472C4" w:themeColor="accent1"/>
                                  <w:sz w:val="44"/>
                                  <w:szCs w:val="44"/>
                                </w:rPr>
                                <w:t xml:space="preserve">     </w:t>
                              </w:r>
                            </w:p>
                          </w:sdtContent>
                        </w:sdt>
                        <w:p w14:paraId="0FF40B8D" w14:textId="0EE56000" w:rsidR="00D72159" w:rsidRPr="00D72159" w:rsidRDefault="00D72159">
                          <w:pPr>
                            <w:pStyle w:val="NoSpacing"/>
                            <w:jc w:val="center"/>
                            <w:rPr>
                              <w:rFonts w:ascii="Algerian" w:hAnsi="Algerian"/>
                              <w:color w:val="4472C4" w:themeColor="accent1"/>
                              <w:sz w:val="44"/>
                              <w:szCs w:val="44"/>
                            </w:rPr>
                          </w:pPr>
                          <w:sdt>
                            <w:sdtPr>
                              <w:rPr>
                                <w:rFonts w:ascii="Algerian" w:hAnsi="Algerian"/>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D72159">
                                <w:rPr>
                                  <w:rFonts w:ascii="Algerian" w:hAnsi="Algerian"/>
                                  <w:caps/>
                                  <w:color w:val="4472C4" w:themeColor="accent1"/>
                                  <w:sz w:val="44"/>
                                  <w:szCs w:val="44"/>
                                </w:rPr>
                                <w:t>Denyss Nagy</w:t>
                              </w:r>
                            </w:sdtContent>
                          </w:sdt>
                        </w:p>
                        <w:p w14:paraId="206BE695" w14:textId="7AC806AE" w:rsidR="00D72159" w:rsidRDefault="00D7215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0A3A5CD" wp14:editId="611C912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2451EA" w14:textId="66620413" w:rsidR="00D72159" w:rsidRDefault="00D72159">
          <w:pPr>
            <w:rPr>
              <w:rFonts w:asciiTheme="minorHAnsi" w:hAnsiTheme="minorHAnsi" w:cstheme="minorHAnsi"/>
            </w:rPr>
          </w:pPr>
          <w:r>
            <w:rPr>
              <w:rFonts w:asciiTheme="minorHAnsi" w:hAnsiTheme="minorHAnsi" w:cstheme="minorHAnsi"/>
            </w:rPr>
            <w:br w:type="page"/>
          </w:r>
        </w:p>
      </w:sdtContent>
    </w:sdt>
    <w:p w14:paraId="7EA8A89E" w14:textId="45EF4479" w:rsidR="00D72159" w:rsidRDefault="00D72159" w:rsidP="00D72159">
      <w:pPr>
        <w:rPr>
          <w:b/>
        </w:rPr>
      </w:pPr>
      <w:r w:rsidRPr="00D72159">
        <w:rPr>
          <w:b/>
          <w:sz w:val="32"/>
          <w:szCs w:val="32"/>
          <w:u w:val="single"/>
        </w:rPr>
        <w:lastRenderedPageBreak/>
        <w:t>With specific reference to Supreme Court Justices, to what extent do you agree with the stance that diversity is of little importance</w:t>
      </w:r>
      <w:r>
        <w:rPr>
          <w:b/>
        </w:rPr>
        <w:t xml:space="preserve">? </w:t>
      </w:r>
    </w:p>
    <w:p w14:paraId="0722AEAD" w14:textId="77777777" w:rsidR="00D72159" w:rsidRDefault="00D72159" w:rsidP="00D72159">
      <w:pPr>
        <w:rPr>
          <w:b/>
          <w:lang w:val="en-GB"/>
        </w:rPr>
      </w:pPr>
    </w:p>
    <w:p w14:paraId="4269E38B" w14:textId="2F3C2355" w:rsidR="00442C51" w:rsidRPr="001E4864" w:rsidRDefault="00442C51" w:rsidP="001E4864">
      <w:pPr>
        <w:spacing w:before="120" w:after="120"/>
        <w:rPr>
          <w:rFonts w:asciiTheme="minorHAnsi" w:hAnsiTheme="minorHAnsi" w:cstheme="minorHAnsi"/>
          <w:noProof/>
          <w:lang w:val="en-US"/>
        </w:rPr>
      </w:pPr>
      <w:r w:rsidRPr="001E4864">
        <w:rPr>
          <w:rFonts w:asciiTheme="minorHAnsi" w:hAnsiTheme="minorHAnsi" w:cstheme="minorHAnsi"/>
        </w:rPr>
        <w:t xml:space="preserve">In his lecture to the House of Commons, </w:t>
      </w:r>
      <w:r w:rsidRPr="001E4864">
        <w:rPr>
          <w:rFonts w:asciiTheme="minorHAnsi" w:hAnsiTheme="minorHAnsi" w:cstheme="minorHAnsi"/>
          <w:noProof/>
          <w:lang w:val="en-US"/>
        </w:rPr>
        <w:t xml:space="preserve">Lord Neuberger (2014) recalled </w:t>
      </w:r>
      <w:r w:rsidRPr="001E4864">
        <w:rPr>
          <w:rFonts w:asciiTheme="minorHAnsi" w:hAnsiTheme="minorHAnsi" w:cstheme="minorHAnsi"/>
        </w:rPr>
        <w:t xml:space="preserve">Judge Karen Walden-Smith’s words that she would not want it thought that she had been selected as a judge because of being a woman in the same way as she would not wish to be selected as a judge despite being a woman. </w:t>
      </w:r>
      <w:r w:rsidR="003A3391" w:rsidRPr="001E4864">
        <w:rPr>
          <w:rFonts w:asciiTheme="minorHAnsi" w:hAnsiTheme="minorHAnsi" w:cstheme="minorHAnsi"/>
        </w:rPr>
        <w:t xml:space="preserve">Although this statement raises the question of whether gender (or ethnicity) should play a role in choosing judges of the Supreme Court, the bigger issue remains </w:t>
      </w:r>
      <w:r w:rsidR="00A86783" w:rsidRPr="001E4864">
        <w:rPr>
          <w:rFonts w:asciiTheme="minorHAnsi" w:hAnsiTheme="minorHAnsi" w:cstheme="minorHAnsi"/>
        </w:rPr>
        <w:t xml:space="preserve">whether there is an impact of gender and ethnicity on </w:t>
      </w:r>
      <w:r w:rsidR="00055B49">
        <w:rPr>
          <w:rFonts w:asciiTheme="minorHAnsi" w:hAnsiTheme="minorHAnsi" w:cstheme="minorHAnsi"/>
        </w:rPr>
        <w:t>decision-making</w:t>
      </w:r>
      <w:r w:rsidR="00A86783" w:rsidRPr="001E4864">
        <w:rPr>
          <w:rFonts w:asciiTheme="minorHAnsi" w:hAnsiTheme="minorHAnsi" w:cstheme="minorHAnsi"/>
        </w:rPr>
        <w:t xml:space="preserve"> in the Supreme Court.</w:t>
      </w:r>
      <w:r w:rsidR="00FD73AB" w:rsidRPr="001E4864">
        <w:rPr>
          <w:rFonts w:asciiTheme="minorHAnsi" w:hAnsiTheme="minorHAnsi" w:cstheme="minorHAnsi"/>
        </w:rPr>
        <w:t xml:space="preserve"> Because if there is an impact of gender and ethnicity on how decisions are made, then there is a case for more diversity in the Supreme Court. </w:t>
      </w:r>
      <w:r w:rsidR="00A86783" w:rsidRPr="001E4864">
        <w:rPr>
          <w:rFonts w:asciiTheme="minorHAnsi" w:hAnsiTheme="minorHAnsi" w:cstheme="minorHAnsi"/>
        </w:rPr>
        <w:t xml:space="preserve"> </w:t>
      </w:r>
    </w:p>
    <w:p w14:paraId="734B14EC" w14:textId="1E98B803" w:rsidR="006E5CC5" w:rsidRPr="001E4864" w:rsidRDefault="00F33260" w:rsidP="001E4864">
      <w:pPr>
        <w:spacing w:before="120" w:after="120"/>
        <w:rPr>
          <w:rFonts w:asciiTheme="minorHAnsi" w:hAnsiTheme="minorHAnsi" w:cstheme="minorHAnsi"/>
        </w:rPr>
      </w:pPr>
      <w:r w:rsidRPr="001E4864">
        <w:rPr>
          <w:rFonts w:asciiTheme="minorHAnsi" w:hAnsiTheme="minorHAnsi" w:cstheme="minorHAnsi"/>
        </w:rPr>
        <w:t xml:space="preserve">With regard to diversity in </w:t>
      </w:r>
      <w:r w:rsidR="00055B49">
        <w:rPr>
          <w:rFonts w:asciiTheme="minorHAnsi" w:hAnsiTheme="minorHAnsi" w:cstheme="minorHAnsi"/>
        </w:rPr>
        <w:t xml:space="preserve">the </w:t>
      </w:r>
      <w:r w:rsidRPr="001E4864">
        <w:rPr>
          <w:rFonts w:asciiTheme="minorHAnsi" w:hAnsiTheme="minorHAnsi" w:cstheme="minorHAnsi"/>
        </w:rPr>
        <w:t xml:space="preserve">higher judiciary, there are two opposing arguments, one which </w:t>
      </w:r>
      <w:r w:rsidR="00055B49">
        <w:rPr>
          <w:rFonts w:asciiTheme="minorHAnsi" w:hAnsiTheme="minorHAnsi" w:cstheme="minorHAnsi"/>
        </w:rPr>
        <w:t>emphasizes</w:t>
      </w:r>
      <w:r w:rsidRPr="001E4864">
        <w:rPr>
          <w:rFonts w:asciiTheme="minorHAnsi" w:hAnsiTheme="minorHAnsi" w:cstheme="minorHAnsi"/>
        </w:rPr>
        <w:t xml:space="preserve"> the link between </w:t>
      </w:r>
      <w:r w:rsidR="00055B49">
        <w:rPr>
          <w:rFonts w:asciiTheme="minorHAnsi" w:hAnsiTheme="minorHAnsi" w:cstheme="minorHAnsi"/>
        </w:rPr>
        <w:t xml:space="preserve">the </w:t>
      </w:r>
      <w:r w:rsidRPr="001E4864">
        <w:rPr>
          <w:rFonts w:asciiTheme="minorHAnsi" w:hAnsiTheme="minorHAnsi" w:cstheme="minorHAnsi"/>
        </w:rPr>
        <w:t xml:space="preserve">diverse judiciary and </w:t>
      </w:r>
      <w:r w:rsidR="00026236" w:rsidRPr="001E4864">
        <w:rPr>
          <w:rFonts w:asciiTheme="minorHAnsi" w:hAnsiTheme="minorHAnsi" w:cstheme="minorHAnsi"/>
        </w:rPr>
        <w:t xml:space="preserve">justice outcomes and another which </w:t>
      </w:r>
      <w:r w:rsidR="00055B49">
        <w:rPr>
          <w:rFonts w:asciiTheme="minorHAnsi" w:hAnsiTheme="minorHAnsi" w:cstheme="minorHAnsi"/>
        </w:rPr>
        <w:t>emphasizes</w:t>
      </w:r>
      <w:r w:rsidR="00026236" w:rsidRPr="001E4864">
        <w:rPr>
          <w:rFonts w:asciiTheme="minorHAnsi" w:hAnsiTheme="minorHAnsi" w:cstheme="minorHAnsi"/>
        </w:rPr>
        <w:t xml:space="preserve"> the need for </w:t>
      </w:r>
      <w:r w:rsidR="00055B49">
        <w:rPr>
          <w:rFonts w:asciiTheme="minorHAnsi" w:hAnsiTheme="minorHAnsi" w:cstheme="minorHAnsi"/>
        </w:rPr>
        <w:t xml:space="preserve">the </w:t>
      </w:r>
      <w:r w:rsidR="00026236" w:rsidRPr="001E4864">
        <w:rPr>
          <w:rFonts w:asciiTheme="minorHAnsi" w:hAnsiTheme="minorHAnsi" w:cstheme="minorHAnsi"/>
        </w:rPr>
        <w:t xml:space="preserve">appointment of expert judiciary irrespective of their gender and ethnic background. The latter argument can be aligned with the idea of judges being unbiased and unprejudiced arbiters of disputes between people. </w:t>
      </w:r>
      <w:r w:rsidR="002103B6" w:rsidRPr="001E4864">
        <w:rPr>
          <w:rFonts w:asciiTheme="minorHAnsi" w:hAnsiTheme="minorHAnsi" w:cstheme="minorHAnsi"/>
        </w:rPr>
        <w:t xml:space="preserve">In this context, the argument is that </w:t>
      </w:r>
      <w:r w:rsidR="006679B3" w:rsidRPr="001E4864">
        <w:rPr>
          <w:rFonts w:asciiTheme="minorHAnsi" w:hAnsiTheme="minorHAnsi" w:cstheme="minorHAnsi"/>
        </w:rPr>
        <w:t xml:space="preserve">diversity in the judiciary is </w:t>
      </w:r>
      <w:r w:rsidR="002103B6" w:rsidRPr="001E4864">
        <w:rPr>
          <w:rFonts w:asciiTheme="minorHAnsi" w:hAnsiTheme="minorHAnsi" w:cstheme="minorHAnsi"/>
        </w:rPr>
        <w:t>not a relevant issue</w:t>
      </w:r>
      <w:r w:rsidR="006E5CC5" w:rsidRPr="001E4864">
        <w:rPr>
          <w:rFonts w:asciiTheme="minorHAnsi" w:hAnsiTheme="minorHAnsi" w:cstheme="minorHAnsi"/>
        </w:rPr>
        <w:t xml:space="preserve"> and</w:t>
      </w:r>
      <w:r w:rsidR="006679B3" w:rsidRPr="001E4864">
        <w:rPr>
          <w:rFonts w:asciiTheme="minorHAnsi" w:hAnsiTheme="minorHAnsi" w:cstheme="minorHAnsi"/>
        </w:rPr>
        <w:t xml:space="preserve"> </w:t>
      </w:r>
      <w:r w:rsidR="006E5CC5" w:rsidRPr="001E4864">
        <w:rPr>
          <w:rFonts w:asciiTheme="minorHAnsi" w:hAnsiTheme="minorHAnsi" w:cstheme="minorHAnsi"/>
        </w:rPr>
        <w:t xml:space="preserve">that it is more important for the judges to be </w:t>
      </w:r>
      <w:r w:rsidR="006679B3" w:rsidRPr="001E4864">
        <w:rPr>
          <w:rFonts w:asciiTheme="minorHAnsi" w:hAnsiTheme="minorHAnsi" w:cstheme="minorHAnsi"/>
        </w:rPr>
        <w:t xml:space="preserve">experts and make sound decisions. </w:t>
      </w:r>
      <w:r w:rsidR="006E5CC5" w:rsidRPr="001E4864">
        <w:rPr>
          <w:rFonts w:asciiTheme="minorHAnsi" w:hAnsiTheme="minorHAnsi" w:cstheme="minorHAnsi"/>
        </w:rPr>
        <w:t xml:space="preserve">In this essay, an argument is made that the issue of diversity should be considered to be a relevant issue for the appointment of Supreme Court judges </w:t>
      </w:r>
      <w:r w:rsidR="001B4162" w:rsidRPr="001E4864">
        <w:rPr>
          <w:rFonts w:asciiTheme="minorHAnsi" w:hAnsiTheme="minorHAnsi" w:cstheme="minorHAnsi"/>
        </w:rPr>
        <w:t>even though</w:t>
      </w:r>
      <w:r w:rsidR="006E5CC5" w:rsidRPr="001E4864">
        <w:rPr>
          <w:rFonts w:asciiTheme="minorHAnsi" w:hAnsiTheme="minorHAnsi" w:cstheme="minorHAnsi"/>
        </w:rPr>
        <w:t xml:space="preserve"> at the highest level of judicial </w:t>
      </w:r>
      <w:r w:rsidR="00055B49">
        <w:rPr>
          <w:rFonts w:asciiTheme="minorHAnsi" w:hAnsiTheme="minorHAnsi" w:cstheme="minorHAnsi"/>
        </w:rPr>
        <w:t>decision-making</w:t>
      </w:r>
      <w:r w:rsidR="006E5CC5" w:rsidRPr="001E4864">
        <w:rPr>
          <w:rFonts w:asciiTheme="minorHAnsi" w:hAnsiTheme="minorHAnsi" w:cstheme="minorHAnsi"/>
        </w:rPr>
        <w:t xml:space="preserve">, judges of </w:t>
      </w:r>
      <w:r w:rsidR="00055B49">
        <w:rPr>
          <w:rFonts w:asciiTheme="minorHAnsi" w:hAnsiTheme="minorHAnsi" w:cstheme="minorHAnsi"/>
        </w:rPr>
        <w:t xml:space="preserve">the </w:t>
      </w:r>
      <w:r w:rsidR="006E5CC5" w:rsidRPr="001E4864">
        <w:rPr>
          <w:rFonts w:asciiTheme="minorHAnsi" w:hAnsiTheme="minorHAnsi" w:cstheme="minorHAnsi"/>
        </w:rPr>
        <w:t xml:space="preserve">highest </w:t>
      </w:r>
      <w:proofErr w:type="spellStart"/>
      <w:r w:rsidR="00055B49">
        <w:rPr>
          <w:rFonts w:asciiTheme="minorHAnsi" w:hAnsiTheme="minorHAnsi" w:cstheme="minorHAnsi"/>
        </w:rPr>
        <w:t>caliber</w:t>
      </w:r>
      <w:proofErr w:type="spellEnd"/>
      <w:r w:rsidR="006E5CC5" w:rsidRPr="001E4864">
        <w:rPr>
          <w:rFonts w:asciiTheme="minorHAnsi" w:hAnsiTheme="minorHAnsi" w:cstheme="minorHAnsi"/>
        </w:rPr>
        <w:t xml:space="preserve"> should be appointed irrespective of their </w:t>
      </w:r>
      <w:r w:rsidR="00932106" w:rsidRPr="001E4864">
        <w:rPr>
          <w:rFonts w:asciiTheme="minorHAnsi" w:hAnsiTheme="minorHAnsi" w:cstheme="minorHAnsi"/>
        </w:rPr>
        <w:t>ethnic or gender background or identity. To buttress this argument, this essay refers to the role of the Supreme Court Justice and how they are appointed</w:t>
      </w:r>
      <w:r w:rsidR="00055B49">
        <w:rPr>
          <w:rFonts w:asciiTheme="minorHAnsi" w:hAnsiTheme="minorHAnsi" w:cstheme="minorHAnsi"/>
        </w:rPr>
        <w:t>,</w:t>
      </w:r>
      <w:r w:rsidR="00932106" w:rsidRPr="001E4864">
        <w:rPr>
          <w:rFonts w:asciiTheme="minorHAnsi" w:hAnsiTheme="minorHAnsi" w:cstheme="minorHAnsi"/>
        </w:rPr>
        <w:t xml:space="preserve"> and whether ethnicity or gender impacts </w:t>
      </w:r>
      <w:r w:rsidR="00055B49">
        <w:rPr>
          <w:rFonts w:asciiTheme="minorHAnsi" w:hAnsiTheme="minorHAnsi" w:cstheme="minorHAnsi"/>
        </w:rPr>
        <w:t>the decision-making</w:t>
      </w:r>
      <w:r w:rsidR="00932106" w:rsidRPr="001E4864">
        <w:rPr>
          <w:rFonts w:asciiTheme="minorHAnsi" w:hAnsiTheme="minorHAnsi" w:cstheme="minorHAnsi"/>
        </w:rPr>
        <w:t xml:space="preserve"> of the Supreme Court. </w:t>
      </w:r>
    </w:p>
    <w:p w14:paraId="226EA23D" w14:textId="35CCE0CA" w:rsidR="0054004A" w:rsidRPr="001E4864" w:rsidRDefault="00FD73AB" w:rsidP="001E4864">
      <w:pPr>
        <w:spacing w:before="120" w:after="120"/>
        <w:rPr>
          <w:rFonts w:asciiTheme="minorHAnsi" w:hAnsiTheme="minorHAnsi" w:cstheme="minorHAnsi"/>
          <w:noProof/>
          <w:lang w:val="en-US"/>
        </w:rPr>
      </w:pPr>
      <w:r w:rsidRPr="001E4864">
        <w:rPr>
          <w:rFonts w:asciiTheme="minorHAnsi" w:hAnsiTheme="minorHAnsi" w:cstheme="minorHAnsi"/>
        </w:rPr>
        <w:t xml:space="preserve">A claim </w:t>
      </w:r>
      <w:r w:rsidR="006A3240" w:rsidRPr="001E4864">
        <w:rPr>
          <w:rFonts w:asciiTheme="minorHAnsi" w:hAnsiTheme="minorHAnsi" w:cstheme="minorHAnsi"/>
        </w:rPr>
        <w:t xml:space="preserve">can be made </w:t>
      </w:r>
      <w:r w:rsidRPr="001E4864">
        <w:rPr>
          <w:rFonts w:asciiTheme="minorHAnsi" w:hAnsiTheme="minorHAnsi" w:cstheme="minorHAnsi"/>
        </w:rPr>
        <w:t xml:space="preserve">that judges of the Supreme Court should represent the diversity of the </w:t>
      </w:r>
      <w:r w:rsidR="006A3240" w:rsidRPr="001E4864">
        <w:rPr>
          <w:rFonts w:asciiTheme="minorHAnsi" w:hAnsiTheme="minorHAnsi" w:cstheme="minorHAnsi"/>
        </w:rPr>
        <w:t xml:space="preserve">society because judges are required to make decisions that have societal and political implications, and which may consequently also involve </w:t>
      </w:r>
      <w:r w:rsidR="00DF050F" w:rsidRPr="001E4864">
        <w:rPr>
          <w:rFonts w:asciiTheme="minorHAnsi" w:hAnsiTheme="minorHAnsi" w:cstheme="minorHAnsi"/>
        </w:rPr>
        <w:t>value judgment making in the Supreme Court</w:t>
      </w:r>
      <w:r w:rsidR="006A3240" w:rsidRPr="001E4864">
        <w:rPr>
          <w:rFonts w:asciiTheme="minorHAnsi" w:hAnsiTheme="minorHAnsi" w:cstheme="minorHAnsi"/>
        </w:rPr>
        <w:t xml:space="preserve">. </w:t>
      </w:r>
      <w:r w:rsidR="0054004A" w:rsidRPr="001E4864">
        <w:rPr>
          <w:rFonts w:asciiTheme="minorHAnsi" w:hAnsiTheme="minorHAnsi" w:cstheme="minorHAnsi"/>
        </w:rPr>
        <w:t xml:space="preserve">The argument made by </w:t>
      </w:r>
      <w:r w:rsidR="0054004A" w:rsidRPr="001E4864">
        <w:rPr>
          <w:rFonts w:asciiTheme="minorHAnsi" w:hAnsiTheme="minorHAnsi" w:cstheme="minorHAnsi"/>
          <w:noProof/>
          <w:lang w:val="en-US"/>
        </w:rPr>
        <w:t xml:space="preserve">Malleson (2022) that judges do make value judgments, starts from the assumption that the </w:t>
      </w:r>
      <w:r w:rsidR="0054004A" w:rsidRPr="001E4864">
        <w:rPr>
          <w:rFonts w:asciiTheme="minorHAnsi" w:hAnsiTheme="minorHAnsi" w:cstheme="minorHAnsi"/>
          <w:color w:val="1C1D1E"/>
          <w:shd w:val="clear" w:color="auto" w:fill="FFFFFF"/>
        </w:rPr>
        <w:t>UK Supreme Court does decide and will continue to decide matters that are of social or political significance which cannot be resolved “solely with reference to self-contained or technical legal arguments” (p.</w:t>
      </w:r>
      <w:r w:rsidR="00FF7812" w:rsidRPr="001E4864">
        <w:rPr>
          <w:rFonts w:asciiTheme="minorHAnsi" w:hAnsiTheme="minorHAnsi" w:cstheme="minorHAnsi"/>
          <w:color w:val="1C1D1E"/>
          <w:shd w:val="clear" w:color="auto" w:fill="FFFFFF"/>
        </w:rPr>
        <w:t>4</w:t>
      </w:r>
      <w:r w:rsidR="0054004A" w:rsidRPr="001E4864">
        <w:rPr>
          <w:rFonts w:asciiTheme="minorHAnsi" w:hAnsiTheme="minorHAnsi" w:cstheme="minorHAnsi"/>
          <w:color w:val="1C1D1E"/>
          <w:shd w:val="clear" w:color="auto" w:fill="FFFFFF"/>
        </w:rPr>
        <w:t>).</w:t>
      </w:r>
      <w:r w:rsidR="00FF7812" w:rsidRPr="001E4864">
        <w:rPr>
          <w:rFonts w:asciiTheme="minorHAnsi" w:hAnsiTheme="minorHAnsi" w:cstheme="minorHAnsi"/>
          <w:color w:val="1C1D1E"/>
          <w:shd w:val="clear" w:color="auto" w:fill="FFFFFF"/>
        </w:rPr>
        <w:t xml:space="preserve"> In other words, the role of the Supreme Court Justice in resolving issues that are not just purely technical but also involve significant social and political aspects is such that it cannot be reasonably expected that the judge will not apply some value judgments in resolving such issues. This being the case, it is not an unreasonable argument to make that the Supreme Court should have </w:t>
      </w:r>
      <w:r w:rsidR="00055B49">
        <w:rPr>
          <w:rFonts w:asciiTheme="minorHAnsi" w:hAnsiTheme="minorHAnsi" w:cstheme="minorHAnsi"/>
          <w:color w:val="1C1D1E"/>
          <w:shd w:val="clear" w:color="auto" w:fill="FFFFFF"/>
        </w:rPr>
        <w:t xml:space="preserve">a </w:t>
      </w:r>
      <w:r w:rsidR="00FF7812" w:rsidRPr="001E4864">
        <w:rPr>
          <w:rFonts w:asciiTheme="minorHAnsi" w:hAnsiTheme="minorHAnsi" w:cstheme="minorHAnsi"/>
          <w:color w:val="1C1D1E"/>
          <w:shd w:val="clear" w:color="auto" w:fill="FFFFFF"/>
        </w:rPr>
        <w:t xml:space="preserve">diversity of judges who may be </w:t>
      </w:r>
      <w:r w:rsidR="001B4162" w:rsidRPr="001E4864">
        <w:rPr>
          <w:rFonts w:asciiTheme="minorHAnsi" w:hAnsiTheme="minorHAnsi" w:cstheme="minorHAnsi"/>
          <w:color w:val="1C1D1E"/>
          <w:shd w:val="clear" w:color="auto" w:fill="FFFFFF"/>
        </w:rPr>
        <w:t xml:space="preserve">able to provide a more balanced and nuanced approach to </w:t>
      </w:r>
      <w:r w:rsidR="00055B49">
        <w:rPr>
          <w:rFonts w:asciiTheme="minorHAnsi" w:hAnsiTheme="minorHAnsi" w:cstheme="minorHAnsi"/>
          <w:color w:val="1C1D1E"/>
          <w:shd w:val="clear" w:color="auto" w:fill="FFFFFF"/>
        </w:rPr>
        <w:t>decision-making</w:t>
      </w:r>
      <w:r w:rsidR="001B4162" w:rsidRPr="001E4864">
        <w:rPr>
          <w:rFonts w:asciiTheme="minorHAnsi" w:hAnsiTheme="minorHAnsi" w:cstheme="minorHAnsi"/>
          <w:color w:val="1C1D1E"/>
          <w:shd w:val="clear" w:color="auto" w:fill="FFFFFF"/>
        </w:rPr>
        <w:t xml:space="preserve"> in the Supreme Court. </w:t>
      </w:r>
    </w:p>
    <w:p w14:paraId="0952C56C" w14:textId="4DA7780F" w:rsidR="0086118F" w:rsidRDefault="00DF050F" w:rsidP="001E4864">
      <w:pPr>
        <w:pStyle w:val="NormalWeb"/>
        <w:spacing w:before="120" w:beforeAutospacing="0" w:after="120" w:afterAutospacing="0"/>
        <w:ind w:right="225"/>
        <w:textAlignment w:val="baseline"/>
        <w:rPr>
          <w:rFonts w:asciiTheme="minorHAnsi" w:hAnsiTheme="minorHAnsi" w:cstheme="minorHAnsi"/>
          <w:color w:val="333333"/>
        </w:rPr>
      </w:pPr>
      <w:r w:rsidRPr="001E4864">
        <w:rPr>
          <w:rFonts w:asciiTheme="minorHAnsi" w:hAnsiTheme="minorHAnsi" w:cstheme="minorHAnsi"/>
        </w:rPr>
        <w:t>P</w:t>
      </w:r>
      <w:r w:rsidR="00342712" w:rsidRPr="001E4864">
        <w:rPr>
          <w:rFonts w:asciiTheme="minorHAnsi" w:hAnsiTheme="minorHAnsi" w:cstheme="minorHAnsi"/>
        </w:rPr>
        <w:t xml:space="preserve">owers conferred upon </w:t>
      </w:r>
      <w:r w:rsidRPr="001E4864">
        <w:rPr>
          <w:rFonts w:asciiTheme="minorHAnsi" w:hAnsiTheme="minorHAnsi" w:cstheme="minorHAnsi"/>
        </w:rPr>
        <w:t xml:space="preserve">the judges of the Supreme Court should be considered while addressing the issue of diversity of the Supreme Court. </w:t>
      </w:r>
      <w:r w:rsidR="005700D5" w:rsidRPr="001E4864">
        <w:rPr>
          <w:rFonts w:asciiTheme="minorHAnsi" w:hAnsiTheme="minorHAnsi" w:cstheme="minorHAnsi"/>
        </w:rPr>
        <w:t xml:space="preserve">Also related is the issue of </w:t>
      </w:r>
      <w:r w:rsidR="00055B49">
        <w:rPr>
          <w:rFonts w:asciiTheme="minorHAnsi" w:hAnsiTheme="minorHAnsi" w:cstheme="minorHAnsi"/>
        </w:rPr>
        <w:t xml:space="preserve">the </w:t>
      </w:r>
      <w:r w:rsidR="005700D5" w:rsidRPr="001E4864">
        <w:rPr>
          <w:rFonts w:asciiTheme="minorHAnsi" w:hAnsiTheme="minorHAnsi" w:cstheme="minorHAnsi"/>
        </w:rPr>
        <w:t>procedure of appointment of Supreme Court judges. The relevant legislation is the</w:t>
      </w:r>
      <w:r w:rsidR="005700D5" w:rsidRPr="001E4864">
        <w:rPr>
          <w:rFonts w:asciiTheme="minorHAnsi" w:hAnsiTheme="minorHAnsi" w:cstheme="minorHAnsi"/>
          <w:color w:val="333333"/>
        </w:rPr>
        <w:t xml:space="preserve"> Constitutional Reform Act 2005 (amended by the Crime and Courts Act 2013) since the procedure for </w:t>
      </w:r>
      <w:r w:rsidR="00055B49">
        <w:rPr>
          <w:rFonts w:asciiTheme="minorHAnsi" w:hAnsiTheme="minorHAnsi" w:cstheme="minorHAnsi"/>
          <w:color w:val="333333"/>
        </w:rPr>
        <w:t xml:space="preserve">an </w:t>
      </w:r>
      <w:r w:rsidR="005700D5" w:rsidRPr="001E4864">
        <w:rPr>
          <w:rFonts w:asciiTheme="minorHAnsi" w:hAnsiTheme="minorHAnsi" w:cstheme="minorHAnsi"/>
          <w:color w:val="333333"/>
        </w:rPr>
        <w:t xml:space="preserve">appointment is provided in Sections 25 to 31 and Schedule 8. The </w:t>
      </w:r>
      <w:r w:rsidR="005700D5" w:rsidRPr="005700D5">
        <w:rPr>
          <w:rFonts w:asciiTheme="minorHAnsi" w:hAnsiTheme="minorHAnsi" w:cstheme="minorHAnsi"/>
          <w:color w:val="333333"/>
        </w:rPr>
        <w:t>statutory qualifications for appointment</w:t>
      </w:r>
      <w:r w:rsidR="005700D5" w:rsidRPr="001E4864">
        <w:rPr>
          <w:rFonts w:asciiTheme="minorHAnsi" w:hAnsiTheme="minorHAnsi" w:cstheme="minorHAnsi"/>
          <w:color w:val="333333"/>
        </w:rPr>
        <w:t xml:space="preserve">s as well as the procedure for the appointments are provided in these </w:t>
      </w:r>
      <w:r w:rsidR="00981281" w:rsidRPr="001E4864">
        <w:rPr>
          <w:rFonts w:asciiTheme="minorHAnsi" w:hAnsiTheme="minorHAnsi" w:cstheme="minorHAnsi"/>
          <w:color w:val="333333"/>
        </w:rPr>
        <w:t xml:space="preserve">sections. The conditions of eligibility are that the applicants to positions of Supreme Court justices should have </w:t>
      </w:r>
      <w:r w:rsidR="005700D5" w:rsidRPr="005700D5">
        <w:rPr>
          <w:rFonts w:asciiTheme="minorHAnsi" w:hAnsiTheme="minorHAnsi" w:cstheme="minorHAnsi"/>
          <w:color w:val="333333"/>
        </w:rPr>
        <w:t xml:space="preserve">held high judicial office for at least two </w:t>
      </w:r>
      <w:r w:rsidR="005700D5" w:rsidRPr="005700D5">
        <w:rPr>
          <w:rFonts w:asciiTheme="minorHAnsi" w:hAnsiTheme="minorHAnsi" w:cstheme="minorHAnsi"/>
          <w:color w:val="333333"/>
        </w:rPr>
        <w:lastRenderedPageBreak/>
        <w:t>years</w:t>
      </w:r>
      <w:r w:rsidR="00981281" w:rsidRPr="001E4864">
        <w:rPr>
          <w:rFonts w:asciiTheme="minorHAnsi" w:hAnsiTheme="minorHAnsi" w:cstheme="minorHAnsi"/>
          <w:color w:val="333333"/>
        </w:rPr>
        <w:t xml:space="preserve"> or </w:t>
      </w:r>
      <w:r w:rsidR="005700D5" w:rsidRPr="005700D5">
        <w:rPr>
          <w:rFonts w:asciiTheme="minorHAnsi" w:hAnsiTheme="minorHAnsi" w:cstheme="minorHAnsi"/>
          <w:color w:val="333333"/>
        </w:rPr>
        <w:t>must satisfy the judicial-appointment eligibility condition on a 15-year basis, or have been a qualifying practitioner for at least 15 years.</w:t>
      </w:r>
      <w:r w:rsidR="00981281" w:rsidRPr="001E4864">
        <w:rPr>
          <w:rFonts w:asciiTheme="minorHAnsi" w:hAnsiTheme="minorHAnsi" w:cstheme="minorHAnsi"/>
          <w:color w:val="333333"/>
        </w:rPr>
        <w:t xml:space="preserve"> The appointments are made by the Selection Commission that is convened by the </w:t>
      </w:r>
      <w:r w:rsidR="00981281" w:rsidRPr="00981281">
        <w:rPr>
          <w:rFonts w:asciiTheme="minorHAnsi" w:hAnsiTheme="minorHAnsi" w:cstheme="minorHAnsi"/>
          <w:color w:val="333333"/>
        </w:rPr>
        <w:t>Lord Chancellor.</w:t>
      </w:r>
      <w:r w:rsidR="00E1420A" w:rsidRPr="001E4864">
        <w:rPr>
          <w:rFonts w:asciiTheme="minorHAnsi" w:hAnsiTheme="minorHAnsi" w:cstheme="minorHAnsi"/>
          <w:color w:val="333333"/>
        </w:rPr>
        <w:t xml:space="preserve"> It is relevant that the appointments to the Supreme Court are made on merit and </w:t>
      </w:r>
      <w:r w:rsidR="006D1DDB">
        <w:rPr>
          <w:rFonts w:asciiTheme="minorHAnsi" w:hAnsiTheme="minorHAnsi" w:cstheme="minorHAnsi"/>
          <w:color w:val="333333"/>
        </w:rPr>
        <w:t xml:space="preserve">until changes brought in by the Crime and Courts Act 2013, </w:t>
      </w:r>
      <w:r w:rsidR="00E1420A" w:rsidRPr="001E4864">
        <w:rPr>
          <w:rFonts w:asciiTheme="minorHAnsi" w:hAnsiTheme="minorHAnsi" w:cstheme="minorHAnsi"/>
          <w:color w:val="333333"/>
        </w:rPr>
        <w:t xml:space="preserve">there </w:t>
      </w:r>
      <w:r w:rsidR="006D1DDB">
        <w:rPr>
          <w:rFonts w:asciiTheme="minorHAnsi" w:hAnsiTheme="minorHAnsi" w:cstheme="minorHAnsi"/>
          <w:color w:val="333333"/>
        </w:rPr>
        <w:t>was</w:t>
      </w:r>
      <w:r w:rsidR="00E1420A" w:rsidRPr="001E4864">
        <w:rPr>
          <w:rFonts w:asciiTheme="minorHAnsi" w:hAnsiTheme="minorHAnsi" w:cstheme="minorHAnsi"/>
          <w:color w:val="333333"/>
        </w:rPr>
        <w:t xml:space="preserve"> no specific provision for appointing persons on the basis of diversity. Paragraph 27 of </w:t>
      </w:r>
      <w:r w:rsidR="00055B49">
        <w:rPr>
          <w:rFonts w:asciiTheme="minorHAnsi" w:hAnsiTheme="minorHAnsi" w:cstheme="minorHAnsi"/>
          <w:color w:val="333333"/>
        </w:rPr>
        <w:t xml:space="preserve">the </w:t>
      </w:r>
      <w:r w:rsidR="00E1420A" w:rsidRPr="001E4864">
        <w:rPr>
          <w:rFonts w:asciiTheme="minorHAnsi" w:hAnsiTheme="minorHAnsi" w:cstheme="minorHAnsi"/>
          <w:color w:val="333333"/>
        </w:rPr>
        <w:t xml:space="preserve">Constitutional Reforms Act 2005 provides this much that a person may only be selected if they meet the qualifications set out </w:t>
      </w:r>
      <w:r w:rsidR="00055B49">
        <w:rPr>
          <w:rFonts w:asciiTheme="minorHAnsi" w:hAnsiTheme="minorHAnsi" w:cstheme="minorHAnsi"/>
          <w:color w:val="333333"/>
        </w:rPr>
        <w:t>in</w:t>
      </w:r>
      <w:r w:rsidR="00E1420A" w:rsidRPr="001E4864">
        <w:rPr>
          <w:rFonts w:asciiTheme="minorHAnsi" w:hAnsiTheme="minorHAnsi" w:cstheme="minorHAnsi"/>
          <w:color w:val="333333"/>
        </w:rPr>
        <w:t xml:space="preserve"> Section 25</w:t>
      </w:r>
      <w:r w:rsidR="00225CE5" w:rsidRPr="001E4864">
        <w:rPr>
          <w:rFonts w:asciiTheme="minorHAnsi" w:hAnsiTheme="minorHAnsi" w:cstheme="minorHAnsi"/>
          <w:color w:val="333333"/>
        </w:rPr>
        <w:t xml:space="preserve"> and that the appointment must be on merit. The Selection Commission submits a report to the Lord Chancellor under </w:t>
      </w:r>
      <w:r w:rsidR="00225CE5" w:rsidRPr="00225CE5">
        <w:rPr>
          <w:rFonts w:asciiTheme="minorHAnsi" w:hAnsiTheme="minorHAnsi" w:cstheme="minorHAnsi"/>
          <w:color w:val="333333"/>
        </w:rPr>
        <w:t xml:space="preserve">Section 28 </w:t>
      </w:r>
      <w:r w:rsidR="00225CE5" w:rsidRPr="001E4864">
        <w:rPr>
          <w:rFonts w:asciiTheme="minorHAnsi" w:hAnsiTheme="minorHAnsi" w:cstheme="minorHAnsi"/>
          <w:color w:val="333333"/>
        </w:rPr>
        <w:t xml:space="preserve">and this report states who </w:t>
      </w:r>
      <w:r w:rsidR="00055B49">
        <w:rPr>
          <w:rFonts w:asciiTheme="minorHAnsi" w:hAnsiTheme="minorHAnsi" w:cstheme="minorHAnsi"/>
          <w:color w:val="333333"/>
        </w:rPr>
        <w:t>have</w:t>
      </w:r>
      <w:r w:rsidR="00225CE5" w:rsidRPr="00225CE5">
        <w:rPr>
          <w:rFonts w:asciiTheme="minorHAnsi" w:hAnsiTheme="minorHAnsi" w:cstheme="minorHAnsi"/>
          <w:color w:val="333333"/>
        </w:rPr>
        <w:t xml:space="preserve"> been selected</w:t>
      </w:r>
      <w:r w:rsidR="001E4864" w:rsidRPr="001E4864">
        <w:rPr>
          <w:rFonts w:asciiTheme="minorHAnsi" w:hAnsiTheme="minorHAnsi" w:cstheme="minorHAnsi"/>
          <w:color w:val="333333"/>
        </w:rPr>
        <w:t>.</w:t>
      </w:r>
      <w:r w:rsidR="001E4864">
        <w:rPr>
          <w:rFonts w:asciiTheme="minorHAnsi" w:hAnsiTheme="minorHAnsi" w:cstheme="minorHAnsi"/>
          <w:color w:val="333333"/>
        </w:rPr>
        <w:t xml:space="preserve"> It is noteworthy that there is also an attempt made to increase diversity in the Supreme Court selection process, by providing under </w:t>
      </w:r>
      <w:r w:rsidR="00463AA0">
        <w:rPr>
          <w:rFonts w:asciiTheme="minorHAnsi" w:hAnsiTheme="minorHAnsi" w:cstheme="minorHAnsi"/>
          <w:color w:val="333333"/>
        </w:rPr>
        <w:t xml:space="preserve">Section 27(5A) that </w:t>
      </w:r>
      <w:r w:rsidR="00463AA0" w:rsidRPr="00D72159">
        <w:rPr>
          <w:rFonts w:asciiTheme="minorHAnsi" w:hAnsiTheme="minorHAnsi" w:cstheme="minorHAnsi"/>
          <w:color w:val="333333"/>
        </w:rPr>
        <w:t xml:space="preserve">where </w:t>
      </w:r>
      <w:r w:rsidR="00463AA0" w:rsidRPr="00D72159">
        <w:rPr>
          <w:rStyle w:val="legamendingtext"/>
          <w:rFonts w:asciiTheme="minorHAnsi" w:hAnsiTheme="minorHAnsi" w:cstheme="minorHAnsi"/>
          <w:color w:val="000000"/>
        </w:rPr>
        <w:t xml:space="preserve">two persons are of equal merit, and where positive action does not apply, then the commission may </w:t>
      </w:r>
      <w:r w:rsidR="006D1DDB" w:rsidRPr="00D72159">
        <w:rPr>
          <w:rStyle w:val="legamendingtext"/>
          <w:rFonts w:asciiTheme="minorHAnsi" w:hAnsiTheme="minorHAnsi" w:cstheme="minorHAnsi"/>
          <w:color w:val="000000"/>
        </w:rPr>
        <w:t xml:space="preserve">prefer </w:t>
      </w:r>
      <w:r w:rsidR="00463AA0" w:rsidRPr="00D72159">
        <w:rPr>
          <w:rStyle w:val="legamendingtext"/>
          <w:rFonts w:asciiTheme="minorHAnsi" w:hAnsiTheme="minorHAnsi" w:cstheme="minorHAnsi"/>
          <w:color w:val="000000"/>
        </w:rPr>
        <w:t xml:space="preserve">one </w:t>
      </w:r>
      <w:r w:rsidR="006D1DDB" w:rsidRPr="00D72159">
        <w:rPr>
          <w:rStyle w:val="legamendingtext"/>
          <w:rFonts w:asciiTheme="minorHAnsi" w:hAnsiTheme="minorHAnsi" w:cstheme="minorHAnsi"/>
          <w:color w:val="000000"/>
        </w:rPr>
        <w:t>candidate</w:t>
      </w:r>
      <w:r w:rsidR="00463AA0" w:rsidRPr="00D72159">
        <w:rPr>
          <w:rStyle w:val="legamendingtext"/>
          <w:rFonts w:asciiTheme="minorHAnsi" w:hAnsiTheme="minorHAnsi" w:cstheme="minorHAnsi"/>
          <w:color w:val="000000"/>
        </w:rPr>
        <w:t xml:space="preserve"> over the other for the purpose of increasing diversity</w:t>
      </w:r>
      <w:r w:rsidR="006D1DDB" w:rsidRPr="00D72159">
        <w:rPr>
          <w:rStyle w:val="legamendingtext"/>
          <w:rFonts w:asciiTheme="minorHAnsi" w:hAnsiTheme="minorHAnsi" w:cstheme="minorHAnsi"/>
          <w:color w:val="000000"/>
        </w:rPr>
        <w:t xml:space="preserve">. Therefore, the selection </w:t>
      </w:r>
      <w:r w:rsidR="00055B49" w:rsidRPr="00D72159">
        <w:rPr>
          <w:rStyle w:val="legamendingtext"/>
          <w:rFonts w:asciiTheme="minorHAnsi" w:hAnsiTheme="minorHAnsi" w:cstheme="minorHAnsi"/>
          <w:color w:val="000000"/>
        </w:rPr>
        <w:t>committee</w:t>
      </w:r>
      <w:r w:rsidR="006D1DDB" w:rsidRPr="00D72159">
        <w:rPr>
          <w:rStyle w:val="legamendingtext"/>
          <w:rFonts w:asciiTheme="minorHAnsi" w:hAnsiTheme="minorHAnsi" w:cstheme="minorHAnsi"/>
          <w:color w:val="000000"/>
        </w:rPr>
        <w:t xml:space="preserve"> may </w:t>
      </w:r>
      <w:r w:rsidR="00DC0234" w:rsidRPr="00D72159">
        <w:rPr>
          <w:rStyle w:val="legamendingtext"/>
          <w:rFonts w:asciiTheme="minorHAnsi" w:hAnsiTheme="minorHAnsi" w:cstheme="minorHAnsi"/>
          <w:color w:val="000000"/>
        </w:rPr>
        <w:t xml:space="preserve">choose candidates on the basis of diversity requirements, although the language of Section 27 (5A) does not mandate such action on the part of the </w:t>
      </w:r>
      <w:r w:rsidR="00055B49" w:rsidRPr="00D72159">
        <w:rPr>
          <w:rStyle w:val="legamendingtext"/>
          <w:rFonts w:asciiTheme="minorHAnsi" w:hAnsiTheme="minorHAnsi" w:cstheme="minorHAnsi"/>
          <w:color w:val="000000"/>
        </w:rPr>
        <w:t>election</w:t>
      </w:r>
      <w:r w:rsidR="00DC0234" w:rsidRPr="00D72159">
        <w:rPr>
          <w:rStyle w:val="legamendingtext"/>
          <w:rFonts w:asciiTheme="minorHAnsi" w:hAnsiTheme="minorHAnsi" w:cstheme="minorHAnsi"/>
          <w:color w:val="000000"/>
        </w:rPr>
        <w:t xml:space="preserve"> commission, which suggests that the</w:t>
      </w:r>
      <w:r w:rsidR="00DC0234" w:rsidRPr="00D72159">
        <w:rPr>
          <w:rStyle w:val="legamendingtext"/>
          <w:rFonts w:asciiTheme="minorHAnsi" w:hAnsiTheme="minorHAnsi" w:cstheme="minorHAnsi"/>
          <w:color w:val="000000"/>
          <w:sz w:val="19"/>
          <w:szCs w:val="19"/>
        </w:rPr>
        <w:t xml:space="preserve"> commission has discretion</w:t>
      </w:r>
      <w:r w:rsidR="00DC0234">
        <w:rPr>
          <w:rStyle w:val="legamendingtext"/>
          <w:rFonts w:ascii="Arial" w:hAnsi="Arial" w:cs="Arial"/>
          <w:color w:val="000000"/>
          <w:sz w:val="19"/>
          <w:szCs w:val="19"/>
        </w:rPr>
        <w:t xml:space="preserve">. </w:t>
      </w:r>
      <w:r w:rsidR="00DC0234">
        <w:rPr>
          <w:rFonts w:asciiTheme="minorHAnsi" w:hAnsiTheme="minorHAnsi" w:cstheme="minorHAnsi"/>
          <w:color w:val="333333"/>
        </w:rPr>
        <w:t>These changes do suggest</w:t>
      </w:r>
      <w:r w:rsidR="00055B49">
        <w:rPr>
          <w:rFonts w:asciiTheme="minorHAnsi" w:hAnsiTheme="minorHAnsi" w:cstheme="minorHAnsi"/>
          <w:color w:val="333333"/>
        </w:rPr>
        <w:t>,</w:t>
      </w:r>
      <w:r w:rsidR="00DC0234">
        <w:rPr>
          <w:rFonts w:asciiTheme="minorHAnsi" w:hAnsiTheme="minorHAnsi" w:cstheme="minorHAnsi"/>
          <w:color w:val="333333"/>
        </w:rPr>
        <w:t xml:space="preserve"> however, that there is now greater consensus on </w:t>
      </w:r>
      <w:r w:rsidR="009B0746">
        <w:rPr>
          <w:rFonts w:asciiTheme="minorHAnsi" w:hAnsiTheme="minorHAnsi" w:cstheme="minorHAnsi"/>
          <w:color w:val="333333"/>
        </w:rPr>
        <w:t xml:space="preserve">increasing diversity in the Supreme Court. </w:t>
      </w:r>
      <w:r w:rsidR="00130CE7">
        <w:rPr>
          <w:rFonts w:asciiTheme="minorHAnsi" w:hAnsiTheme="minorHAnsi" w:cstheme="minorHAnsi"/>
          <w:color w:val="333333"/>
        </w:rPr>
        <w:t xml:space="preserve">In 2014, the judicial composition of the Supreme Court represented </w:t>
      </w:r>
      <w:r w:rsidR="00130CE7" w:rsidRPr="001E4864">
        <w:rPr>
          <w:rFonts w:asciiTheme="minorHAnsi" w:hAnsiTheme="minorHAnsi" w:cstheme="minorHAnsi"/>
        </w:rPr>
        <w:t>8%</w:t>
      </w:r>
      <w:r w:rsidR="00130CE7">
        <w:rPr>
          <w:rFonts w:asciiTheme="minorHAnsi" w:hAnsiTheme="minorHAnsi" w:cstheme="minorHAnsi"/>
        </w:rPr>
        <w:t xml:space="preserve"> </w:t>
      </w:r>
      <w:r w:rsidR="00055B49">
        <w:rPr>
          <w:rFonts w:asciiTheme="minorHAnsi" w:hAnsiTheme="minorHAnsi" w:cstheme="minorHAnsi"/>
        </w:rPr>
        <w:t xml:space="preserve">of </w:t>
      </w:r>
      <w:r w:rsidR="00130CE7">
        <w:rPr>
          <w:rFonts w:asciiTheme="minorHAnsi" w:hAnsiTheme="minorHAnsi" w:cstheme="minorHAnsi"/>
        </w:rPr>
        <w:t>judges who were women</w:t>
      </w:r>
      <w:sdt>
        <w:sdtPr>
          <w:rPr>
            <w:rFonts w:asciiTheme="minorHAnsi" w:hAnsiTheme="minorHAnsi" w:cstheme="minorHAnsi"/>
          </w:rPr>
          <w:id w:val="521206580"/>
          <w:citation/>
        </w:sdtPr>
        <w:sdtEndPr/>
        <w:sdtContent>
          <w:r w:rsidR="00130CE7" w:rsidRPr="001E4864">
            <w:rPr>
              <w:rFonts w:asciiTheme="minorHAnsi" w:hAnsiTheme="minorHAnsi" w:cstheme="minorHAnsi"/>
            </w:rPr>
            <w:fldChar w:fldCharType="begin"/>
          </w:r>
          <w:r w:rsidR="00130CE7" w:rsidRPr="001E4864">
            <w:rPr>
              <w:rFonts w:asciiTheme="minorHAnsi" w:hAnsiTheme="minorHAnsi" w:cstheme="minorHAnsi"/>
              <w:lang w:val="en-US"/>
            </w:rPr>
            <w:instrText xml:space="preserve"> CITATION Lor142 \l 1033 </w:instrText>
          </w:r>
          <w:r w:rsidR="00130CE7" w:rsidRPr="001E4864">
            <w:rPr>
              <w:rFonts w:asciiTheme="minorHAnsi" w:hAnsiTheme="minorHAnsi" w:cstheme="minorHAnsi"/>
            </w:rPr>
            <w:fldChar w:fldCharType="separate"/>
          </w:r>
          <w:r w:rsidR="00130CE7" w:rsidRPr="001E4864">
            <w:rPr>
              <w:rFonts w:asciiTheme="minorHAnsi" w:hAnsiTheme="minorHAnsi" w:cstheme="minorHAnsi"/>
              <w:noProof/>
              <w:lang w:val="en-US"/>
            </w:rPr>
            <w:t xml:space="preserve"> (Lord Neuberger, 2014)</w:t>
          </w:r>
          <w:r w:rsidR="00130CE7" w:rsidRPr="001E4864">
            <w:rPr>
              <w:rFonts w:asciiTheme="minorHAnsi" w:hAnsiTheme="minorHAnsi" w:cstheme="minorHAnsi"/>
            </w:rPr>
            <w:fldChar w:fldCharType="end"/>
          </w:r>
        </w:sdtContent>
      </w:sdt>
      <w:r w:rsidR="00130CE7" w:rsidRPr="001E4864">
        <w:rPr>
          <w:rFonts w:asciiTheme="minorHAnsi" w:hAnsiTheme="minorHAnsi" w:cstheme="minorHAnsi"/>
        </w:rPr>
        <w:t xml:space="preserve">. </w:t>
      </w:r>
      <w:r w:rsidR="00E93E43">
        <w:rPr>
          <w:rFonts w:asciiTheme="minorHAnsi" w:hAnsiTheme="minorHAnsi" w:cstheme="minorHAnsi"/>
          <w:color w:val="333333"/>
        </w:rPr>
        <w:t xml:space="preserve">The Supreme Court and the Judicial Committee of the Privy Council have since then </w:t>
      </w:r>
      <w:r w:rsidR="005827E1">
        <w:rPr>
          <w:rFonts w:asciiTheme="minorHAnsi" w:hAnsiTheme="minorHAnsi" w:cstheme="minorHAnsi"/>
          <w:color w:val="333333"/>
        </w:rPr>
        <w:t xml:space="preserve">published their diversity strategy in which they </w:t>
      </w:r>
      <w:r w:rsidR="0086118F">
        <w:rPr>
          <w:rFonts w:asciiTheme="minorHAnsi" w:hAnsiTheme="minorHAnsi" w:cstheme="minorHAnsi"/>
          <w:color w:val="333333"/>
        </w:rPr>
        <w:t>have explained how increasing the diversity of the courts is also linked to the aims of the Equality Act 2010</w:t>
      </w:r>
      <w:r w:rsidR="00E93E43">
        <w:rPr>
          <w:rFonts w:asciiTheme="minorHAnsi" w:hAnsiTheme="minorHAnsi" w:cstheme="minorHAnsi"/>
          <w:color w:val="333333"/>
        </w:rPr>
        <w:t xml:space="preserve"> </w:t>
      </w:r>
      <w:sdt>
        <w:sdtPr>
          <w:rPr>
            <w:rFonts w:asciiTheme="minorHAnsi" w:hAnsiTheme="minorHAnsi" w:cstheme="minorHAnsi"/>
            <w:color w:val="333333"/>
          </w:rPr>
          <w:id w:val="-1366744420"/>
          <w:citation/>
        </w:sdtPr>
        <w:sdtEndPr/>
        <w:sdtContent>
          <w:r w:rsidR="00E93E43">
            <w:rPr>
              <w:rFonts w:asciiTheme="minorHAnsi" w:hAnsiTheme="minorHAnsi" w:cstheme="minorHAnsi"/>
              <w:color w:val="333333"/>
            </w:rPr>
            <w:fldChar w:fldCharType="begin"/>
          </w:r>
          <w:r w:rsidR="00E93E43">
            <w:rPr>
              <w:rFonts w:asciiTheme="minorHAnsi" w:hAnsiTheme="minorHAnsi" w:cstheme="minorHAnsi"/>
              <w:color w:val="333333"/>
              <w:lang w:val="en-US"/>
            </w:rPr>
            <w:instrText xml:space="preserve">CITATION UKS21 \l 1033 </w:instrText>
          </w:r>
          <w:r w:rsidR="00E93E43">
            <w:rPr>
              <w:rFonts w:asciiTheme="minorHAnsi" w:hAnsiTheme="minorHAnsi" w:cstheme="minorHAnsi"/>
              <w:color w:val="333333"/>
            </w:rPr>
            <w:fldChar w:fldCharType="separate"/>
          </w:r>
          <w:r w:rsidR="00E93E43" w:rsidRPr="00E93E43">
            <w:rPr>
              <w:rFonts w:asciiTheme="minorHAnsi" w:hAnsiTheme="minorHAnsi" w:cstheme="minorHAnsi"/>
              <w:noProof/>
              <w:color w:val="333333"/>
              <w:lang w:val="en-US"/>
            </w:rPr>
            <w:t>(UKSC, 2021)</w:t>
          </w:r>
          <w:r w:rsidR="00E93E43">
            <w:rPr>
              <w:rFonts w:asciiTheme="minorHAnsi" w:hAnsiTheme="minorHAnsi" w:cstheme="minorHAnsi"/>
              <w:color w:val="333333"/>
            </w:rPr>
            <w:fldChar w:fldCharType="end"/>
          </w:r>
        </w:sdtContent>
      </w:sdt>
      <w:r w:rsidR="0086118F">
        <w:rPr>
          <w:rFonts w:asciiTheme="minorHAnsi" w:hAnsiTheme="minorHAnsi" w:cstheme="minorHAnsi"/>
          <w:color w:val="333333"/>
        </w:rPr>
        <w:t xml:space="preserve">. In </w:t>
      </w:r>
      <w:r w:rsidR="00055B49">
        <w:rPr>
          <w:rFonts w:asciiTheme="minorHAnsi" w:hAnsiTheme="minorHAnsi" w:cstheme="minorHAnsi"/>
          <w:color w:val="333333"/>
        </w:rPr>
        <w:t xml:space="preserve">the </w:t>
      </w:r>
      <w:r w:rsidR="0086118F">
        <w:rPr>
          <w:rFonts w:asciiTheme="minorHAnsi" w:hAnsiTheme="minorHAnsi" w:cstheme="minorHAnsi"/>
          <w:color w:val="333333"/>
        </w:rPr>
        <w:t>context of this, the diversity strategy clearly mentions that one of the roles of the Supreme Court shall be to “</w:t>
      </w:r>
      <w:r w:rsidR="0086118F" w:rsidRPr="0086118F">
        <w:t>support an increase in the number of well-qualified applicants from underrepresented groups for the role of justice at the UK Supreme Court</w:t>
      </w:r>
      <w:r w:rsidR="0086118F">
        <w:t xml:space="preserve">” </w:t>
      </w:r>
      <w:sdt>
        <w:sdtPr>
          <w:id w:val="1890994607"/>
          <w:citation/>
        </w:sdtPr>
        <w:sdtEndPr/>
        <w:sdtContent>
          <w:r w:rsidR="0086118F">
            <w:fldChar w:fldCharType="begin"/>
          </w:r>
          <w:r w:rsidR="002214F3">
            <w:rPr>
              <w:lang w:val="en-US"/>
            </w:rPr>
            <w:instrText xml:space="preserve">CITATION UKS21 \p 7 \l 1033 </w:instrText>
          </w:r>
          <w:r w:rsidR="0086118F">
            <w:fldChar w:fldCharType="separate"/>
          </w:r>
          <w:r w:rsidR="002214F3">
            <w:rPr>
              <w:noProof/>
              <w:lang w:val="en-US"/>
            </w:rPr>
            <w:t>(UKSC, 2021, p. 7)</w:t>
          </w:r>
          <w:r w:rsidR="0086118F">
            <w:fldChar w:fldCharType="end"/>
          </w:r>
        </w:sdtContent>
      </w:sdt>
      <w:r w:rsidR="0086118F">
        <w:t>.</w:t>
      </w:r>
    </w:p>
    <w:p w14:paraId="476C69BF" w14:textId="1A6673E1" w:rsidR="008712FF" w:rsidRPr="00130CE7" w:rsidRDefault="009B0746" w:rsidP="00130CE7">
      <w:pPr>
        <w:pStyle w:val="NormalWeb"/>
        <w:spacing w:before="120" w:beforeAutospacing="0" w:after="120" w:afterAutospacing="0"/>
        <w:ind w:right="225"/>
        <w:textAlignment w:val="baseline"/>
        <w:rPr>
          <w:rFonts w:asciiTheme="minorHAnsi" w:hAnsiTheme="minorHAnsi" w:cstheme="minorHAnsi"/>
          <w:color w:val="333333"/>
        </w:rPr>
      </w:pPr>
      <w:r>
        <w:rPr>
          <w:rFonts w:asciiTheme="minorHAnsi" w:hAnsiTheme="minorHAnsi" w:cstheme="minorHAnsi"/>
          <w:color w:val="333333"/>
        </w:rPr>
        <w:t xml:space="preserve">It may be argued that the </w:t>
      </w:r>
      <w:r w:rsidR="00055B49">
        <w:rPr>
          <w:rFonts w:asciiTheme="minorHAnsi" w:hAnsiTheme="minorHAnsi" w:cstheme="minorHAnsi"/>
          <w:color w:val="333333"/>
        </w:rPr>
        <w:t>above-discussed</w:t>
      </w:r>
      <w:r>
        <w:rPr>
          <w:rFonts w:asciiTheme="minorHAnsi" w:hAnsiTheme="minorHAnsi" w:cstheme="minorHAnsi"/>
          <w:color w:val="333333"/>
        </w:rPr>
        <w:t xml:space="preserve"> process means that there is a case to be made for diversity in the Supreme Court instead of making the argument that there is no relevance of diversity in the Supreme Court. </w:t>
      </w:r>
      <w:r w:rsidR="00130CE7">
        <w:rPr>
          <w:rFonts w:asciiTheme="minorHAnsi" w:hAnsiTheme="minorHAnsi" w:cstheme="minorHAnsi"/>
          <w:color w:val="333333"/>
        </w:rPr>
        <w:t xml:space="preserve">This may be linked to the issue of how gender and ethnicity can impact judges in the Supreme Court in how they make their decisions. </w:t>
      </w:r>
      <w:r w:rsidR="00A2582C" w:rsidRPr="001E4864">
        <w:rPr>
          <w:rFonts w:asciiTheme="minorHAnsi" w:hAnsiTheme="minorHAnsi" w:cstheme="minorHAnsi"/>
        </w:rPr>
        <w:t xml:space="preserve">With regard to the question </w:t>
      </w:r>
      <w:r w:rsidR="00055B49">
        <w:rPr>
          <w:rFonts w:asciiTheme="minorHAnsi" w:hAnsiTheme="minorHAnsi" w:cstheme="minorHAnsi"/>
        </w:rPr>
        <w:t xml:space="preserve">of </w:t>
      </w:r>
      <w:r w:rsidR="00A2582C" w:rsidRPr="001E4864">
        <w:rPr>
          <w:rFonts w:asciiTheme="minorHAnsi" w:hAnsiTheme="minorHAnsi" w:cstheme="minorHAnsi"/>
        </w:rPr>
        <w:t>whether</w:t>
      </w:r>
      <w:r w:rsidR="00342712" w:rsidRPr="001E4864">
        <w:rPr>
          <w:rFonts w:asciiTheme="minorHAnsi" w:hAnsiTheme="minorHAnsi" w:cstheme="minorHAnsi"/>
        </w:rPr>
        <w:t xml:space="preserve"> ethnicity and/or gender</w:t>
      </w:r>
      <w:r w:rsidR="00A2582C" w:rsidRPr="001E4864">
        <w:rPr>
          <w:rFonts w:asciiTheme="minorHAnsi" w:hAnsiTheme="minorHAnsi" w:cstheme="minorHAnsi"/>
        </w:rPr>
        <w:t xml:space="preserve"> can</w:t>
      </w:r>
      <w:r w:rsidR="00342712" w:rsidRPr="001E4864">
        <w:rPr>
          <w:rFonts w:asciiTheme="minorHAnsi" w:hAnsiTheme="minorHAnsi" w:cstheme="minorHAnsi"/>
        </w:rPr>
        <w:t xml:space="preserve"> impact how decisions are reached</w:t>
      </w:r>
      <w:r w:rsidR="00A2582C" w:rsidRPr="001E4864">
        <w:rPr>
          <w:rFonts w:asciiTheme="minorHAnsi" w:hAnsiTheme="minorHAnsi" w:cstheme="minorHAnsi"/>
        </w:rPr>
        <w:t xml:space="preserve"> in the Supreme Court, </w:t>
      </w:r>
      <w:r w:rsidR="00C052FA" w:rsidRPr="001E4864">
        <w:rPr>
          <w:rFonts w:asciiTheme="minorHAnsi" w:hAnsiTheme="minorHAnsi" w:cstheme="minorHAnsi"/>
        </w:rPr>
        <w:t>an important point to be considered is whether judges make decisions based solely on the basis of legal reasoning or whether they are impacted by their personal values while making these decisions.</w:t>
      </w:r>
      <w:r w:rsidR="009C762B" w:rsidRPr="001E4864">
        <w:rPr>
          <w:rFonts w:asciiTheme="minorHAnsi" w:hAnsiTheme="minorHAnsi" w:cstheme="minorHAnsi"/>
        </w:rPr>
        <w:t xml:space="preserve"> </w:t>
      </w:r>
      <w:r w:rsidR="0046309E" w:rsidRPr="001E4864">
        <w:rPr>
          <w:rFonts w:asciiTheme="minorHAnsi" w:hAnsiTheme="minorHAnsi" w:cstheme="minorHAnsi"/>
        </w:rPr>
        <w:t xml:space="preserve">For instance, laws related to assisted dying may involve some personal moral values that </w:t>
      </w:r>
      <w:r w:rsidR="00430E2D" w:rsidRPr="001E4864">
        <w:rPr>
          <w:rFonts w:asciiTheme="minorHAnsi" w:hAnsiTheme="minorHAnsi" w:cstheme="minorHAnsi"/>
        </w:rPr>
        <w:t xml:space="preserve">may </w:t>
      </w:r>
      <w:r w:rsidR="0046309E" w:rsidRPr="001E4864">
        <w:rPr>
          <w:rFonts w:asciiTheme="minorHAnsi" w:hAnsiTheme="minorHAnsi" w:cstheme="minorHAnsi"/>
        </w:rPr>
        <w:t xml:space="preserve">even </w:t>
      </w:r>
      <w:r w:rsidR="00430E2D" w:rsidRPr="001E4864">
        <w:rPr>
          <w:rFonts w:asciiTheme="minorHAnsi" w:hAnsiTheme="minorHAnsi" w:cstheme="minorHAnsi"/>
        </w:rPr>
        <w:t xml:space="preserve">impact </w:t>
      </w:r>
      <w:r w:rsidR="0046309E" w:rsidRPr="001E4864">
        <w:rPr>
          <w:rFonts w:asciiTheme="minorHAnsi" w:hAnsiTheme="minorHAnsi" w:cstheme="minorHAnsi"/>
        </w:rPr>
        <w:t xml:space="preserve">the judges </w:t>
      </w:r>
      <w:r w:rsidR="00430E2D" w:rsidRPr="001E4864">
        <w:rPr>
          <w:rFonts w:asciiTheme="minorHAnsi" w:hAnsiTheme="minorHAnsi" w:cstheme="minorHAnsi"/>
        </w:rPr>
        <w:t xml:space="preserve">deciding such cases </w:t>
      </w:r>
      <w:sdt>
        <w:sdtPr>
          <w:rPr>
            <w:rFonts w:asciiTheme="minorHAnsi" w:hAnsiTheme="minorHAnsi" w:cstheme="minorHAnsi"/>
          </w:rPr>
          <w:id w:val="549572810"/>
          <w:citation/>
        </w:sdtPr>
        <w:sdtEndPr/>
        <w:sdtContent>
          <w:r w:rsidR="00430E2D" w:rsidRPr="001E4864">
            <w:rPr>
              <w:rFonts w:asciiTheme="minorHAnsi" w:hAnsiTheme="minorHAnsi" w:cstheme="minorHAnsi"/>
            </w:rPr>
            <w:fldChar w:fldCharType="begin"/>
          </w:r>
          <w:r w:rsidR="00430E2D" w:rsidRPr="001E4864">
            <w:rPr>
              <w:rFonts w:asciiTheme="minorHAnsi" w:hAnsiTheme="minorHAnsi" w:cstheme="minorHAnsi"/>
              <w:lang w:val="en-US"/>
            </w:rPr>
            <w:instrText xml:space="preserve"> CITATION RNi14 \l 1033 </w:instrText>
          </w:r>
          <w:r w:rsidR="00430E2D" w:rsidRPr="001E4864">
            <w:rPr>
              <w:rFonts w:asciiTheme="minorHAnsi" w:hAnsiTheme="minorHAnsi" w:cstheme="minorHAnsi"/>
            </w:rPr>
            <w:fldChar w:fldCharType="separate"/>
          </w:r>
          <w:r w:rsidR="00430E2D" w:rsidRPr="001E4864">
            <w:rPr>
              <w:rFonts w:asciiTheme="minorHAnsi" w:hAnsiTheme="minorHAnsi" w:cstheme="minorHAnsi"/>
              <w:noProof/>
              <w:lang w:val="en-US"/>
            </w:rPr>
            <w:t>(R (Nicklinson) v. Ministry of Justice [2014] UKSC 38, 2014)</w:t>
          </w:r>
          <w:r w:rsidR="00430E2D" w:rsidRPr="001E4864">
            <w:rPr>
              <w:rFonts w:asciiTheme="minorHAnsi" w:hAnsiTheme="minorHAnsi" w:cstheme="minorHAnsi"/>
            </w:rPr>
            <w:fldChar w:fldCharType="end"/>
          </w:r>
        </w:sdtContent>
      </w:sdt>
      <w:r w:rsidR="0046309E" w:rsidRPr="001E4864">
        <w:rPr>
          <w:rFonts w:asciiTheme="minorHAnsi" w:hAnsiTheme="minorHAnsi" w:cstheme="minorHAnsi"/>
        </w:rPr>
        <w:t>.</w:t>
      </w:r>
      <w:r w:rsidR="00C052FA" w:rsidRPr="001E4864">
        <w:rPr>
          <w:rFonts w:asciiTheme="minorHAnsi" w:hAnsiTheme="minorHAnsi" w:cstheme="minorHAnsi"/>
        </w:rPr>
        <w:t xml:space="preserve"> </w:t>
      </w:r>
      <w:r w:rsidR="008712FF" w:rsidRPr="001E4864">
        <w:rPr>
          <w:rFonts w:asciiTheme="minorHAnsi" w:hAnsiTheme="minorHAnsi" w:cstheme="minorHAnsi"/>
        </w:rPr>
        <w:t xml:space="preserve">It cannot be denied that judges would be impacted by their own views and moral opinions on a host of issues that come before them </w:t>
      </w:r>
      <w:r w:rsidR="00AE1BC9" w:rsidRPr="001E4864">
        <w:rPr>
          <w:rFonts w:asciiTheme="minorHAnsi" w:hAnsiTheme="minorHAnsi" w:cstheme="minorHAnsi"/>
        </w:rPr>
        <w:t xml:space="preserve">since judges do differ in their views on the law and to some extent their differences reflect views that are peculiar to them </w:t>
      </w:r>
      <w:sdt>
        <w:sdtPr>
          <w:rPr>
            <w:rFonts w:asciiTheme="minorHAnsi" w:hAnsiTheme="minorHAnsi" w:cstheme="minorHAnsi"/>
          </w:rPr>
          <w:id w:val="1640295539"/>
          <w:citation/>
        </w:sdtPr>
        <w:sdtEndPr/>
        <w:sdtContent>
          <w:r w:rsidR="00AE1BC9" w:rsidRPr="001E4864">
            <w:rPr>
              <w:rFonts w:asciiTheme="minorHAnsi" w:hAnsiTheme="minorHAnsi" w:cstheme="minorHAnsi"/>
            </w:rPr>
            <w:fldChar w:fldCharType="begin"/>
          </w:r>
          <w:r w:rsidR="00AE1BC9" w:rsidRPr="001E4864">
            <w:rPr>
              <w:rFonts w:asciiTheme="minorHAnsi" w:hAnsiTheme="minorHAnsi" w:cstheme="minorHAnsi"/>
              <w:lang w:val="en-US"/>
            </w:rPr>
            <w:instrText xml:space="preserve"> CITATION Bri071 \l 1033 </w:instrText>
          </w:r>
          <w:r w:rsidR="00AE1BC9" w:rsidRPr="001E4864">
            <w:rPr>
              <w:rFonts w:asciiTheme="minorHAnsi" w:hAnsiTheme="minorHAnsi" w:cstheme="minorHAnsi"/>
            </w:rPr>
            <w:fldChar w:fldCharType="separate"/>
          </w:r>
          <w:r w:rsidR="00AE1BC9" w:rsidRPr="001E4864">
            <w:rPr>
              <w:rFonts w:asciiTheme="minorHAnsi" w:hAnsiTheme="minorHAnsi" w:cstheme="minorHAnsi"/>
              <w:noProof/>
              <w:lang w:val="en-US"/>
            </w:rPr>
            <w:t>(Dickson, 2007)</w:t>
          </w:r>
          <w:r w:rsidR="00AE1BC9" w:rsidRPr="001E4864">
            <w:rPr>
              <w:rFonts w:asciiTheme="minorHAnsi" w:hAnsiTheme="minorHAnsi" w:cstheme="minorHAnsi"/>
            </w:rPr>
            <w:fldChar w:fldCharType="end"/>
          </w:r>
        </w:sdtContent>
      </w:sdt>
      <w:r w:rsidR="008712FF" w:rsidRPr="001E4864">
        <w:rPr>
          <w:rFonts w:asciiTheme="minorHAnsi" w:hAnsiTheme="minorHAnsi" w:cstheme="minorHAnsi"/>
        </w:rPr>
        <w:t>.</w:t>
      </w:r>
    </w:p>
    <w:p w14:paraId="25218FFE" w14:textId="2B19B674" w:rsidR="00FE3324" w:rsidRDefault="00FD35FE" w:rsidP="000365FB">
      <w:pPr>
        <w:spacing w:before="120" w:after="120"/>
        <w:rPr>
          <w:rFonts w:asciiTheme="minorHAnsi" w:hAnsiTheme="minorHAnsi" w:cstheme="minorHAnsi"/>
        </w:rPr>
      </w:pPr>
      <w:r w:rsidRPr="001E4864">
        <w:rPr>
          <w:rFonts w:asciiTheme="minorHAnsi" w:hAnsiTheme="minorHAnsi" w:cstheme="minorHAnsi"/>
        </w:rPr>
        <w:t>The Supreme Court judges decide cases that involve important questions of law that have societal, moral</w:t>
      </w:r>
      <w:r w:rsidR="00055B49">
        <w:rPr>
          <w:rFonts w:asciiTheme="minorHAnsi" w:hAnsiTheme="minorHAnsi" w:cstheme="minorHAnsi"/>
        </w:rPr>
        <w:t>,</w:t>
      </w:r>
      <w:r w:rsidRPr="001E4864">
        <w:rPr>
          <w:rFonts w:asciiTheme="minorHAnsi" w:hAnsiTheme="minorHAnsi" w:cstheme="minorHAnsi"/>
        </w:rPr>
        <w:t xml:space="preserve"> and economic significance and it is difficult to see how judges will not be impacted in their </w:t>
      </w:r>
      <w:r w:rsidR="00055B49">
        <w:rPr>
          <w:rFonts w:asciiTheme="minorHAnsi" w:hAnsiTheme="minorHAnsi" w:cstheme="minorHAnsi"/>
        </w:rPr>
        <w:t>decision-making</w:t>
      </w:r>
      <w:r w:rsidRPr="001E4864">
        <w:rPr>
          <w:rFonts w:asciiTheme="minorHAnsi" w:hAnsiTheme="minorHAnsi" w:cstheme="minorHAnsi"/>
        </w:rPr>
        <w:t xml:space="preserve"> process by their personal values or even their background, which may lead them to </w:t>
      </w:r>
      <w:r w:rsidR="00574008" w:rsidRPr="001E4864">
        <w:rPr>
          <w:rFonts w:asciiTheme="minorHAnsi" w:hAnsiTheme="minorHAnsi" w:cstheme="minorHAnsi"/>
        </w:rPr>
        <w:t>allow such values to play a role in their decision making</w:t>
      </w:r>
      <w:sdt>
        <w:sdtPr>
          <w:rPr>
            <w:rFonts w:asciiTheme="minorHAnsi" w:hAnsiTheme="minorHAnsi" w:cstheme="minorHAnsi"/>
          </w:rPr>
          <w:id w:val="-92021575"/>
          <w:citation/>
        </w:sdtPr>
        <w:sdtEndPr/>
        <w:sdtContent>
          <w:r w:rsidR="008712FF" w:rsidRPr="001E4864">
            <w:rPr>
              <w:rFonts w:asciiTheme="minorHAnsi" w:hAnsiTheme="minorHAnsi" w:cstheme="minorHAnsi"/>
            </w:rPr>
            <w:fldChar w:fldCharType="begin"/>
          </w:r>
          <w:r w:rsidR="008712FF" w:rsidRPr="001E4864">
            <w:rPr>
              <w:rFonts w:asciiTheme="minorHAnsi" w:hAnsiTheme="minorHAnsi" w:cstheme="minorHAnsi"/>
              <w:lang w:val="en-US"/>
            </w:rPr>
            <w:instrText xml:space="preserve"> CITATION Kat22 \l 1033 </w:instrText>
          </w:r>
          <w:r w:rsidR="008712FF" w:rsidRPr="001E4864">
            <w:rPr>
              <w:rFonts w:asciiTheme="minorHAnsi" w:hAnsiTheme="minorHAnsi" w:cstheme="minorHAnsi"/>
            </w:rPr>
            <w:fldChar w:fldCharType="separate"/>
          </w:r>
          <w:r w:rsidR="008712FF" w:rsidRPr="001E4864">
            <w:rPr>
              <w:rFonts w:asciiTheme="minorHAnsi" w:hAnsiTheme="minorHAnsi" w:cstheme="minorHAnsi"/>
              <w:noProof/>
              <w:lang w:val="en-US"/>
            </w:rPr>
            <w:t xml:space="preserve"> (Malleson, 2022)</w:t>
          </w:r>
          <w:r w:rsidR="008712FF" w:rsidRPr="001E4864">
            <w:rPr>
              <w:rFonts w:asciiTheme="minorHAnsi" w:hAnsiTheme="minorHAnsi" w:cstheme="minorHAnsi"/>
            </w:rPr>
            <w:fldChar w:fldCharType="end"/>
          </w:r>
        </w:sdtContent>
      </w:sdt>
      <w:r w:rsidR="004B278A" w:rsidRPr="001E4864">
        <w:rPr>
          <w:rFonts w:asciiTheme="minorHAnsi" w:hAnsiTheme="minorHAnsi" w:cstheme="minorHAnsi"/>
        </w:rPr>
        <w:t>. On the other hand, there is also the fact that appointments in the UK Supreme Court are not political</w:t>
      </w:r>
      <w:r w:rsidR="008712FF" w:rsidRPr="001E4864">
        <w:rPr>
          <w:rFonts w:asciiTheme="minorHAnsi" w:hAnsiTheme="minorHAnsi" w:cstheme="minorHAnsi"/>
        </w:rPr>
        <w:t xml:space="preserve"> as is the case in the United States, which should also </w:t>
      </w:r>
      <w:r w:rsidR="008712FF" w:rsidRPr="001E4864">
        <w:rPr>
          <w:rFonts w:asciiTheme="minorHAnsi" w:hAnsiTheme="minorHAnsi" w:cstheme="minorHAnsi"/>
        </w:rPr>
        <w:lastRenderedPageBreak/>
        <w:t>mean that judges are not likely to be impacted by ideology when making decisions</w:t>
      </w:r>
      <w:r w:rsidR="00574008" w:rsidRPr="001E4864">
        <w:rPr>
          <w:rFonts w:asciiTheme="minorHAnsi" w:hAnsiTheme="minorHAnsi" w:cstheme="minorHAnsi"/>
        </w:rPr>
        <w:t xml:space="preserve"> </w:t>
      </w:r>
      <w:sdt>
        <w:sdtPr>
          <w:rPr>
            <w:rFonts w:asciiTheme="minorHAnsi" w:hAnsiTheme="minorHAnsi" w:cstheme="minorHAnsi"/>
          </w:rPr>
          <w:id w:val="1883210583"/>
          <w:citation/>
        </w:sdtPr>
        <w:sdtEndPr/>
        <w:sdtContent>
          <w:r w:rsidR="00574008" w:rsidRPr="001E4864">
            <w:rPr>
              <w:rFonts w:asciiTheme="minorHAnsi" w:hAnsiTheme="minorHAnsi" w:cstheme="minorHAnsi"/>
            </w:rPr>
            <w:fldChar w:fldCharType="begin"/>
          </w:r>
          <w:r w:rsidR="00574008" w:rsidRPr="001E4864">
            <w:rPr>
              <w:rFonts w:asciiTheme="minorHAnsi" w:hAnsiTheme="minorHAnsi" w:cstheme="minorHAnsi"/>
              <w:lang w:val="en-US"/>
            </w:rPr>
            <w:instrText xml:space="preserve"> CITATION TAr16 \l 1033 </w:instrText>
          </w:r>
          <w:r w:rsidR="00574008" w:rsidRPr="001E4864">
            <w:rPr>
              <w:rFonts w:asciiTheme="minorHAnsi" w:hAnsiTheme="minorHAnsi" w:cstheme="minorHAnsi"/>
            </w:rPr>
            <w:fldChar w:fldCharType="separate"/>
          </w:r>
          <w:r w:rsidR="00574008" w:rsidRPr="001E4864">
            <w:rPr>
              <w:rFonts w:asciiTheme="minorHAnsi" w:hAnsiTheme="minorHAnsi" w:cstheme="minorHAnsi"/>
              <w:noProof/>
              <w:lang w:val="en-US"/>
            </w:rPr>
            <w:t>(Arvind &amp; Stirton, 2016 )</w:t>
          </w:r>
          <w:r w:rsidR="00574008" w:rsidRPr="001E4864">
            <w:rPr>
              <w:rFonts w:asciiTheme="minorHAnsi" w:hAnsiTheme="minorHAnsi" w:cstheme="minorHAnsi"/>
            </w:rPr>
            <w:fldChar w:fldCharType="end"/>
          </w:r>
        </w:sdtContent>
      </w:sdt>
      <w:r w:rsidR="00574008" w:rsidRPr="001E4864">
        <w:rPr>
          <w:rFonts w:asciiTheme="minorHAnsi" w:hAnsiTheme="minorHAnsi" w:cstheme="minorHAnsi"/>
        </w:rPr>
        <w:t>.</w:t>
      </w:r>
      <w:r w:rsidR="002214F3">
        <w:rPr>
          <w:rFonts w:asciiTheme="minorHAnsi" w:hAnsiTheme="minorHAnsi" w:cstheme="minorHAnsi"/>
        </w:rPr>
        <w:t xml:space="preserve"> However, it cannot be said that judges are not impacted by their own values and this has been accepted </w:t>
      </w:r>
      <w:r w:rsidR="00E14009">
        <w:rPr>
          <w:rFonts w:asciiTheme="minorHAnsi" w:hAnsiTheme="minorHAnsi" w:cstheme="minorHAnsi"/>
        </w:rPr>
        <w:t xml:space="preserve">in wider literature as reflected in the </w:t>
      </w:r>
      <w:r w:rsidR="007226B7">
        <w:rPr>
          <w:rFonts w:asciiTheme="minorHAnsi" w:hAnsiTheme="minorHAnsi" w:cstheme="minorHAnsi"/>
        </w:rPr>
        <w:t xml:space="preserve">use of terms like </w:t>
      </w:r>
      <w:r w:rsidR="00026EE9">
        <w:rPr>
          <w:rFonts w:asciiTheme="minorHAnsi" w:hAnsiTheme="minorHAnsi" w:cstheme="minorHAnsi"/>
        </w:rPr>
        <w:t>“</w:t>
      </w:r>
      <w:r w:rsidR="007226B7">
        <w:rPr>
          <w:rFonts w:asciiTheme="minorHAnsi" w:hAnsiTheme="minorHAnsi" w:cstheme="minorHAnsi"/>
        </w:rPr>
        <w:t>inarticulate premises</w:t>
      </w:r>
      <w:r w:rsidR="00026EE9">
        <w:rPr>
          <w:rFonts w:asciiTheme="minorHAnsi" w:hAnsiTheme="minorHAnsi" w:cstheme="minorHAnsi"/>
        </w:rPr>
        <w:t>”</w:t>
      </w:r>
      <w:r w:rsidR="007226B7">
        <w:rPr>
          <w:rFonts w:asciiTheme="minorHAnsi" w:hAnsiTheme="minorHAnsi" w:cstheme="minorHAnsi"/>
        </w:rPr>
        <w:t xml:space="preserve"> </w:t>
      </w:r>
      <w:sdt>
        <w:sdtPr>
          <w:rPr>
            <w:rFonts w:asciiTheme="minorHAnsi" w:hAnsiTheme="minorHAnsi" w:cstheme="minorHAnsi"/>
          </w:rPr>
          <w:id w:val="-1026551917"/>
          <w:citation/>
        </w:sdtPr>
        <w:sdtEndPr/>
        <w:sdtContent>
          <w:r w:rsidR="007226B7">
            <w:rPr>
              <w:rFonts w:asciiTheme="minorHAnsi" w:hAnsiTheme="minorHAnsi" w:cstheme="minorHAnsi"/>
            </w:rPr>
            <w:fldChar w:fldCharType="begin"/>
          </w:r>
          <w:r w:rsidR="00026EE9">
            <w:rPr>
              <w:rFonts w:asciiTheme="minorHAnsi" w:hAnsiTheme="minorHAnsi" w:cstheme="minorHAnsi"/>
              <w:lang w:val="en-US"/>
            </w:rPr>
            <w:instrText xml:space="preserve">CITATION RSt05 \p 78 \l 1033 </w:instrText>
          </w:r>
          <w:r w:rsidR="007226B7">
            <w:rPr>
              <w:rFonts w:asciiTheme="minorHAnsi" w:hAnsiTheme="minorHAnsi" w:cstheme="minorHAnsi"/>
            </w:rPr>
            <w:fldChar w:fldCharType="separate"/>
          </w:r>
          <w:r w:rsidR="00026EE9" w:rsidRPr="00026EE9">
            <w:rPr>
              <w:rFonts w:asciiTheme="minorHAnsi" w:hAnsiTheme="minorHAnsi" w:cstheme="minorHAnsi"/>
              <w:noProof/>
              <w:lang w:val="en-US"/>
            </w:rPr>
            <w:t>(Stevens, 2005, p. 78)</w:t>
          </w:r>
          <w:r w:rsidR="007226B7">
            <w:rPr>
              <w:rFonts w:asciiTheme="minorHAnsi" w:hAnsiTheme="minorHAnsi" w:cstheme="minorHAnsi"/>
            </w:rPr>
            <w:fldChar w:fldCharType="end"/>
          </w:r>
        </w:sdtContent>
      </w:sdt>
      <w:r w:rsidR="00026EE9">
        <w:rPr>
          <w:rFonts w:asciiTheme="minorHAnsi" w:hAnsiTheme="minorHAnsi" w:cstheme="minorHAnsi"/>
        </w:rPr>
        <w:t xml:space="preserve">; personal philosophy </w:t>
      </w:r>
      <w:sdt>
        <w:sdtPr>
          <w:rPr>
            <w:rFonts w:asciiTheme="minorHAnsi" w:hAnsiTheme="minorHAnsi" w:cstheme="minorHAnsi"/>
          </w:rPr>
          <w:id w:val="515201269"/>
          <w:citation/>
        </w:sdtPr>
        <w:sdtEndPr/>
        <w:sdtContent>
          <w:r w:rsidR="00026EE9">
            <w:rPr>
              <w:rFonts w:asciiTheme="minorHAnsi" w:hAnsiTheme="minorHAnsi" w:cstheme="minorHAnsi"/>
            </w:rPr>
            <w:fldChar w:fldCharType="begin"/>
          </w:r>
          <w:r w:rsidR="00026EE9">
            <w:rPr>
              <w:rFonts w:asciiTheme="minorHAnsi" w:hAnsiTheme="minorHAnsi" w:cstheme="minorHAnsi"/>
              <w:lang w:val="en-US"/>
            </w:rPr>
            <w:instrText xml:space="preserve"> CITATION TEt10 \l 1033 </w:instrText>
          </w:r>
          <w:r w:rsidR="00026EE9">
            <w:rPr>
              <w:rFonts w:asciiTheme="minorHAnsi" w:hAnsiTheme="minorHAnsi" w:cstheme="minorHAnsi"/>
            </w:rPr>
            <w:fldChar w:fldCharType="separate"/>
          </w:r>
          <w:r w:rsidR="00026EE9" w:rsidRPr="00026EE9">
            <w:rPr>
              <w:rFonts w:asciiTheme="minorHAnsi" w:hAnsiTheme="minorHAnsi" w:cstheme="minorHAnsi"/>
              <w:noProof/>
              <w:lang w:val="en-US"/>
            </w:rPr>
            <w:t>(Etherton, 2010 )</w:t>
          </w:r>
          <w:r w:rsidR="00026EE9">
            <w:rPr>
              <w:rFonts w:asciiTheme="minorHAnsi" w:hAnsiTheme="minorHAnsi" w:cstheme="minorHAnsi"/>
            </w:rPr>
            <w:fldChar w:fldCharType="end"/>
          </w:r>
        </w:sdtContent>
      </w:sdt>
      <w:r w:rsidR="003F4171">
        <w:rPr>
          <w:rFonts w:asciiTheme="minorHAnsi" w:hAnsiTheme="minorHAnsi" w:cstheme="minorHAnsi"/>
        </w:rPr>
        <w:t>, disposition</w:t>
      </w:r>
      <w:sdt>
        <w:sdtPr>
          <w:rPr>
            <w:rFonts w:asciiTheme="minorHAnsi" w:hAnsiTheme="minorHAnsi" w:cstheme="minorHAnsi"/>
          </w:rPr>
          <w:id w:val="-2139099557"/>
          <w:citation/>
        </w:sdtPr>
        <w:sdtEndPr/>
        <w:sdtContent>
          <w:r w:rsidR="003F4171">
            <w:rPr>
              <w:rFonts w:asciiTheme="minorHAnsi" w:hAnsiTheme="minorHAnsi" w:cstheme="minorHAnsi"/>
            </w:rPr>
            <w:fldChar w:fldCharType="begin"/>
          </w:r>
          <w:r w:rsidR="003F4171">
            <w:rPr>
              <w:rFonts w:asciiTheme="minorHAnsi" w:hAnsiTheme="minorHAnsi" w:cstheme="minorHAnsi"/>
              <w:lang w:val="en-US"/>
            </w:rPr>
            <w:instrText xml:space="preserve"> CITATION TAr16 \l 1033 </w:instrText>
          </w:r>
          <w:r w:rsidR="003F4171">
            <w:rPr>
              <w:rFonts w:asciiTheme="minorHAnsi" w:hAnsiTheme="minorHAnsi" w:cstheme="minorHAnsi"/>
            </w:rPr>
            <w:fldChar w:fldCharType="separate"/>
          </w:r>
          <w:r w:rsidR="003F4171">
            <w:rPr>
              <w:rFonts w:asciiTheme="minorHAnsi" w:hAnsiTheme="minorHAnsi" w:cstheme="minorHAnsi"/>
              <w:noProof/>
              <w:lang w:val="en-US"/>
            </w:rPr>
            <w:t xml:space="preserve"> </w:t>
          </w:r>
          <w:r w:rsidR="003F4171" w:rsidRPr="003F4171">
            <w:rPr>
              <w:rFonts w:asciiTheme="minorHAnsi" w:hAnsiTheme="minorHAnsi" w:cstheme="minorHAnsi"/>
              <w:noProof/>
              <w:lang w:val="en-US"/>
            </w:rPr>
            <w:t>(Arvind &amp; Stirton, 2016 )</w:t>
          </w:r>
          <w:r w:rsidR="003F4171">
            <w:rPr>
              <w:rFonts w:asciiTheme="minorHAnsi" w:hAnsiTheme="minorHAnsi" w:cstheme="minorHAnsi"/>
            </w:rPr>
            <w:fldChar w:fldCharType="end"/>
          </w:r>
        </w:sdtContent>
      </w:sdt>
      <w:r w:rsidR="003F4171">
        <w:rPr>
          <w:rFonts w:asciiTheme="minorHAnsi" w:hAnsiTheme="minorHAnsi" w:cstheme="minorHAnsi"/>
        </w:rPr>
        <w:t xml:space="preserve">; and even political ideologies and principles </w:t>
      </w:r>
      <w:sdt>
        <w:sdtPr>
          <w:rPr>
            <w:rFonts w:asciiTheme="minorHAnsi" w:hAnsiTheme="minorHAnsi" w:cstheme="minorHAnsi"/>
          </w:rPr>
          <w:id w:val="-1099183405"/>
          <w:citation/>
        </w:sdtPr>
        <w:sdtEndPr/>
        <w:sdtContent>
          <w:r w:rsidR="003F4171">
            <w:rPr>
              <w:rFonts w:asciiTheme="minorHAnsi" w:hAnsiTheme="minorHAnsi" w:cstheme="minorHAnsi"/>
            </w:rPr>
            <w:fldChar w:fldCharType="begin"/>
          </w:r>
          <w:r w:rsidR="003F4171">
            <w:rPr>
              <w:rFonts w:asciiTheme="minorHAnsi" w:hAnsiTheme="minorHAnsi" w:cstheme="minorHAnsi"/>
              <w:lang w:val="en-US"/>
            </w:rPr>
            <w:instrText xml:space="preserve"> CITATION TAr16 \l 1033 </w:instrText>
          </w:r>
          <w:r w:rsidR="003F4171">
            <w:rPr>
              <w:rFonts w:asciiTheme="minorHAnsi" w:hAnsiTheme="minorHAnsi" w:cstheme="minorHAnsi"/>
            </w:rPr>
            <w:fldChar w:fldCharType="separate"/>
          </w:r>
          <w:r w:rsidR="003F4171" w:rsidRPr="003F4171">
            <w:rPr>
              <w:rFonts w:asciiTheme="minorHAnsi" w:hAnsiTheme="minorHAnsi" w:cstheme="minorHAnsi"/>
              <w:noProof/>
              <w:lang w:val="en-US"/>
            </w:rPr>
            <w:t>(Arvind &amp; Stirton, 2016 )</w:t>
          </w:r>
          <w:r w:rsidR="003F4171">
            <w:rPr>
              <w:rFonts w:asciiTheme="minorHAnsi" w:hAnsiTheme="minorHAnsi" w:cstheme="minorHAnsi"/>
            </w:rPr>
            <w:fldChar w:fldCharType="end"/>
          </w:r>
        </w:sdtContent>
      </w:sdt>
      <w:r w:rsidR="003F4171">
        <w:rPr>
          <w:rFonts w:asciiTheme="minorHAnsi" w:hAnsiTheme="minorHAnsi" w:cstheme="minorHAnsi"/>
        </w:rPr>
        <w:t xml:space="preserve">. These are some of the terms that have been used to </w:t>
      </w:r>
      <w:r w:rsidR="00055B49">
        <w:rPr>
          <w:rFonts w:asciiTheme="minorHAnsi" w:hAnsiTheme="minorHAnsi" w:cstheme="minorHAnsi"/>
        </w:rPr>
        <w:t>characterize</w:t>
      </w:r>
      <w:r w:rsidR="003F4171">
        <w:rPr>
          <w:rFonts w:asciiTheme="minorHAnsi" w:hAnsiTheme="minorHAnsi" w:cstheme="minorHAnsi"/>
        </w:rPr>
        <w:t xml:space="preserve"> the </w:t>
      </w:r>
      <w:r w:rsidR="00C65519">
        <w:rPr>
          <w:rFonts w:asciiTheme="minorHAnsi" w:hAnsiTheme="minorHAnsi" w:cstheme="minorHAnsi"/>
        </w:rPr>
        <w:t xml:space="preserve">use of reasoning by judges that cannot be described as technically legal reasoning. If there is indeed a scope for use of judicial reasoning that is not strictly based on </w:t>
      </w:r>
      <w:r w:rsidR="00C4524B">
        <w:rPr>
          <w:rFonts w:asciiTheme="minorHAnsi" w:hAnsiTheme="minorHAnsi" w:cstheme="minorHAnsi"/>
        </w:rPr>
        <w:t xml:space="preserve">legal reasoning and may be characterised as personal points of view, there is a case for increasing diversity because that will serve the cause of justice because there may be a link between diversity in demographics and diversity in values </w:t>
      </w:r>
      <w:sdt>
        <w:sdtPr>
          <w:rPr>
            <w:rFonts w:asciiTheme="minorHAnsi" w:hAnsiTheme="minorHAnsi" w:cstheme="minorHAnsi"/>
          </w:rPr>
          <w:id w:val="-1964725175"/>
          <w:citation/>
        </w:sdtPr>
        <w:sdtEndPr/>
        <w:sdtContent>
          <w:r w:rsidR="00C4524B">
            <w:rPr>
              <w:rFonts w:asciiTheme="minorHAnsi" w:hAnsiTheme="minorHAnsi" w:cstheme="minorHAnsi"/>
            </w:rPr>
            <w:fldChar w:fldCharType="begin"/>
          </w:r>
          <w:r w:rsidR="00C4524B">
            <w:rPr>
              <w:rFonts w:asciiTheme="minorHAnsi" w:hAnsiTheme="minorHAnsi" w:cstheme="minorHAnsi"/>
              <w:lang w:val="en-US"/>
            </w:rPr>
            <w:instrText xml:space="preserve"> CITATION Kat22 \l 1033 </w:instrText>
          </w:r>
          <w:r w:rsidR="00C4524B">
            <w:rPr>
              <w:rFonts w:asciiTheme="minorHAnsi" w:hAnsiTheme="minorHAnsi" w:cstheme="minorHAnsi"/>
            </w:rPr>
            <w:fldChar w:fldCharType="separate"/>
          </w:r>
          <w:r w:rsidR="00C4524B" w:rsidRPr="00C4524B">
            <w:rPr>
              <w:rFonts w:asciiTheme="minorHAnsi" w:hAnsiTheme="minorHAnsi" w:cstheme="minorHAnsi"/>
              <w:noProof/>
              <w:lang w:val="en-US"/>
            </w:rPr>
            <w:t>(Malleson, 2022)</w:t>
          </w:r>
          <w:r w:rsidR="00C4524B">
            <w:rPr>
              <w:rFonts w:asciiTheme="minorHAnsi" w:hAnsiTheme="minorHAnsi" w:cstheme="minorHAnsi"/>
            </w:rPr>
            <w:fldChar w:fldCharType="end"/>
          </w:r>
        </w:sdtContent>
      </w:sdt>
      <w:r w:rsidR="00C4524B">
        <w:rPr>
          <w:rFonts w:asciiTheme="minorHAnsi" w:hAnsiTheme="minorHAnsi" w:cstheme="minorHAnsi"/>
        </w:rPr>
        <w:t xml:space="preserve">. </w:t>
      </w:r>
      <w:r w:rsidR="000365FB">
        <w:rPr>
          <w:rFonts w:asciiTheme="minorHAnsi" w:hAnsiTheme="minorHAnsi" w:cstheme="minorHAnsi"/>
        </w:rPr>
        <w:t xml:space="preserve">At the very least, having a diverse judiciary would </w:t>
      </w:r>
      <w:r w:rsidR="000C5015">
        <w:rPr>
          <w:rFonts w:asciiTheme="minorHAnsi" w:hAnsiTheme="minorHAnsi" w:cstheme="minorHAnsi"/>
        </w:rPr>
        <w:t>ensure that colleagues serve as reminders to each other of different worldviews and this would have an impact on how value judgments</w:t>
      </w:r>
      <w:r w:rsidR="008C3089">
        <w:rPr>
          <w:rFonts w:asciiTheme="minorHAnsi" w:hAnsiTheme="minorHAnsi" w:cstheme="minorHAnsi"/>
        </w:rPr>
        <w:t xml:space="preserve"> </w:t>
      </w:r>
      <w:r w:rsidR="00724A57">
        <w:rPr>
          <w:rFonts w:asciiTheme="minorHAnsi" w:hAnsiTheme="minorHAnsi" w:cstheme="minorHAnsi"/>
        </w:rPr>
        <w:t xml:space="preserve">as noted by </w:t>
      </w:r>
      <w:r w:rsidR="00724A57" w:rsidRPr="000365FB">
        <w:rPr>
          <w:rFonts w:asciiTheme="minorHAnsi" w:hAnsiTheme="minorHAnsi" w:cstheme="minorHAnsi"/>
        </w:rPr>
        <w:t xml:space="preserve">Justice </w:t>
      </w:r>
      <w:proofErr w:type="spellStart"/>
      <w:r w:rsidR="00724A57" w:rsidRPr="000365FB">
        <w:rPr>
          <w:rFonts w:asciiTheme="minorHAnsi" w:hAnsiTheme="minorHAnsi" w:cstheme="minorHAnsi"/>
        </w:rPr>
        <w:t>O'Regan</w:t>
      </w:r>
      <w:proofErr w:type="spellEnd"/>
      <w:r w:rsidR="00724A57">
        <w:rPr>
          <w:rFonts w:asciiTheme="minorHAnsi" w:hAnsiTheme="minorHAnsi" w:cstheme="minorHAnsi"/>
        </w:rPr>
        <w:t xml:space="preserve"> of the </w:t>
      </w:r>
      <w:r w:rsidR="000365FB" w:rsidRPr="000365FB">
        <w:rPr>
          <w:rFonts w:asciiTheme="minorHAnsi" w:hAnsiTheme="minorHAnsi" w:cstheme="minorHAnsi"/>
        </w:rPr>
        <w:t>South African Constitutional Court</w:t>
      </w:r>
      <w:sdt>
        <w:sdtPr>
          <w:rPr>
            <w:rFonts w:asciiTheme="minorHAnsi" w:hAnsiTheme="minorHAnsi" w:cstheme="minorHAnsi"/>
          </w:rPr>
          <w:id w:val="-1853493962"/>
          <w:citation/>
        </w:sdtPr>
        <w:sdtEndPr/>
        <w:sdtContent>
          <w:r w:rsidR="00724A57">
            <w:rPr>
              <w:rFonts w:asciiTheme="minorHAnsi" w:hAnsiTheme="minorHAnsi" w:cstheme="minorHAnsi"/>
            </w:rPr>
            <w:fldChar w:fldCharType="begin"/>
          </w:r>
          <w:r w:rsidR="00724A57">
            <w:rPr>
              <w:rFonts w:asciiTheme="minorHAnsi" w:hAnsiTheme="minorHAnsi" w:cstheme="minorHAnsi"/>
              <w:lang w:val="en-US"/>
            </w:rPr>
            <w:instrText xml:space="preserve"> CITATION Kat22 \l 1033 </w:instrText>
          </w:r>
          <w:r w:rsidR="00724A57">
            <w:rPr>
              <w:rFonts w:asciiTheme="minorHAnsi" w:hAnsiTheme="minorHAnsi" w:cstheme="minorHAnsi"/>
            </w:rPr>
            <w:fldChar w:fldCharType="separate"/>
          </w:r>
          <w:r w:rsidR="00724A57">
            <w:rPr>
              <w:rFonts w:asciiTheme="minorHAnsi" w:hAnsiTheme="minorHAnsi" w:cstheme="minorHAnsi"/>
              <w:noProof/>
              <w:lang w:val="en-US"/>
            </w:rPr>
            <w:t xml:space="preserve"> </w:t>
          </w:r>
          <w:r w:rsidR="00724A57" w:rsidRPr="00724A57">
            <w:rPr>
              <w:rFonts w:asciiTheme="minorHAnsi" w:hAnsiTheme="minorHAnsi" w:cstheme="minorHAnsi"/>
              <w:noProof/>
              <w:lang w:val="en-US"/>
            </w:rPr>
            <w:t>(Malleson, 2022)</w:t>
          </w:r>
          <w:r w:rsidR="00724A57">
            <w:rPr>
              <w:rFonts w:asciiTheme="minorHAnsi" w:hAnsiTheme="minorHAnsi" w:cstheme="minorHAnsi"/>
            </w:rPr>
            <w:fldChar w:fldCharType="end"/>
          </w:r>
        </w:sdtContent>
      </w:sdt>
      <w:r w:rsidR="00724A57">
        <w:rPr>
          <w:rFonts w:asciiTheme="minorHAnsi" w:hAnsiTheme="minorHAnsi" w:cstheme="minorHAnsi"/>
        </w:rPr>
        <w:t>.</w:t>
      </w:r>
      <w:r w:rsidR="00174E9B">
        <w:rPr>
          <w:rFonts w:asciiTheme="minorHAnsi" w:hAnsiTheme="minorHAnsi" w:cstheme="minorHAnsi"/>
        </w:rPr>
        <w:t xml:space="preserve"> </w:t>
      </w:r>
    </w:p>
    <w:p w14:paraId="139DC151" w14:textId="2894E2EA" w:rsidR="000365FB" w:rsidRDefault="00174E9B" w:rsidP="000365FB">
      <w:pPr>
        <w:spacing w:before="120" w:after="120"/>
        <w:rPr>
          <w:rFonts w:asciiTheme="minorHAnsi" w:hAnsiTheme="minorHAnsi" w:cstheme="minorHAnsi"/>
        </w:rPr>
      </w:pPr>
      <w:r>
        <w:rPr>
          <w:rFonts w:asciiTheme="minorHAnsi" w:hAnsiTheme="minorHAnsi" w:cstheme="minorHAnsi"/>
        </w:rPr>
        <w:t xml:space="preserve">Granted that there is little empirical evidence to show that having a more diverse judiciary has certain impacts on </w:t>
      </w:r>
      <w:r w:rsidR="00055B49">
        <w:rPr>
          <w:rFonts w:asciiTheme="minorHAnsi" w:hAnsiTheme="minorHAnsi" w:cstheme="minorHAnsi"/>
        </w:rPr>
        <w:t>decision-making</w:t>
      </w:r>
      <w:r>
        <w:rPr>
          <w:rFonts w:asciiTheme="minorHAnsi" w:hAnsiTheme="minorHAnsi" w:cstheme="minorHAnsi"/>
        </w:rPr>
        <w:t xml:space="preserve"> related to specific groups, such as women </w:t>
      </w:r>
      <w:sdt>
        <w:sdtPr>
          <w:rPr>
            <w:rFonts w:asciiTheme="minorHAnsi" w:hAnsiTheme="minorHAnsi" w:cstheme="minorHAnsi"/>
          </w:rPr>
          <w:id w:val="-1051998066"/>
          <w:citation/>
        </w:sdtPr>
        <w:sdtEndPr/>
        <w:sdtContent>
          <w:r>
            <w:rPr>
              <w:rFonts w:asciiTheme="minorHAnsi" w:hAnsiTheme="minorHAnsi" w:cstheme="minorHAnsi"/>
            </w:rPr>
            <w:fldChar w:fldCharType="begin"/>
          </w:r>
          <w:r>
            <w:rPr>
              <w:rFonts w:asciiTheme="minorHAnsi" w:hAnsiTheme="minorHAnsi" w:cstheme="minorHAnsi"/>
              <w:lang w:val="en-US"/>
            </w:rPr>
            <w:instrText xml:space="preserve"> CITATION Kat22 \l 1033 </w:instrText>
          </w:r>
          <w:r>
            <w:rPr>
              <w:rFonts w:asciiTheme="minorHAnsi" w:hAnsiTheme="minorHAnsi" w:cstheme="minorHAnsi"/>
            </w:rPr>
            <w:fldChar w:fldCharType="separate"/>
          </w:r>
          <w:r w:rsidRPr="00174E9B">
            <w:rPr>
              <w:rFonts w:asciiTheme="minorHAnsi" w:hAnsiTheme="minorHAnsi" w:cstheme="minorHAnsi"/>
              <w:noProof/>
              <w:lang w:val="en-US"/>
            </w:rPr>
            <w:t>(Malleson, 2022)</w:t>
          </w:r>
          <w:r>
            <w:rPr>
              <w:rFonts w:asciiTheme="minorHAnsi" w:hAnsiTheme="minorHAnsi" w:cstheme="minorHAnsi"/>
            </w:rPr>
            <w:fldChar w:fldCharType="end"/>
          </w:r>
        </w:sdtContent>
      </w:sdt>
      <w:r>
        <w:rPr>
          <w:rFonts w:asciiTheme="minorHAnsi" w:hAnsiTheme="minorHAnsi" w:cstheme="minorHAnsi"/>
        </w:rPr>
        <w:t>, in conclusion</w:t>
      </w:r>
      <w:r w:rsidR="00D72159">
        <w:rPr>
          <w:rFonts w:asciiTheme="minorHAnsi" w:hAnsiTheme="minorHAnsi" w:cstheme="minorHAnsi"/>
        </w:rPr>
        <w:t>,</w:t>
      </w:r>
      <w:r>
        <w:rPr>
          <w:rFonts w:asciiTheme="minorHAnsi" w:hAnsiTheme="minorHAnsi" w:cstheme="minorHAnsi"/>
        </w:rPr>
        <w:t xml:space="preserve"> it can be reiterated that such empirical evidence can only be had when there is a diverse judiciary</w:t>
      </w:r>
      <w:r w:rsidR="00FE3324">
        <w:rPr>
          <w:rFonts w:asciiTheme="minorHAnsi" w:hAnsiTheme="minorHAnsi" w:cstheme="minorHAnsi"/>
        </w:rPr>
        <w:t xml:space="preserve">. The steps that the law has taken in this direction (through </w:t>
      </w:r>
      <w:r w:rsidR="00D72159">
        <w:rPr>
          <w:rFonts w:asciiTheme="minorHAnsi" w:hAnsiTheme="minorHAnsi" w:cstheme="minorHAnsi"/>
        </w:rPr>
        <w:t xml:space="preserve">the </w:t>
      </w:r>
      <w:r w:rsidR="00FE3324">
        <w:rPr>
          <w:rFonts w:asciiTheme="minorHAnsi" w:hAnsiTheme="minorHAnsi" w:cstheme="minorHAnsi"/>
        </w:rPr>
        <w:t>Crime and Courts Act 2013) are</w:t>
      </w:r>
      <w:r w:rsidR="00D72159">
        <w:rPr>
          <w:rFonts w:asciiTheme="minorHAnsi" w:hAnsiTheme="minorHAnsi" w:cstheme="minorHAnsi"/>
        </w:rPr>
        <w:t>,</w:t>
      </w:r>
      <w:r w:rsidR="00FE3324">
        <w:rPr>
          <w:rFonts w:asciiTheme="minorHAnsi" w:hAnsiTheme="minorHAnsi" w:cstheme="minorHAnsi"/>
        </w:rPr>
        <w:t xml:space="preserve"> therefore, welcome.</w:t>
      </w:r>
    </w:p>
    <w:p w14:paraId="260E0330" w14:textId="77777777" w:rsidR="00813F97" w:rsidRDefault="00813F97" w:rsidP="000365FB">
      <w:pPr>
        <w:spacing w:before="120" w:after="120"/>
        <w:rPr>
          <w:rFonts w:asciiTheme="minorHAnsi" w:hAnsiTheme="minorHAnsi" w:cstheme="minorHAnsi"/>
        </w:rPr>
      </w:pPr>
    </w:p>
    <w:p w14:paraId="029D1C36" w14:textId="77777777" w:rsidR="00813F97" w:rsidRDefault="00813F97" w:rsidP="000365FB">
      <w:pPr>
        <w:spacing w:before="120" w:after="120"/>
        <w:rPr>
          <w:rFonts w:asciiTheme="minorHAnsi" w:hAnsiTheme="minorHAnsi" w:cstheme="minorHAnsi"/>
        </w:rPr>
      </w:pPr>
    </w:p>
    <w:p w14:paraId="604FF9F0" w14:textId="77777777" w:rsidR="00813F97" w:rsidRDefault="00813F97" w:rsidP="000365FB">
      <w:pPr>
        <w:spacing w:before="120" w:after="120"/>
        <w:rPr>
          <w:rFonts w:asciiTheme="minorHAnsi" w:hAnsiTheme="minorHAnsi" w:cstheme="minorHAnsi"/>
        </w:rPr>
      </w:pPr>
    </w:p>
    <w:p w14:paraId="7734607A" w14:textId="77777777" w:rsidR="00813F97" w:rsidRDefault="00813F97" w:rsidP="000365FB">
      <w:pPr>
        <w:spacing w:before="120" w:after="120"/>
        <w:rPr>
          <w:rFonts w:asciiTheme="minorHAnsi" w:hAnsiTheme="minorHAnsi" w:cstheme="minorHAnsi"/>
        </w:rPr>
      </w:pPr>
    </w:p>
    <w:p w14:paraId="2F661591" w14:textId="77777777" w:rsidR="00813F97" w:rsidRDefault="00813F97" w:rsidP="000365FB">
      <w:pPr>
        <w:spacing w:before="120" w:after="120"/>
        <w:rPr>
          <w:rFonts w:asciiTheme="minorHAnsi" w:hAnsiTheme="minorHAnsi" w:cstheme="minorHAnsi"/>
        </w:rPr>
      </w:pPr>
    </w:p>
    <w:p w14:paraId="7A562F38" w14:textId="77777777" w:rsidR="00813F97" w:rsidRDefault="00813F97" w:rsidP="000365FB">
      <w:pPr>
        <w:spacing w:before="120" w:after="120"/>
        <w:rPr>
          <w:rFonts w:asciiTheme="minorHAnsi" w:hAnsiTheme="minorHAnsi" w:cstheme="minorHAnsi"/>
        </w:rPr>
      </w:pPr>
    </w:p>
    <w:p w14:paraId="575E657D" w14:textId="77777777" w:rsidR="00813F97" w:rsidRDefault="00813F97" w:rsidP="000365FB">
      <w:pPr>
        <w:spacing w:before="120" w:after="120"/>
        <w:rPr>
          <w:rFonts w:asciiTheme="minorHAnsi" w:hAnsiTheme="minorHAnsi" w:cstheme="minorHAnsi"/>
        </w:rPr>
      </w:pPr>
    </w:p>
    <w:p w14:paraId="5B6846D9" w14:textId="77777777" w:rsidR="00813F97" w:rsidRDefault="00813F97" w:rsidP="000365FB">
      <w:pPr>
        <w:spacing w:before="120" w:after="120"/>
        <w:rPr>
          <w:rFonts w:asciiTheme="minorHAnsi" w:hAnsiTheme="minorHAnsi" w:cstheme="minorHAnsi"/>
        </w:rPr>
      </w:pPr>
    </w:p>
    <w:p w14:paraId="4A72D5E3" w14:textId="77777777" w:rsidR="00813F97" w:rsidRDefault="00813F97" w:rsidP="000365FB">
      <w:pPr>
        <w:spacing w:before="120" w:after="120"/>
        <w:rPr>
          <w:rFonts w:asciiTheme="minorHAnsi" w:hAnsiTheme="minorHAnsi" w:cstheme="minorHAnsi"/>
        </w:rPr>
      </w:pPr>
    </w:p>
    <w:p w14:paraId="32844440" w14:textId="77777777" w:rsidR="00813F97" w:rsidRDefault="00813F97" w:rsidP="000365FB">
      <w:pPr>
        <w:spacing w:before="120" w:after="120"/>
        <w:rPr>
          <w:rFonts w:asciiTheme="minorHAnsi" w:hAnsiTheme="minorHAnsi" w:cstheme="minorHAnsi"/>
        </w:rPr>
      </w:pPr>
    </w:p>
    <w:p w14:paraId="173B1C7A" w14:textId="77777777" w:rsidR="00813F97" w:rsidRDefault="00813F97" w:rsidP="000365FB">
      <w:pPr>
        <w:spacing w:before="120" w:after="120"/>
        <w:rPr>
          <w:rFonts w:asciiTheme="minorHAnsi" w:hAnsiTheme="minorHAnsi" w:cstheme="minorHAnsi"/>
        </w:rPr>
      </w:pPr>
    </w:p>
    <w:p w14:paraId="51C023E6" w14:textId="77777777" w:rsidR="00813F97" w:rsidRDefault="00813F97" w:rsidP="000365FB">
      <w:pPr>
        <w:spacing w:before="120" w:after="120"/>
        <w:rPr>
          <w:rFonts w:asciiTheme="minorHAnsi" w:hAnsiTheme="minorHAnsi" w:cstheme="minorHAnsi"/>
        </w:rPr>
      </w:pPr>
    </w:p>
    <w:p w14:paraId="532E1581" w14:textId="77777777" w:rsidR="00813F97" w:rsidRDefault="00813F97" w:rsidP="000365FB">
      <w:pPr>
        <w:spacing w:before="120" w:after="120"/>
        <w:rPr>
          <w:rFonts w:asciiTheme="minorHAnsi" w:hAnsiTheme="minorHAnsi" w:cstheme="minorHAnsi"/>
        </w:rPr>
      </w:pPr>
    </w:p>
    <w:p w14:paraId="29FBE5BC" w14:textId="77777777" w:rsidR="00813F97" w:rsidRDefault="00813F97" w:rsidP="000365FB">
      <w:pPr>
        <w:spacing w:before="120" w:after="120"/>
        <w:rPr>
          <w:rFonts w:asciiTheme="minorHAnsi" w:hAnsiTheme="minorHAnsi" w:cstheme="minorHAnsi"/>
        </w:rPr>
      </w:pPr>
    </w:p>
    <w:p w14:paraId="3FA9180A" w14:textId="77777777" w:rsidR="00813F97" w:rsidRDefault="00813F97" w:rsidP="000365FB">
      <w:pPr>
        <w:spacing w:before="120" w:after="120"/>
        <w:rPr>
          <w:rFonts w:asciiTheme="minorHAnsi" w:hAnsiTheme="minorHAnsi" w:cstheme="minorHAnsi"/>
        </w:rPr>
      </w:pPr>
    </w:p>
    <w:p w14:paraId="550C210E" w14:textId="77777777" w:rsidR="00813F97" w:rsidRDefault="00813F97" w:rsidP="000365FB">
      <w:pPr>
        <w:spacing w:before="120" w:after="120"/>
        <w:rPr>
          <w:rFonts w:asciiTheme="minorHAnsi" w:hAnsiTheme="minorHAnsi" w:cstheme="minorHAnsi"/>
        </w:rPr>
      </w:pPr>
    </w:p>
    <w:p w14:paraId="4D5D05BB" w14:textId="77777777" w:rsidR="00813F97" w:rsidRDefault="00813F97" w:rsidP="000365FB">
      <w:pPr>
        <w:spacing w:before="120" w:after="120"/>
        <w:rPr>
          <w:rFonts w:asciiTheme="minorHAnsi" w:hAnsiTheme="minorHAnsi" w:cstheme="minorHAnsi"/>
        </w:rPr>
      </w:pPr>
    </w:p>
    <w:p w14:paraId="04B1A324" w14:textId="77777777" w:rsidR="00813F97" w:rsidRDefault="00813F97" w:rsidP="000365FB">
      <w:pPr>
        <w:spacing w:before="120" w:after="120"/>
        <w:rPr>
          <w:rFonts w:asciiTheme="minorHAnsi" w:hAnsiTheme="minorHAnsi" w:cstheme="minorHAnsi"/>
        </w:rPr>
      </w:pPr>
    </w:p>
    <w:p w14:paraId="2DCC4524" w14:textId="77777777" w:rsidR="00813F97" w:rsidRDefault="00813F97" w:rsidP="000365FB">
      <w:pPr>
        <w:spacing w:before="120" w:after="120"/>
        <w:rPr>
          <w:rFonts w:asciiTheme="minorHAnsi" w:hAnsiTheme="minorHAnsi" w:cstheme="minorHAnsi"/>
        </w:rPr>
      </w:pPr>
    </w:p>
    <w:p w14:paraId="10853E3D" w14:textId="77777777" w:rsidR="00813F97" w:rsidRDefault="00813F97" w:rsidP="000365FB">
      <w:pPr>
        <w:spacing w:before="120" w:after="120"/>
        <w:rPr>
          <w:rFonts w:asciiTheme="minorHAnsi" w:hAnsiTheme="minorHAnsi" w:cstheme="minorHAnsi"/>
        </w:rPr>
      </w:pPr>
    </w:p>
    <w:p w14:paraId="62B15A90" w14:textId="77777777" w:rsidR="00813F97" w:rsidRDefault="00813F97" w:rsidP="000365FB">
      <w:pPr>
        <w:spacing w:before="120" w:after="120"/>
        <w:rPr>
          <w:rFonts w:asciiTheme="minorHAnsi" w:hAnsiTheme="minorHAnsi" w:cstheme="minorHAnsi"/>
        </w:rPr>
      </w:pPr>
    </w:p>
    <w:p w14:paraId="48EC2D30" w14:textId="77777777" w:rsidR="00813F97" w:rsidRDefault="00813F97" w:rsidP="000365FB">
      <w:pPr>
        <w:spacing w:before="120" w:after="120"/>
        <w:rPr>
          <w:rFonts w:asciiTheme="minorHAnsi" w:hAnsiTheme="minorHAnsi" w:cstheme="minorHAnsi"/>
        </w:rPr>
      </w:pPr>
    </w:p>
    <w:p w14:paraId="278E7357" w14:textId="77777777" w:rsidR="00813F97" w:rsidRDefault="00813F97" w:rsidP="000365FB">
      <w:pPr>
        <w:spacing w:before="120" w:after="120"/>
        <w:rPr>
          <w:rFonts w:asciiTheme="minorHAnsi" w:hAnsiTheme="minorHAnsi" w:cstheme="minorHAnsi"/>
        </w:rPr>
      </w:pPr>
    </w:p>
    <w:p w14:paraId="1EEB8F79" w14:textId="77777777" w:rsidR="00813F97" w:rsidRDefault="00813F97" w:rsidP="000365FB">
      <w:pPr>
        <w:spacing w:before="120" w:after="120"/>
        <w:rPr>
          <w:rFonts w:asciiTheme="minorHAnsi" w:hAnsiTheme="minorHAnsi" w:cstheme="minorHAnsi"/>
        </w:rPr>
      </w:pPr>
    </w:p>
    <w:p w14:paraId="4DEBD7A5" w14:textId="77777777" w:rsidR="00813F97" w:rsidRDefault="00813F97" w:rsidP="000365FB">
      <w:pPr>
        <w:spacing w:before="120" w:after="120"/>
        <w:rPr>
          <w:rFonts w:asciiTheme="minorHAnsi" w:hAnsiTheme="minorHAnsi" w:cstheme="minorHAnsi"/>
        </w:rPr>
      </w:pPr>
    </w:p>
    <w:p w14:paraId="6BBCA1BE" w14:textId="77777777" w:rsidR="00813F97" w:rsidRDefault="00813F97" w:rsidP="000365FB">
      <w:pPr>
        <w:spacing w:before="120" w:after="120"/>
        <w:rPr>
          <w:rFonts w:asciiTheme="minorHAnsi" w:hAnsiTheme="minorHAnsi" w:cstheme="minorHAnsi"/>
        </w:rPr>
      </w:pPr>
    </w:p>
    <w:sdt>
      <w:sdtPr>
        <w:rPr>
          <w:rFonts w:ascii="Times New Roman" w:eastAsia="Times New Roman" w:hAnsi="Times New Roman" w:cs="Times New Roman"/>
          <w:b w:val="0"/>
          <w:bCs w:val="0"/>
          <w:color w:val="auto"/>
          <w:sz w:val="24"/>
          <w:szCs w:val="24"/>
          <w:lang w:val="en-IN" w:bidi="ar-SA"/>
        </w:rPr>
        <w:id w:val="1694805033"/>
        <w:docPartObj>
          <w:docPartGallery w:val="Bibliographies"/>
          <w:docPartUnique/>
        </w:docPartObj>
      </w:sdtPr>
      <w:sdtEndPr/>
      <w:sdtContent>
        <w:p w14:paraId="3E95D6D5" w14:textId="77777777" w:rsidR="00813F97" w:rsidRDefault="00813F97">
          <w:pPr>
            <w:pStyle w:val="Heading1"/>
          </w:pPr>
          <w:r>
            <w:t>References</w:t>
          </w:r>
        </w:p>
        <w:sdt>
          <w:sdtPr>
            <w:id w:val="111145805"/>
            <w:bibliography/>
          </w:sdtPr>
          <w:sdtEndPr/>
          <w:sdtContent>
            <w:p w14:paraId="155F76EF" w14:textId="70DD424C" w:rsidR="00813F97" w:rsidRDefault="00813F97" w:rsidP="00813F97">
              <w:pPr>
                <w:pStyle w:val="Bibliography"/>
                <w:ind w:left="720" w:hanging="720"/>
                <w:rPr>
                  <w:noProof/>
                  <w:lang w:val="en-US"/>
                </w:rPr>
              </w:pPr>
              <w:r>
                <w:rPr>
                  <w:noProof/>
                  <w:lang w:val="en-US"/>
                </w:rPr>
                <w:t>Arvind, T.</w:t>
              </w:r>
              <w:r w:rsidR="00055B49">
                <w:rPr>
                  <w:noProof/>
                  <w:lang w:val="en-US"/>
                </w:rPr>
                <w:t xml:space="preserve"> </w:t>
              </w:r>
              <w:r>
                <w:rPr>
                  <w:noProof/>
                  <w:lang w:val="en-US"/>
                </w:rPr>
                <w:t xml:space="preserve">, </w:t>
              </w:r>
              <w:r w:rsidR="00055B49">
                <w:rPr>
                  <w:noProof/>
                  <w:lang w:val="en-US"/>
                </w:rPr>
                <w:t>and</w:t>
              </w:r>
              <w:r>
                <w:rPr>
                  <w:noProof/>
                  <w:lang w:val="en-US"/>
                </w:rPr>
                <w:t xml:space="preserve"> Stirton, L. (2016 ) Legal Ideology, Legal Doctrine and the UK's Top Judges. </w:t>
              </w:r>
              <w:r>
                <w:rPr>
                  <w:i/>
                  <w:iCs/>
                  <w:noProof/>
                  <w:lang w:val="en-US"/>
                </w:rPr>
                <w:t>July Public Law</w:t>
              </w:r>
              <w:r>
                <w:rPr>
                  <w:noProof/>
                  <w:lang w:val="en-US"/>
                </w:rPr>
                <w:t>, 418.</w:t>
              </w:r>
            </w:p>
            <w:p w14:paraId="0A62623B" w14:textId="77777777" w:rsidR="00813F97" w:rsidRDefault="00813F97" w:rsidP="00813F97">
              <w:pPr>
                <w:pStyle w:val="Bibliography"/>
                <w:ind w:left="720" w:hanging="720"/>
                <w:rPr>
                  <w:noProof/>
                  <w:lang w:val="en-US"/>
                </w:rPr>
              </w:pPr>
              <w:r>
                <w:rPr>
                  <w:noProof/>
                  <w:lang w:val="en-US"/>
                </w:rPr>
                <w:t xml:space="preserve">Dickson, B. (2007). The Processing of Appeals in the House of Lords. </w:t>
              </w:r>
              <w:r>
                <w:rPr>
                  <w:i/>
                  <w:iCs/>
                  <w:noProof/>
                  <w:lang w:val="en-US"/>
                </w:rPr>
                <w:t>Law Quarterly Review, 123</w:t>
              </w:r>
              <w:r>
                <w:rPr>
                  <w:noProof/>
                  <w:lang w:val="en-US"/>
                </w:rPr>
                <w:t>(4), 571.</w:t>
              </w:r>
            </w:p>
            <w:p w14:paraId="7B5F15C5" w14:textId="77777777" w:rsidR="00813F97" w:rsidRDefault="00813F97" w:rsidP="00813F97">
              <w:pPr>
                <w:pStyle w:val="Bibliography"/>
                <w:ind w:left="720" w:hanging="720"/>
                <w:rPr>
                  <w:noProof/>
                  <w:lang w:val="en-US"/>
                </w:rPr>
              </w:pPr>
              <w:r>
                <w:rPr>
                  <w:noProof/>
                  <w:lang w:val="en-US"/>
                </w:rPr>
                <w:t xml:space="preserve">Etherton, T. (2010 ). Liberty, the Archetype and Diversity: A Philosophy of Judging. </w:t>
              </w:r>
              <w:r>
                <w:rPr>
                  <w:i/>
                  <w:iCs/>
                  <w:noProof/>
                  <w:lang w:val="en-US"/>
                </w:rPr>
                <w:t>Public Law</w:t>
              </w:r>
              <w:r>
                <w:rPr>
                  <w:noProof/>
                  <w:lang w:val="en-US"/>
                </w:rPr>
                <w:t>, 727.</w:t>
              </w:r>
            </w:p>
            <w:p w14:paraId="09D32A72" w14:textId="77777777" w:rsidR="00813F97" w:rsidRDefault="00813F97" w:rsidP="00813F9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Lord Neuberger. (2014). </w:t>
              </w:r>
              <w:r>
                <w:rPr>
                  <w:i/>
                  <w:iCs/>
                  <w:noProof/>
                  <w:lang w:val="en-US"/>
                </w:rPr>
                <w:t>Rainbow Lecture 2014 on Diversity on 12 March 2014.</w:t>
              </w:r>
              <w:r>
                <w:rPr>
                  <w:noProof/>
                  <w:lang w:val="en-US"/>
                </w:rPr>
                <w:t xml:space="preserve"> House of Commons.</w:t>
              </w:r>
            </w:p>
            <w:p w14:paraId="050FFEE8" w14:textId="77777777" w:rsidR="00813F97" w:rsidRDefault="00813F97" w:rsidP="00813F97">
              <w:pPr>
                <w:pStyle w:val="Bibliography"/>
                <w:ind w:left="720" w:hanging="720"/>
                <w:rPr>
                  <w:noProof/>
                  <w:lang w:val="en-US"/>
                </w:rPr>
              </w:pPr>
              <w:r>
                <w:rPr>
                  <w:noProof/>
                  <w:lang w:val="en-US"/>
                </w:rPr>
                <w:t xml:space="preserve">Malleson, K. (2022). Values diversity in the United Kingdom Supreme Court: abandoning the ‘don't-ask-don't-tell’ policy. </w:t>
              </w:r>
              <w:r>
                <w:rPr>
                  <w:i/>
                  <w:iCs/>
                  <w:noProof/>
                  <w:lang w:val="en-US"/>
                </w:rPr>
                <w:t>Journal of Law and Society, 49</w:t>
              </w:r>
              <w:r>
                <w:rPr>
                  <w:noProof/>
                  <w:lang w:val="en-US"/>
                </w:rPr>
                <w:t>(1), 3-22.</w:t>
              </w:r>
            </w:p>
            <w:p w14:paraId="51B2B331" w14:textId="77777777" w:rsidR="00813F97" w:rsidRDefault="00813F97" w:rsidP="00813F97">
              <w:pPr>
                <w:pStyle w:val="Bibliography"/>
                <w:ind w:left="720" w:hanging="720"/>
                <w:rPr>
                  <w:noProof/>
                  <w:lang w:val="en-US"/>
                </w:rPr>
              </w:pPr>
              <w:r>
                <w:rPr>
                  <w:noProof/>
                  <w:lang w:val="en-US"/>
                </w:rPr>
                <w:t>R (Nicklinson) v. Ministry of Justice [2014] UKSC 38 (2014).</w:t>
              </w:r>
            </w:p>
            <w:p w14:paraId="4F913F62" w14:textId="130F059C" w:rsidR="00813F97" w:rsidRDefault="00813F97" w:rsidP="00813F97">
              <w:pPr>
                <w:pStyle w:val="Bibliography"/>
                <w:ind w:left="720" w:hanging="720"/>
                <w:rPr>
                  <w:noProof/>
                  <w:lang w:val="en-US"/>
                </w:rPr>
              </w:pPr>
              <w:r>
                <w:rPr>
                  <w:noProof/>
                  <w:lang w:val="en-US"/>
                </w:rPr>
                <w:t xml:space="preserve">Stevens, R. (2005). </w:t>
              </w:r>
              <w:r>
                <w:rPr>
                  <w:i/>
                  <w:iCs/>
                  <w:noProof/>
                  <w:lang w:val="en-US"/>
                </w:rPr>
                <w:t>The English Judges: Their Role in the Changing Constitution.</w:t>
              </w:r>
              <w:r>
                <w:rPr>
                  <w:noProof/>
                  <w:lang w:val="en-US"/>
                </w:rPr>
                <w:t xml:space="preserve"> Hart Publishing.</w:t>
              </w:r>
            </w:p>
            <w:p w14:paraId="1239719D" w14:textId="7D647CA7" w:rsidR="00813F97" w:rsidRDefault="00813F97" w:rsidP="00813F97">
              <w:pPr>
                <w:pStyle w:val="Bibliography"/>
                <w:ind w:left="720" w:hanging="720"/>
                <w:rPr>
                  <w:noProof/>
                  <w:lang w:val="en-US"/>
                </w:rPr>
              </w:pPr>
              <w:r>
                <w:rPr>
                  <w:noProof/>
                  <w:lang w:val="en-US"/>
                </w:rPr>
                <w:t xml:space="preserve">UKSC. (2021). </w:t>
              </w:r>
              <w:r>
                <w:rPr>
                  <w:i/>
                  <w:iCs/>
                  <w:noProof/>
                  <w:lang w:val="en-US"/>
                </w:rPr>
                <w:t>The Supreme Court of the United Kingdom and the Judicial Committee of the Privy Council: Judicial Diversity and Inclusion Strategy 2021-2025.</w:t>
              </w:r>
              <w:r>
                <w:rPr>
                  <w:noProof/>
                  <w:lang w:val="en-US"/>
                </w:rPr>
                <w:t xml:space="preserve"> The Supreme Court of the United Kingdom and the Judicial Committee of the Privy Council.</w:t>
              </w:r>
            </w:p>
            <w:p w14:paraId="40C853CD" w14:textId="77777777" w:rsidR="00813F97" w:rsidRDefault="00813F97" w:rsidP="00813F97">
              <w:r>
                <w:rPr>
                  <w:b/>
                  <w:bCs/>
                  <w:noProof/>
                </w:rPr>
                <w:fldChar w:fldCharType="end"/>
              </w:r>
            </w:p>
          </w:sdtContent>
        </w:sdt>
      </w:sdtContent>
    </w:sdt>
    <w:p w14:paraId="6043A90D" w14:textId="77777777" w:rsidR="00813F97" w:rsidRPr="000365FB" w:rsidRDefault="00813F97" w:rsidP="000365FB">
      <w:pPr>
        <w:spacing w:before="120" w:after="120"/>
        <w:rPr>
          <w:rFonts w:asciiTheme="minorHAnsi" w:hAnsiTheme="minorHAnsi" w:cstheme="minorHAnsi"/>
        </w:rPr>
      </w:pPr>
    </w:p>
    <w:p w14:paraId="1EB93FCD" w14:textId="77777777" w:rsidR="000365FB" w:rsidRPr="001E4864" w:rsidRDefault="000365FB" w:rsidP="001E4864">
      <w:pPr>
        <w:spacing w:before="120" w:after="120"/>
        <w:rPr>
          <w:rFonts w:asciiTheme="minorHAnsi" w:hAnsiTheme="minorHAnsi" w:cstheme="minorHAnsi"/>
        </w:rPr>
      </w:pPr>
    </w:p>
    <w:p w14:paraId="43D15A6A" w14:textId="77777777" w:rsidR="0050186F" w:rsidRPr="001E4864" w:rsidRDefault="00B13076" w:rsidP="001E4864">
      <w:pPr>
        <w:spacing w:before="120" w:after="120"/>
        <w:rPr>
          <w:rFonts w:asciiTheme="minorHAnsi" w:hAnsiTheme="minorHAnsi" w:cstheme="minorHAnsi"/>
        </w:rPr>
      </w:pPr>
    </w:p>
    <w:sectPr w:rsidR="0050186F" w:rsidRPr="001E4864" w:rsidSect="00D7215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66A22" w14:textId="77777777" w:rsidR="00B13076" w:rsidRDefault="00B13076" w:rsidP="00D72159">
      <w:r>
        <w:separator/>
      </w:r>
    </w:p>
  </w:endnote>
  <w:endnote w:type="continuationSeparator" w:id="0">
    <w:p w14:paraId="339A57D2" w14:textId="77777777" w:rsidR="00B13076" w:rsidRDefault="00B13076" w:rsidP="00D72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754896"/>
      <w:docPartObj>
        <w:docPartGallery w:val="Page Numbers (Bottom of Page)"/>
        <w:docPartUnique/>
      </w:docPartObj>
    </w:sdtPr>
    <w:sdtEndPr>
      <w:rPr>
        <w:noProof/>
      </w:rPr>
    </w:sdtEndPr>
    <w:sdtContent>
      <w:p w14:paraId="381B2715" w14:textId="7BFFF1F9" w:rsidR="00D72159" w:rsidRDefault="00D721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68EB0" w14:textId="77777777" w:rsidR="00D72159" w:rsidRDefault="00D72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78D65" w14:textId="77777777" w:rsidR="00B13076" w:rsidRDefault="00B13076" w:rsidP="00D72159">
      <w:r>
        <w:separator/>
      </w:r>
    </w:p>
  </w:footnote>
  <w:footnote w:type="continuationSeparator" w:id="0">
    <w:p w14:paraId="4918DDD5" w14:textId="77777777" w:rsidR="00B13076" w:rsidRDefault="00B13076" w:rsidP="00D72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B1D87"/>
    <w:multiLevelType w:val="multilevel"/>
    <w:tmpl w:val="E5024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7C2366"/>
    <w:multiLevelType w:val="multilevel"/>
    <w:tmpl w:val="6C50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0005">
    <w:abstractNumId w:val="1"/>
  </w:num>
  <w:num w:numId="2" w16cid:durableId="402340649">
    <w:abstractNumId w:val="0"/>
    <w:lvlOverride w:ilvl="0">
      <w:lvl w:ilvl="0">
        <w:numFmt w:val="lowerRoman"/>
        <w:lvlText w:val="%1."/>
        <w:lvlJc w:val="righ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712"/>
    <w:rsid w:val="00022D11"/>
    <w:rsid w:val="00026236"/>
    <w:rsid w:val="00026EE9"/>
    <w:rsid w:val="000365FB"/>
    <w:rsid w:val="000426A3"/>
    <w:rsid w:val="00055B49"/>
    <w:rsid w:val="000C5015"/>
    <w:rsid w:val="000F5EA2"/>
    <w:rsid w:val="00130CE7"/>
    <w:rsid w:val="00140679"/>
    <w:rsid w:val="00174E9B"/>
    <w:rsid w:val="00181E17"/>
    <w:rsid w:val="001B4162"/>
    <w:rsid w:val="001E4864"/>
    <w:rsid w:val="00203AD2"/>
    <w:rsid w:val="002103B6"/>
    <w:rsid w:val="002214F3"/>
    <w:rsid w:val="00225CE5"/>
    <w:rsid w:val="002A38F3"/>
    <w:rsid w:val="00321B19"/>
    <w:rsid w:val="0033178D"/>
    <w:rsid w:val="0033480D"/>
    <w:rsid w:val="00342712"/>
    <w:rsid w:val="003950A0"/>
    <w:rsid w:val="003A3391"/>
    <w:rsid w:val="003F4171"/>
    <w:rsid w:val="00430E2D"/>
    <w:rsid w:val="00442C51"/>
    <w:rsid w:val="0046309E"/>
    <w:rsid w:val="00463AA0"/>
    <w:rsid w:val="004A3F9B"/>
    <w:rsid w:val="004B278A"/>
    <w:rsid w:val="0054004A"/>
    <w:rsid w:val="005700D5"/>
    <w:rsid w:val="00574008"/>
    <w:rsid w:val="005827E1"/>
    <w:rsid w:val="0064717A"/>
    <w:rsid w:val="006679B3"/>
    <w:rsid w:val="006A3240"/>
    <w:rsid w:val="006C628D"/>
    <w:rsid w:val="006D1DDB"/>
    <w:rsid w:val="006E5CC5"/>
    <w:rsid w:val="007226B7"/>
    <w:rsid w:val="00724A57"/>
    <w:rsid w:val="00813F97"/>
    <w:rsid w:val="0086118F"/>
    <w:rsid w:val="008712FF"/>
    <w:rsid w:val="008C3089"/>
    <w:rsid w:val="00922243"/>
    <w:rsid w:val="00932106"/>
    <w:rsid w:val="00981281"/>
    <w:rsid w:val="009B0746"/>
    <w:rsid w:val="009B358F"/>
    <w:rsid w:val="009C762B"/>
    <w:rsid w:val="00A2582C"/>
    <w:rsid w:val="00A86783"/>
    <w:rsid w:val="00AE1BC9"/>
    <w:rsid w:val="00AF3731"/>
    <w:rsid w:val="00B13076"/>
    <w:rsid w:val="00B2750D"/>
    <w:rsid w:val="00C052FA"/>
    <w:rsid w:val="00C4524B"/>
    <w:rsid w:val="00C65519"/>
    <w:rsid w:val="00CA561C"/>
    <w:rsid w:val="00D17252"/>
    <w:rsid w:val="00D3296E"/>
    <w:rsid w:val="00D72159"/>
    <w:rsid w:val="00D923C1"/>
    <w:rsid w:val="00DC0234"/>
    <w:rsid w:val="00DF050F"/>
    <w:rsid w:val="00E14009"/>
    <w:rsid w:val="00E1420A"/>
    <w:rsid w:val="00E844C2"/>
    <w:rsid w:val="00E93E43"/>
    <w:rsid w:val="00F315AB"/>
    <w:rsid w:val="00F33260"/>
    <w:rsid w:val="00FD35FE"/>
    <w:rsid w:val="00FD73AB"/>
    <w:rsid w:val="00FE3324"/>
    <w:rsid w:val="00FF78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739F1"/>
  <w14:defaultImageDpi w14:val="32767"/>
  <w15:chartTrackingRefBased/>
  <w15:docId w15:val="{0D7D3ABC-B255-9744-890A-A034698A5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2750D"/>
    <w:rPr>
      <w:rFonts w:ascii="Times New Roman" w:eastAsia="Times New Roman" w:hAnsi="Times New Roman" w:cs="Times New Roman"/>
      <w:lang w:val="en-IN"/>
    </w:rPr>
  </w:style>
  <w:style w:type="paragraph" w:styleId="Heading1">
    <w:name w:val="heading 1"/>
    <w:basedOn w:val="Normal"/>
    <w:next w:val="Normal"/>
    <w:link w:val="Heading1Char"/>
    <w:uiPriority w:val="9"/>
    <w:qFormat/>
    <w:rsid w:val="00813F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00D5"/>
    <w:pPr>
      <w:spacing w:before="100" w:beforeAutospacing="1" w:after="100" w:afterAutospacing="1"/>
    </w:pPr>
  </w:style>
  <w:style w:type="paragraph" w:customStyle="1" w:styleId="legclearfix">
    <w:name w:val="legclearfix"/>
    <w:basedOn w:val="Normal"/>
    <w:rsid w:val="00463AA0"/>
    <w:pPr>
      <w:spacing w:before="100" w:beforeAutospacing="1" w:after="100" w:afterAutospacing="1"/>
    </w:pPr>
  </w:style>
  <w:style w:type="character" w:customStyle="1" w:styleId="legamendingtext">
    <w:name w:val="legamendingtext"/>
    <w:basedOn w:val="DefaultParagraphFont"/>
    <w:rsid w:val="00463AA0"/>
  </w:style>
  <w:style w:type="character" w:customStyle="1" w:styleId="legamendquote">
    <w:name w:val="legamendquote"/>
    <w:basedOn w:val="DefaultParagraphFont"/>
    <w:rsid w:val="00463AA0"/>
  </w:style>
  <w:style w:type="character" w:customStyle="1" w:styleId="Heading1Char">
    <w:name w:val="Heading 1 Char"/>
    <w:basedOn w:val="DefaultParagraphFont"/>
    <w:link w:val="Heading1"/>
    <w:uiPriority w:val="9"/>
    <w:rsid w:val="00813F97"/>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813F97"/>
  </w:style>
  <w:style w:type="paragraph" w:styleId="Header">
    <w:name w:val="header"/>
    <w:basedOn w:val="Normal"/>
    <w:link w:val="HeaderChar"/>
    <w:uiPriority w:val="99"/>
    <w:unhideWhenUsed/>
    <w:rsid w:val="00D72159"/>
    <w:pPr>
      <w:tabs>
        <w:tab w:val="center" w:pos="4513"/>
        <w:tab w:val="right" w:pos="9026"/>
      </w:tabs>
    </w:pPr>
  </w:style>
  <w:style w:type="character" w:customStyle="1" w:styleId="HeaderChar">
    <w:name w:val="Header Char"/>
    <w:basedOn w:val="DefaultParagraphFont"/>
    <w:link w:val="Header"/>
    <w:uiPriority w:val="99"/>
    <w:rsid w:val="00D72159"/>
    <w:rPr>
      <w:rFonts w:ascii="Times New Roman" w:eastAsia="Times New Roman" w:hAnsi="Times New Roman" w:cs="Times New Roman"/>
      <w:lang w:val="en-IN"/>
    </w:rPr>
  </w:style>
  <w:style w:type="paragraph" w:styleId="Footer">
    <w:name w:val="footer"/>
    <w:basedOn w:val="Normal"/>
    <w:link w:val="FooterChar"/>
    <w:uiPriority w:val="99"/>
    <w:unhideWhenUsed/>
    <w:rsid w:val="00D72159"/>
    <w:pPr>
      <w:tabs>
        <w:tab w:val="center" w:pos="4513"/>
        <w:tab w:val="right" w:pos="9026"/>
      </w:tabs>
    </w:pPr>
  </w:style>
  <w:style w:type="character" w:customStyle="1" w:styleId="FooterChar">
    <w:name w:val="Footer Char"/>
    <w:basedOn w:val="DefaultParagraphFont"/>
    <w:link w:val="Footer"/>
    <w:uiPriority w:val="99"/>
    <w:rsid w:val="00D72159"/>
    <w:rPr>
      <w:rFonts w:ascii="Times New Roman" w:eastAsia="Times New Roman" w:hAnsi="Times New Roman" w:cs="Times New Roman"/>
      <w:lang w:val="en-IN"/>
    </w:rPr>
  </w:style>
  <w:style w:type="paragraph" w:styleId="NoSpacing">
    <w:name w:val="No Spacing"/>
    <w:link w:val="NoSpacingChar"/>
    <w:uiPriority w:val="1"/>
    <w:qFormat/>
    <w:rsid w:val="00D72159"/>
    <w:rPr>
      <w:rFonts w:eastAsiaTheme="minorEastAsia"/>
      <w:sz w:val="22"/>
      <w:szCs w:val="22"/>
    </w:rPr>
  </w:style>
  <w:style w:type="character" w:customStyle="1" w:styleId="NoSpacingChar">
    <w:name w:val="No Spacing Char"/>
    <w:basedOn w:val="DefaultParagraphFont"/>
    <w:link w:val="NoSpacing"/>
    <w:uiPriority w:val="1"/>
    <w:rsid w:val="00D72159"/>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756">
      <w:bodyDiv w:val="1"/>
      <w:marLeft w:val="0"/>
      <w:marRight w:val="0"/>
      <w:marTop w:val="0"/>
      <w:marBottom w:val="0"/>
      <w:divBdr>
        <w:top w:val="none" w:sz="0" w:space="0" w:color="auto"/>
        <w:left w:val="none" w:sz="0" w:space="0" w:color="auto"/>
        <w:bottom w:val="none" w:sz="0" w:space="0" w:color="auto"/>
        <w:right w:val="none" w:sz="0" w:space="0" w:color="auto"/>
      </w:divBdr>
    </w:div>
    <w:div w:id="99683937">
      <w:bodyDiv w:val="1"/>
      <w:marLeft w:val="0"/>
      <w:marRight w:val="0"/>
      <w:marTop w:val="0"/>
      <w:marBottom w:val="0"/>
      <w:divBdr>
        <w:top w:val="none" w:sz="0" w:space="0" w:color="auto"/>
        <w:left w:val="none" w:sz="0" w:space="0" w:color="auto"/>
        <w:bottom w:val="none" w:sz="0" w:space="0" w:color="auto"/>
        <w:right w:val="none" w:sz="0" w:space="0" w:color="auto"/>
      </w:divBdr>
    </w:div>
    <w:div w:id="124663279">
      <w:bodyDiv w:val="1"/>
      <w:marLeft w:val="0"/>
      <w:marRight w:val="0"/>
      <w:marTop w:val="0"/>
      <w:marBottom w:val="0"/>
      <w:divBdr>
        <w:top w:val="none" w:sz="0" w:space="0" w:color="auto"/>
        <w:left w:val="none" w:sz="0" w:space="0" w:color="auto"/>
        <w:bottom w:val="none" w:sz="0" w:space="0" w:color="auto"/>
        <w:right w:val="none" w:sz="0" w:space="0" w:color="auto"/>
      </w:divBdr>
    </w:div>
    <w:div w:id="125779054">
      <w:bodyDiv w:val="1"/>
      <w:marLeft w:val="0"/>
      <w:marRight w:val="0"/>
      <w:marTop w:val="0"/>
      <w:marBottom w:val="0"/>
      <w:divBdr>
        <w:top w:val="none" w:sz="0" w:space="0" w:color="auto"/>
        <w:left w:val="none" w:sz="0" w:space="0" w:color="auto"/>
        <w:bottom w:val="none" w:sz="0" w:space="0" w:color="auto"/>
        <w:right w:val="none" w:sz="0" w:space="0" w:color="auto"/>
      </w:divBdr>
    </w:div>
    <w:div w:id="179855588">
      <w:bodyDiv w:val="1"/>
      <w:marLeft w:val="0"/>
      <w:marRight w:val="0"/>
      <w:marTop w:val="0"/>
      <w:marBottom w:val="0"/>
      <w:divBdr>
        <w:top w:val="none" w:sz="0" w:space="0" w:color="auto"/>
        <w:left w:val="none" w:sz="0" w:space="0" w:color="auto"/>
        <w:bottom w:val="none" w:sz="0" w:space="0" w:color="auto"/>
        <w:right w:val="none" w:sz="0" w:space="0" w:color="auto"/>
      </w:divBdr>
    </w:div>
    <w:div w:id="279146431">
      <w:bodyDiv w:val="1"/>
      <w:marLeft w:val="0"/>
      <w:marRight w:val="0"/>
      <w:marTop w:val="0"/>
      <w:marBottom w:val="0"/>
      <w:divBdr>
        <w:top w:val="none" w:sz="0" w:space="0" w:color="auto"/>
        <w:left w:val="none" w:sz="0" w:space="0" w:color="auto"/>
        <w:bottom w:val="none" w:sz="0" w:space="0" w:color="auto"/>
        <w:right w:val="none" w:sz="0" w:space="0" w:color="auto"/>
      </w:divBdr>
    </w:div>
    <w:div w:id="380792728">
      <w:bodyDiv w:val="1"/>
      <w:marLeft w:val="0"/>
      <w:marRight w:val="0"/>
      <w:marTop w:val="0"/>
      <w:marBottom w:val="0"/>
      <w:divBdr>
        <w:top w:val="none" w:sz="0" w:space="0" w:color="auto"/>
        <w:left w:val="none" w:sz="0" w:space="0" w:color="auto"/>
        <w:bottom w:val="none" w:sz="0" w:space="0" w:color="auto"/>
        <w:right w:val="none" w:sz="0" w:space="0" w:color="auto"/>
      </w:divBdr>
    </w:div>
    <w:div w:id="505441340">
      <w:bodyDiv w:val="1"/>
      <w:marLeft w:val="0"/>
      <w:marRight w:val="0"/>
      <w:marTop w:val="0"/>
      <w:marBottom w:val="0"/>
      <w:divBdr>
        <w:top w:val="none" w:sz="0" w:space="0" w:color="auto"/>
        <w:left w:val="none" w:sz="0" w:space="0" w:color="auto"/>
        <w:bottom w:val="none" w:sz="0" w:space="0" w:color="auto"/>
        <w:right w:val="none" w:sz="0" w:space="0" w:color="auto"/>
      </w:divBdr>
    </w:div>
    <w:div w:id="507870133">
      <w:bodyDiv w:val="1"/>
      <w:marLeft w:val="0"/>
      <w:marRight w:val="0"/>
      <w:marTop w:val="0"/>
      <w:marBottom w:val="0"/>
      <w:divBdr>
        <w:top w:val="none" w:sz="0" w:space="0" w:color="auto"/>
        <w:left w:val="none" w:sz="0" w:space="0" w:color="auto"/>
        <w:bottom w:val="none" w:sz="0" w:space="0" w:color="auto"/>
        <w:right w:val="none" w:sz="0" w:space="0" w:color="auto"/>
      </w:divBdr>
    </w:div>
    <w:div w:id="518589022">
      <w:bodyDiv w:val="1"/>
      <w:marLeft w:val="0"/>
      <w:marRight w:val="0"/>
      <w:marTop w:val="0"/>
      <w:marBottom w:val="0"/>
      <w:divBdr>
        <w:top w:val="none" w:sz="0" w:space="0" w:color="auto"/>
        <w:left w:val="none" w:sz="0" w:space="0" w:color="auto"/>
        <w:bottom w:val="none" w:sz="0" w:space="0" w:color="auto"/>
        <w:right w:val="none" w:sz="0" w:space="0" w:color="auto"/>
      </w:divBdr>
    </w:div>
    <w:div w:id="543323885">
      <w:bodyDiv w:val="1"/>
      <w:marLeft w:val="0"/>
      <w:marRight w:val="0"/>
      <w:marTop w:val="0"/>
      <w:marBottom w:val="0"/>
      <w:divBdr>
        <w:top w:val="none" w:sz="0" w:space="0" w:color="auto"/>
        <w:left w:val="none" w:sz="0" w:space="0" w:color="auto"/>
        <w:bottom w:val="none" w:sz="0" w:space="0" w:color="auto"/>
        <w:right w:val="none" w:sz="0" w:space="0" w:color="auto"/>
      </w:divBdr>
    </w:div>
    <w:div w:id="595016966">
      <w:bodyDiv w:val="1"/>
      <w:marLeft w:val="0"/>
      <w:marRight w:val="0"/>
      <w:marTop w:val="0"/>
      <w:marBottom w:val="0"/>
      <w:divBdr>
        <w:top w:val="none" w:sz="0" w:space="0" w:color="auto"/>
        <w:left w:val="none" w:sz="0" w:space="0" w:color="auto"/>
        <w:bottom w:val="none" w:sz="0" w:space="0" w:color="auto"/>
        <w:right w:val="none" w:sz="0" w:space="0" w:color="auto"/>
      </w:divBdr>
    </w:div>
    <w:div w:id="768701701">
      <w:bodyDiv w:val="1"/>
      <w:marLeft w:val="0"/>
      <w:marRight w:val="0"/>
      <w:marTop w:val="0"/>
      <w:marBottom w:val="0"/>
      <w:divBdr>
        <w:top w:val="none" w:sz="0" w:space="0" w:color="auto"/>
        <w:left w:val="none" w:sz="0" w:space="0" w:color="auto"/>
        <w:bottom w:val="none" w:sz="0" w:space="0" w:color="auto"/>
        <w:right w:val="none" w:sz="0" w:space="0" w:color="auto"/>
      </w:divBdr>
    </w:div>
    <w:div w:id="796264553">
      <w:bodyDiv w:val="1"/>
      <w:marLeft w:val="0"/>
      <w:marRight w:val="0"/>
      <w:marTop w:val="0"/>
      <w:marBottom w:val="0"/>
      <w:divBdr>
        <w:top w:val="none" w:sz="0" w:space="0" w:color="auto"/>
        <w:left w:val="none" w:sz="0" w:space="0" w:color="auto"/>
        <w:bottom w:val="none" w:sz="0" w:space="0" w:color="auto"/>
        <w:right w:val="none" w:sz="0" w:space="0" w:color="auto"/>
      </w:divBdr>
    </w:div>
    <w:div w:id="895777465">
      <w:bodyDiv w:val="1"/>
      <w:marLeft w:val="0"/>
      <w:marRight w:val="0"/>
      <w:marTop w:val="0"/>
      <w:marBottom w:val="0"/>
      <w:divBdr>
        <w:top w:val="none" w:sz="0" w:space="0" w:color="auto"/>
        <w:left w:val="none" w:sz="0" w:space="0" w:color="auto"/>
        <w:bottom w:val="none" w:sz="0" w:space="0" w:color="auto"/>
        <w:right w:val="none" w:sz="0" w:space="0" w:color="auto"/>
      </w:divBdr>
    </w:div>
    <w:div w:id="913705598">
      <w:bodyDiv w:val="1"/>
      <w:marLeft w:val="0"/>
      <w:marRight w:val="0"/>
      <w:marTop w:val="0"/>
      <w:marBottom w:val="0"/>
      <w:divBdr>
        <w:top w:val="none" w:sz="0" w:space="0" w:color="auto"/>
        <w:left w:val="none" w:sz="0" w:space="0" w:color="auto"/>
        <w:bottom w:val="none" w:sz="0" w:space="0" w:color="auto"/>
        <w:right w:val="none" w:sz="0" w:space="0" w:color="auto"/>
      </w:divBdr>
    </w:div>
    <w:div w:id="916206963">
      <w:bodyDiv w:val="1"/>
      <w:marLeft w:val="0"/>
      <w:marRight w:val="0"/>
      <w:marTop w:val="0"/>
      <w:marBottom w:val="0"/>
      <w:divBdr>
        <w:top w:val="none" w:sz="0" w:space="0" w:color="auto"/>
        <w:left w:val="none" w:sz="0" w:space="0" w:color="auto"/>
        <w:bottom w:val="none" w:sz="0" w:space="0" w:color="auto"/>
        <w:right w:val="none" w:sz="0" w:space="0" w:color="auto"/>
      </w:divBdr>
    </w:div>
    <w:div w:id="945620553">
      <w:bodyDiv w:val="1"/>
      <w:marLeft w:val="0"/>
      <w:marRight w:val="0"/>
      <w:marTop w:val="0"/>
      <w:marBottom w:val="0"/>
      <w:divBdr>
        <w:top w:val="none" w:sz="0" w:space="0" w:color="auto"/>
        <w:left w:val="none" w:sz="0" w:space="0" w:color="auto"/>
        <w:bottom w:val="none" w:sz="0" w:space="0" w:color="auto"/>
        <w:right w:val="none" w:sz="0" w:space="0" w:color="auto"/>
      </w:divBdr>
    </w:div>
    <w:div w:id="1020010404">
      <w:bodyDiv w:val="1"/>
      <w:marLeft w:val="0"/>
      <w:marRight w:val="0"/>
      <w:marTop w:val="0"/>
      <w:marBottom w:val="0"/>
      <w:divBdr>
        <w:top w:val="none" w:sz="0" w:space="0" w:color="auto"/>
        <w:left w:val="none" w:sz="0" w:space="0" w:color="auto"/>
        <w:bottom w:val="none" w:sz="0" w:space="0" w:color="auto"/>
        <w:right w:val="none" w:sz="0" w:space="0" w:color="auto"/>
      </w:divBdr>
    </w:div>
    <w:div w:id="1185635170">
      <w:bodyDiv w:val="1"/>
      <w:marLeft w:val="0"/>
      <w:marRight w:val="0"/>
      <w:marTop w:val="0"/>
      <w:marBottom w:val="0"/>
      <w:divBdr>
        <w:top w:val="none" w:sz="0" w:space="0" w:color="auto"/>
        <w:left w:val="none" w:sz="0" w:space="0" w:color="auto"/>
        <w:bottom w:val="none" w:sz="0" w:space="0" w:color="auto"/>
        <w:right w:val="none" w:sz="0" w:space="0" w:color="auto"/>
      </w:divBdr>
    </w:div>
    <w:div w:id="1190559356">
      <w:bodyDiv w:val="1"/>
      <w:marLeft w:val="0"/>
      <w:marRight w:val="0"/>
      <w:marTop w:val="0"/>
      <w:marBottom w:val="0"/>
      <w:divBdr>
        <w:top w:val="none" w:sz="0" w:space="0" w:color="auto"/>
        <w:left w:val="none" w:sz="0" w:space="0" w:color="auto"/>
        <w:bottom w:val="none" w:sz="0" w:space="0" w:color="auto"/>
        <w:right w:val="none" w:sz="0" w:space="0" w:color="auto"/>
      </w:divBdr>
    </w:div>
    <w:div w:id="1233808980">
      <w:bodyDiv w:val="1"/>
      <w:marLeft w:val="0"/>
      <w:marRight w:val="0"/>
      <w:marTop w:val="0"/>
      <w:marBottom w:val="0"/>
      <w:divBdr>
        <w:top w:val="none" w:sz="0" w:space="0" w:color="auto"/>
        <w:left w:val="none" w:sz="0" w:space="0" w:color="auto"/>
        <w:bottom w:val="none" w:sz="0" w:space="0" w:color="auto"/>
        <w:right w:val="none" w:sz="0" w:space="0" w:color="auto"/>
      </w:divBdr>
    </w:div>
    <w:div w:id="1376126624">
      <w:bodyDiv w:val="1"/>
      <w:marLeft w:val="0"/>
      <w:marRight w:val="0"/>
      <w:marTop w:val="0"/>
      <w:marBottom w:val="0"/>
      <w:divBdr>
        <w:top w:val="none" w:sz="0" w:space="0" w:color="auto"/>
        <w:left w:val="none" w:sz="0" w:space="0" w:color="auto"/>
        <w:bottom w:val="none" w:sz="0" w:space="0" w:color="auto"/>
        <w:right w:val="none" w:sz="0" w:space="0" w:color="auto"/>
      </w:divBdr>
    </w:div>
    <w:div w:id="1404908417">
      <w:bodyDiv w:val="1"/>
      <w:marLeft w:val="0"/>
      <w:marRight w:val="0"/>
      <w:marTop w:val="0"/>
      <w:marBottom w:val="0"/>
      <w:divBdr>
        <w:top w:val="none" w:sz="0" w:space="0" w:color="auto"/>
        <w:left w:val="none" w:sz="0" w:space="0" w:color="auto"/>
        <w:bottom w:val="none" w:sz="0" w:space="0" w:color="auto"/>
        <w:right w:val="none" w:sz="0" w:space="0" w:color="auto"/>
      </w:divBdr>
    </w:div>
    <w:div w:id="1494176183">
      <w:bodyDiv w:val="1"/>
      <w:marLeft w:val="0"/>
      <w:marRight w:val="0"/>
      <w:marTop w:val="0"/>
      <w:marBottom w:val="0"/>
      <w:divBdr>
        <w:top w:val="none" w:sz="0" w:space="0" w:color="auto"/>
        <w:left w:val="none" w:sz="0" w:space="0" w:color="auto"/>
        <w:bottom w:val="none" w:sz="0" w:space="0" w:color="auto"/>
        <w:right w:val="none" w:sz="0" w:space="0" w:color="auto"/>
      </w:divBdr>
    </w:div>
    <w:div w:id="1589382881">
      <w:bodyDiv w:val="1"/>
      <w:marLeft w:val="0"/>
      <w:marRight w:val="0"/>
      <w:marTop w:val="0"/>
      <w:marBottom w:val="0"/>
      <w:divBdr>
        <w:top w:val="none" w:sz="0" w:space="0" w:color="auto"/>
        <w:left w:val="none" w:sz="0" w:space="0" w:color="auto"/>
        <w:bottom w:val="none" w:sz="0" w:space="0" w:color="auto"/>
        <w:right w:val="none" w:sz="0" w:space="0" w:color="auto"/>
      </w:divBdr>
    </w:div>
    <w:div w:id="1589608418">
      <w:bodyDiv w:val="1"/>
      <w:marLeft w:val="0"/>
      <w:marRight w:val="0"/>
      <w:marTop w:val="0"/>
      <w:marBottom w:val="0"/>
      <w:divBdr>
        <w:top w:val="none" w:sz="0" w:space="0" w:color="auto"/>
        <w:left w:val="none" w:sz="0" w:space="0" w:color="auto"/>
        <w:bottom w:val="none" w:sz="0" w:space="0" w:color="auto"/>
        <w:right w:val="none" w:sz="0" w:space="0" w:color="auto"/>
      </w:divBdr>
    </w:div>
    <w:div w:id="1591543951">
      <w:bodyDiv w:val="1"/>
      <w:marLeft w:val="0"/>
      <w:marRight w:val="0"/>
      <w:marTop w:val="0"/>
      <w:marBottom w:val="0"/>
      <w:divBdr>
        <w:top w:val="none" w:sz="0" w:space="0" w:color="auto"/>
        <w:left w:val="none" w:sz="0" w:space="0" w:color="auto"/>
        <w:bottom w:val="none" w:sz="0" w:space="0" w:color="auto"/>
        <w:right w:val="none" w:sz="0" w:space="0" w:color="auto"/>
      </w:divBdr>
    </w:div>
    <w:div w:id="1719160581">
      <w:bodyDiv w:val="1"/>
      <w:marLeft w:val="0"/>
      <w:marRight w:val="0"/>
      <w:marTop w:val="0"/>
      <w:marBottom w:val="0"/>
      <w:divBdr>
        <w:top w:val="none" w:sz="0" w:space="0" w:color="auto"/>
        <w:left w:val="none" w:sz="0" w:space="0" w:color="auto"/>
        <w:bottom w:val="none" w:sz="0" w:space="0" w:color="auto"/>
        <w:right w:val="none" w:sz="0" w:space="0" w:color="auto"/>
      </w:divBdr>
    </w:div>
    <w:div w:id="1802187746">
      <w:bodyDiv w:val="1"/>
      <w:marLeft w:val="0"/>
      <w:marRight w:val="0"/>
      <w:marTop w:val="0"/>
      <w:marBottom w:val="0"/>
      <w:divBdr>
        <w:top w:val="none" w:sz="0" w:space="0" w:color="auto"/>
        <w:left w:val="none" w:sz="0" w:space="0" w:color="auto"/>
        <w:bottom w:val="none" w:sz="0" w:space="0" w:color="auto"/>
        <w:right w:val="none" w:sz="0" w:space="0" w:color="auto"/>
      </w:divBdr>
    </w:div>
    <w:div w:id="1854026611">
      <w:bodyDiv w:val="1"/>
      <w:marLeft w:val="0"/>
      <w:marRight w:val="0"/>
      <w:marTop w:val="0"/>
      <w:marBottom w:val="0"/>
      <w:divBdr>
        <w:top w:val="none" w:sz="0" w:space="0" w:color="auto"/>
        <w:left w:val="none" w:sz="0" w:space="0" w:color="auto"/>
        <w:bottom w:val="none" w:sz="0" w:space="0" w:color="auto"/>
        <w:right w:val="none" w:sz="0" w:space="0" w:color="auto"/>
      </w:divBdr>
    </w:div>
    <w:div w:id="1971327368">
      <w:bodyDiv w:val="1"/>
      <w:marLeft w:val="0"/>
      <w:marRight w:val="0"/>
      <w:marTop w:val="0"/>
      <w:marBottom w:val="0"/>
      <w:divBdr>
        <w:top w:val="none" w:sz="0" w:space="0" w:color="auto"/>
        <w:left w:val="none" w:sz="0" w:space="0" w:color="auto"/>
        <w:bottom w:val="none" w:sz="0" w:space="0" w:color="auto"/>
        <w:right w:val="none" w:sz="0" w:space="0" w:color="auto"/>
      </w:divBdr>
    </w:div>
    <w:div w:id="2039157815">
      <w:bodyDiv w:val="1"/>
      <w:marLeft w:val="0"/>
      <w:marRight w:val="0"/>
      <w:marTop w:val="0"/>
      <w:marBottom w:val="0"/>
      <w:divBdr>
        <w:top w:val="none" w:sz="0" w:space="0" w:color="auto"/>
        <w:left w:val="none" w:sz="0" w:space="0" w:color="auto"/>
        <w:bottom w:val="none" w:sz="0" w:space="0" w:color="auto"/>
        <w:right w:val="none" w:sz="0" w:space="0" w:color="auto"/>
      </w:divBdr>
    </w:div>
    <w:div w:id="2047830432">
      <w:bodyDiv w:val="1"/>
      <w:marLeft w:val="0"/>
      <w:marRight w:val="0"/>
      <w:marTop w:val="0"/>
      <w:marBottom w:val="0"/>
      <w:divBdr>
        <w:top w:val="none" w:sz="0" w:space="0" w:color="auto"/>
        <w:left w:val="none" w:sz="0" w:space="0" w:color="auto"/>
        <w:bottom w:val="none" w:sz="0" w:space="0" w:color="auto"/>
        <w:right w:val="none" w:sz="0" w:space="0" w:color="auto"/>
      </w:divBdr>
    </w:div>
    <w:div w:id="2064136807">
      <w:bodyDiv w:val="1"/>
      <w:marLeft w:val="0"/>
      <w:marRight w:val="0"/>
      <w:marTop w:val="0"/>
      <w:marBottom w:val="0"/>
      <w:divBdr>
        <w:top w:val="none" w:sz="0" w:space="0" w:color="auto"/>
        <w:left w:val="none" w:sz="0" w:space="0" w:color="auto"/>
        <w:bottom w:val="none" w:sz="0" w:space="0" w:color="auto"/>
        <w:right w:val="none" w:sz="0" w:space="0" w:color="auto"/>
      </w:divBdr>
    </w:div>
    <w:div w:id="207777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C48BD87187488C9B761A9998A39AB1"/>
        <w:category>
          <w:name w:val="General"/>
          <w:gallery w:val="placeholder"/>
        </w:category>
        <w:types>
          <w:type w:val="bbPlcHdr"/>
        </w:types>
        <w:behaviors>
          <w:behavior w:val="content"/>
        </w:behaviors>
        <w:guid w:val="{6A499F5E-E551-43EA-8258-22366930FE23}"/>
      </w:docPartPr>
      <w:docPartBody>
        <w:p w:rsidR="00000000" w:rsidRDefault="00DB541F" w:rsidP="00DB541F">
          <w:pPr>
            <w:pStyle w:val="BBC48BD87187488C9B761A9998A39AB1"/>
          </w:pPr>
          <w:r>
            <w:rPr>
              <w:rFonts w:asciiTheme="majorHAnsi" w:eastAsiaTheme="majorEastAsia" w:hAnsiTheme="majorHAnsi" w:cstheme="majorBidi"/>
              <w:caps/>
              <w:color w:val="4472C4" w:themeColor="accent1"/>
              <w:sz w:val="80"/>
              <w:szCs w:val="80"/>
            </w:rPr>
            <w:t>[Document title]</w:t>
          </w:r>
        </w:p>
      </w:docPartBody>
    </w:docPart>
    <w:docPart>
      <w:docPartPr>
        <w:name w:val="82884125D9BA46ADA879F17371FC5808"/>
        <w:category>
          <w:name w:val="General"/>
          <w:gallery w:val="placeholder"/>
        </w:category>
        <w:types>
          <w:type w:val="bbPlcHdr"/>
        </w:types>
        <w:behaviors>
          <w:behavior w:val="content"/>
        </w:behaviors>
        <w:guid w:val="{1D3BB2FD-DEFD-414C-A236-FD64B21CA74B}"/>
      </w:docPartPr>
      <w:docPartBody>
        <w:p w:rsidR="00000000" w:rsidRDefault="00DB541F" w:rsidP="00DB541F">
          <w:pPr>
            <w:pStyle w:val="82884125D9BA46ADA879F17371FC58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41F"/>
    <w:rsid w:val="00586C00"/>
    <w:rsid w:val="00DB5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48BD87187488C9B761A9998A39AB1">
    <w:name w:val="BBC48BD87187488C9B761A9998A39AB1"/>
    <w:rsid w:val="00DB541F"/>
  </w:style>
  <w:style w:type="paragraph" w:customStyle="1" w:styleId="82884125D9BA46ADA879F17371FC5808">
    <w:name w:val="82884125D9BA46ADA879F17371FC5808"/>
    <w:rsid w:val="00DB54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Lor142</b:Tag>
    <b:SourceType>Report</b:SourceType>
    <b:Guid>{E031F516-221F-B84F-A2C9-8F510419C086}</b:Guid>
    <b:Title>Rainbow Lecture 2014 on Diversity on 12 March 2014</b:Title>
    <b:Publisher>House of Commons</b:Publisher>
    <b:Year>2014</b:Year>
    <b:Author>
      <b:Author>
        <b:Corporate>Lord Neuberger</b:Corporate>
      </b:Author>
    </b:Author>
    <b:RefOrder>1</b:RefOrder>
  </b:Source>
  <b:Source>
    <b:Tag>Kat22</b:Tag>
    <b:SourceType>JournalArticle</b:SourceType>
    <b:Guid>{35CB0D37-4B56-A44D-A90A-D74E5D1C31B0}</b:Guid>
    <b:Title>Values diversity in the United Kingdom Supreme Court: abandoning the ‘don't-ask-don't-tell’ policy</b:Title>
    <b:Year>2022</b:Year>
    <b:JournalName>Journal of Law and Society</b:JournalName>
    <b:Pages>3-22</b:Pages>
    <b:Author>
      <b:Author>
        <b:NameList>
          <b:Person>
            <b:Last>Malleson</b:Last>
            <b:First>Kate</b:First>
          </b:Person>
        </b:NameList>
      </b:Author>
    </b:Author>
    <b:Volume>49</b:Volume>
    <b:Issue>1</b:Issue>
    <b:RefOrder>5</b:RefOrder>
  </b:Source>
  <b:Source>
    <b:Tag>RNi14</b:Tag>
    <b:SourceType>Case</b:SourceType>
    <b:Guid>{0EA98805-2E64-F444-9F63-58EBFAEA57A8}</b:Guid>
    <b:Title>R (Nicklinson) v. Ministry of Justice [2014] UKSC 38</b:Title>
    <b:Year>2014</b:Year>
    <b:RefOrder>3</b:RefOrder>
  </b:Source>
  <b:Source>
    <b:Tag>TAr16</b:Tag>
    <b:SourceType>JournalArticle</b:SourceType>
    <b:Guid>{32AEE7A2-6442-2043-BF5B-98DF133BA708}</b:Guid>
    <b:Title>Legal Ideology, Legal Doctrine and the UK's Top Judges</b:Title>
    <b:Year>2016 </b:Year>
    <b:Author>
      <b:Author>
        <b:NameList>
          <b:Person>
            <b:Last>Arvind</b:Last>
            <b:First>T.</b:First>
          </b:Person>
          <b:Person>
            <b:Last>Stirton</b:Last>
            <b:First>L.</b:First>
          </b:Person>
        </b:NameList>
      </b:Author>
    </b:Author>
    <b:JournalName>July Public Law</b:JournalName>
    <b:Pages>418</b:Pages>
    <b:RefOrder>6</b:RefOrder>
  </b:Source>
  <b:Source>
    <b:Tag>Bri071</b:Tag>
    <b:SourceType>JournalArticle</b:SourceType>
    <b:Guid>{E20C5051-3219-254A-AC4A-F50D77A3BD97}</b:Guid>
    <b:Title>The Processing of Appeals in the House of Lords</b:Title>
    <b:JournalName>Law Quarterly Review</b:JournalName>
    <b:Year>2007</b:Year>
    <b:Pages>571</b:Pages>
    <b:Author>
      <b:Author>
        <b:NameList>
          <b:Person>
            <b:Last>Dickson</b:Last>
            <b:First>Brice</b:First>
          </b:Person>
        </b:NameList>
      </b:Author>
    </b:Author>
    <b:Volume>123</b:Volume>
    <b:Issue>4</b:Issue>
    <b:RefOrder>4</b:RefOrder>
  </b:Source>
  <b:Source>
    <b:Tag>UKS21</b:Tag>
    <b:SourceType>Report</b:SourceType>
    <b:Guid>{BA3F5250-4264-4348-BB69-EC7A8B3FFE30}</b:Guid>
    <b:Title>The Supreme Court of the  United Kingdom and the  Judicial Committee  of the Privy Council: Judicial Diversity and Inclusion Strategy  2021-2025</b:Title>
    <b:Year>2021</b:Year>
    <b:Author>
      <b:Author>
        <b:Corporate>UKSC</b:Corporate>
      </b:Author>
    </b:Author>
    <b:Publisher>The Supreme Court of the  United Kingdom and the  Judicial Committee  of the Privy Council </b:Publisher>
    <b:RefOrder>2</b:RefOrder>
  </b:Source>
  <b:Source>
    <b:Tag>RSt05</b:Tag>
    <b:SourceType>Book</b:SourceType>
    <b:Guid>{7B2DF265-9EF3-4C4E-A5A8-93BE0C00F1F7}</b:Guid>
    <b:Title>The English Judges: Their Role in the Changing Constitution </b:Title>
    <b:Publisher>Hart Publishing</b:Publisher>
    <b:Year>2005</b:Year>
    <b:Author>
      <b:Author>
        <b:NameList>
          <b:Person>
            <b:Last>Stevens</b:Last>
            <b:First>R.</b:First>
          </b:Person>
        </b:NameList>
      </b:Author>
    </b:Author>
    <b:RefOrder>7</b:RefOrder>
  </b:Source>
  <b:Source>
    <b:Tag>TEt10</b:Tag>
    <b:SourceType>JournalArticle</b:SourceType>
    <b:Guid>{38AF9474-79F4-064F-845A-C713C05C637C}</b:Guid>
    <b:Title>Liberty, the Archetype and Diversity: A Philosophy of Judging</b:Title>
    <b:Year>2010 </b:Year>
    <b:Author>
      <b:Author>
        <b:NameList>
          <b:Person>
            <b:Last>Etherton</b:Last>
            <b:First>T.</b:First>
          </b:Person>
        </b:NameList>
      </b:Author>
    </b:Author>
    <b:JournalName>Public Law</b:JournalName>
    <b:Pages>727</b:Pages>
    <b:RefOrder>8</b:RefOrder>
  </b:Source>
</b:Sources>
</file>

<file path=customXml/itemProps1.xml><?xml version="1.0" encoding="utf-8"?>
<ds:datastoreItem xmlns:ds="http://schemas.openxmlformats.org/officeDocument/2006/customXml" ds:itemID="{A6ACF393-5DBF-754F-90EF-5E93694F2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Denyss Nagy</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It is sometimes argued that diversity in the judiciary is of little importance: what matters is that judges are experts and make sound decisions. However, judges have considerable power to make decisions that matter both constitutionally and</dc:subject>
  <dc:creator>Author</dc:creator>
  <cp:keywords/>
  <dc:description/>
  <cp:lastModifiedBy>Denyss Nagy (2117506)</cp:lastModifiedBy>
  <cp:revision>2</cp:revision>
  <dcterms:created xsi:type="dcterms:W3CDTF">2022-06-16T22:38:00Z</dcterms:created>
  <dcterms:modified xsi:type="dcterms:W3CDTF">2022-06-16T22:38:00Z</dcterms:modified>
</cp:coreProperties>
</file>