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06BF7" w14:textId="56AE03E7" w:rsidR="007B634F" w:rsidRDefault="001363F1" w:rsidP="001363F1">
      <w:pPr>
        <w:jc w:val="center"/>
        <w:rPr>
          <w:b/>
          <w:bCs/>
          <w:sz w:val="28"/>
          <w:szCs w:val="24"/>
        </w:rPr>
      </w:pPr>
      <w:r w:rsidRPr="001363F1">
        <w:rPr>
          <w:b/>
          <w:bCs/>
          <w:sz w:val="28"/>
          <w:szCs w:val="24"/>
        </w:rPr>
        <w:t>Financial Management for the Hotel Industry (BMIH5007)</w:t>
      </w:r>
    </w:p>
    <w:p w14:paraId="61177C0F" w14:textId="5BC315E1" w:rsidR="001363F1" w:rsidRPr="001363F1" w:rsidRDefault="001363F1" w:rsidP="001363F1">
      <w:pPr>
        <w:jc w:val="center"/>
        <w:rPr>
          <w:b/>
          <w:bCs/>
          <w:sz w:val="28"/>
          <w:szCs w:val="24"/>
        </w:rPr>
      </w:pPr>
      <w:r w:rsidRPr="001363F1">
        <w:rPr>
          <w:b/>
          <w:bCs/>
        </w:rPr>
        <w:t>Case Study: The Seaview Resort</w:t>
      </w:r>
    </w:p>
    <w:p w14:paraId="47D5650C" w14:textId="77777777" w:rsidR="001363F1" w:rsidRDefault="001363F1" w:rsidP="001363F1">
      <w:pPr>
        <w:jc w:val="center"/>
        <w:rPr>
          <w:b/>
          <w:bCs/>
          <w:sz w:val="28"/>
          <w:szCs w:val="24"/>
        </w:rPr>
      </w:pPr>
    </w:p>
    <w:p w14:paraId="6B4FF85E" w14:textId="77777777" w:rsidR="001363F1" w:rsidRDefault="001363F1" w:rsidP="001363F1">
      <w:pPr>
        <w:jc w:val="center"/>
        <w:rPr>
          <w:b/>
          <w:bCs/>
          <w:sz w:val="28"/>
          <w:szCs w:val="24"/>
        </w:rPr>
      </w:pPr>
    </w:p>
    <w:p w14:paraId="496DEE9A" w14:textId="3398D3FA" w:rsidR="001363F1" w:rsidRDefault="001363F1" w:rsidP="001363F1">
      <w:pPr>
        <w:jc w:val="center"/>
        <w:rPr>
          <w:b/>
          <w:bCs/>
          <w:sz w:val="28"/>
          <w:szCs w:val="24"/>
        </w:rPr>
      </w:pPr>
    </w:p>
    <w:p w14:paraId="75641F31" w14:textId="05B56006" w:rsidR="00524FBD" w:rsidRPr="00524FBD" w:rsidRDefault="00524FBD" w:rsidP="001363F1">
      <w:pPr>
        <w:jc w:val="center"/>
        <w:rPr>
          <w:b/>
          <w:bCs/>
        </w:rPr>
      </w:pPr>
      <w:r w:rsidRPr="00524FBD">
        <w:rPr>
          <w:b/>
          <w:bCs/>
        </w:rPr>
        <w:t>Name of Lecturer:</w:t>
      </w:r>
      <w:r w:rsidR="002E4777">
        <w:rPr>
          <w:b/>
          <w:bCs/>
        </w:rPr>
        <w:t xml:space="preserve"> Tristan Hawkins</w:t>
      </w:r>
    </w:p>
    <w:p w14:paraId="1DF8EDCF" w14:textId="77777777" w:rsidR="00524FBD" w:rsidRPr="00524FBD" w:rsidRDefault="00524FBD" w:rsidP="001363F1">
      <w:pPr>
        <w:jc w:val="center"/>
        <w:rPr>
          <w:b/>
          <w:bCs/>
        </w:rPr>
      </w:pPr>
    </w:p>
    <w:p w14:paraId="1C3EEEF1" w14:textId="2FB7B4E4" w:rsidR="00524FBD" w:rsidRPr="00524FBD" w:rsidRDefault="00524FBD" w:rsidP="001363F1">
      <w:pPr>
        <w:jc w:val="center"/>
        <w:rPr>
          <w:b/>
          <w:bCs/>
        </w:rPr>
      </w:pPr>
      <w:r w:rsidRPr="00524FBD">
        <w:rPr>
          <w:b/>
          <w:bCs/>
        </w:rPr>
        <w:t>Student Name:</w:t>
      </w:r>
      <w:r w:rsidR="002E4777">
        <w:rPr>
          <w:b/>
          <w:bCs/>
        </w:rPr>
        <w:t xml:space="preserve"> Laura Lupoae</w:t>
      </w:r>
    </w:p>
    <w:p w14:paraId="6F65B148" w14:textId="5B3C2A66" w:rsidR="00524FBD" w:rsidRPr="00524FBD" w:rsidRDefault="00524FBD" w:rsidP="001363F1">
      <w:pPr>
        <w:jc w:val="center"/>
        <w:rPr>
          <w:b/>
          <w:bCs/>
        </w:rPr>
      </w:pPr>
      <w:r w:rsidRPr="00524FBD">
        <w:rPr>
          <w:b/>
          <w:bCs/>
        </w:rPr>
        <w:t>Student ID:</w:t>
      </w:r>
      <w:r w:rsidR="002E4777">
        <w:rPr>
          <w:b/>
          <w:bCs/>
        </w:rPr>
        <w:t xml:space="preserve"> 2128001</w:t>
      </w:r>
    </w:p>
    <w:p w14:paraId="1F158BE4" w14:textId="40B8EAA4" w:rsidR="00524FBD" w:rsidRPr="00524FBD" w:rsidRDefault="00524FBD" w:rsidP="001363F1">
      <w:pPr>
        <w:jc w:val="center"/>
        <w:rPr>
          <w:b/>
          <w:bCs/>
        </w:rPr>
      </w:pPr>
      <w:r w:rsidRPr="00524FBD">
        <w:rPr>
          <w:b/>
          <w:bCs/>
        </w:rPr>
        <w:t>Word Count:</w:t>
      </w:r>
      <w:r w:rsidR="003C253D">
        <w:rPr>
          <w:b/>
          <w:bCs/>
        </w:rPr>
        <w:t xml:space="preserve"> 2170</w:t>
      </w:r>
    </w:p>
    <w:p w14:paraId="13340D5A" w14:textId="77777777" w:rsidR="00524FBD" w:rsidRDefault="00524FBD" w:rsidP="001363F1">
      <w:pPr>
        <w:jc w:val="center"/>
        <w:rPr>
          <w:b/>
          <w:bCs/>
          <w:sz w:val="28"/>
          <w:szCs w:val="24"/>
        </w:rPr>
      </w:pPr>
    </w:p>
    <w:p w14:paraId="0908EA67" w14:textId="54301048" w:rsidR="00644F39" w:rsidRDefault="001363F1">
      <w:pPr>
        <w:spacing w:before="0" w:after="160" w:line="259" w:lineRule="auto"/>
        <w:rPr>
          <w:b/>
          <w:bCs/>
          <w:sz w:val="28"/>
          <w:szCs w:val="24"/>
        </w:rPr>
      </w:pPr>
      <w:r>
        <w:rPr>
          <w:b/>
          <w:bCs/>
          <w:sz w:val="28"/>
          <w:szCs w:val="24"/>
        </w:rPr>
        <w:br w:type="page"/>
      </w:r>
    </w:p>
    <w:sdt>
      <w:sdtPr>
        <w:rPr>
          <w:rFonts w:ascii="Times New Roman" w:eastAsiaTheme="minorHAnsi" w:hAnsi="Times New Roman" w:cstheme="minorBidi"/>
          <w:color w:val="auto"/>
          <w:sz w:val="24"/>
          <w:szCs w:val="22"/>
          <w:lang w:val="en-GB"/>
        </w:rPr>
        <w:id w:val="-167638914"/>
        <w:docPartObj>
          <w:docPartGallery w:val="Table of Contents"/>
          <w:docPartUnique/>
        </w:docPartObj>
      </w:sdtPr>
      <w:sdtEndPr>
        <w:rPr>
          <w:b/>
          <w:bCs/>
          <w:noProof/>
        </w:rPr>
      </w:sdtEndPr>
      <w:sdtContent>
        <w:p w14:paraId="6252AD46" w14:textId="041D8199" w:rsidR="00644F39" w:rsidRPr="00644F39" w:rsidRDefault="00644F39">
          <w:pPr>
            <w:pStyle w:val="TOCHeading"/>
            <w:rPr>
              <w:b/>
              <w:bCs/>
              <w:color w:val="auto"/>
            </w:rPr>
          </w:pPr>
          <w:r w:rsidRPr="00644F39">
            <w:rPr>
              <w:b/>
              <w:bCs/>
              <w:color w:val="auto"/>
            </w:rPr>
            <w:t>Contents</w:t>
          </w:r>
        </w:p>
        <w:p w14:paraId="05C669DD" w14:textId="7AA6B1B9" w:rsidR="00644F39" w:rsidRDefault="00644F39">
          <w:pPr>
            <w:pStyle w:val="TOC1"/>
            <w:tabs>
              <w:tab w:val="right" w:leader="dot" w:pos="9350"/>
            </w:tabs>
            <w:rPr>
              <w:noProof/>
            </w:rPr>
          </w:pPr>
          <w:r>
            <w:fldChar w:fldCharType="begin"/>
          </w:r>
          <w:r>
            <w:instrText xml:space="preserve"> TOC \o "1-3" \h \z \u </w:instrText>
          </w:r>
          <w:r>
            <w:fldChar w:fldCharType="separate"/>
          </w:r>
          <w:hyperlink w:anchor="_Toc150816654" w:history="1">
            <w:r w:rsidRPr="005F7F72">
              <w:rPr>
                <w:rStyle w:val="Hyperlink"/>
                <w:noProof/>
              </w:rPr>
              <w:t>Introduction</w:t>
            </w:r>
            <w:r>
              <w:rPr>
                <w:noProof/>
                <w:webHidden/>
              </w:rPr>
              <w:tab/>
            </w:r>
            <w:r>
              <w:rPr>
                <w:noProof/>
                <w:webHidden/>
              </w:rPr>
              <w:fldChar w:fldCharType="begin"/>
            </w:r>
            <w:r>
              <w:rPr>
                <w:noProof/>
                <w:webHidden/>
              </w:rPr>
              <w:instrText xml:space="preserve"> PAGEREF _Toc150816654 \h </w:instrText>
            </w:r>
            <w:r>
              <w:rPr>
                <w:noProof/>
                <w:webHidden/>
              </w:rPr>
            </w:r>
            <w:r>
              <w:rPr>
                <w:noProof/>
                <w:webHidden/>
              </w:rPr>
              <w:fldChar w:fldCharType="separate"/>
            </w:r>
            <w:r>
              <w:rPr>
                <w:noProof/>
                <w:webHidden/>
              </w:rPr>
              <w:t>3</w:t>
            </w:r>
            <w:r>
              <w:rPr>
                <w:noProof/>
                <w:webHidden/>
              </w:rPr>
              <w:fldChar w:fldCharType="end"/>
            </w:r>
          </w:hyperlink>
        </w:p>
        <w:p w14:paraId="27D800E1" w14:textId="620701F2" w:rsidR="00644F39" w:rsidRDefault="00000000">
          <w:pPr>
            <w:pStyle w:val="TOC1"/>
            <w:tabs>
              <w:tab w:val="right" w:leader="dot" w:pos="9350"/>
            </w:tabs>
            <w:rPr>
              <w:noProof/>
            </w:rPr>
          </w:pPr>
          <w:hyperlink w:anchor="_Toc150816655" w:history="1">
            <w:r w:rsidR="00644F39" w:rsidRPr="005F7F72">
              <w:rPr>
                <w:rStyle w:val="Hyperlink"/>
                <w:noProof/>
              </w:rPr>
              <w:t>Market Analysis</w:t>
            </w:r>
            <w:r w:rsidR="00644F39">
              <w:rPr>
                <w:noProof/>
                <w:webHidden/>
              </w:rPr>
              <w:tab/>
            </w:r>
            <w:r w:rsidR="00644F39">
              <w:rPr>
                <w:noProof/>
                <w:webHidden/>
              </w:rPr>
              <w:fldChar w:fldCharType="begin"/>
            </w:r>
            <w:r w:rsidR="00644F39">
              <w:rPr>
                <w:noProof/>
                <w:webHidden/>
              </w:rPr>
              <w:instrText xml:space="preserve"> PAGEREF _Toc150816655 \h </w:instrText>
            </w:r>
            <w:r w:rsidR="00644F39">
              <w:rPr>
                <w:noProof/>
                <w:webHidden/>
              </w:rPr>
            </w:r>
            <w:r w:rsidR="00644F39">
              <w:rPr>
                <w:noProof/>
                <w:webHidden/>
              </w:rPr>
              <w:fldChar w:fldCharType="separate"/>
            </w:r>
            <w:r w:rsidR="00644F39">
              <w:rPr>
                <w:noProof/>
                <w:webHidden/>
              </w:rPr>
              <w:t>4</w:t>
            </w:r>
            <w:r w:rsidR="00644F39">
              <w:rPr>
                <w:noProof/>
                <w:webHidden/>
              </w:rPr>
              <w:fldChar w:fldCharType="end"/>
            </w:r>
          </w:hyperlink>
        </w:p>
        <w:p w14:paraId="24A6770E" w14:textId="2FFA0059" w:rsidR="00644F39" w:rsidRDefault="00000000">
          <w:pPr>
            <w:pStyle w:val="TOC1"/>
            <w:tabs>
              <w:tab w:val="right" w:leader="dot" w:pos="9350"/>
            </w:tabs>
            <w:rPr>
              <w:noProof/>
            </w:rPr>
          </w:pPr>
          <w:hyperlink w:anchor="_Toc150816656" w:history="1">
            <w:r w:rsidR="00644F39" w:rsidRPr="005F7F72">
              <w:rPr>
                <w:rStyle w:val="Hyperlink"/>
                <w:noProof/>
              </w:rPr>
              <w:t>The Seaview Resort's financial performance over the past three years</w:t>
            </w:r>
            <w:r w:rsidR="00644F39">
              <w:rPr>
                <w:noProof/>
                <w:webHidden/>
              </w:rPr>
              <w:tab/>
            </w:r>
            <w:r w:rsidR="00644F39">
              <w:rPr>
                <w:noProof/>
                <w:webHidden/>
              </w:rPr>
              <w:fldChar w:fldCharType="begin"/>
            </w:r>
            <w:r w:rsidR="00644F39">
              <w:rPr>
                <w:noProof/>
                <w:webHidden/>
              </w:rPr>
              <w:instrText xml:space="preserve"> PAGEREF _Toc150816656 \h </w:instrText>
            </w:r>
            <w:r w:rsidR="00644F39">
              <w:rPr>
                <w:noProof/>
                <w:webHidden/>
              </w:rPr>
            </w:r>
            <w:r w:rsidR="00644F39">
              <w:rPr>
                <w:noProof/>
                <w:webHidden/>
              </w:rPr>
              <w:fldChar w:fldCharType="separate"/>
            </w:r>
            <w:r w:rsidR="00644F39">
              <w:rPr>
                <w:noProof/>
                <w:webHidden/>
              </w:rPr>
              <w:t>5</w:t>
            </w:r>
            <w:r w:rsidR="00644F39">
              <w:rPr>
                <w:noProof/>
                <w:webHidden/>
              </w:rPr>
              <w:fldChar w:fldCharType="end"/>
            </w:r>
          </w:hyperlink>
        </w:p>
        <w:p w14:paraId="21321A39" w14:textId="098AA710" w:rsidR="00644F39" w:rsidRDefault="00000000">
          <w:pPr>
            <w:pStyle w:val="TOC2"/>
            <w:tabs>
              <w:tab w:val="right" w:leader="dot" w:pos="9350"/>
            </w:tabs>
            <w:rPr>
              <w:noProof/>
            </w:rPr>
          </w:pPr>
          <w:hyperlink w:anchor="_Toc150816657" w:history="1">
            <w:r w:rsidR="00644F39" w:rsidRPr="005F7F72">
              <w:rPr>
                <w:rStyle w:val="Hyperlink"/>
                <w:noProof/>
              </w:rPr>
              <w:t>Net Profit Margin</w:t>
            </w:r>
            <w:r w:rsidR="00644F39">
              <w:rPr>
                <w:noProof/>
                <w:webHidden/>
              </w:rPr>
              <w:tab/>
            </w:r>
            <w:r w:rsidR="00644F39">
              <w:rPr>
                <w:noProof/>
                <w:webHidden/>
              </w:rPr>
              <w:fldChar w:fldCharType="begin"/>
            </w:r>
            <w:r w:rsidR="00644F39">
              <w:rPr>
                <w:noProof/>
                <w:webHidden/>
              </w:rPr>
              <w:instrText xml:space="preserve"> PAGEREF _Toc150816657 \h </w:instrText>
            </w:r>
            <w:r w:rsidR="00644F39">
              <w:rPr>
                <w:noProof/>
                <w:webHidden/>
              </w:rPr>
            </w:r>
            <w:r w:rsidR="00644F39">
              <w:rPr>
                <w:noProof/>
                <w:webHidden/>
              </w:rPr>
              <w:fldChar w:fldCharType="separate"/>
            </w:r>
            <w:r w:rsidR="00644F39">
              <w:rPr>
                <w:noProof/>
                <w:webHidden/>
              </w:rPr>
              <w:t>5</w:t>
            </w:r>
            <w:r w:rsidR="00644F39">
              <w:rPr>
                <w:noProof/>
                <w:webHidden/>
              </w:rPr>
              <w:fldChar w:fldCharType="end"/>
            </w:r>
          </w:hyperlink>
        </w:p>
        <w:p w14:paraId="1A24B0C9" w14:textId="2B4EF225" w:rsidR="00644F39" w:rsidRDefault="00000000">
          <w:pPr>
            <w:pStyle w:val="TOC2"/>
            <w:tabs>
              <w:tab w:val="right" w:leader="dot" w:pos="9350"/>
            </w:tabs>
            <w:rPr>
              <w:noProof/>
            </w:rPr>
          </w:pPr>
          <w:hyperlink w:anchor="_Toc150816658" w:history="1">
            <w:r w:rsidR="00644F39" w:rsidRPr="005F7F72">
              <w:rPr>
                <w:rStyle w:val="Hyperlink"/>
                <w:noProof/>
              </w:rPr>
              <w:t>Gross Profit Margin</w:t>
            </w:r>
            <w:r w:rsidR="00644F39">
              <w:rPr>
                <w:noProof/>
                <w:webHidden/>
              </w:rPr>
              <w:tab/>
            </w:r>
            <w:r w:rsidR="00644F39">
              <w:rPr>
                <w:noProof/>
                <w:webHidden/>
              </w:rPr>
              <w:fldChar w:fldCharType="begin"/>
            </w:r>
            <w:r w:rsidR="00644F39">
              <w:rPr>
                <w:noProof/>
                <w:webHidden/>
              </w:rPr>
              <w:instrText xml:space="preserve"> PAGEREF _Toc150816658 \h </w:instrText>
            </w:r>
            <w:r w:rsidR="00644F39">
              <w:rPr>
                <w:noProof/>
                <w:webHidden/>
              </w:rPr>
            </w:r>
            <w:r w:rsidR="00644F39">
              <w:rPr>
                <w:noProof/>
                <w:webHidden/>
              </w:rPr>
              <w:fldChar w:fldCharType="separate"/>
            </w:r>
            <w:r w:rsidR="00644F39">
              <w:rPr>
                <w:noProof/>
                <w:webHidden/>
              </w:rPr>
              <w:t>6</w:t>
            </w:r>
            <w:r w:rsidR="00644F39">
              <w:rPr>
                <w:noProof/>
                <w:webHidden/>
              </w:rPr>
              <w:fldChar w:fldCharType="end"/>
            </w:r>
          </w:hyperlink>
        </w:p>
        <w:p w14:paraId="0C9ECBB7" w14:textId="1514B922" w:rsidR="00644F39" w:rsidRDefault="00000000">
          <w:pPr>
            <w:pStyle w:val="TOC1"/>
            <w:tabs>
              <w:tab w:val="right" w:leader="dot" w:pos="9350"/>
            </w:tabs>
            <w:rPr>
              <w:noProof/>
            </w:rPr>
          </w:pPr>
          <w:hyperlink w:anchor="_Toc150816659" w:history="1">
            <w:r w:rsidR="00644F39" w:rsidRPr="005F7F72">
              <w:rPr>
                <w:rStyle w:val="Hyperlink"/>
                <w:noProof/>
              </w:rPr>
              <w:t>Comprehensive turnaround strategy</w:t>
            </w:r>
            <w:r w:rsidR="00644F39">
              <w:rPr>
                <w:noProof/>
                <w:webHidden/>
              </w:rPr>
              <w:tab/>
            </w:r>
            <w:r w:rsidR="00644F39">
              <w:rPr>
                <w:noProof/>
                <w:webHidden/>
              </w:rPr>
              <w:fldChar w:fldCharType="begin"/>
            </w:r>
            <w:r w:rsidR="00644F39">
              <w:rPr>
                <w:noProof/>
                <w:webHidden/>
              </w:rPr>
              <w:instrText xml:space="preserve"> PAGEREF _Toc150816659 \h </w:instrText>
            </w:r>
            <w:r w:rsidR="00644F39">
              <w:rPr>
                <w:noProof/>
                <w:webHidden/>
              </w:rPr>
            </w:r>
            <w:r w:rsidR="00644F39">
              <w:rPr>
                <w:noProof/>
                <w:webHidden/>
              </w:rPr>
              <w:fldChar w:fldCharType="separate"/>
            </w:r>
            <w:r w:rsidR="00644F39">
              <w:rPr>
                <w:noProof/>
                <w:webHidden/>
              </w:rPr>
              <w:t>8</w:t>
            </w:r>
            <w:r w:rsidR="00644F39">
              <w:rPr>
                <w:noProof/>
                <w:webHidden/>
              </w:rPr>
              <w:fldChar w:fldCharType="end"/>
            </w:r>
          </w:hyperlink>
        </w:p>
        <w:p w14:paraId="42F9E3E7" w14:textId="31F1F92C" w:rsidR="00644F39" w:rsidRDefault="00000000">
          <w:pPr>
            <w:pStyle w:val="TOC1"/>
            <w:tabs>
              <w:tab w:val="right" w:leader="dot" w:pos="9350"/>
            </w:tabs>
            <w:rPr>
              <w:noProof/>
            </w:rPr>
          </w:pPr>
          <w:hyperlink w:anchor="_Toc150816660" w:history="1">
            <w:r w:rsidR="00644F39" w:rsidRPr="005F7F72">
              <w:rPr>
                <w:rStyle w:val="Hyperlink"/>
                <w:noProof/>
              </w:rPr>
              <w:t>Conclusion</w:t>
            </w:r>
            <w:r w:rsidR="00644F39">
              <w:rPr>
                <w:noProof/>
                <w:webHidden/>
              </w:rPr>
              <w:tab/>
            </w:r>
            <w:r w:rsidR="00644F39">
              <w:rPr>
                <w:noProof/>
                <w:webHidden/>
              </w:rPr>
              <w:fldChar w:fldCharType="begin"/>
            </w:r>
            <w:r w:rsidR="00644F39">
              <w:rPr>
                <w:noProof/>
                <w:webHidden/>
              </w:rPr>
              <w:instrText xml:space="preserve"> PAGEREF _Toc150816660 \h </w:instrText>
            </w:r>
            <w:r w:rsidR="00644F39">
              <w:rPr>
                <w:noProof/>
                <w:webHidden/>
              </w:rPr>
            </w:r>
            <w:r w:rsidR="00644F39">
              <w:rPr>
                <w:noProof/>
                <w:webHidden/>
              </w:rPr>
              <w:fldChar w:fldCharType="separate"/>
            </w:r>
            <w:r w:rsidR="00644F39">
              <w:rPr>
                <w:noProof/>
                <w:webHidden/>
              </w:rPr>
              <w:t>11</w:t>
            </w:r>
            <w:r w:rsidR="00644F39">
              <w:rPr>
                <w:noProof/>
                <w:webHidden/>
              </w:rPr>
              <w:fldChar w:fldCharType="end"/>
            </w:r>
          </w:hyperlink>
        </w:p>
        <w:p w14:paraId="07A8E625" w14:textId="49B65C5A" w:rsidR="00644F39" w:rsidRDefault="00000000">
          <w:pPr>
            <w:pStyle w:val="TOC1"/>
            <w:tabs>
              <w:tab w:val="right" w:leader="dot" w:pos="9350"/>
            </w:tabs>
            <w:rPr>
              <w:noProof/>
            </w:rPr>
          </w:pPr>
          <w:hyperlink w:anchor="_Toc150816661" w:history="1">
            <w:r w:rsidR="00644F39" w:rsidRPr="005F7F72">
              <w:rPr>
                <w:rStyle w:val="Hyperlink"/>
                <w:noProof/>
              </w:rPr>
              <w:t>References</w:t>
            </w:r>
            <w:r w:rsidR="00644F39">
              <w:rPr>
                <w:noProof/>
                <w:webHidden/>
              </w:rPr>
              <w:tab/>
            </w:r>
            <w:r w:rsidR="00644F39">
              <w:rPr>
                <w:noProof/>
                <w:webHidden/>
              </w:rPr>
              <w:fldChar w:fldCharType="begin"/>
            </w:r>
            <w:r w:rsidR="00644F39">
              <w:rPr>
                <w:noProof/>
                <w:webHidden/>
              </w:rPr>
              <w:instrText xml:space="preserve"> PAGEREF _Toc150816661 \h </w:instrText>
            </w:r>
            <w:r w:rsidR="00644F39">
              <w:rPr>
                <w:noProof/>
                <w:webHidden/>
              </w:rPr>
            </w:r>
            <w:r w:rsidR="00644F39">
              <w:rPr>
                <w:noProof/>
                <w:webHidden/>
              </w:rPr>
              <w:fldChar w:fldCharType="separate"/>
            </w:r>
            <w:r w:rsidR="00644F39">
              <w:rPr>
                <w:noProof/>
                <w:webHidden/>
              </w:rPr>
              <w:t>12</w:t>
            </w:r>
            <w:r w:rsidR="00644F39">
              <w:rPr>
                <w:noProof/>
                <w:webHidden/>
              </w:rPr>
              <w:fldChar w:fldCharType="end"/>
            </w:r>
          </w:hyperlink>
        </w:p>
        <w:p w14:paraId="18CE4E3E" w14:textId="7401CCDF" w:rsidR="00644F39" w:rsidRDefault="00644F39">
          <w:r>
            <w:rPr>
              <w:b/>
              <w:bCs/>
              <w:noProof/>
            </w:rPr>
            <w:fldChar w:fldCharType="end"/>
          </w:r>
        </w:p>
      </w:sdtContent>
    </w:sdt>
    <w:p w14:paraId="36B4E132" w14:textId="7C81B88B" w:rsidR="001363F1" w:rsidRDefault="00644F39">
      <w:pPr>
        <w:spacing w:before="0" w:after="160" w:line="259" w:lineRule="auto"/>
        <w:rPr>
          <w:b/>
          <w:bCs/>
          <w:sz w:val="28"/>
          <w:szCs w:val="24"/>
        </w:rPr>
      </w:pPr>
      <w:r>
        <w:rPr>
          <w:b/>
          <w:bCs/>
          <w:sz w:val="28"/>
          <w:szCs w:val="24"/>
        </w:rPr>
        <w:br w:type="page"/>
      </w:r>
    </w:p>
    <w:p w14:paraId="2F859B05" w14:textId="2CAC8B28" w:rsidR="001363F1" w:rsidRDefault="001363F1" w:rsidP="00274FD2">
      <w:pPr>
        <w:pStyle w:val="Heading1"/>
        <w:spacing w:line="360" w:lineRule="auto"/>
        <w:jc w:val="both"/>
      </w:pPr>
      <w:bookmarkStart w:id="0" w:name="_Toc150816654"/>
      <w:r>
        <w:lastRenderedPageBreak/>
        <w:t>Introduction</w:t>
      </w:r>
      <w:bookmarkEnd w:id="0"/>
    </w:p>
    <w:p w14:paraId="4E8A927F" w14:textId="7F69C53E" w:rsidR="001363F1" w:rsidRDefault="001363F1" w:rsidP="00274FD2">
      <w:pPr>
        <w:spacing w:line="360" w:lineRule="auto"/>
        <w:jc w:val="both"/>
      </w:pPr>
      <w:r w:rsidRPr="001363F1">
        <w:t xml:space="preserve">Tourists seeking luxury and </w:t>
      </w:r>
      <w:proofErr w:type="spellStart"/>
      <w:r w:rsidRPr="001363F1">
        <w:t>tranquility</w:t>
      </w:r>
      <w:proofErr w:type="spellEnd"/>
      <w:r w:rsidRPr="001363F1">
        <w:t xml:space="preserve"> visit the Seaview Resort on a beautiful shoreline. In recent years, its fortunes have declined. Guest satisfaction has declined as revenue and occupancy have dropped. This reduction may be due to new competitors, outmoded facilities, and old marketing techniques. Owner James Henderson faces a key decision about the resort's future. He wants a complete analysis to establish revival viability</w:t>
      </w:r>
      <w:r w:rsidR="005A05FC">
        <w:t xml:space="preserve"> (</w:t>
      </w:r>
      <w:proofErr w:type="spellStart"/>
      <w:r w:rsidR="005A05FC" w:rsidRPr="007C6A1B">
        <w:rPr>
          <w:rFonts w:cs="Times New Roman"/>
          <w:color w:val="222222"/>
          <w:szCs w:val="24"/>
          <w:shd w:val="clear" w:color="auto" w:fill="FFFFFF"/>
        </w:rPr>
        <w:t>Grozdanovska</w:t>
      </w:r>
      <w:proofErr w:type="spellEnd"/>
      <w:r w:rsidR="005A05FC">
        <w:rPr>
          <w:rFonts w:cs="Times New Roman"/>
          <w:color w:val="222222"/>
          <w:szCs w:val="24"/>
          <w:shd w:val="clear" w:color="auto" w:fill="FFFFFF"/>
        </w:rPr>
        <w:t xml:space="preserve"> et al., 2022)</w:t>
      </w:r>
      <w:r w:rsidRPr="001363F1">
        <w:t>. This would involve assessing the resort's market position, identifying opportunities for improvement, and researching hospitality trends. A strategic turnaround plan may include rebuilding buildings, updating services, using innovative marketing, and rebranding to attract new tourists.</w:t>
      </w:r>
    </w:p>
    <w:p w14:paraId="5A8EC72C" w14:textId="77777777" w:rsidR="006D7EFA" w:rsidRDefault="006D7EFA" w:rsidP="00274FD2">
      <w:pPr>
        <w:spacing w:line="360" w:lineRule="auto"/>
        <w:jc w:val="both"/>
      </w:pPr>
    </w:p>
    <w:p w14:paraId="50D992E2" w14:textId="77777777" w:rsidR="006D7EFA" w:rsidRDefault="006D7EFA" w:rsidP="00274FD2">
      <w:pPr>
        <w:spacing w:line="360" w:lineRule="auto"/>
        <w:jc w:val="both"/>
      </w:pPr>
    </w:p>
    <w:p w14:paraId="74C8A285" w14:textId="77777777" w:rsidR="006D7EFA" w:rsidRDefault="006D7EFA" w:rsidP="00274FD2">
      <w:pPr>
        <w:spacing w:line="360" w:lineRule="auto"/>
        <w:jc w:val="both"/>
      </w:pPr>
    </w:p>
    <w:p w14:paraId="0827CC85" w14:textId="77777777" w:rsidR="006D7EFA" w:rsidRDefault="006D7EFA" w:rsidP="00274FD2">
      <w:pPr>
        <w:spacing w:line="360" w:lineRule="auto"/>
        <w:jc w:val="both"/>
      </w:pPr>
    </w:p>
    <w:p w14:paraId="4954171A" w14:textId="77777777" w:rsidR="006D7EFA" w:rsidRDefault="006D7EFA" w:rsidP="00274FD2">
      <w:pPr>
        <w:spacing w:line="360" w:lineRule="auto"/>
        <w:jc w:val="both"/>
      </w:pPr>
    </w:p>
    <w:p w14:paraId="3CA7FE48" w14:textId="77777777" w:rsidR="006D7EFA" w:rsidRDefault="006D7EFA" w:rsidP="00274FD2">
      <w:pPr>
        <w:spacing w:line="360" w:lineRule="auto"/>
        <w:jc w:val="both"/>
      </w:pPr>
    </w:p>
    <w:p w14:paraId="19C45736" w14:textId="77777777" w:rsidR="006D7EFA" w:rsidRDefault="006D7EFA" w:rsidP="00274FD2">
      <w:pPr>
        <w:spacing w:line="360" w:lineRule="auto"/>
        <w:jc w:val="both"/>
      </w:pPr>
    </w:p>
    <w:p w14:paraId="24B283E3" w14:textId="77777777" w:rsidR="006D7EFA" w:rsidRDefault="006D7EFA" w:rsidP="00274FD2">
      <w:pPr>
        <w:spacing w:line="360" w:lineRule="auto"/>
        <w:jc w:val="both"/>
      </w:pPr>
    </w:p>
    <w:p w14:paraId="445B2C64" w14:textId="77777777" w:rsidR="006D7EFA" w:rsidRDefault="006D7EFA" w:rsidP="00274FD2">
      <w:pPr>
        <w:spacing w:line="360" w:lineRule="auto"/>
        <w:jc w:val="both"/>
      </w:pPr>
    </w:p>
    <w:p w14:paraId="6721F4FA" w14:textId="77777777" w:rsidR="006D7EFA" w:rsidRDefault="006D7EFA" w:rsidP="00274FD2">
      <w:pPr>
        <w:spacing w:line="360" w:lineRule="auto"/>
        <w:jc w:val="both"/>
      </w:pPr>
    </w:p>
    <w:p w14:paraId="0FAE944E" w14:textId="77777777" w:rsidR="006D7EFA" w:rsidRDefault="006D7EFA" w:rsidP="00274FD2">
      <w:pPr>
        <w:spacing w:line="360" w:lineRule="auto"/>
        <w:jc w:val="both"/>
      </w:pPr>
    </w:p>
    <w:p w14:paraId="31FBDDA1" w14:textId="77777777" w:rsidR="006D7EFA" w:rsidRDefault="006D7EFA" w:rsidP="00274FD2">
      <w:pPr>
        <w:spacing w:line="360" w:lineRule="auto"/>
        <w:jc w:val="both"/>
      </w:pPr>
    </w:p>
    <w:p w14:paraId="0996334B" w14:textId="77777777" w:rsidR="006D7EFA" w:rsidRDefault="006D7EFA" w:rsidP="00274FD2">
      <w:pPr>
        <w:spacing w:line="360" w:lineRule="auto"/>
        <w:jc w:val="both"/>
      </w:pPr>
    </w:p>
    <w:p w14:paraId="6679B8E8" w14:textId="353860D9" w:rsidR="001363F1" w:rsidRDefault="001363F1" w:rsidP="00274FD2">
      <w:pPr>
        <w:pStyle w:val="Heading1"/>
        <w:spacing w:line="360" w:lineRule="auto"/>
        <w:jc w:val="both"/>
      </w:pPr>
      <w:bookmarkStart w:id="1" w:name="_Toc150816655"/>
      <w:r>
        <w:lastRenderedPageBreak/>
        <w:t>Market Analysis</w:t>
      </w:r>
      <w:bookmarkEnd w:id="1"/>
    </w:p>
    <w:p w14:paraId="3F6E3602" w14:textId="37E49EB0" w:rsidR="001363F1" w:rsidRDefault="00F8713E" w:rsidP="00274FD2">
      <w:pPr>
        <w:spacing w:line="360" w:lineRule="auto"/>
        <w:jc w:val="both"/>
      </w:pPr>
      <w:r>
        <w:t>Seaview Resort faces diminishing revenue, occupancy, and consumer satisfaction. Multiple market trends and internal difficulties caused this downturn. First, the coastal resort market around The Seaview Resort is more competitive</w:t>
      </w:r>
      <w:r w:rsidR="00CB704D">
        <w:t xml:space="preserve"> (</w:t>
      </w:r>
      <w:proofErr w:type="spellStart"/>
      <w:r w:rsidR="00CB704D" w:rsidRPr="007C6A1B">
        <w:rPr>
          <w:rFonts w:cs="Times New Roman"/>
          <w:color w:val="222222"/>
          <w:szCs w:val="24"/>
          <w:shd w:val="clear" w:color="auto" w:fill="FFFFFF"/>
        </w:rPr>
        <w:t>Ciurariu</w:t>
      </w:r>
      <w:proofErr w:type="spellEnd"/>
      <w:r w:rsidR="00CB704D" w:rsidRPr="007C6A1B">
        <w:rPr>
          <w:rFonts w:cs="Times New Roman"/>
          <w:color w:val="222222"/>
          <w:szCs w:val="24"/>
          <w:shd w:val="clear" w:color="auto" w:fill="FFFFFF"/>
        </w:rPr>
        <w:t>, 20</w:t>
      </w:r>
      <w:r w:rsidR="00CB704D">
        <w:rPr>
          <w:rFonts w:cs="Times New Roman"/>
          <w:color w:val="222222"/>
          <w:szCs w:val="24"/>
          <w:shd w:val="clear" w:color="auto" w:fill="FFFFFF"/>
        </w:rPr>
        <w:t>21)</w:t>
      </w:r>
      <w:r>
        <w:t>. New resorts with sophisticated amenities and services have boosted guest expectations. Traditional resorts like The Seaview are struggling to preserve market share while modern institutions have better facilities and marketing methods. Second, client tastes have changed</w:t>
      </w:r>
      <w:r w:rsidR="008F4CEC">
        <w:t xml:space="preserve"> (</w:t>
      </w:r>
      <w:r w:rsidR="008F4CEC" w:rsidRPr="007C6A1B">
        <w:rPr>
          <w:rFonts w:cs="Times New Roman"/>
          <w:color w:val="222222"/>
          <w:szCs w:val="24"/>
          <w:shd w:val="clear" w:color="auto" w:fill="FFFFFF"/>
        </w:rPr>
        <w:t>Ehrhardt, 20</w:t>
      </w:r>
      <w:r w:rsidR="008F4CEC">
        <w:rPr>
          <w:rFonts w:cs="Times New Roman"/>
          <w:color w:val="222222"/>
          <w:szCs w:val="24"/>
          <w:shd w:val="clear" w:color="auto" w:fill="FFFFFF"/>
        </w:rPr>
        <w:t>2</w:t>
      </w:r>
      <w:r w:rsidR="005A05FC">
        <w:rPr>
          <w:rFonts w:cs="Times New Roman"/>
          <w:color w:val="222222"/>
          <w:szCs w:val="24"/>
          <w:shd w:val="clear" w:color="auto" w:fill="FFFFFF"/>
        </w:rPr>
        <w:t>2</w:t>
      </w:r>
      <w:r w:rsidR="008F4CEC">
        <w:rPr>
          <w:rFonts w:cs="Times New Roman"/>
          <w:color w:val="222222"/>
          <w:szCs w:val="24"/>
          <w:shd w:val="clear" w:color="auto" w:fill="FFFFFF"/>
        </w:rPr>
        <w:t>)</w:t>
      </w:r>
      <w:r>
        <w:t>. Modern tourists want eco-tourism and experience travel. As environmental consciousness grows, so does the desire for personalised holiday experiences. The Seaview Resort has fallen behind these changes. Once the height of luxury, its amenities and services now seem antiquated and unsuitable for eco-conscious travellers. Customer reviews have regularly noted the resort's declining service and outdated facilities</w:t>
      </w:r>
      <w:r w:rsidR="005A05FC">
        <w:t xml:space="preserve"> (</w:t>
      </w:r>
      <w:proofErr w:type="spellStart"/>
      <w:r w:rsidR="005A05FC" w:rsidRPr="007C6A1B">
        <w:rPr>
          <w:rFonts w:cs="Times New Roman"/>
          <w:color w:val="222222"/>
          <w:szCs w:val="24"/>
          <w:shd w:val="clear" w:color="auto" w:fill="FFFFFF"/>
        </w:rPr>
        <w:t>Grozdanovska</w:t>
      </w:r>
      <w:proofErr w:type="spellEnd"/>
      <w:r w:rsidR="005A05FC">
        <w:rPr>
          <w:rFonts w:cs="Times New Roman"/>
          <w:color w:val="222222"/>
          <w:szCs w:val="24"/>
          <w:shd w:val="clear" w:color="auto" w:fill="FFFFFF"/>
        </w:rPr>
        <w:t xml:space="preserve"> et al., 2022)</w:t>
      </w:r>
      <w:r>
        <w:t>. These critiques show that the resort's offerings don't meet market expectations. A comprehensive turnaround strategy is needed to fix these challenges. This strategy should renovate and modernise the resort to modern standards. Upgrade rooms and common areas, integrate sustainable practises, and offer new, eco-friendly activities that fit contemporary tourism trends</w:t>
      </w:r>
      <w:r w:rsidR="00EB25DB">
        <w:t xml:space="preserve"> (</w:t>
      </w:r>
      <w:r w:rsidR="00EB25DB" w:rsidRPr="007C6A1B">
        <w:rPr>
          <w:rFonts w:cs="Times New Roman"/>
          <w:color w:val="222222"/>
          <w:szCs w:val="24"/>
          <w:shd w:val="clear" w:color="auto" w:fill="FFFFFF"/>
        </w:rPr>
        <w:t>Babalola</w:t>
      </w:r>
      <w:r w:rsidR="00EB25DB">
        <w:rPr>
          <w:rFonts w:cs="Times New Roman"/>
          <w:color w:val="222222"/>
          <w:szCs w:val="24"/>
          <w:shd w:val="clear" w:color="auto" w:fill="FFFFFF"/>
        </w:rPr>
        <w:t xml:space="preserve"> </w:t>
      </w:r>
      <w:r w:rsidR="00EB25DB" w:rsidRPr="007C6A1B">
        <w:rPr>
          <w:rFonts w:cs="Times New Roman"/>
          <w:color w:val="222222"/>
          <w:szCs w:val="24"/>
          <w:shd w:val="clear" w:color="auto" w:fill="FFFFFF"/>
        </w:rPr>
        <w:t>and Abiola, 20</w:t>
      </w:r>
      <w:r w:rsidR="00EB25DB">
        <w:rPr>
          <w:rFonts w:cs="Times New Roman"/>
          <w:color w:val="222222"/>
          <w:szCs w:val="24"/>
          <w:shd w:val="clear" w:color="auto" w:fill="FFFFFF"/>
        </w:rPr>
        <w:t>23)</w:t>
      </w:r>
      <w:r>
        <w:t>.</w:t>
      </w:r>
    </w:p>
    <w:p w14:paraId="60A8710E" w14:textId="2E946103" w:rsidR="00F8713E" w:rsidRDefault="00F8713E" w:rsidP="00274FD2">
      <w:pPr>
        <w:spacing w:line="360" w:lineRule="auto"/>
        <w:jc w:val="both"/>
      </w:pPr>
      <w:r>
        <w:t>The Seaview Resort's 2020–2022 financials show a deteriorating market position. The Average Room Rate (ARR) dropped 16% from £250 in 2020 to £210 in 2022. This reduction may be a strategy to increase occupancy by making the resort more price-competitive or a forced response to falling demand. Additionally, occupancy has been declining from 70% in 2020 to 60% in 2022, compounding this issue</w:t>
      </w:r>
      <w:r w:rsidR="008F4CEC">
        <w:t xml:space="preserve"> (</w:t>
      </w:r>
      <w:r w:rsidR="008F4CEC" w:rsidRPr="007C6A1B">
        <w:rPr>
          <w:rFonts w:cs="Times New Roman"/>
          <w:color w:val="222222"/>
          <w:szCs w:val="24"/>
          <w:shd w:val="clear" w:color="auto" w:fill="FFFFFF"/>
        </w:rPr>
        <w:t>Ehrhardt, 20</w:t>
      </w:r>
      <w:r w:rsidR="008F4CEC">
        <w:rPr>
          <w:rFonts w:cs="Times New Roman"/>
          <w:color w:val="222222"/>
          <w:szCs w:val="24"/>
          <w:shd w:val="clear" w:color="auto" w:fill="FFFFFF"/>
        </w:rPr>
        <w:t>2</w:t>
      </w:r>
      <w:r w:rsidR="005A05FC">
        <w:rPr>
          <w:rFonts w:cs="Times New Roman"/>
          <w:color w:val="222222"/>
          <w:szCs w:val="24"/>
          <w:shd w:val="clear" w:color="auto" w:fill="FFFFFF"/>
        </w:rPr>
        <w:t>2</w:t>
      </w:r>
      <w:r w:rsidR="008F4CEC">
        <w:rPr>
          <w:rFonts w:cs="Times New Roman"/>
          <w:color w:val="222222"/>
          <w:szCs w:val="24"/>
          <w:shd w:val="clear" w:color="auto" w:fill="FFFFFF"/>
        </w:rPr>
        <w:t>)</w:t>
      </w:r>
      <w:r>
        <w:t>. This 10% occupancy drop despite lower room rates demonstrates the resort's problems go beyond pricing. Outdated amenities, diminishing service quality, and client preferences for new, eco-friendly resorts may be contributing to this downward trend</w:t>
      </w:r>
      <w:r w:rsidR="00CB704D">
        <w:t xml:space="preserve"> (</w:t>
      </w:r>
      <w:proofErr w:type="spellStart"/>
      <w:r w:rsidR="00CB704D" w:rsidRPr="007C6A1B">
        <w:rPr>
          <w:rFonts w:cs="Times New Roman"/>
          <w:color w:val="222222"/>
          <w:szCs w:val="24"/>
          <w:shd w:val="clear" w:color="auto" w:fill="FFFFFF"/>
        </w:rPr>
        <w:t>Ciurariu</w:t>
      </w:r>
      <w:proofErr w:type="spellEnd"/>
      <w:r w:rsidR="00CB704D" w:rsidRPr="007C6A1B">
        <w:rPr>
          <w:rFonts w:cs="Times New Roman"/>
          <w:color w:val="222222"/>
          <w:szCs w:val="24"/>
          <w:shd w:val="clear" w:color="auto" w:fill="FFFFFF"/>
        </w:rPr>
        <w:t>, 20</w:t>
      </w:r>
      <w:r w:rsidR="00CB704D">
        <w:rPr>
          <w:rFonts w:cs="Times New Roman"/>
          <w:color w:val="222222"/>
          <w:szCs w:val="24"/>
          <w:shd w:val="clear" w:color="auto" w:fill="FFFFFF"/>
        </w:rPr>
        <w:t>21)</w:t>
      </w:r>
      <w:r>
        <w:t>. The resort's income and profitability are at risk due to the simultaneous decline in ARR and occupancy rates, indicating a loss of attraction in a competitive market. The Seaview Resort needs a comprehensive operational efficiency and market repositioning strategy to reverse this trend</w:t>
      </w:r>
      <w:r w:rsidR="00EB25DB">
        <w:t xml:space="preserve"> (</w:t>
      </w:r>
      <w:r w:rsidR="00EB25DB" w:rsidRPr="007C6A1B">
        <w:rPr>
          <w:rFonts w:cs="Times New Roman"/>
          <w:color w:val="222222"/>
          <w:szCs w:val="24"/>
          <w:shd w:val="clear" w:color="auto" w:fill="FFFFFF"/>
        </w:rPr>
        <w:t>Babalola</w:t>
      </w:r>
      <w:r w:rsidR="00EB25DB">
        <w:rPr>
          <w:rFonts w:cs="Times New Roman"/>
          <w:color w:val="222222"/>
          <w:szCs w:val="24"/>
          <w:shd w:val="clear" w:color="auto" w:fill="FFFFFF"/>
        </w:rPr>
        <w:t xml:space="preserve"> </w:t>
      </w:r>
      <w:r w:rsidR="00EB25DB" w:rsidRPr="007C6A1B">
        <w:rPr>
          <w:rFonts w:cs="Times New Roman"/>
          <w:color w:val="222222"/>
          <w:szCs w:val="24"/>
          <w:shd w:val="clear" w:color="auto" w:fill="FFFFFF"/>
        </w:rPr>
        <w:t>and Abiola, 20</w:t>
      </w:r>
      <w:r w:rsidR="00EB25DB">
        <w:rPr>
          <w:rFonts w:cs="Times New Roman"/>
          <w:color w:val="222222"/>
          <w:szCs w:val="24"/>
          <w:shd w:val="clear" w:color="auto" w:fill="FFFFFF"/>
        </w:rPr>
        <w:t>23)</w:t>
      </w:r>
      <w:r>
        <w:t>.</w:t>
      </w:r>
    </w:p>
    <w:p w14:paraId="390605C5" w14:textId="6C09C425" w:rsidR="00F8713E" w:rsidRDefault="00C06222" w:rsidP="00274FD2">
      <w:pPr>
        <w:pStyle w:val="Heading1"/>
        <w:spacing w:line="360" w:lineRule="auto"/>
        <w:jc w:val="both"/>
      </w:pPr>
      <w:bookmarkStart w:id="2" w:name="_Toc150816656"/>
      <w:r>
        <w:lastRenderedPageBreak/>
        <w:t>The Seaview Resort's financial performance over the past three years</w:t>
      </w:r>
      <w:bookmarkEnd w:id="2"/>
    </w:p>
    <w:p w14:paraId="737ED5BE" w14:textId="3760C658" w:rsidR="00C06222" w:rsidRPr="00C06222" w:rsidRDefault="00D83803" w:rsidP="00274FD2">
      <w:pPr>
        <w:pStyle w:val="Heading2"/>
        <w:spacing w:line="360" w:lineRule="auto"/>
        <w:jc w:val="both"/>
      </w:pPr>
      <w:bookmarkStart w:id="3" w:name="_Toc150816657"/>
      <w:r>
        <w:t>Net</w:t>
      </w:r>
      <w:r w:rsidR="0050496B">
        <w:t xml:space="preserve"> Profit Margin</w:t>
      </w:r>
      <w:bookmarkEnd w:id="3"/>
    </w:p>
    <w:tbl>
      <w:tblPr>
        <w:tblStyle w:val="TableGrid"/>
        <w:tblW w:w="0" w:type="auto"/>
        <w:jc w:val="center"/>
        <w:tblLook w:val="04A0" w:firstRow="1" w:lastRow="0" w:firstColumn="1" w:lastColumn="0" w:noHBand="0" w:noVBand="1"/>
      </w:tblPr>
      <w:tblGrid>
        <w:gridCol w:w="1820"/>
        <w:gridCol w:w="1775"/>
        <w:gridCol w:w="1577"/>
        <w:gridCol w:w="1577"/>
        <w:gridCol w:w="1577"/>
      </w:tblGrid>
      <w:tr w:rsidR="0050496B" w14:paraId="236DDFCF" w14:textId="742EAD96" w:rsidTr="00524FBD">
        <w:trPr>
          <w:trHeight w:val="517"/>
          <w:jc w:val="center"/>
        </w:trPr>
        <w:tc>
          <w:tcPr>
            <w:tcW w:w="1820" w:type="dxa"/>
          </w:tcPr>
          <w:p w14:paraId="7EEE2752" w14:textId="08A37337" w:rsidR="0050496B" w:rsidRDefault="0050496B" w:rsidP="00274FD2">
            <w:pPr>
              <w:spacing w:line="360" w:lineRule="auto"/>
              <w:jc w:val="both"/>
            </w:pPr>
            <w:r>
              <w:t>Particulars</w:t>
            </w:r>
          </w:p>
        </w:tc>
        <w:tc>
          <w:tcPr>
            <w:tcW w:w="1775" w:type="dxa"/>
          </w:tcPr>
          <w:p w14:paraId="11676BEE" w14:textId="4829DD35" w:rsidR="0050496B" w:rsidRDefault="0050496B" w:rsidP="00274FD2">
            <w:pPr>
              <w:spacing w:line="360" w:lineRule="auto"/>
              <w:jc w:val="both"/>
            </w:pPr>
            <w:r>
              <w:t>Formula</w:t>
            </w:r>
          </w:p>
        </w:tc>
        <w:tc>
          <w:tcPr>
            <w:tcW w:w="1577" w:type="dxa"/>
          </w:tcPr>
          <w:p w14:paraId="47A435BE" w14:textId="2B1F941A" w:rsidR="0050496B" w:rsidRDefault="0050496B" w:rsidP="00274FD2">
            <w:pPr>
              <w:spacing w:line="360" w:lineRule="auto"/>
              <w:jc w:val="both"/>
            </w:pPr>
            <w:r>
              <w:t>2020</w:t>
            </w:r>
          </w:p>
        </w:tc>
        <w:tc>
          <w:tcPr>
            <w:tcW w:w="1577" w:type="dxa"/>
          </w:tcPr>
          <w:p w14:paraId="01AEA147" w14:textId="0E7F6DF2" w:rsidR="0050496B" w:rsidRDefault="0050496B" w:rsidP="00274FD2">
            <w:pPr>
              <w:spacing w:line="360" w:lineRule="auto"/>
              <w:jc w:val="both"/>
            </w:pPr>
            <w:r>
              <w:t>2021</w:t>
            </w:r>
          </w:p>
        </w:tc>
        <w:tc>
          <w:tcPr>
            <w:tcW w:w="1577" w:type="dxa"/>
          </w:tcPr>
          <w:p w14:paraId="3DC65BDD" w14:textId="7EBD35B3" w:rsidR="0050496B" w:rsidRDefault="0050496B" w:rsidP="00274FD2">
            <w:pPr>
              <w:spacing w:line="360" w:lineRule="auto"/>
              <w:jc w:val="both"/>
            </w:pPr>
            <w:r>
              <w:t>2022</w:t>
            </w:r>
          </w:p>
        </w:tc>
      </w:tr>
      <w:tr w:rsidR="0050496B" w14:paraId="1FDA92BA" w14:textId="7DBEF73C" w:rsidTr="00524FBD">
        <w:trPr>
          <w:trHeight w:val="1077"/>
          <w:jc w:val="center"/>
        </w:trPr>
        <w:tc>
          <w:tcPr>
            <w:tcW w:w="1820" w:type="dxa"/>
          </w:tcPr>
          <w:p w14:paraId="492FD8D3" w14:textId="4981B7C9" w:rsidR="0050496B" w:rsidRDefault="0050496B" w:rsidP="00274FD2">
            <w:pPr>
              <w:spacing w:line="360" w:lineRule="auto"/>
              <w:jc w:val="both"/>
            </w:pPr>
            <w:r>
              <w:t>Net Profit Margin</w:t>
            </w:r>
          </w:p>
        </w:tc>
        <w:tc>
          <w:tcPr>
            <w:tcW w:w="1775" w:type="dxa"/>
          </w:tcPr>
          <w:p w14:paraId="4B9DF237" w14:textId="2F5ED818" w:rsidR="0050496B" w:rsidRDefault="0050496B" w:rsidP="00274FD2">
            <w:pPr>
              <w:spacing w:line="360" w:lineRule="auto"/>
              <w:jc w:val="both"/>
            </w:pPr>
            <w:r>
              <w:rPr>
                <w:color w:val="202124"/>
                <w:shd w:val="clear" w:color="auto" w:fill="FFFFFF"/>
              </w:rPr>
              <w:t>= </w:t>
            </w:r>
            <w:r w:rsidR="00D83803">
              <w:rPr>
                <w:color w:val="202124"/>
                <w:shd w:val="clear" w:color="auto" w:fill="FFFFFF"/>
              </w:rPr>
              <w:t>(</w:t>
            </w:r>
            <w:r>
              <w:t>Net Profit ⁄ Total Revenue</w:t>
            </w:r>
            <w:r w:rsidR="00D83803">
              <w:t>)</w:t>
            </w:r>
            <w:r>
              <w:t xml:space="preserve"> x 100</w:t>
            </w:r>
          </w:p>
        </w:tc>
        <w:tc>
          <w:tcPr>
            <w:tcW w:w="1577" w:type="dxa"/>
          </w:tcPr>
          <w:p w14:paraId="0562007A" w14:textId="1F99B4BC" w:rsidR="0050496B" w:rsidRDefault="0050496B" w:rsidP="00274FD2">
            <w:pPr>
              <w:spacing w:line="360" w:lineRule="auto"/>
              <w:jc w:val="both"/>
            </w:pPr>
            <w:r w:rsidRPr="00BA7DE8">
              <w:t xml:space="preserve">15% </w:t>
            </w:r>
          </w:p>
        </w:tc>
        <w:tc>
          <w:tcPr>
            <w:tcW w:w="1577" w:type="dxa"/>
          </w:tcPr>
          <w:p w14:paraId="1BB8E94B" w14:textId="216D608F" w:rsidR="0050496B" w:rsidRDefault="0050496B" w:rsidP="00274FD2">
            <w:pPr>
              <w:spacing w:line="360" w:lineRule="auto"/>
              <w:jc w:val="both"/>
            </w:pPr>
            <w:r w:rsidRPr="00BA7DE8">
              <w:t xml:space="preserve">8% </w:t>
            </w:r>
          </w:p>
        </w:tc>
        <w:tc>
          <w:tcPr>
            <w:tcW w:w="1577" w:type="dxa"/>
          </w:tcPr>
          <w:p w14:paraId="221FC3B7" w14:textId="7C1E0E62" w:rsidR="0050496B" w:rsidRDefault="0050496B" w:rsidP="00274FD2">
            <w:pPr>
              <w:spacing w:line="360" w:lineRule="auto"/>
              <w:jc w:val="both"/>
            </w:pPr>
            <w:r w:rsidRPr="00BA7DE8">
              <w:t>-11%</w:t>
            </w:r>
          </w:p>
        </w:tc>
      </w:tr>
    </w:tbl>
    <w:p w14:paraId="63E039E3" w14:textId="1864456C" w:rsidR="004A44F2" w:rsidRDefault="004A44F2" w:rsidP="004A44F2">
      <w:pPr>
        <w:spacing w:line="360" w:lineRule="auto"/>
        <w:jc w:val="center"/>
      </w:pPr>
      <w:r>
        <w:rPr>
          <w:noProof/>
          <w14:ligatures w14:val="standardContextual"/>
        </w:rPr>
        <w:drawing>
          <wp:inline distT="0" distB="0" distL="0" distR="0" wp14:anchorId="59C80C36" wp14:editId="0BA4EC14">
            <wp:extent cx="4572000" cy="2743200"/>
            <wp:effectExtent l="0" t="0" r="0" b="0"/>
            <wp:docPr id="2089918297" name="Chart 1">
              <a:extLst xmlns:a="http://schemas.openxmlformats.org/drawingml/2006/main">
                <a:ext uri="{FF2B5EF4-FFF2-40B4-BE49-F238E27FC236}">
                  <a16:creationId xmlns:a16="http://schemas.microsoft.com/office/drawing/2014/main" id="{E7415E4F-64B9-5318-FFDB-B9814F189C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4E468F1" w14:textId="18E28A02" w:rsidR="001D6509" w:rsidRDefault="001D6509" w:rsidP="004A44F2">
      <w:pPr>
        <w:spacing w:line="360" w:lineRule="auto"/>
        <w:jc w:val="center"/>
      </w:pPr>
      <w:r>
        <w:t>Figure1: Net Profit Margin; Source: Self-developed</w:t>
      </w:r>
    </w:p>
    <w:p w14:paraId="61ACD78D" w14:textId="4F7036C2" w:rsidR="00D83803" w:rsidRDefault="00D83803" w:rsidP="00274FD2">
      <w:pPr>
        <w:spacing w:line="360" w:lineRule="auto"/>
        <w:jc w:val="both"/>
      </w:pPr>
      <w:r>
        <w:t>Net profit margin shows a considerable fall in profitability for the Seaview Resort over the last three years. The resort's 15% net profit margin in 2020 indicates that it was producing enough income and managing operational expenditures well</w:t>
      </w:r>
      <w:r w:rsidR="00CB704D">
        <w:t xml:space="preserve"> (</w:t>
      </w:r>
      <w:proofErr w:type="spellStart"/>
      <w:r w:rsidR="00CB704D" w:rsidRPr="007C6A1B">
        <w:rPr>
          <w:rFonts w:cs="Times New Roman"/>
          <w:color w:val="222222"/>
          <w:szCs w:val="24"/>
          <w:shd w:val="clear" w:color="auto" w:fill="FFFFFF"/>
        </w:rPr>
        <w:t>Ciurariu</w:t>
      </w:r>
      <w:proofErr w:type="spellEnd"/>
      <w:r w:rsidR="00CB704D" w:rsidRPr="007C6A1B">
        <w:rPr>
          <w:rFonts w:cs="Times New Roman"/>
          <w:color w:val="222222"/>
          <w:szCs w:val="24"/>
          <w:shd w:val="clear" w:color="auto" w:fill="FFFFFF"/>
        </w:rPr>
        <w:t>, 20</w:t>
      </w:r>
      <w:r w:rsidR="00CB704D">
        <w:rPr>
          <w:rFonts w:cs="Times New Roman"/>
          <w:color w:val="222222"/>
          <w:szCs w:val="24"/>
          <w:shd w:val="clear" w:color="auto" w:fill="FFFFFF"/>
        </w:rPr>
        <w:t>21)</w:t>
      </w:r>
      <w:r>
        <w:t>. Hospitality has large fixed costs, thus income-expenditure balancing is critical. The net profit margin fell to 8% by 2021. The Average Room Rate (ARR) dropped from £250 in 2020 to £230 in 2021, among other variables. The occupancy rate dropped from 70% to 65%. Both factors indicate a revenue drop. The decline in ARR may have been a strategic response to rising competition or market factors, but it did not maintain occupancy. It got worse in 2022 when the net profit margin dropped to -11%. This sharp decline indicates the resort was losing money. In 2022, ARR fell to £210 and occupancy to 60%, worsening the problem</w:t>
      </w:r>
      <w:r w:rsidR="005A05FC">
        <w:t xml:space="preserve"> (</w:t>
      </w:r>
      <w:proofErr w:type="spellStart"/>
      <w:r w:rsidR="005A05FC" w:rsidRPr="007C6A1B">
        <w:rPr>
          <w:rFonts w:cs="Times New Roman"/>
          <w:color w:val="222222"/>
          <w:szCs w:val="24"/>
          <w:shd w:val="clear" w:color="auto" w:fill="FFFFFF"/>
        </w:rPr>
        <w:t>Grozdanovska</w:t>
      </w:r>
      <w:proofErr w:type="spellEnd"/>
      <w:r w:rsidR="005A05FC">
        <w:rPr>
          <w:rFonts w:cs="Times New Roman"/>
          <w:color w:val="222222"/>
          <w:szCs w:val="24"/>
          <w:shd w:val="clear" w:color="auto" w:fill="FFFFFF"/>
        </w:rPr>
        <w:t xml:space="preserve"> et al., 2022)</w:t>
      </w:r>
      <w:r>
        <w:t xml:space="preserve">. Both key revenue-generating metrics have </w:t>
      </w:r>
      <w:r>
        <w:lastRenderedPageBreak/>
        <w:t>decreased consistently, indicating an inability to attract enough guests even at lower prices, suggesting outdated amenities, poor service quality, and failure to meet evolving customer preferences for eco-friendly and experiential tourism</w:t>
      </w:r>
      <w:r w:rsidR="00CB704D">
        <w:t xml:space="preserve"> (</w:t>
      </w:r>
      <w:proofErr w:type="spellStart"/>
      <w:r w:rsidR="00CB704D" w:rsidRPr="007C6A1B">
        <w:rPr>
          <w:rFonts w:cs="Times New Roman"/>
          <w:color w:val="222222"/>
          <w:szCs w:val="24"/>
          <w:shd w:val="clear" w:color="auto" w:fill="FFFFFF"/>
        </w:rPr>
        <w:t>Ciurariu</w:t>
      </w:r>
      <w:proofErr w:type="spellEnd"/>
      <w:r w:rsidR="00CB704D" w:rsidRPr="007C6A1B">
        <w:rPr>
          <w:rFonts w:cs="Times New Roman"/>
          <w:color w:val="222222"/>
          <w:szCs w:val="24"/>
          <w:shd w:val="clear" w:color="auto" w:fill="FFFFFF"/>
        </w:rPr>
        <w:t>, 20</w:t>
      </w:r>
      <w:r w:rsidR="00CB704D">
        <w:rPr>
          <w:rFonts w:cs="Times New Roman"/>
          <w:color w:val="222222"/>
          <w:szCs w:val="24"/>
          <w:shd w:val="clear" w:color="auto" w:fill="FFFFFF"/>
        </w:rPr>
        <w:t>21)</w:t>
      </w:r>
      <w:r>
        <w:t>.</w:t>
      </w:r>
    </w:p>
    <w:p w14:paraId="77BAA66B" w14:textId="0EECFE9D" w:rsidR="00D83803" w:rsidRDefault="00D83803" w:rsidP="00274FD2">
      <w:pPr>
        <w:spacing w:line="360" w:lineRule="auto"/>
        <w:jc w:val="both"/>
      </w:pPr>
      <w:r>
        <w:t>Seaview Resort's profitability fall is multifaceted. Revenue has mostly been affected by decreasing accommodation prices and occupancy</w:t>
      </w:r>
      <w:r w:rsidR="008F4CEC">
        <w:t xml:space="preserve"> (</w:t>
      </w:r>
      <w:r w:rsidR="008F4CEC" w:rsidRPr="007C6A1B">
        <w:rPr>
          <w:rFonts w:cs="Times New Roman"/>
          <w:color w:val="222222"/>
          <w:szCs w:val="24"/>
          <w:shd w:val="clear" w:color="auto" w:fill="FFFFFF"/>
        </w:rPr>
        <w:t>Paramasivan, 2</w:t>
      </w:r>
      <w:r w:rsidR="005A05FC">
        <w:rPr>
          <w:rFonts w:cs="Times New Roman"/>
          <w:color w:val="222222"/>
          <w:szCs w:val="24"/>
          <w:shd w:val="clear" w:color="auto" w:fill="FFFFFF"/>
        </w:rPr>
        <w:t>022</w:t>
      </w:r>
      <w:r w:rsidR="008F4CEC">
        <w:rPr>
          <w:rFonts w:cs="Times New Roman"/>
          <w:color w:val="222222"/>
          <w:szCs w:val="24"/>
          <w:shd w:val="clear" w:color="auto" w:fill="FFFFFF"/>
        </w:rPr>
        <w:t>)</w:t>
      </w:r>
      <w:r>
        <w:t xml:space="preserve">. Due to competition from modern, more enticing resorts, market share and pricing power are declining. The resort's financial problems are exacerbated by operational inefficiencies such increased maintenance, staffing, and service expenses, which have not been compensated by sufficient revenue creation. </w:t>
      </w:r>
    </w:p>
    <w:p w14:paraId="546E3204" w14:textId="2B0539BD" w:rsidR="00274FD2" w:rsidRDefault="00274FD2" w:rsidP="00274FD2">
      <w:pPr>
        <w:spacing w:line="360" w:lineRule="auto"/>
        <w:jc w:val="both"/>
      </w:pPr>
      <w:r w:rsidRPr="00274FD2">
        <w:t>Over the past three years, the Seaview Resort has faced dropping revenues and rising costs, negative cash flow, competitive market issues, and inefficient asset and expenditure management</w:t>
      </w:r>
      <w:r w:rsidR="005A05FC">
        <w:t xml:space="preserve"> (</w:t>
      </w:r>
      <w:r w:rsidR="005A05FC" w:rsidRPr="007C6A1B">
        <w:rPr>
          <w:rFonts w:cs="Times New Roman"/>
          <w:color w:val="222222"/>
          <w:szCs w:val="24"/>
          <w:shd w:val="clear" w:color="auto" w:fill="FFFFFF"/>
        </w:rPr>
        <w:t>Tsai</w:t>
      </w:r>
      <w:r w:rsidR="005A05FC">
        <w:rPr>
          <w:rFonts w:cs="Times New Roman"/>
          <w:color w:val="222222"/>
          <w:szCs w:val="24"/>
          <w:shd w:val="clear" w:color="auto" w:fill="FFFFFF"/>
        </w:rPr>
        <w:t xml:space="preserve"> et al., 2022)</w:t>
      </w:r>
      <w:r w:rsidRPr="00274FD2">
        <w:t>. Revenue dropped from £520,000 to £430,000 and operating expenses rose from £390,000 to £450,000 from 2020 to 2022, resulting in a net loss of £47,500 from a profit of £78,000. The resort had a -£80,000 cash flow from operations and -£110,000 net cash flow in 2021, showing operational inefficiencies and financial difficulties</w:t>
      </w:r>
      <w:r w:rsidR="005A05FC">
        <w:t xml:space="preserve"> (</w:t>
      </w:r>
      <w:r w:rsidR="005A05FC" w:rsidRPr="007C6A1B">
        <w:rPr>
          <w:rFonts w:cs="Times New Roman"/>
          <w:color w:val="222222"/>
          <w:szCs w:val="24"/>
          <w:shd w:val="clear" w:color="auto" w:fill="FFFFFF"/>
        </w:rPr>
        <w:t>Fabozzi</w:t>
      </w:r>
      <w:r w:rsidR="005A05FC">
        <w:rPr>
          <w:rFonts w:cs="Times New Roman"/>
          <w:color w:val="222222"/>
          <w:szCs w:val="24"/>
          <w:shd w:val="clear" w:color="auto" w:fill="FFFFFF"/>
        </w:rPr>
        <w:t xml:space="preserve"> </w:t>
      </w:r>
      <w:r w:rsidR="005A05FC" w:rsidRPr="007C6A1B">
        <w:rPr>
          <w:rFonts w:cs="Times New Roman"/>
          <w:color w:val="222222"/>
          <w:szCs w:val="24"/>
          <w:shd w:val="clear" w:color="auto" w:fill="FFFFFF"/>
        </w:rPr>
        <w:t>and Peterson, 20</w:t>
      </w:r>
      <w:r w:rsidR="005A05FC">
        <w:rPr>
          <w:rFonts w:cs="Times New Roman"/>
          <w:color w:val="222222"/>
          <w:szCs w:val="24"/>
          <w:shd w:val="clear" w:color="auto" w:fill="FFFFFF"/>
        </w:rPr>
        <w:t>2</w:t>
      </w:r>
      <w:r w:rsidR="005A05FC" w:rsidRPr="007C6A1B">
        <w:rPr>
          <w:rFonts w:cs="Times New Roman"/>
          <w:color w:val="222222"/>
          <w:szCs w:val="24"/>
          <w:shd w:val="clear" w:color="auto" w:fill="FFFFFF"/>
        </w:rPr>
        <w:t>3</w:t>
      </w:r>
      <w:r w:rsidR="005A05FC">
        <w:rPr>
          <w:rFonts w:cs="Times New Roman"/>
          <w:color w:val="222222"/>
          <w:szCs w:val="24"/>
          <w:shd w:val="clear" w:color="auto" w:fill="FFFFFF"/>
        </w:rPr>
        <w:t>)</w:t>
      </w:r>
      <w:r w:rsidRPr="00274FD2">
        <w:t>. In a competitive coastal resort market, the Seaview Resort faced changing customer preferences for eco-friendly and experiential tourism, declining service quality, and outdated amenities, which likely lowered occupancy and room rates</w:t>
      </w:r>
      <w:r w:rsidR="005A05FC">
        <w:t xml:space="preserve"> (</w:t>
      </w:r>
      <w:r w:rsidR="005A05FC" w:rsidRPr="007C6A1B">
        <w:rPr>
          <w:rFonts w:cs="Times New Roman"/>
          <w:color w:val="222222"/>
          <w:szCs w:val="24"/>
          <w:shd w:val="clear" w:color="auto" w:fill="FFFFFF"/>
        </w:rPr>
        <w:t>Drake</w:t>
      </w:r>
      <w:r w:rsidR="005A05FC">
        <w:rPr>
          <w:rFonts w:cs="Times New Roman"/>
          <w:color w:val="222222"/>
          <w:szCs w:val="24"/>
          <w:shd w:val="clear" w:color="auto" w:fill="FFFFFF"/>
        </w:rPr>
        <w:t xml:space="preserve"> </w:t>
      </w:r>
      <w:r w:rsidR="005A05FC" w:rsidRPr="007C6A1B">
        <w:rPr>
          <w:rFonts w:cs="Times New Roman"/>
          <w:color w:val="222222"/>
          <w:szCs w:val="24"/>
          <w:shd w:val="clear" w:color="auto" w:fill="FFFFFF"/>
        </w:rPr>
        <w:t>and Fabozzi, 20</w:t>
      </w:r>
      <w:r w:rsidR="005A05FC">
        <w:rPr>
          <w:rFonts w:cs="Times New Roman"/>
          <w:color w:val="222222"/>
          <w:szCs w:val="24"/>
          <w:shd w:val="clear" w:color="auto" w:fill="FFFFFF"/>
        </w:rPr>
        <w:t>2</w:t>
      </w:r>
      <w:r w:rsidR="005A05FC" w:rsidRPr="007C6A1B">
        <w:rPr>
          <w:rFonts w:cs="Times New Roman"/>
          <w:color w:val="222222"/>
          <w:szCs w:val="24"/>
          <w:shd w:val="clear" w:color="auto" w:fill="FFFFFF"/>
        </w:rPr>
        <w:t>2</w:t>
      </w:r>
      <w:r w:rsidR="005A05FC">
        <w:rPr>
          <w:rFonts w:cs="Times New Roman"/>
          <w:color w:val="222222"/>
          <w:szCs w:val="24"/>
          <w:shd w:val="clear" w:color="auto" w:fill="FFFFFF"/>
        </w:rPr>
        <w:t>)</w:t>
      </w:r>
      <w:r w:rsidRPr="00274FD2">
        <w:t>. Inefficient asset and cost management, as seen by rising operational expenses despite dropping revenues and a balance sheet heavily invested in property and equipment, may be contributing to the resort's financial problems. To turn around the resort's falling profitability, a full strategic assessment should focus on operational efficiency, market adaption, and financial management</w:t>
      </w:r>
      <w:r w:rsidR="00CB704D">
        <w:t xml:space="preserve"> (</w:t>
      </w:r>
      <w:r w:rsidR="00CB704D" w:rsidRPr="007C6A1B">
        <w:rPr>
          <w:rFonts w:cs="Times New Roman"/>
          <w:color w:val="222222"/>
          <w:szCs w:val="24"/>
          <w:shd w:val="clear" w:color="auto" w:fill="FFFFFF"/>
        </w:rPr>
        <w:t>De Luca</w:t>
      </w:r>
      <w:r w:rsidR="00CB704D">
        <w:rPr>
          <w:rFonts w:cs="Times New Roman"/>
          <w:color w:val="222222"/>
          <w:szCs w:val="24"/>
          <w:shd w:val="clear" w:color="auto" w:fill="FFFFFF"/>
        </w:rPr>
        <w:t xml:space="preserve">, </w:t>
      </w:r>
      <w:r w:rsidR="00CB704D" w:rsidRPr="007C6A1B">
        <w:rPr>
          <w:rFonts w:cs="Times New Roman"/>
          <w:color w:val="222222"/>
          <w:szCs w:val="24"/>
          <w:shd w:val="clear" w:color="auto" w:fill="FFFFFF"/>
        </w:rPr>
        <w:t>20</w:t>
      </w:r>
      <w:r w:rsidR="00CB704D">
        <w:rPr>
          <w:rFonts w:cs="Times New Roman"/>
          <w:color w:val="222222"/>
          <w:szCs w:val="24"/>
          <w:shd w:val="clear" w:color="auto" w:fill="FFFFFF"/>
        </w:rPr>
        <w:t>22)</w:t>
      </w:r>
      <w:r w:rsidRPr="00274FD2">
        <w:t>.</w:t>
      </w:r>
    </w:p>
    <w:p w14:paraId="14F37F99" w14:textId="73BBCD67" w:rsidR="00274FD2" w:rsidRDefault="00274FD2" w:rsidP="00274FD2">
      <w:pPr>
        <w:spacing w:line="360" w:lineRule="auto"/>
        <w:jc w:val="both"/>
      </w:pPr>
      <w:r w:rsidRPr="00274FD2">
        <w:t>Due to diminishing service quality and outmoded amenities, occupancy and accommodation rates certainly declined. The balance sheet shows that £630,000 of the resort's assets are in Property &amp; Equipment, £100,000 of which is inventory</w:t>
      </w:r>
      <w:r w:rsidR="005A05FC">
        <w:t xml:space="preserve"> (</w:t>
      </w:r>
      <w:r w:rsidR="005A05FC" w:rsidRPr="007C6A1B">
        <w:rPr>
          <w:rFonts w:cs="Times New Roman"/>
          <w:color w:val="222222"/>
          <w:szCs w:val="24"/>
          <w:shd w:val="clear" w:color="auto" w:fill="FFFFFF"/>
        </w:rPr>
        <w:t>Drake</w:t>
      </w:r>
      <w:r w:rsidR="005A05FC">
        <w:rPr>
          <w:rFonts w:cs="Times New Roman"/>
          <w:color w:val="222222"/>
          <w:szCs w:val="24"/>
          <w:shd w:val="clear" w:color="auto" w:fill="FFFFFF"/>
        </w:rPr>
        <w:t xml:space="preserve"> </w:t>
      </w:r>
      <w:r w:rsidR="005A05FC" w:rsidRPr="007C6A1B">
        <w:rPr>
          <w:rFonts w:cs="Times New Roman"/>
          <w:color w:val="222222"/>
          <w:szCs w:val="24"/>
          <w:shd w:val="clear" w:color="auto" w:fill="FFFFFF"/>
        </w:rPr>
        <w:t>and Fabozzi, 20</w:t>
      </w:r>
      <w:r w:rsidR="005A05FC">
        <w:rPr>
          <w:rFonts w:cs="Times New Roman"/>
          <w:color w:val="222222"/>
          <w:szCs w:val="24"/>
          <w:shd w:val="clear" w:color="auto" w:fill="FFFFFF"/>
        </w:rPr>
        <w:t>2</w:t>
      </w:r>
      <w:r w:rsidR="005A05FC" w:rsidRPr="007C6A1B">
        <w:rPr>
          <w:rFonts w:cs="Times New Roman"/>
          <w:color w:val="222222"/>
          <w:szCs w:val="24"/>
          <w:shd w:val="clear" w:color="auto" w:fill="FFFFFF"/>
        </w:rPr>
        <w:t>2</w:t>
      </w:r>
      <w:r w:rsidR="005A05FC">
        <w:rPr>
          <w:rFonts w:cs="Times New Roman"/>
          <w:color w:val="222222"/>
          <w:szCs w:val="24"/>
          <w:shd w:val="clear" w:color="auto" w:fill="FFFFFF"/>
        </w:rPr>
        <w:t>)</w:t>
      </w:r>
      <w:r w:rsidRPr="00274FD2">
        <w:t>. This substantial fixed asset investment and rising running expenses suggest poor asset and expense management. The resort may be losing money due to these assets' low returns.</w:t>
      </w:r>
    </w:p>
    <w:p w14:paraId="2D20E11D" w14:textId="3C1D65F8" w:rsidR="00D83803" w:rsidRDefault="00D83803" w:rsidP="00274FD2">
      <w:pPr>
        <w:pStyle w:val="Heading2"/>
        <w:spacing w:line="360" w:lineRule="auto"/>
        <w:jc w:val="both"/>
      </w:pPr>
      <w:bookmarkStart w:id="4" w:name="_Toc150816658"/>
      <w:r>
        <w:t>Gross Profit Margin</w:t>
      </w:r>
      <w:bookmarkEnd w:id="4"/>
    </w:p>
    <w:tbl>
      <w:tblPr>
        <w:tblStyle w:val="TableGrid"/>
        <w:tblW w:w="9805" w:type="dxa"/>
        <w:tblLook w:val="04A0" w:firstRow="1" w:lastRow="0" w:firstColumn="1" w:lastColumn="0" w:noHBand="0" w:noVBand="1"/>
      </w:tblPr>
      <w:tblGrid>
        <w:gridCol w:w="1929"/>
        <w:gridCol w:w="1872"/>
        <w:gridCol w:w="2003"/>
        <w:gridCol w:w="1823"/>
        <w:gridCol w:w="2178"/>
      </w:tblGrid>
      <w:tr w:rsidR="00D83803" w14:paraId="37F4C5DB" w14:textId="77777777" w:rsidTr="00BB0649">
        <w:tc>
          <w:tcPr>
            <w:tcW w:w="1929" w:type="dxa"/>
          </w:tcPr>
          <w:p w14:paraId="3FFFFF5C" w14:textId="77777777" w:rsidR="00D83803" w:rsidRDefault="00D83803" w:rsidP="00274FD2">
            <w:pPr>
              <w:spacing w:line="360" w:lineRule="auto"/>
              <w:jc w:val="both"/>
            </w:pPr>
            <w:r>
              <w:t>Particulars</w:t>
            </w:r>
          </w:p>
        </w:tc>
        <w:tc>
          <w:tcPr>
            <w:tcW w:w="1872" w:type="dxa"/>
          </w:tcPr>
          <w:p w14:paraId="5AF455C5" w14:textId="77777777" w:rsidR="00D83803" w:rsidRDefault="00D83803" w:rsidP="00274FD2">
            <w:pPr>
              <w:spacing w:line="360" w:lineRule="auto"/>
              <w:jc w:val="both"/>
            </w:pPr>
            <w:r>
              <w:t>Formula</w:t>
            </w:r>
          </w:p>
        </w:tc>
        <w:tc>
          <w:tcPr>
            <w:tcW w:w="2003" w:type="dxa"/>
          </w:tcPr>
          <w:p w14:paraId="6A8B4F3D" w14:textId="77777777" w:rsidR="00D83803" w:rsidRDefault="00D83803" w:rsidP="00274FD2">
            <w:pPr>
              <w:spacing w:line="360" w:lineRule="auto"/>
              <w:jc w:val="both"/>
            </w:pPr>
            <w:r>
              <w:t>2020</w:t>
            </w:r>
          </w:p>
        </w:tc>
        <w:tc>
          <w:tcPr>
            <w:tcW w:w="1823" w:type="dxa"/>
          </w:tcPr>
          <w:p w14:paraId="7D6BCDD8" w14:textId="77777777" w:rsidR="00D83803" w:rsidRDefault="00D83803" w:rsidP="00274FD2">
            <w:pPr>
              <w:spacing w:line="360" w:lineRule="auto"/>
              <w:jc w:val="both"/>
            </w:pPr>
            <w:r>
              <w:t>2021</w:t>
            </w:r>
          </w:p>
        </w:tc>
        <w:tc>
          <w:tcPr>
            <w:tcW w:w="2178" w:type="dxa"/>
          </w:tcPr>
          <w:p w14:paraId="2BC4CCE2" w14:textId="77777777" w:rsidR="00D83803" w:rsidRDefault="00D83803" w:rsidP="00274FD2">
            <w:pPr>
              <w:spacing w:line="360" w:lineRule="auto"/>
              <w:jc w:val="both"/>
            </w:pPr>
            <w:r>
              <w:t>2022</w:t>
            </w:r>
          </w:p>
        </w:tc>
      </w:tr>
      <w:tr w:rsidR="00D83803" w14:paraId="53E76DBE" w14:textId="77777777" w:rsidTr="00BB0649">
        <w:tc>
          <w:tcPr>
            <w:tcW w:w="1929" w:type="dxa"/>
          </w:tcPr>
          <w:p w14:paraId="44572E89" w14:textId="1543A2FA" w:rsidR="00D83803" w:rsidRDefault="00D83803" w:rsidP="00274FD2">
            <w:pPr>
              <w:spacing w:line="360" w:lineRule="auto"/>
              <w:jc w:val="both"/>
            </w:pPr>
            <w:r>
              <w:lastRenderedPageBreak/>
              <w:t>Gross Profit Margin</w:t>
            </w:r>
          </w:p>
        </w:tc>
        <w:tc>
          <w:tcPr>
            <w:tcW w:w="1872" w:type="dxa"/>
          </w:tcPr>
          <w:p w14:paraId="5FA11EA6" w14:textId="7368FE8E" w:rsidR="00D83803" w:rsidRDefault="00D83803" w:rsidP="00274FD2">
            <w:pPr>
              <w:spacing w:line="360" w:lineRule="auto"/>
              <w:jc w:val="both"/>
            </w:pPr>
            <w:r>
              <w:rPr>
                <w:color w:val="202124"/>
                <w:shd w:val="clear" w:color="auto" w:fill="FFFFFF"/>
              </w:rPr>
              <w:t xml:space="preserve">= (Gross </w:t>
            </w:r>
            <w:r>
              <w:t>Profit ⁄ Total Revenue) x 100</w:t>
            </w:r>
          </w:p>
        </w:tc>
        <w:tc>
          <w:tcPr>
            <w:tcW w:w="2003" w:type="dxa"/>
          </w:tcPr>
          <w:p w14:paraId="4321C130" w14:textId="6C596418" w:rsidR="00D83803" w:rsidRDefault="00D83803" w:rsidP="00274FD2">
            <w:pPr>
              <w:spacing w:line="360" w:lineRule="auto"/>
              <w:jc w:val="both"/>
            </w:pPr>
            <w:r>
              <w:t>= (</w:t>
            </w:r>
            <w:r w:rsidR="00BB0649">
              <w:t>1,30</w:t>
            </w:r>
            <w:r>
              <w:t xml:space="preserve">,000/5,20,00) x 100 = </w:t>
            </w:r>
            <w:r w:rsidR="00BB0649">
              <w:t>25%</w:t>
            </w:r>
          </w:p>
        </w:tc>
        <w:tc>
          <w:tcPr>
            <w:tcW w:w="1823" w:type="dxa"/>
          </w:tcPr>
          <w:p w14:paraId="00FD2416" w14:textId="51C36E68" w:rsidR="00D83803" w:rsidRDefault="00D83803" w:rsidP="00274FD2">
            <w:pPr>
              <w:spacing w:line="360" w:lineRule="auto"/>
              <w:jc w:val="both"/>
            </w:pPr>
            <w:r>
              <w:t>= (</w:t>
            </w:r>
            <w:r w:rsidR="00BB0649">
              <w:t>8</w:t>
            </w:r>
            <w:r>
              <w:t>0000/480,000) x 100</w:t>
            </w:r>
            <w:r w:rsidR="00BB0649">
              <w:t xml:space="preserve"> = 16.667%</w:t>
            </w:r>
          </w:p>
        </w:tc>
        <w:tc>
          <w:tcPr>
            <w:tcW w:w="2178" w:type="dxa"/>
          </w:tcPr>
          <w:p w14:paraId="0A5E04B6" w14:textId="13E12EEF" w:rsidR="00D83803" w:rsidRDefault="00D83803" w:rsidP="00274FD2">
            <w:pPr>
              <w:spacing w:line="360" w:lineRule="auto"/>
              <w:jc w:val="both"/>
            </w:pPr>
            <w:r>
              <w:t>= (-20000/430,000) x 100</w:t>
            </w:r>
            <w:r w:rsidR="00BB0649">
              <w:t xml:space="preserve"> = -4.65%</w:t>
            </w:r>
          </w:p>
        </w:tc>
      </w:tr>
    </w:tbl>
    <w:p w14:paraId="3E69E78D" w14:textId="7329629C" w:rsidR="004A44F2" w:rsidRDefault="004A44F2" w:rsidP="004A44F2">
      <w:pPr>
        <w:spacing w:line="360" w:lineRule="auto"/>
        <w:jc w:val="center"/>
      </w:pPr>
      <w:r>
        <w:rPr>
          <w:noProof/>
          <w14:ligatures w14:val="standardContextual"/>
        </w:rPr>
        <w:drawing>
          <wp:inline distT="0" distB="0" distL="0" distR="0" wp14:anchorId="15B8E2FA" wp14:editId="7E091F4A">
            <wp:extent cx="4572000" cy="2743200"/>
            <wp:effectExtent l="0" t="0" r="0" b="0"/>
            <wp:docPr id="932318180" name="Chart 1">
              <a:extLst xmlns:a="http://schemas.openxmlformats.org/drawingml/2006/main">
                <a:ext uri="{FF2B5EF4-FFF2-40B4-BE49-F238E27FC236}">
                  <a16:creationId xmlns:a16="http://schemas.microsoft.com/office/drawing/2014/main" id="{5478855E-8119-BA4C-2DD6-EDB0D00812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80B5574" w14:textId="072BB814" w:rsidR="001D6509" w:rsidRDefault="001D6509" w:rsidP="001D6509">
      <w:pPr>
        <w:spacing w:line="360" w:lineRule="auto"/>
        <w:jc w:val="center"/>
      </w:pPr>
      <w:r>
        <w:t>Figure2: Gross Profit Margin; Source: Self-developed</w:t>
      </w:r>
    </w:p>
    <w:p w14:paraId="36571409" w14:textId="03C34019" w:rsidR="00274FD2" w:rsidRDefault="00BB0649" w:rsidP="00274FD2">
      <w:pPr>
        <w:spacing w:line="360" w:lineRule="auto"/>
        <w:jc w:val="both"/>
      </w:pPr>
      <w:r>
        <w:t>The Seaview Resort's gross profit margin has dropped significantly over the past three years, indicating a financial downturn. The resort had a 25% gross profit margin in 2020, suggesting a solid differential between revenue and the cost of products sold, which in a hotel includes laundry, housekeeping, and utilities</w:t>
      </w:r>
      <w:r w:rsidR="00CB704D">
        <w:t xml:space="preserve"> (</w:t>
      </w:r>
      <w:r w:rsidR="00CB704D" w:rsidRPr="007C6A1B">
        <w:rPr>
          <w:rFonts w:cs="Times New Roman"/>
          <w:color w:val="222222"/>
          <w:szCs w:val="24"/>
          <w:shd w:val="clear" w:color="auto" w:fill="FFFFFF"/>
        </w:rPr>
        <w:t>Nissim</w:t>
      </w:r>
      <w:r w:rsidR="00CB704D">
        <w:rPr>
          <w:rFonts w:cs="Times New Roman"/>
          <w:color w:val="222222"/>
          <w:szCs w:val="24"/>
          <w:shd w:val="clear" w:color="auto" w:fill="FFFFFF"/>
        </w:rPr>
        <w:t xml:space="preserve"> </w:t>
      </w:r>
      <w:r w:rsidR="00CB704D" w:rsidRPr="007C6A1B">
        <w:rPr>
          <w:rFonts w:cs="Times New Roman"/>
          <w:color w:val="222222"/>
          <w:szCs w:val="24"/>
          <w:shd w:val="clear" w:color="auto" w:fill="FFFFFF"/>
        </w:rPr>
        <w:t>and Penman, 20</w:t>
      </w:r>
      <w:r w:rsidR="00CB704D">
        <w:rPr>
          <w:rFonts w:cs="Times New Roman"/>
          <w:color w:val="222222"/>
          <w:szCs w:val="24"/>
          <w:shd w:val="clear" w:color="auto" w:fill="FFFFFF"/>
        </w:rPr>
        <w:t>2</w:t>
      </w:r>
      <w:r w:rsidR="00CB704D" w:rsidRPr="007C6A1B">
        <w:rPr>
          <w:rFonts w:cs="Times New Roman"/>
          <w:color w:val="222222"/>
          <w:szCs w:val="24"/>
          <w:shd w:val="clear" w:color="auto" w:fill="FFFFFF"/>
        </w:rPr>
        <w:t>3</w:t>
      </w:r>
      <w:r w:rsidR="00CB704D">
        <w:rPr>
          <w:rFonts w:cs="Times New Roman"/>
          <w:color w:val="222222"/>
          <w:szCs w:val="24"/>
          <w:shd w:val="clear" w:color="auto" w:fill="FFFFFF"/>
        </w:rPr>
        <w:t>)</w:t>
      </w:r>
      <w:r>
        <w:t xml:space="preserve">. This shows the resort was efficiently attracting tourists at a reasonable rate (ARR £250, occupancy 70%) and controlling its direct </w:t>
      </w:r>
      <w:proofErr w:type="spellStart"/>
      <w:r>
        <w:t>costs.n</w:t>
      </w:r>
      <w:proofErr w:type="spellEnd"/>
      <w:r>
        <w:t xml:space="preserve"> This margin fell to 16.67% in 2021. ARR fell to £230 and occupancy fell to 65%, contributing to this reduction. The resort's lower ARR suggests it lowered accommodation prices to stay competitive or counterbalance a drop in demand</w:t>
      </w:r>
      <w:r w:rsidR="008F4CEC">
        <w:t xml:space="preserve"> (</w:t>
      </w:r>
      <w:r w:rsidR="008F4CEC" w:rsidRPr="007C6A1B">
        <w:rPr>
          <w:rFonts w:cs="Times New Roman"/>
          <w:color w:val="222222"/>
          <w:szCs w:val="24"/>
          <w:shd w:val="clear" w:color="auto" w:fill="FFFFFF"/>
        </w:rPr>
        <w:t>Paramasivan, 20</w:t>
      </w:r>
      <w:r w:rsidR="005A05FC">
        <w:rPr>
          <w:rFonts w:cs="Times New Roman"/>
          <w:color w:val="222222"/>
          <w:szCs w:val="24"/>
          <w:shd w:val="clear" w:color="auto" w:fill="FFFFFF"/>
        </w:rPr>
        <w:t>22</w:t>
      </w:r>
      <w:r w:rsidR="008F4CEC">
        <w:rPr>
          <w:rFonts w:cs="Times New Roman"/>
          <w:color w:val="222222"/>
          <w:szCs w:val="24"/>
          <w:shd w:val="clear" w:color="auto" w:fill="FFFFFF"/>
        </w:rPr>
        <w:t>)</w:t>
      </w:r>
      <w:r>
        <w:t xml:space="preserve">. This technique failed to increase occupancy rates, lowering revenue. At the same time, the resort may have struggled to cut direct expenditures, lowering its gross profit margin. In 2022, the gross profit margin dropped to -4.65%. A large loss occurred because the resort's direct costs surpassed its revenue. The further drop in ARR to £210 and occupancy to 60% exacerbated this. ARR and occupancy rates steadily declined, hurting resort revenue. The negative margin also shows rising direct costs or a failure to </w:t>
      </w:r>
      <w:r>
        <w:lastRenderedPageBreak/>
        <w:t>adjust them to match income, indicating operational inefficiencies.  Several reasons caused The Seaview Resort's gross profit margin to drop. First, decreasing Average Room Rate (ARR) and occupancy data severely lowered revenue generation</w:t>
      </w:r>
      <w:r w:rsidR="008F4CEC">
        <w:t xml:space="preserve"> (</w:t>
      </w:r>
      <w:r w:rsidR="008F4CEC" w:rsidRPr="007C6A1B">
        <w:rPr>
          <w:rFonts w:cs="Times New Roman"/>
          <w:color w:val="222222"/>
          <w:szCs w:val="24"/>
          <w:shd w:val="clear" w:color="auto" w:fill="FFFFFF"/>
        </w:rPr>
        <w:t>Higgins, 2</w:t>
      </w:r>
      <w:r w:rsidR="005A05FC">
        <w:rPr>
          <w:rFonts w:cs="Times New Roman"/>
          <w:color w:val="222222"/>
          <w:szCs w:val="24"/>
          <w:shd w:val="clear" w:color="auto" w:fill="FFFFFF"/>
        </w:rPr>
        <w:t>022</w:t>
      </w:r>
      <w:r w:rsidR="008F4CEC">
        <w:rPr>
          <w:rFonts w:cs="Times New Roman"/>
          <w:color w:val="222222"/>
          <w:szCs w:val="24"/>
          <w:shd w:val="clear" w:color="auto" w:fill="FFFFFF"/>
        </w:rPr>
        <w:t>)</w:t>
      </w:r>
      <w:r>
        <w:t>. The resort also struggled to cut direct operational costs despite lower revenues. Inefficiencies in controlling room quality and visitor service prices compounded the resort's financial problems.</w:t>
      </w:r>
    </w:p>
    <w:p w14:paraId="65880996" w14:textId="605E2772" w:rsidR="00D83803" w:rsidRDefault="00274FD2" w:rsidP="00274FD2">
      <w:pPr>
        <w:spacing w:line="360" w:lineRule="auto"/>
        <w:jc w:val="both"/>
      </w:pPr>
      <w:r w:rsidRPr="00274FD2">
        <w:t>Revenue fell from £520,000 in 2020 to £430,000 in 2022 due to falling Average Room Rates (ARR) and occupancy rates. The ARR went from £250 in 2020 to £210 in 2022, while occupancy fell from 70% to 60%. These trends reflect lower market demand, inability to compete with modern resorts, and customer preference for eco-friendly and experience tourism</w:t>
      </w:r>
      <w:r w:rsidR="005A05FC">
        <w:t xml:space="preserve"> (</w:t>
      </w:r>
      <w:r w:rsidR="005A05FC" w:rsidRPr="007C6A1B">
        <w:rPr>
          <w:rFonts w:cs="Times New Roman"/>
          <w:color w:val="222222"/>
          <w:szCs w:val="24"/>
          <w:shd w:val="clear" w:color="auto" w:fill="FFFFFF"/>
        </w:rPr>
        <w:t>Fabozzi</w:t>
      </w:r>
      <w:r w:rsidR="005A05FC">
        <w:rPr>
          <w:rFonts w:cs="Times New Roman"/>
          <w:color w:val="222222"/>
          <w:szCs w:val="24"/>
          <w:shd w:val="clear" w:color="auto" w:fill="FFFFFF"/>
        </w:rPr>
        <w:t xml:space="preserve"> </w:t>
      </w:r>
      <w:r w:rsidR="005A05FC" w:rsidRPr="007C6A1B">
        <w:rPr>
          <w:rFonts w:cs="Times New Roman"/>
          <w:color w:val="222222"/>
          <w:szCs w:val="24"/>
          <w:shd w:val="clear" w:color="auto" w:fill="FFFFFF"/>
        </w:rPr>
        <w:t>and Peterson, 20</w:t>
      </w:r>
      <w:r w:rsidR="005A05FC">
        <w:rPr>
          <w:rFonts w:cs="Times New Roman"/>
          <w:color w:val="222222"/>
          <w:szCs w:val="24"/>
          <w:shd w:val="clear" w:color="auto" w:fill="FFFFFF"/>
        </w:rPr>
        <w:t>2</w:t>
      </w:r>
      <w:r w:rsidR="005A05FC" w:rsidRPr="007C6A1B">
        <w:rPr>
          <w:rFonts w:cs="Times New Roman"/>
          <w:color w:val="222222"/>
          <w:szCs w:val="24"/>
          <w:shd w:val="clear" w:color="auto" w:fill="FFFFFF"/>
        </w:rPr>
        <w:t>3</w:t>
      </w:r>
      <w:r w:rsidR="005A05FC">
        <w:rPr>
          <w:rFonts w:cs="Times New Roman"/>
          <w:color w:val="222222"/>
          <w:szCs w:val="24"/>
          <w:shd w:val="clear" w:color="auto" w:fill="FFFFFF"/>
        </w:rPr>
        <w:t>)</w:t>
      </w:r>
      <w:r w:rsidRPr="00274FD2">
        <w:t>. Operating costs increased from £390,000 to £450,000, indicating cost management inefficiencies and operational issues. The financial statement shows a £630,000 Property &amp; Equipment investment, with a large amount locked in inventories, implying asset utilisation and return on investment difficulties</w:t>
      </w:r>
      <w:r w:rsidR="005A05FC">
        <w:t xml:space="preserve"> (</w:t>
      </w:r>
      <w:r w:rsidR="005A05FC" w:rsidRPr="007C6A1B">
        <w:rPr>
          <w:rFonts w:cs="Times New Roman"/>
          <w:color w:val="222222"/>
          <w:szCs w:val="24"/>
          <w:shd w:val="clear" w:color="auto" w:fill="FFFFFF"/>
        </w:rPr>
        <w:t xml:space="preserve">Mulhern, </w:t>
      </w:r>
      <w:r w:rsidR="005A05FC">
        <w:rPr>
          <w:rFonts w:cs="Times New Roman"/>
          <w:color w:val="222222"/>
          <w:szCs w:val="24"/>
          <w:shd w:val="clear" w:color="auto" w:fill="FFFFFF"/>
        </w:rPr>
        <w:t>2023)</w:t>
      </w:r>
      <w:r w:rsidRPr="00274FD2">
        <w:t>. In 2021, the resort had a negative cash flow from operations (-£80,000) and a total negative net cash flow of -£110,000, highlighting financial issues that prevent funding renovations or marketing</w:t>
      </w:r>
      <w:r w:rsidR="00CB704D">
        <w:t xml:space="preserve"> (</w:t>
      </w:r>
      <w:r w:rsidR="00CB704D" w:rsidRPr="007C6A1B">
        <w:rPr>
          <w:rFonts w:cs="Times New Roman"/>
          <w:color w:val="222222"/>
          <w:szCs w:val="24"/>
          <w:shd w:val="clear" w:color="auto" w:fill="FFFFFF"/>
        </w:rPr>
        <w:t>Bottazzi</w:t>
      </w:r>
      <w:r w:rsidR="00CB704D">
        <w:rPr>
          <w:rFonts w:cs="Times New Roman"/>
          <w:color w:val="222222"/>
          <w:szCs w:val="24"/>
          <w:shd w:val="clear" w:color="auto" w:fill="FFFFFF"/>
        </w:rPr>
        <w:t xml:space="preserve"> et al., 2021)</w:t>
      </w:r>
      <w:r w:rsidRPr="00274FD2">
        <w:t>. These criteria suggest a resort trying to adapt to market changes, control costs, and capitalise on its assets, resulting in financial distress.</w:t>
      </w:r>
    </w:p>
    <w:p w14:paraId="2EE4B5A8" w14:textId="0E165EA5" w:rsidR="00D83803" w:rsidRDefault="00816EAD" w:rsidP="00816EAD">
      <w:pPr>
        <w:pStyle w:val="Heading1"/>
      </w:pPr>
      <w:bookmarkStart w:id="5" w:name="_Toc150816659"/>
      <w:r>
        <w:t>Comprehensive turnaround strategy</w:t>
      </w:r>
      <w:bookmarkEnd w:id="5"/>
    </w:p>
    <w:p w14:paraId="7ED31B2B" w14:textId="583AB9EB" w:rsidR="00816EAD" w:rsidRPr="0021031D" w:rsidRDefault="00816EA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b/>
          <w:bCs/>
        </w:rPr>
      </w:pPr>
      <w:r w:rsidRPr="0021031D">
        <w:rPr>
          <w:b/>
          <w:bCs/>
        </w:rPr>
        <w:t xml:space="preserve">Modernize and Upgrade Facilities: </w:t>
      </w:r>
      <w:r>
        <w:t>The Seaview Resort must modernise and upgrade its facilities to regain its attraction and competitiveness. The infrastructure is renovated by adding new facilities and designs to rooms and common areas to meet guest expectations. These modifications should create comfortable and attractive spaces</w:t>
      </w:r>
      <w:r w:rsidR="008F4CEC">
        <w:t xml:space="preserve"> (</w:t>
      </w:r>
      <w:r w:rsidR="008F4CEC" w:rsidRPr="007C6A1B">
        <w:rPr>
          <w:rFonts w:cs="Times New Roman"/>
          <w:color w:val="222222"/>
          <w:szCs w:val="24"/>
          <w:shd w:val="clear" w:color="auto" w:fill="FFFFFF"/>
        </w:rPr>
        <w:t>Higgins,</w:t>
      </w:r>
      <w:r w:rsidR="005A05FC">
        <w:rPr>
          <w:rFonts w:cs="Times New Roman"/>
          <w:color w:val="222222"/>
          <w:szCs w:val="24"/>
          <w:shd w:val="clear" w:color="auto" w:fill="FFFFFF"/>
        </w:rPr>
        <w:t xml:space="preserve"> 2022</w:t>
      </w:r>
      <w:r w:rsidR="008F4CEC">
        <w:rPr>
          <w:rFonts w:cs="Times New Roman"/>
          <w:color w:val="222222"/>
          <w:szCs w:val="24"/>
          <w:shd w:val="clear" w:color="auto" w:fill="FFFFFF"/>
        </w:rPr>
        <w:t>)</w:t>
      </w:r>
      <w:r>
        <w:t>. Integrating eco-friendly efforts is crucial. Sustainable operational practises include energy-efficient lighting, water-saving devices, and recycling programmes. To meet growing environmental tourism demand, the resort should offer eco-friendly activities. These efforts will improve guest satisfaction and position the Seaview Resort as a responsible, modern resort in line with market trends</w:t>
      </w:r>
      <w:r w:rsidR="005A05FC">
        <w:t xml:space="preserve"> (</w:t>
      </w:r>
      <w:r w:rsidR="005A05FC" w:rsidRPr="007C6A1B">
        <w:rPr>
          <w:rFonts w:cs="Times New Roman"/>
          <w:color w:val="222222"/>
          <w:szCs w:val="24"/>
          <w:shd w:val="clear" w:color="auto" w:fill="FFFFFF"/>
        </w:rPr>
        <w:t>Fabozzi</w:t>
      </w:r>
      <w:r w:rsidR="005A05FC">
        <w:rPr>
          <w:rFonts w:cs="Times New Roman"/>
          <w:color w:val="222222"/>
          <w:szCs w:val="24"/>
          <w:shd w:val="clear" w:color="auto" w:fill="FFFFFF"/>
        </w:rPr>
        <w:t xml:space="preserve"> </w:t>
      </w:r>
      <w:r w:rsidR="005A05FC" w:rsidRPr="007C6A1B">
        <w:rPr>
          <w:rFonts w:cs="Times New Roman"/>
          <w:color w:val="222222"/>
          <w:szCs w:val="24"/>
          <w:shd w:val="clear" w:color="auto" w:fill="FFFFFF"/>
        </w:rPr>
        <w:t>and Peterson, 20</w:t>
      </w:r>
      <w:r w:rsidR="005A05FC">
        <w:rPr>
          <w:rFonts w:cs="Times New Roman"/>
          <w:color w:val="222222"/>
          <w:szCs w:val="24"/>
          <w:shd w:val="clear" w:color="auto" w:fill="FFFFFF"/>
        </w:rPr>
        <w:t>2</w:t>
      </w:r>
      <w:r w:rsidR="005A05FC" w:rsidRPr="007C6A1B">
        <w:rPr>
          <w:rFonts w:cs="Times New Roman"/>
          <w:color w:val="222222"/>
          <w:szCs w:val="24"/>
          <w:shd w:val="clear" w:color="auto" w:fill="FFFFFF"/>
        </w:rPr>
        <w:t>3</w:t>
      </w:r>
      <w:r w:rsidR="005A05FC">
        <w:rPr>
          <w:rFonts w:cs="Times New Roman"/>
          <w:color w:val="222222"/>
          <w:szCs w:val="24"/>
          <w:shd w:val="clear" w:color="auto" w:fill="FFFFFF"/>
        </w:rPr>
        <w:t>)</w:t>
      </w:r>
      <w:r>
        <w:t>.</w:t>
      </w:r>
    </w:p>
    <w:p w14:paraId="03C64EC4" w14:textId="771B80E1" w:rsidR="00816EAD" w:rsidRDefault="00816EA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rsidRPr="0021031D">
        <w:rPr>
          <w:b/>
          <w:bCs/>
        </w:rPr>
        <w:t>Enhance Service Quality and Customer Experience:</w:t>
      </w:r>
      <w:r>
        <w:t xml:space="preserve"> </w:t>
      </w:r>
      <w:r w:rsidRPr="00816EAD">
        <w:t xml:space="preserve">The Seaview Resort must improve service and customer experience to reclaim market share. Comprehensive staff training on hospitality, efficiency, and client involvement can achieve this. Staff training enhances </w:t>
      </w:r>
      <w:r w:rsidRPr="00816EAD">
        <w:lastRenderedPageBreak/>
        <w:t>guest interactions and makes them memorable. Personalised services customised to visitor preferences are also crucial</w:t>
      </w:r>
      <w:r w:rsidR="005A05FC">
        <w:t xml:space="preserve"> (</w:t>
      </w:r>
      <w:r w:rsidR="005A05FC" w:rsidRPr="007C6A1B">
        <w:rPr>
          <w:rFonts w:cs="Times New Roman"/>
          <w:color w:val="222222"/>
          <w:szCs w:val="24"/>
          <w:shd w:val="clear" w:color="auto" w:fill="FFFFFF"/>
        </w:rPr>
        <w:t>Petty</w:t>
      </w:r>
      <w:r w:rsidR="005A05FC">
        <w:rPr>
          <w:rFonts w:cs="Times New Roman"/>
          <w:color w:val="222222"/>
          <w:szCs w:val="24"/>
          <w:shd w:val="clear" w:color="auto" w:fill="FFFFFF"/>
        </w:rPr>
        <w:t xml:space="preserve"> et al., 2019)</w:t>
      </w:r>
      <w:r w:rsidRPr="00816EAD">
        <w:t>. Data analytics allows the resort to anticipate and match guest demands, creating tailored experiences that exceed expectations and build loyalty and reputation.</w:t>
      </w:r>
    </w:p>
    <w:p w14:paraId="69C85858" w14:textId="17CA4A23" w:rsidR="00816EAD" w:rsidRDefault="00816EA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rsidRPr="0021031D">
        <w:rPr>
          <w:b/>
          <w:bCs/>
        </w:rPr>
        <w:t>Financial Management and Cost Control:</w:t>
      </w:r>
      <w:r>
        <w:t xml:space="preserve"> </w:t>
      </w:r>
      <w:r w:rsidRPr="00816EAD">
        <w:t>Financial management and cost control are key to turning back the Seaview Resort's finances</w:t>
      </w:r>
      <w:r w:rsidR="005A05FC">
        <w:t xml:space="preserve"> (</w:t>
      </w:r>
      <w:r w:rsidR="005A05FC" w:rsidRPr="007C6A1B">
        <w:rPr>
          <w:rFonts w:cs="Times New Roman"/>
          <w:color w:val="222222"/>
          <w:szCs w:val="24"/>
          <w:shd w:val="clear" w:color="auto" w:fill="FFFFFF"/>
        </w:rPr>
        <w:t>Bottazzi</w:t>
      </w:r>
      <w:r w:rsidR="005A05FC">
        <w:rPr>
          <w:rFonts w:cs="Times New Roman"/>
          <w:color w:val="222222"/>
          <w:szCs w:val="24"/>
          <w:shd w:val="clear" w:color="auto" w:fill="FFFFFF"/>
        </w:rPr>
        <w:t xml:space="preserve"> et al., 2021)</w:t>
      </w:r>
      <w:r w:rsidRPr="00816EAD">
        <w:t>. A thorough operating expense evaluation and analysis is essential. This approach should discover and eliminate inefficiencies using cost-effective methods that do not compromise service quality</w:t>
      </w:r>
      <w:r w:rsidR="005A05FC">
        <w:t xml:space="preserve"> (</w:t>
      </w:r>
      <w:r w:rsidR="005A05FC" w:rsidRPr="007C6A1B">
        <w:rPr>
          <w:rFonts w:cs="Times New Roman"/>
          <w:color w:val="222222"/>
          <w:szCs w:val="24"/>
          <w:shd w:val="clear" w:color="auto" w:fill="FFFFFF"/>
        </w:rPr>
        <w:t xml:space="preserve">Mulhern, </w:t>
      </w:r>
      <w:r w:rsidR="005A05FC">
        <w:rPr>
          <w:rFonts w:cs="Times New Roman"/>
          <w:color w:val="222222"/>
          <w:szCs w:val="24"/>
          <w:shd w:val="clear" w:color="auto" w:fill="FFFFFF"/>
        </w:rPr>
        <w:t>2023)</w:t>
      </w:r>
      <w:r w:rsidRPr="00816EAD">
        <w:t>. Asset use must also be prioritised. Since the resort invested heavily in Property &amp; Equipment, it's vital to evaluate its usage and profitability. Underutilised assets might be sold to generate capital or repurposed to generate additional revenue. This careful spending control and strategic asset use will ensure financial stability and growth.</w:t>
      </w:r>
    </w:p>
    <w:p w14:paraId="45F20913" w14:textId="0095ADEC" w:rsidR="00816EAD" w:rsidRDefault="00816EA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rsidRPr="0021031D">
        <w:rPr>
          <w:b/>
          <w:bCs/>
        </w:rPr>
        <w:t>Marketing and Brand Repositioning:</w:t>
      </w:r>
      <w:r>
        <w:t xml:space="preserve"> </w:t>
      </w:r>
      <w:r w:rsidRPr="00816EAD">
        <w:t>Targeted marketing campaigns are necessary to rebrand Seaview Resort. These marketing should highlight the resort's eco-friendliness and newly renovated facilities to meet market trends and guest preferences. The resort's digital presence must also improve</w:t>
      </w:r>
      <w:r w:rsidR="005A05FC">
        <w:t xml:space="preserve"> (</w:t>
      </w:r>
      <w:r w:rsidR="005A05FC" w:rsidRPr="007C6A1B">
        <w:rPr>
          <w:rFonts w:cs="Times New Roman"/>
          <w:color w:val="222222"/>
          <w:szCs w:val="24"/>
          <w:shd w:val="clear" w:color="auto" w:fill="FFFFFF"/>
        </w:rPr>
        <w:t>Petty</w:t>
      </w:r>
      <w:r w:rsidR="005A05FC">
        <w:rPr>
          <w:rFonts w:cs="Times New Roman"/>
          <w:color w:val="222222"/>
          <w:szCs w:val="24"/>
          <w:shd w:val="clear" w:color="auto" w:fill="FFFFFF"/>
        </w:rPr>
        <w:t xml:space="preserve"> et al., 2019)</w:t>
      </w:r>
      <w:r w:rsidRPr="00816EAD">
        <w:t>. This comprises improving the website's user experience, engaging guests on social media, and using online promotion. These digital activities on channels popular with target groups will maximise outreach and effectively communicate the resort's improved image.</w:t>
      </w:r>
    </w:p>
    <w:p w14:paraId="4956A3A4" w14:textId="4DD54F06" w:rsidR="00816EAD" w:rsidRDefault="00816EA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rsidRPr="0021031D">
        <w:rPr>
          <w:b/>
          <w:bCs/>
        </w:rPr>
        <w:t>Adapt to Market Trends and Customer Preferences:</w:t>
      </w:r>
      <w:r>
        <w:t xml:space="preserve"> The Seaview Resort must adapt to market trends and consumer preferences to recover popularity</w:t>
      </w:r>
      <w:r w:rsidR="005A05FC">
        <w:t xml:space="preserve"> (</w:t>
      </w:r>
      <w:r w:rsidR="005A05FC" w:rsidRPr="007C6A1B">
        <w:rPr>
          <w:rFonts w:cs="Times New Roman"/>
          <w:color w:val="222222"/>
          <w:szCs w:val="24"/>
          <w:shd w:val="clear" w:color="auto" w:fill="FFFFFF"/>
        </w:rPr>
        <w:t xml:space="preserve">Cleverley, </w:t>
      </w:r>
      <w:r w:rsidR="005A05FC">
        <w:rPr>
          <w:rFonts w:cs="Times New Roman"/>
          <w:color w:val="222222"/>
          <w:szCs w:val="24"/>
          <w:shd w:val="clear" w:color="auto" w:fill="FFFFFF"/>
        </w:rPr>
        <w:t>2022)</w:t>
      </w:r>
      <w:r>
        <w:t>. Creating memorable experiences like local culture tours, wellness programmes, and adventure activities is the goal. Luxury eco-tourism programmes that combine environmental awareness are also essential</w:t>
      </w:r>
      <w:r w:rsidR="005A05FC">
        <w:t xml:space="preserve"> (</w:t>
      </w:r>
      <w:r w:rsidR="005A05FC" w:rsidRPr="007C6A1B">
        <w:rPr>
          <w:rFonts w:cs="Times New Roman"/>
          <w:color w:val="222222"/>
          <w:szCs w:val="24"/>
          <w:shd w:val="clear" w:color="auto" w:fill="FFFFFF"/>
        </w:rPr>
        <w:t>Brigham</w:t>
      </w:r>
      <w:r w:rsidR="005A05FC">
        <w:rPr>
          <w:rFonts w:cs="Times New Roman"/>
          <w:color w:val="222222"/>
          <w:szCs w:val="24"/>
          <w:shd w:val="clear" w:color="auto" w:fill="FFFFFF"/>
        </w:rPr>
        <w:t xml:space="preserve"> </w:t>
      </w:r>
      <w:r w:rsidR="005A05FC" w:rsidRPr="007C6A1B">
        <w:rPr>
          <w:rFonts w:cs="Times New Roman"/>
          <w:color w:val="222222"/>
          <w:szCs w:val="24"/>
          <w:shd w:val="clear" w:color="auto" w:fill="FFFFFF"/>
        </w:rPr>
        <w:t>and Houston, 20</w:t>
      </w:r>
      <w:r w:rsidR="005A05FC">
        <w:rPr>
          <w:rFonts w:cs="Times New Roman"/>
          <w:color w:val="222222"/>
          <w:szCs w:val="24"/>
          <w:shd w:val="clear" w:color="auto" w:fill="FFFFFF"/>
        </w:rPr>
        <w:t>2</w:t>
      </w:r>
      <w:r w:rsidR="005A05FC" w:rsidRPr="007C6A1B">
        <w:rPr>
          <w:rFonts w:cs="Times New Roman"/>
          <w:color w:val="222222"/>
          <w:szCs w:val="24"/>
          <w:shd w:val="clear" w:color="auto" w:fill="FFFFFF"/>
        </w:rPr>
        <w:t>3</w:t>
      </w:r>
      <w:r w:rsidR="005A05FC">
        <w:rPr>
          <w:rFonts w:cs="Times New Roman"/>
          <w:color w:val="222222"/>
          <w:szCs w:val="24"/>
          <w:shd w:val="clear" w:color="auto" w:fill="FFFFFF"/>
        </w:rPr>
        <w:t>)</w:t>
      </w:r>
      <w:r>
        <w:t>. They should target the expanding section of environmentally conscious travellers who want sustainable vacation options, promoting the resort as a place that matches modern values and interests.</w:t>
      </w:r>
    </w:p>
    <w:p w14:paraId="1BD0AE16" w14:textId="47B7C976" w:rsidR="00816EAD" w:rsidRDefault="00816EA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rsidRPr="0021031D">
        <w:rPr>
          <w:b/>
          <w:bCs/>
        </w:rPr>
        <w:t>Revenue Management:</w:t>
      </w:r>
      <w:r>
        <w:t xml:space="preserve"> </w:t>
      </w:r>
      <w:r w:rsidRPr="00816EAD">
        <w:t xml:space="preserve">Seaview Resort's financial recovery depends on revenue management. A dynamic pricing strategy will allow the resort to modify accommodation rates in real time based on demand, seasonality, and market conditions, optimising income. Diversifying revenue streams is essential. This could include spa treatments, unique cuisine </w:t>
      </w:r>
      <w:r w:rsidRPr="00816EAD">
        <w:lastRenderedPageBreak/>
        <w:t>experiences, and activities</w:t>
      </w:r>
      <w:r w:rsidR="005A05FC">
        <w:t xml:space="preserve"> (</w:t>
      </w:r>
      <w:proofErr w:type="spellStart"/>
      <w:r w:rsidR="005A05FC" w:rsidRPr="007C6A1B">
        <w:rPr>
          <w:rFonts w:cs="Times New Roman"/>
          <w:color w:val="222222"/>
          <w:szCs w:val="24"/>
          <w:shd w:val="clear" w:color="auto" w:fill="FFFFFF"/>
        </w:rPr>
        <w:t>Sukenti</w:t>
      </w:r>
      <w:proofErr w:type="spellEnd"/>
      <w:r w:rsidR="005A05FC" w:rsidRPr="007C6A1B">
        <w:rPr>
          <w:rFonts w:cs="Times New Roman"/>
          <w:color w:val="222222"/>
          <w:szCs w:val="24"/>
          <w:shd w:val="clear" w:color="auto" w:fill="FFFFFF"/>
        </w:rPr>
        <w:t>, 2023</w:t>
      </w:r>
      <w:r w:rsidR="005A05FC">
        <w:rPr>
          <w:rFonts w:cs="Times New Roman"/>
          <w:color w:val="222222"/>
          <w:szCs w:val="24"/>
          <w:shd w:val="clear" w:color="auto" w:fill="FFFFFF"/>
        </w:rPr>
        <w:t>)</w:t>
      </w:r>
      <w:r w:rsidRPr="00816EAD">
        <w:t>. These alternate revenue streams can attract more customers and generate regular income even during off-peak seasons, improving the resort's financial stability.</w:t>
      </w:r>
    </w:p>
    <w:p w14:paraId="2FB33DDC" w14:textId="2999F566" w:rsidR="00816EAD" w:rsidRDefault="00816EA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rsidRPr="0021031D">
        <w:rPr>
          <w:b/>
          <w:bCs/>
        </w:rPr>
        <w:t>Strengthening Community and Environmental Engagement:</w:t>
      </w:r>
      <w:r>
        <w:t xml:space="preserve"> </w:t>
      </w:r>
      <w:r w:rsidRPr="00816EAD">
        <w:t>Seaview Resort strategy includes community and environmental participation</w:t>
      </w:r>
      <w:r w:rsidR="005A05FC">
        <w:t xml:space="preserve"> (</w:t>
      </w:r>
      <w:proofErr w:type="spellStart"/>
      <w:r w:rsidR="005A05FC" w:rsidRPr="007C6A1B">
        <w:rPr>
          <w:rFonts w:cs="Times New Roman"/>
          <w:color w:val="222222"/>
          <w:szCs w:val="24"/>
          <w:shd w:val="clear" w:color="auto" w:fill="FFFFFF"/>
        </w:rPr>
        <w:t>Silbergh</w:t>
      </w:r>
      <w:proofErr w:type="spellEnd"/>
      <w:r w:rsidR="005A05FC">
        <w:rPr>
          <w:rFonts w:cs="Times New Roman"/>
          <w:color w:val="222222"/>
          <w:szCs w:val="24"/>
          <w:shd w:val="clear" w:color="auto" w:fill="FFFFFF"/>
        </w:rPr>
        <w:t xml:space="preserve"> </w:t>
      </w:r>
      <w:r w:rsidR="005A05FC" w:rsidRPr="007C6A1B">
        <w:rPr>
          <w:rFonts w:cs="Times New Roman"/>
          <w:color w:val="222222"/>
          <w:szCs w:val="24"/>
          <w:shd w:val="clear" w:color="auto" w:fill="FFFFFF"/>
        </w:rPr>
        <w:t xml:space="preserve">and Brons, </w:t>
      </w:r>
      <w:r w:rsidR="005A05FC">
        <w:rPr>
          <w:rFonts w:cs="Times New Roman"/>
          <w:color w:val="222222"/>
          <w:szCs w:val="24"/>
          <w:shd w:val="clear" w:color="auto" w:fill="FFFFFF"/>
        </w:rPr>
        <w:t>2022)</w:t>
      </w:r>
      <w:r w:rsidRPr="00816EAD">
        <w:t>. By engaging the local population, the resort can form mutually beneficial partnerships that boost local attractiveness and promote sustainable growth. Community projects and local cooperation can add local culture to guest experiences</w:t>
      </w:r>
      <w:r w:rsidR="005A05FC">
        <w:t xml:space="preserve"> (</w:t>
      </w:r>
      <w:r w:rsidR="005A05FC" w:rsidRPr="007C6A1B">
        <w:rPr>
          <w:rFonts w:cs="Times New Roman"/>
          <w:color w:val="222222"/>
          <w:szCs w:val="24"/>
          <w:shd w:val="clear" w:color="auto" w:fill="FFFFFF"/>
        </w:rPr>
        <w:t>Petty</w:t>
      </w:r>
      <w:r w:rsidR="005A05FC">
        <w:rPr>
          <w:rFonts w:cs="Times New Roman"/>
          <w:color w:val="222222"/>
          <w:szCs w:val="24"/>
          <w:shd w:val="clear" w:color="auto" w:fill="FFFFFF"/>
        </w:rPr>
        <w:t xml:space="preserve"> et al., 2022)</w:t>
      </w:r>
      <w:r w:rsidRPr="00816EAD">
        <w:t>. Regular sustainability reporting builds trust and attracts eco-conscious tourists by showing the resort's environmental responsibility. Environmental transparency shows the resort's commitment to eco-friendliness, which modern guests cherish.</w:t>
      </w:r>
    </w:p>
    <w:p w14:paraId="0A58FFC9" w14:textId="65983F10" w:rsidR="00816EAD" w:rsidRDefault="0021031D" w:rsidP="0021031D">
      <w:pPr>
        <w:pStyle w:val="ListParagraph"/>
        <w:numPr>
          <w:ilvl w:val="0"/>
          <w:numId w:val="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pPr>
      <w:r w:rsidRPr="0021031D">
        <w:rPr>
          <w:b/>
          <w:bCs/>
        </w:rPr>
        <w:t>Monitoring and Continuous Improvement:</w:t>
      </w:r>
      <w:r>
        <w:t xml:space="preserve"> </w:t>
      </w:r>
      <w:r w:rsidRPr="0021031D">
        <w:t>The Seaview Resort needs monitoring and improvement to succeed. Review operational, financial, and customer service metrics regularly to find areas for improvement. This ongoing review keeps the resort on track with its strategic goals and market needs</w:t>
      </w:r>
      <w:r w:rsidR="005A05FC">
        <w:t xml:space="preserve"> (</w:t>
      </w:r>
      <w:r w:rsidR="005A05FC" w:rsidRPr="007C6A1B">
        <w:rPr>
          <w:rFonts w:cs="Times New Roman"/>
          <w:color w:val="222222"/>
          <w:szCs w:val="24"/>
          <w:shd w:val="clear" w:color="auto" w:fill="FFFFFF"/>
        </w:rPr>
        <w:t>Karadag, 20</w:t>
      </w:r>
      <w:r w:rsidR="005A05FC">
        <w:rPr>
          <w:rFonts w:cs="Times New Roman"/>
          <w:color w:val="222222"/>
          <w:szCs w:val="24"/>
          <w:shd w:val="clear" w:color="auto" w:fill="FFFFFF"/>
        </w:rPr>
        <w:t>22)</w:t>
      </w:r>
      <w:r w:rsidRPr="0021031D">
        <w:t>. Additionally, a strong feedback system is essential. Analysing guest input reveals satisfaction and preferences. This feedback loop allows the resort to constantly improve its services and offerings to meet and surpass guest expectations, promoting excellence and continuous improvement</w:t>
      </w:r>
      <w:r w:rsidR="00EB25DB">
        <w:t xml:space="preserve"> (</w:t>
      </w:r>
      <w:r w:rsidR="00EB25DB" w:rsidRPr="007C6A1B">
        <w:rPr>
          <w:rFonts w:cs="Times New Roman"/>
          <w:color w:val="222222"/>
          <w:szCs w:val="24"/>
          <w:shd w:val="clear" w:color="auto" w:fill="FFFFFF"/>
        </w:rPr>
        <w:t>Babalola</w:t>
      </w:r>
      <w:r w:rsidR="00EB25DB">
        <w:rPr>
          <w:rFonts w:cs="Times New Roman"/>
          <w:color w:val="222222"/>
          <w:szCs w:val="24"/>
          <w:shd w:val="clear" w:color="auto" w:fill="FFFFFF"/>
        </w:rPr>
        <w:t xml:space="preserve"> </w:t>
      </w:r>
      <w:r w:rsidR="00EB25DB" w:rsidRPr="007C6A1B">
        <w:rPr>
          <w:rFonts w:cs="Times New Roman"/>
          <w:color w:val="222222"/>
          <w:szCs w:val="24"/>
          <w:shd w:val="clear" w:color="auto" w:fill="FFFFFF"/>
        </w:rPr>
        <w:t>and Abiola, 20</w:t>
      </w:r>
      <w:r w:rsidR="00EB25DB">
        <w:rPr>
          <w:rFonts w:cs="Times New Roman"/>
          <w:color w:val="222222"/>
          <w:szCs w:val="24"/>
          <w:shd w:val="clear" w:color="auto" w:fill="FFFFFF"/>
        </w:rPr>
        <w:t>23)</w:t>
      </w:r>
      <w:r w:rsidRPr="0021031D">
        <w:t>.</w:t>
      </w:r>
    </w:p>
    <w:p w14:paraId="5DB1FC42" w14:textId="77777777" w:rsidR="00CB704D" w:rsidRDefault="00CB704D" w:rsidP="00CB704D"/>
    <w:p w14:paraId="22E81C72" w14:textId="77777777" w:rsidR="00CB704D" w:rsidRDefault="00CB704D" w:rsidP="00CB704D"/>
    <w:p w14:paraId="6AEAACED" w14:textId="77777777" w:rsidR="00CB704D" w:rsidRDefault="00CB704D" w:rsidP="00CB704D"/>
    <w:p w14:paraId="78AAFEE4" w14:textId="77777777" w:rsidR="006D7EFA" w:rsidRDefault="006D7EFA" w:rsidP="00CB704D"/>
    <w:p w14:paraId="7A6E053C" w14:textId="77777777" w:rsidR="006D7EFA" w:rsidRDefault="006D7EFA" w:rsidP="00CB704D"/>
    <w:p w14:paraId="49FF2E43" w14:textId="77777777" w:rsidR="006D7EFA" w:rsidRDefault="006D7EFA" w:rsidP="00CB704D"/>
    <w:p w14:paraId="29AA3B95" w14:textId="77777777" w:rsidR="006D7EFA" w:rsidRDefault="006D7EFA" w:rsidP="00CB704D"/>
    <w:p w14:paraId="15273293" w14:textId="77777777" w:rsidR="006D7EFA" w:rsidRDefault="006D7EFA" w:rsidP="00CB704D"/>
    <w:p w14:paraId="135973DA" w14:textId="1AD4A5D5" w:rsidR="00816EAD" w:rsidRDefault="0021031D" w:rsidP="0021031D">
      <w:pPr>
        <w:pStyle w:val="Heading1"/>
        <w:spacing w:line="360" w:lineRule="auto"/>
        <w:jc w:val="both"/>
      </w:pPr>
      <w:bookmarkStart w:id="6" w:name="_Toc150816660"/>
      <w:r>
        <w:lastRenderedPageBreak/>
        <w:t>Conclusion</w:t>
      </w:r>
      <w:bookmarkEnd w:id="6"/>
    </w:p>
    <w:p w14:paraId="69BE1DA7" w14:textId="402AF724" w:rsidR="00816EAD" w:rsidRDefault="0021031D" w:rsidP="0021031D">
      <w:pPr>
        <w:spacing w:line="360" w:lineRule="auto"/>
        <w:jc w:val="both"/>
      </w:pPr>
      <w:r w:rsidRPr="0021031D">
        <w:t>The Seaview Resort's falling guest satisfaction, revenue, and occupancy require a complete recovery strategy. This loss is due to outmoded amenities, greater competition, and not following eco-tourism trends. Financial research shows declining profitability and poor asset management. The resort needs modernise facilities, improve service, manage finances, and rebrand to revitalise. Accepting eco-tourism, upgrading digital experiences, and diversifying revenue streams are vital. Community engagement, environmental accountability, and constant monitoring and adaptation are essential to improving the resort and recovering its former splendour.</w:t>
      </w:r>
    </w:p>
    <w:p w14:paraId="71530753" w14:textId="3D8476FF" w:rsidR="00816EAD" w:rsidRDefault="00816EAD" w:rsidP="00816EAD"/>
    <w:p w14:paraId="194CEACC" w14:textId="77777777" w:rsidR="00816EAD" w:rsidRDefault="00816EAD" w:rsidP="00816EAD"/>
    <w:p w14:paraId="1719B2AB" w14:textId="617F0B2A" w:rsidR="00CB704D" w:rsidRDefault="00CB704D" w:rsidP="00D83803"/>
    <w:p w14:paraId="61DC24EB" w14:textId="77777777" w:rsidR="00CB704D" w:rsidRDefault="00CB704D">
      <w:pPr>
        <w:spacing w:before="0" w:after="160" w:line="259" w:lineRule="auto"/>
      </w:pPr>
      <w:r>
        <w:br w:type="page"/>
      </w:r>
    </w:p>
    <w:p w14:paraId="6E6072A5" w14:textId="5FE9B515" w:rsidR="00CB704D" w:rsidRPr="00CB704D" w:rsidRDefault="00CB704D" w:rsidP="00CB704D">
      <w:pPr>
        <w:pStyle w:val="Heading1"/>
      </w:pPr>
      <w:bookmarkStart w:id="7" w:name="_Toc150816661"/>
      <w:r>
        <w:lastRenderedPageBreak/>
        <w:t>References</w:t>
      </w:r>
      <w:bookmarkEnd w:id="7"/>
    </w:p>
    <w:p w14:paraId="051B07D3" w14:textId="48D7A61A"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Babalola, Y.A. and Abiola, F.R., </w:t>
      </w:r>
      <w:r>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23)</w:t>
      </w:r>
      <w:r w:rsidRPr="007C6A1B">
        <w:rPr>
          <w:rFonts w:cs="Times New Roman"/>
          <w:color w:val="222222"/>
          <w:szCs w:val="24"/>
          <w:shd w:val="clear" w:color="auto" w:fill="FFFFFF"/>
        </w:rPr>
        <w:t>. Financial ratio analysis of firms: A tool for decision making. </w:t>
      </w:r>
      <w:r w:rsidRPr="007C6A1B">
        <w:rPr>
          <w:rFonts w:cs="Times New Roman"/>
          <w:i/>
          <w:iCs/>
          <w:color w:val="222222"/>
          <w:szCs w:val="24"/>
          <w:shd w:val="clear" w:color="auto" w:fill="FFFFFF"/>
        </w:rPr>
        <w:t>International journal of management sciences</w:t>
      </w:r>
      <w:r w:rsidRPr="007C6A1B">
        <w:rPr>
          <w:rFonts w:cs="Times New Roman"/>
          <w:color w:val="222222"/>
          <w:szCs w:val="24"/>
          <w:shd w:val="clear" w:color="auto" w:fill="FFFFFF"/>
        </w:rPr>
        <w:t>, </w:t>
      </w:r>
      <w:r w:rsidRPr="007C6A1B">
        <w:rPr>
          <w:rFonts w:cs="Times New Roman"/>
          <w:i/>
          <w:iCs/>
          <w:color w:val="222222"/>
          <w:szCs w:val="24"/>
          <w:shd w:val="clear" w:color="auto" w:fill="FFFFFF"/>
        </w:rPr>
        <w:t>1</w:t>
      </w:r>
      <w:r w:rsidRPr="007C6A1B">
        <w:rPr>
          <w:rFonts w:cs="Times New Roman"/>
          <w:color w:val="222222"/>
          <w:szCs w:val="24"/>
          <w:shd w:val="clear" w:color="auto" w:fill="FFFFFF"/>
        </w:rPr>
        <w:t>(4), pp.132-137.</w:t>
      </w:r>
    </w:p>
    <w:p w14:paraId="7907E212" w14:textId="60A2E07E"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Bottazzi, G., Secchi, A. and Tamagni, F.,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21</w:t>
      </w:r>
      <w:r w:rsidR="00EB25DB">
        <w:rPr>
          <w:rFonts w:cs="Times New Roman"/>
          <w:color w:val="222222"/>
          <w:szCs w:val="24"/>
          <w:shd w:val="clear" w:color="auto" w:fill="FFFFFF"/>
        </w:rPr>
        <w:t>)</w:t>
      </w:r>
      <w:r w:rsidRPr="007C6A1B">
        <w:rPr>
          <w:rFonts w:cs="Times New Roman"/>
          <w:color w:val="222222"/>
          <w:szCs w:val="24"/>
          <w:shd w:val="clear" w:color="auto" w:fill="FFFFFF"/>
        </w:rPr>
        <w:t>. Productivity, profitability and financial performance. </w:t>
      </w:r>
      <w:r w:rsidRPr="007C6A1B">
        <w:rPr>
          <w:rFonts w:cs="Times New Roman"/>
          <w:i/>
          <w:iCs/>
          <w:color w:val="222222"/>
          <w:szCs w:val="24"/>
          <w:shd w:val="clear" w:color="auto" w:fill="FFFFFF"/>
        </w:rPr>
        <w:t>Industrial and Corporate Change</w:t>
      </w:r>
      <w:r w:rsidRPr="007C6A1B">
        <w:rPr>
          <w:rFonts w:cs="Times New Roman"/>
          <w:color w:val="222222"/>
          <w:szCs w:val="24"/>
          <w:shd w:val="clear" w:color="auto" w:fill="FFFFFF"/>
        </w:rPr>
        <w:t>, </w:t>
      </w:r>
      <w:r w:rsidRPr="007C6A1B">
        <w:rPr>
          <w:rFonts w:cs="Times New Roman"/>
          <w:i/>
          <w:iCs/>
          <w:color w:val="222222"/>
          <w:szCs w:val="24"/>
          <w:shd w:val="clear" w:color="auto" w:fill="FFFFFF"/>
        </w:rPr>
        <w:t>17</w:t>
      </w:r>
      <w:r w:rsidRPr="007C6A1B">
        <w:rPr>
          <w:rFonts w:cs="Times New Roman"/>
          <w:color w:val="222222"/>
          <w:szCs w:val="24"/>
          <w:shd w:val="clear" w:color="auto" w:fill="FFFFFF"/>
        </w:rPr>
        <w:t>(4), pp.711-751.</w:t>
      </w:r>
    </w:p>
    <w:p w14:paraId="3E78C420" w14:textId="6BA09CD7"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Brigham, E.F. and Houston, J.F.,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w:t>
      </w:r>
      <w:r w:rsidRPr="007C6A1B">
        <w:rPr>
          <w:rFonts w:cs="Times New Roman"/>
          <w:color w:val="222222"/>
          <w:szCs w:val="24"/>
          <w:shd w:val="clear" w:color="auto" w:fill="FFFFFF"/>
        </w:rPr>
        <w:t>3</w:t>
      </w:r>
      <w:r w:rsidR="00EB25DB">
        <w:rPr>
          <w:rFonts w:cs="Times New Roman"/>
          <w:color w:val="222222"/>
          <w:szCs w:val="24"/>
          <w:shd w:val="clear" w:color="auto" w:fill="FFFFFF"/>
        </w:rPr>
        <w:t>)</w:t>
      </w:r>
      <w:r w:rsidRPr="007C6A1B">
        <w:rPr>
          <w:rFonts w:cs="Times New Roman"/>
          <w:color w:val="222222"/>
          <w:szCs w:val="24"/>
          <w:shd w:val="clear" w:color="auto" w:fill="FFFFFF"/>
        </w:rPr>
        <w:t>. </w:t>
      </w:r>
      <w:r w:rsidRPr="007C6A1B">
        <w:rPr>
          <w:rFonts w:cs="Times New Roman"/>
          <w:i/>
          <w:iCs/>
          <w:color w:val="222222"/>
          <w:szCs w:val="24"/>
          <w:shd w:val="clear" w:color="auto" w:fill="FFFFFF"/>
        </w:rPr>
        <w:t>Fundamentals of financial management</w:t>
      </w:r>
      <w:r w:rsidRPr="007C6A1B">
        <w:rPr>
          <w:rFonts w:cs="Times New Roman"/>
          <w:color w:val="222222"/>
          <w:szCs w:val="24"/>
          <w:shd w:val="clear" w:color="auto" w:fill="FFFFFF"/>
        </w:rPr>
        <w:t>. South-Western Cengage Learning.</w:t>
      </w:r>
    </w:p>
    <w:p w14:paraId="3A08D592" w14:textId="28E8BEC7" w:rsidR="00CB704D" w:rsidRPr="007C6A1B" w:rsidRDefault="00CB704D" w:rsidP="00CB704D">
      <w:pPr>
        <w:spacing w:line="360" w:lineRule="auto"/>
        <w:jc w:val="both"/>
        <w:rPr>
          <w:rFonts w:cs="Times New Roman"/>
          <w:color w:val="222222"/>
          <w:szCs w:val="24"/>
          <w:shd w:val="clear" w:color="auto" w:fill="FFFFFF"/>
        </w:rPr>
      </w:pPr>
      <w:proofErr w:type="spellStart"/>
      <w:r w:rsidRPr="007C6A1B">
        <w:rPr>
          <w:rFonts w:cs="Times New Roman"/>
          <w:color w:val="222222"/>
          <w:szCs w:val="24"/>
          <w:shd w:val="clear" w:color="auto" w:fill="FFFFFF"/>
        </w:rPr>
        <w:t>Ciurariu</w:t>
      </w:r>
      <w:proofErr w:type="spellEnd"/>
      <w:r w:rsidRPr="007C6A1B">
        <w:rPr>
          <w:rFonts w:cs="Times New Roman"/>
          <w:color w:val="222222"/>
          <w:szCs w:val="24"/>
          <w:shd w:val="clear" w:color="auto" w:fill="FFFFFF"/>
        </w:rPr>
        <w:t xml:space="preserve">, G.,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21</w:t>
      </w:r>
      <w:r w:rsidR="00EB25DB">
        <w:rPr>
          <w:rFonts w:cs="Times New Roman"/>
          <w:color w:val="222222"/>
          <w:szCs w:val="24"/>
          <w:shd w:val="clear" w:color="auto" w:fill="FFFFFF"/>
        </w:rPr>
        <w:t>)</w:t>
      </w:r>
      <w:r w:rsidRPr="007C6A1B">
        <w:rPr>
          <w:rFonts w:cs="Times New Roman"/>
          <w:color w:val="222222"/>
          <w:szCs w:val="24"/>
          <w:shd w:val="clear" w:color="auto" w:fill="FFFFFF"/>
        </w:rPr>
        <w:t>. Profitability analysis based on income statement. </w:t>
      </w:r>
      <w:proofErr w:type="spellStart"/>
      <w:r w:rsidRPr="007C6A1B">
        <w:rPr>
          <w:rFonts w:cs="Times New Roman"/>
          <w:i/>
          <w:iCs/>
          <w:color w:val="222222"/>
          <w:szCs w:val="24"/>
          <w:shd w:val="clear" w:color="auto" w:fill="FFFFFF"/>
        </w:rPr>
        <w:t>Anuarul</w:t>
      </w:r>
      <w:proofErr w:type="spellEnd"/>
      <w:r w:rsidRPr="007C6A1B">
        <w:rPr>
          <w:rFonts w:cs="Times New Roman"/>
          <w:i/>
          <w:iCs/>
          <w:color w:val="222222"/>
          <w:szCs w:val="24"/>
          <w:shd w:val="clear" w:color="auto" w:fill="FFFFFF"/>
        </w:rPr>
        <w:t xml:space="preserve"> </w:t>
      </w:r>
      <w:proofErr w:type="spellStart"/>
      <w:r w:rsidRPr="007C6A1B">
        <w:rPr>
          <w:rFonts w:cs="Times New Roman"/>
          <w:i/>
          <w:iCs/>
          <w:color w:val="222222"/>
          <w:szCs w:val="24"/>
          <w:shd w:val="clear" w:color="auto" w:fill="FFFFFF"/>
        </w:rPr>
        <w:t>Institutului</w:t>
      </w:r>
      <w:proofErr w:type="spellEnd"/>
      <w:r w:rsidRPr="007C6A1B">
        <w:rPr>
          <w:rFonts w:cs="Times New Roman"/>
          <w:i/>
          <w:iCs/>
          <w:color w:val="222222"/>
          <w:szCs w:val="24"/>
          <w:shd w:val="clear" w:color="auto" w:fill="FFFFFF"/>
        </w:rPr>
        <w:t xml:space="preserve"> de </w:t>
      </w:r>
      <w:proofErr w:type="spellStart"/>
      <w:r w:rsidRPr="007C6A1B">
        <w:rPr>
          <w:rFonts w:cs="Times New Roman"/>
          <w:i/>
          <w:iCs/>
          <w:color w:val="222222"/>
          <w:szCs w:val="24"/>
          <w:shd w:val="clear" w:color="auto" w:fill="FFFFFF"/>
        </w:rPr>
        <w:t>Cercetari</w:t>
      </w:r>
      <w:proofErr w:type="spellEnd"/>
      <w:r w:rsidRPr="007C6A1B">
        <w:rPr>
          <w:rFonts w:cs="Times New Roman"/>
          <w:i/>
          <w:iCs/>
          <w:color w:val="222222"/>
          <w:szCs w:val="24"/>
          <w:shd w:val="clear" w:color="auto" w:fill="FFFFFF"/>
        </w:rPr>
        <w:t xml:space="preserve"> </w:t>
      </w:r>
      <w:proofErr w:type="spellStart"/>
      <w:r w:rsidRPr="007C6A1B">
        <w:rPr>
          <w:rFonts w:cs="Times New Roman"/>
          <w:i/>
          <w:iCs/>
          <w:color w:val="222222"/>
          <w:szCs w:val="24"/>
          <w:shd w:val="clear" w:color="auto" w:fill="FFFFFF"/>
        </w:rPr>
        <w:t>Economice</w:t>
      </w:r>
      <w:proofErr w:type="spellEnd"/>
      <w:r w:rsidRPr="007C6A1B">
        <w:rPr>
          <w:rFonts w:cs="Times New Roman"/>
          <w:i/>
          <w:iCs/>
          <w:color w:val="222222"/>
          <w:szCs w:val="24"/>
          <w:shd w:val="clear" w:color="auto" w:fill="FFFFFF"/>
        </w:rPr>
        <w:t>" Gheorghe Zane"-Iasi</w:t>
      </w:r>
      <w:r w:rsidRPr="007C6A1B">
        <w:rPr>
          <w:rFonts w:cs="Times New Roman"/>
          <w:color w:val="222222"/>
          <w:szCs w:val="24"/>
          <w:shd w:val="clear" w:color="auto" w:fill="FFFFFF"/>
        </w:rPr>
        <w:t>, </w:t>
      </w:r>
      <w:r w:rsidRPr="007C6A1B">
        <w:rPr>
          <w:rFonts w:cs="Times New Roman"/>
          <w:i/>
          <w:iCs/>
          <w:color w:val="222222"/>
          <w:szCs w:val="24"/>
          <w:shd w:val="clear" w:color="auto" w:fill="FFFFFF"/>
        </w:rPr>
        <w:t>23</w:t>
      </w:r>
      <w:r w:rsidRPr="007C6A1B">
        <w:rPr>
          <w:rFonts w:cs="Times New Roman"/>
          <w:color w:val="222222"/>
          <w:szCs w:val="24"/>
          <w:shd w:val="clear" w:color="auto" w:fill="FFFFFF"/>
        </w:rPr>
        <w:t>(Supplement), p.167.</w:t>
      </w:r>
    </w:p>
    <w:p w14:paraId="7FF602A0" w14:textId="7EF62F61"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Cleverley, W.O., </w:t>
      </w:r>
      <w:r w:rsidR="00EB25DB">
        <w:rPr>
          <w:rFonts w:cs="Times New Roman"/>
          <w:color w:val="222222"/>
          <w:szCs w:val="24"/>
          <w:shd w:val="clear" w:color="auto" w:fill="FFFFFF"/>
        </w:rPr>
        <w:t>(</w:t>
      </w:r>
      <w:r>
        <w:rPr>
          <w:rFonts w:cs="Times New Roman"/>
          <w:color w:val="222222"/>
          <w:szCs w:val="24"/>
          <w:shd w:val="clear" w:color="auto" w:fill="FFFFFF"/>
        </w:rPr>
        <w:t>2022</w:t>
      </w:r>
      <w:r w:rsidR="00EB25DB">
        <w:rPr>
          <w:rFonts w:cs="Times New Roman"/>
          <w:color w:val="222222"/>
          <w:szCs w:val="24"/>
          <w:shd w:val="clear" w:color="auto" w:fill="FFFFFF"/>
        </w:rPr>
        <w:t>)</w:t>
      </w:r>
      <w:r w:rsidRPr="007C6A1B">
        <w:rPr>
          <w:rFonts w:cs="Times New Roman"/>
          <w:color w:val="222222"/>
          <w:szCs w:val="24"/>
          <w:shd w:val="clear" w:color="auto" w:fill="FFFFFF"/>
        </w:rPr>
        <w:t>. Profitability analysis in the hospital industry. </w:t>
      </w:r>
      <w:r w:rsidRPr="007C6A1B">
        <w:rPr>
          <w:rFonts w:cs="Times New Roman"/>
          <w:i/>
          <w:iCs/>
          <w:color w:val="222222"/>
          <w:szCs w:val="24"/>
          <w:shd w:val="clear" w:color="auto" w:fill="FFFFFF"/>
        </w:rPr>
        <w:t>Health Services Research</w:t>
      </w:r>
      <w:r w:rsidRPr="007C6A1B">
        <w:rPr>
          <w:rFonts w:cs="Times New Roman"/>
          <w:color w:val="222222"/>
          <w:szCs w:val="24"/>
          <w:shd w:val="clear" w:color="auto" w:fill="FFFFFF"/>
        </w:rPr>
        <w:t>, </w:t>
      </w:r>
      <w:r w:rsidRPr="007C6A1B">
        <w:rPr>
          <w:rFonts w:cs="Times New Roman"/>
          <w:i/>
          <w:iCs/>
          <w:color w:val="222222"/>
          <w:szCs w:val="24"/>
          <w:shd w:val="clear" w:color="auto" w:fill="FFFFFF"/>
        </w:rPr>
        <w:t>13</w:t>
      </w:r>
      <w:r w:rsidRPr="007C6A1B">
        <w:rPr>
          <w:rFonts w:cs="Times New Roman"/>
          <w:color w:val="222222"/>
          <w:szCs w:val="24"/>
          <w:shd w:val="clear" w:color="auto" w:fill="FFFFFF"/>
        </w:rPr>
        <w:t>(1), p.16.</w:t>
      </w:r>
    </w:p>
    <w:p w14:paraId="1BCFA3FF" w14:textId="0D247959"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De Luca, P. and De Luca, P.,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22</w:t>
      </w:r>
      <w:r w:rsidR="00EB25DB">
        <w:rPr>
          <w:rFonts w:cs="Times New Roman"/>
          <w:color w:val="222222"/>
          <w:szCs w:val="24"/>
          <w:shd w:val="clear" w:color="auto" w:fill="FFFFFF"/>
        </w:rPr>
        <w:t>)</w:t>
      </w:r>
      <w:r w:rsidRPr="007C6A1B">
        <w:rPr>
          <w:rFonts w:cs="Times New Roman"/>
          <w:color w:val="222222"/>
          <w:szCs w:val="24"/>
          <w:shd w:val="clear" w:color="auto" w:fill="FFFFFF"/>
        </w:rPr>
        <w:t>. Company profitability analysis. </w:t>
      </w:r>
      <w:r w:rsidRPr="007C6A1B">
        <w:rPr>
          <w:rFonts w:cs="Times New Roman"/>
          <w:i/>
          <w:iCs/>
          <w:color w:val="222222"/>
          <w:szCs w:val="24"/>
          <w:shd w:val="clear" w:color="auto" w:fill="FFFFFF"/>
        </w:rPr>
        <w:t>Analytical Corporate Valuation: Fundamental Analysis, Asset Pricing, and Company Valuation</w:t>
      </w:r>
      <w:r w:rsidRPr="007C6A1B">
        <w:rPr>
          <w:rFonts w:cs="Times New Roman"/>
          <w:color w:val="222222"/>
          <w:szCs w:val="24"/>
          <w:shd w:val="clear" w:color="auto" w:fill="FFFFFF"/>
        </w:rPr>
        <w:t>, pp.43-76.</w:t>
      </w:r>
    </w:p>
    <w:p w14:paraId="07D32876" w14:textId="57AFB435"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Drake, P.P. and Fabozzi, F.J.,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w:t>
      </w:r>
      <w:r w:rsidRPr="007C6A1B">
        <w:rPr>
          <w:rFonts w:cs="Times New Roman"/>
          <w:color w:val="222222"/>
          <w:szCs w:val="24"/>
          <w:shd w:val="clear" w:color="auto" w:fill="FFFFFF"/>
        </w:rPr>
        <w:t>2</w:t>
      </w:r>
      <w:r w:rsidR="00EB25DB">
        <w:rPr>
          <w:rFonts w:cs="Times New Roman"/>
          <w:color w:val="222222"/>
          <w:szCs w:val="24"/>
          <w:shd w:val="clear" w:color="auto" w:fill="FFFFFF"/>
        </w:rPr>
        <w:t>)</w:t>
      </w:r>
      <w:r w:rsidRPr="007C6A1B">
        <w:rPr>
          <w:rFonts w:cs="Times New Roman"/>
          <w:color w:val="222222"/>
          <w:szCs w:val="24"/>
          <w:shd w:val="clear" w:color="auto" w:fill="FFFFFF"/>
        </w:rPr>
        <w:t>. Financial ratio analysis. </w:t>
      </w:r>
      <w:proofErr w:type="spellStart"/>
      <w:r w:rsidRPr="007C6A1B">
        <w:rPr>
          <w:rFonts w:cs="Times New Roman"/>
          <w:i/>
          <w:iCs/>
          <w:color w:val="222222"/>
          <w:szCs w:val="24"/>
          <w:shd w:val="clear" w:color="auto" w:fill="FFFFFF"/>
        </w:rPr>
        <w:t>Encyclopedia</w:t>
      </w:r>
      <w:proofErr w:type="spellEnd"/>
      <w:r w:rsidRPr="007C6A1B">
        <w:rPr>
          <w:rFonts w:cs="Times New Roman"/>
          <w:i/>
          <w:iCs/>
          <w:color w:val="222222"/>
          <w:szCs w:val="24"/>
          <w:shd w:val="clear" w:color="auto" w:fill="FFFFFF"/>
        </w:rPr>
        <w:t xml:space="preserve"> of Financial Models</w:t>
      </w:r>
      <w:r w:rsidRPr="007C6A1B">
        <w:rPr>
          <w:rFonts w:cs="Times New Roman"/>
          <w:color w:val="222222"/>
          <w:szCs w:val="24"/>
          <w:shd w:val="clear" w:color="auto" w:fill="FFFFFF"/>
        </w:rPr>
        <w:t>.</w:t>
      </w:r>
    </w:p>
    <w:p w14:paraId="4AC3DA88" w14:textId="0AA12714"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Ehrhardt, M.C., </w:t>
      </w:r>
      <w:r>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22</w:t>
      </w:r>
      <w:r w:rsidR="00EB25DB">
        <w:rPr>
          <w:rFonts w:cs="Times New Roman"/>
          <w:color w:val="222222"/>
          <w:szCs w:val="24"/>
          <w:shd w:val="clear" w:color="auto" w:fill="FFFFFF"/>
        </w:rPr>
        <w:t>)</w:t>
      </w:r>
      <w:r w:rsidRPr="007C6A1B">
        <w:rPr>
          <w:rFonts w:cs="Times New Roman"/>
          <w:color w:val="222222"/>
          <w:szCs w:val="24"/>
          <w:shd w:val="clear" w:color="auto" w:fill="FFFFFF"/>
        </w:rPr>
        <w:t>. </w:t>
      </w:r>
      <w:r w:rsidRPr="007C6A1B">
        <w:rPr>
          <w:rFonts w:cs="Times New Roman"/>
          <w:i/>
          <w:iCs/>
          <w:color w:val="222222"/>
          <w:szCs w:val="24"/>
          <w:shd w:val="clear" w:color="auto" w:fill="FFFFFF"/>
        </w:rPr>
        <w:t>Financial management: theory and practice</w:t>
      </w:r>
      <w:r w:rsidRPr="007C6A1B">
        <w:rPr>
          <w:rFonts w:cs="Times New Roman"/>
          <w:color w:val="222222"/>
          <w:szCs w:val="24"/>
          <w:shd w:val="clear" w:color="auto" w:fill="FFFFFF"/>
        </w:rPr>
        <w:t>. USA.</w:t>
      </w:r>
    </w:p>
    <w:p w14:paraId="56A37EED" w14:textId="77777777"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Fabozzi, F.J. and Peterson, P.P., 20</w:t>
      </w:r>
      <w:r>
        <w:rPr>
          <w:rFonts w:cs="Times New Roman"/>
          <w:color w:val="222222"/>
          <w:szCs w:val="24"/>
          <w:shd w:val="clear" w:color="auto" w:fill="FFFFFF"/>
        </w:rPr>
        <w:t>2</w:t>
      </w:r>
      <w:r w:rsidRPr="007C6A1B">
        <w:rPr>
          <w:rFonts w:cs="Times New Roman"/>
          <w:color w:val="222222"/>
          <w:szCs w:val="24"/>
          <w:shd w:val="clear" w:color="auto" w:fill="FFFFFF"/>
        </w:rPr>
        <w:t>3. </w:t>
      </w:r>
      <w:r w:rsidRPr="007C6A1B">
        <w:rPr>
          <w:rFonts w:cs="Times New Roman"/>
          <w:i/>
          <w:iCs/>
          <w:color w:val="222222"/>
          <w:szCs w:val="24"/>
          <w:shd w:val="clear" w:color="auto" w:fill="FFFFFF"/>
        </w:rPr>
        <w:t>Financial management and analysis</w:t>
      </w:r>
      <w:r w:rsidRPr="007C6A1B">
        <w:rPr>
          <w:rFonts w:cs="Times New Roman"/>
          <w:color w:val="222222"/>
          <w:szCs w:val="24"/>
          <w:shd w:val="clear" w:color="auto" w:fill="FFFFFF"/>
        </w:rPr>
        <w:t> (Vol. 132). John Wiley &amp; Sons.</w:t>
      </w:r>
    </w:p>
    <w:p w14:paraId="59493D09" w14:textId="31A0FC6B" w:rsidR="00CB704D" w:rsidRPr="007C6A1B" w:rsidRDefault="00CB704D" w:rsidP="00CB704D">
      <w:pPr>
        <w:spacing w:line="360" w:lineRule="auto"/>
        <w:jc w:val="both"/>
        <w:rPr>
          <w:rFonts w:cs="Times New Roman"/>
          <w:color w:val="222222"/>
          <w:szCs w:val="24"/>
          <w:shd w:val="clear" w:color="auto" w:fill="FFFFFF"/>
        </w:rPr>
      </w:pPr>
      <w:proofErr w:type="spellStart"/>
      <w:r w:rsidRPr="007C6A1B">
        <w:rPr>
          <w:rFonts w:cs="Times New Roman"/>
          <w:color w:val="222222"/>
          <w:szCs w:val="24"/>
          <w:shd w:val="clear" w:color="auto" w:fill="FFFFFF"/>
        </w:rPr>
        <w:t>Grozdanovska</w:t>
      </w:r>
      <w:proofErr w:type="spellEnd"/>
      <w:r w:rsidRPr="007C6A1B">
        <w:rPr>
          <w:rFonts w:cs="Times New Roman"/>
          <w:color w:val="222222"/>
          <w:szCs w:val="24"/>
          <w:shd w:val="clear" w:color="auto" w:fill="FFFFFF"/>
        </w:rPr>
        <w:t xml:space="preserve">, V., </w:t>
      </w:r>
      <w:proofErr w:type="spellStart"/>
      <w:r w:rsidRPr="007C6A1B">
        <w:rPr>
          <w:rFonts w:cs="Times New Roman"/>
          <w:color w:val="222222"/>
          <w:szCs w:val="24"/>
          <w:shd w:val="clear" w:color="auto" w:fill="FFFFFF"/>
        </w:rPr>
        <w:t>Bojkovska</w:t>
      </w:r>
      <w:proofErr w:type="spellEnd"/>
      <w:r w:rsidRPr="007C6A1B">
        <w:rPr>
          <w:rFonts w:cs="Times New Roman"/>
          <w:color w:val="222222"/>
          <w:szCs w:val="24"/>
          <w:shd w:val="clear" w:color="auto" w:fill="FFFFFF"/>
        </w:rPr>
        <w:t xml:space="preserve">, K. and </w:t>
      </w:r>
      <w:proofErr w:type="spellStart"/>
      <w:r w:rsidRPr="007C6A1B">
        <w:rPr>
          <w:rFonts w:cs="Times New Roman"/>
          <w:color w:val="222222"/>
          <w:szCs w:val="24"/>
          <w:shd w:val="clear" w:color="auto" w:fill="FFFFFF"/>
        </w:rPr>
        <w:t>Jankulovski</w:t>
      </w:r>
      <w:proofErr w:type="spellEnd"/>
      <w:r w:rsidRPr="007C6A1B">
        <w:rPr>
          <w:rFonts w:cs="Times New Roman"/>
          <w:color w:val="222222"/>
          <w:szCs w:val="24"/>
          <w:shd w:val="clear" w:color="auto" w:fill="FFFFFF"/>
        </w:rPr>
        <w:t xml:space="preserve">, N.,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22</w:t>
      </w:r>
      <w:r w:rsidR="00EB25DB">
        <w:rPr>
          <w:rFonts w:cs="Times New Roman"/>
          <w:color w:val="222222"/>
          <w:szCs w:val="24"/>
          <w:shd w:val="clear" w:color="auto" w:fill="FFFFFF"/>
        </w:rPr>
        <w:t>)</w:t>
      </w:r>
      <w:r w:rsidRPr="007C6A1B">
        <w:rPr>
          <w:rFonts w:cs="Times New Roman"/>
          <w:color w:val="222222"/>
          <w:szCs w:val="24"/>
          <w:shd w:val="clear" w:color="auto" w:fill="FFFFFF"/>
        </w:rPr>
        <w:t>. Financial management and financial planning in the organizations. </w:t>
      </w:r>
      <w:r w:rsidRPr="007C6A1B">
        <w:rPr>
          <w:rFonts w:cs="Times New Roman"/>
          <w:i/>
          <w:iCs/>
          <w:color w:val="222222"/>
          <w:szCs w:val="24"/>
          <w:shd w:val="clear" w:color="auto" w:fill="FFFFFF"/>
        </w:rPr>
        <w:t>European Journal of Business and Management</w:t>
      </w:r>
      <w:r w:rsidRPr="007C6A1B">
        <w:rPr>
          <w:rFonts w:cs="Times New Roman"/>
          <w:color w:val="222222"/>
          <w:szCs w:val="24"/>
          <w:shd w:val="clear" w:color="auto" w:fill="FFFFFF"/>
        </w:rPr>
        <w:t>, </w:t>
      </w:r>
      <w:r w:rsidRPr="007C6A1B">
        <w:rPr>
          <w:rFonts w:cs="Times New Roman"/>
          <w:i/>
          <w:iCs/>
          <w:color w:val="222222"/>
          <w:szCs w:val="24"/>
          <w:shd w:val="clear" w:color="auto" w:fill="FFFFFF"/>
        </w:rPr>
        <w:t>9</w:t>
      </w:r>
      <w:r w:rsidRPr="007C6A1B">
        <w:rPr>
          <w:rFonts w:cs="Times New Roman"/>
          <w:color w:val="222222"/>
          <w:szCs w:val="24"/>
          <w:shd w:val="clear" w:color="auto" w:fill="FFFFFF"/>
        </w:rPr>
        <w:t>(02).</w:t>
      </w:r>
    </w:p>
    <w:p w14:paraId="69B77488" w14:textId="77777777"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Higgins, R.C., </w:t>
      </w:r>
      <w:r>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22)</w:t>
      </w:r>
      <w:r w:rsidRPr="007C6A1B">
        <w:rPr>
          <w:rFonts w:cs="Times New Roman"/>
          <w:color w:val="222222"/>
          <w:szCs w:val="24"/>
          <w:shd w:val="clear" w:color="auto" w:fill="FFFFFF"/>
        </w:rPr>
        <w:t>. </w:t>
      </w:r>
      <w:r w:rsidRPr="007C6A1B">
        <w:rPr>
          <w:rFonts w:cs="Times New Roman"/>
          <w:i/>
          <w:iCs/>
          <w:color w:val="222222"/>
          <w:szCs w:val="24"/>
          <w:shd w:val="clear" w:color="auto" w:fill="FFFFFF"/>
        </w:rPr>
        <w:t>Analysis for financial management</w:t>
      </w:r>
      <w:r w:rsidRPr="007C6A1B">
        <w:rPr>
          <w:rFonts w:cs="Times New Roman"/>
          <w:color w:val="222222"/>
          <w:szCs w:val="24"/>
          <w:shd w:val="clear" w:color="auto" w:fill="FFFFFF"/>
        </w:rPr>
        <w:t>. McGraw-Hill.</w:t>
      </w:r>
    </w:p>
    <w:p w14:paraId="3DFE85AF" w14:textId="11A464D0"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Karadag, H.,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22</w:t>
      </w:r>
      <w:r w:rsidR="00EB25DB">
        <w:rPr>
          <w:rFonts w:cs="Times New Roman"/>
          <w:color w:val="222222"/>
          <w:szCs w:val="24"/>
          <w:shd w:val="clear" w:color="auto" w:fill="FFFFFF"/>
        </w:rPr>
        <w:t>)</w:t>
      </w:r>
      <w:r w:rsidRPr="007C6A1B">
        <w:rPr>
          <w:rFonts w:cs="Times New Roman"/>
          <w:color w:val="222222"/>
          <w:szCs w:val="24"/>
          <w:shd w:val="clear" w:color="auto" w:fill="FFFFFF"/>
        </w:rPr>
        <w:t>. Financial management challenges in small and medium-sized enterprises: A strategic management approach. </w:t>
      </w:r>
      <w:r w:rsidRPr="007C6A1B">
        <w:rPr>
          <w:rFonts w:cs="Times New Roman"/>
          <w:i/>
          <w:iCs/>
          <w:color w:val="222222"/>
          <w:szCs w:val="24"/>
          <w:shd w:val="clear" w:color="auto" w:fill="FFFFFF"/>
        </w:rPr>
        <w:t>EMAJ: Emerging Markets Journal</w:t>
      </w:r>
      <w:r w:rsidRPr="007C6A1B">
        <w:rPr>
          <w:rFonts w:cs="Times New Roman"/>
          <w:color w:val="222222"/>
          <w:szCs w:val="24"/>
          <w:shd w:val="clear" w:color="auto" w:fill="FFFFFF"/>
        </w:rPr>
        <w:t>, </w:t>
      </w:r>
      <w:r w:rsidRPr="007C6A1B">
        <w:rPr>
          <w:rFonts w:cs="Times New Roman"/>
          <w:i/>
          <w:iCs/>
          <w:color w:val="222222"/>
          <w:szCs w:val="24"/>
          <w:shd w:val="clear" w:color="auto" w:fill="FFFFFF"/>
        </w:rPr>
        <w:t>5</w:t>
      </w:r>
      <w:r w:rsidRPr="007C6A1B">
        <w:rPr>
          <w:rFonts w:cs="Times New Roman"/>
          <w:color w:val="222222"/>
          <w:szCs w:val="24"/>
          <w:shd w:val="clear" w:color="auto" w:fill="FFFFFF"/>
        </w:rPr>
        <w:t>(1), pp.26-40.</w:t>
      </w:r>
    </w:p>
    <w:p w14:paraId="685B6336" w14:textId="519FD110"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Mulhern, F.J., </w:t>
      </w:r>
      <w:r w:rsidR="00EB25DB">
        <w:rPr>
          <w:rFonts w:cs="Times New Roman"/>
          <w:color w:val="222222"/>
          <w:szCs w:val="24"/>
          <w:shd w:val="clear" w:color="auto" w:fill="FFFFFF"/>
        </w:rPr>
        <w:t>(</w:t>
      </w:r>
      <w:r>
        <w:rPr>
          <w:rFonts w:cs="Times New Roman"/>
          <w:color w:val="222222"/>
          <w:szCs w:val="24"/>
          <w:shd w:val="clear" w:color="auto" w:fill="FFFFFF"/>
        </w:rPr>
        <w:t>2023</w:t>
      </w:r>
      <w:r w:rsidR="00EB25DB">
        <w:rPr>
          <w:rFonts w:cs="Times New Roman"/>
          <w:color w:val="222222"/>
          <w:szCs w:val="24"/>
          <w:shd w:val="clear" w:color="auto" w:fill="FFFFFF"/>
        </w:rPr>
        <w:t>)</w:t>
      </w:r>
      <w:r w:rsidRPr="007C6A1B">
        <w:rPr>
          <w:rFonts w:cs="Times New Roman"/>
          <w:color w:val="222222"/>
          <w:szCs w:val="24"/>
          <w:shd w:val="clear" w:color="auto" w:fill="FFFFFF"/>
        </w:rPr>
        <w:t>. Customer profitability analysis: Measurement, concentration, and research directions. </w:t>
      </w:r>
      <w:r w:rsidRPr="007C6A1B">
        <w:rPr>
          <w:rFonts w:cs="Times New Roman"/>
          <w:i/>
          <w:iCs/>
          <w:color w:val="222222"/>
          <w:szCs w:val="24"/>
          <w:shd w:val="clear" w:color="auto" w:fill="FFFFFF"/>
        </w:rPr>
        <w:t>Journal of interactive marketing</w:t>
      </w:r>
      <w:r w:rsidRPr="007C6A1B">
        <w:rPr>
          <w:rFonts w:cs="Times New Roman"/>
          <w:color w:val="222222"/>
          <w:szCs w:val="24"/>
          <w:shd w:val="clear" w:color="auto" w:fill="FFFFFF"/>
        </w:rPr>
        <w:t>, </w:t>
      </w:r>
      <w:r w:rsidRPr="007C6A1B">
        <w:rPr>
          <w:rFonts w:cs="Times New Roman"/>
          <w:i/>
          <w:iCs/>
          <w:color w:val="222222"/>
          <w:szCs w:val="24"/>
          <w:shd w:val="clear" w:color="auto" w:fill="FFFFFF"/>
        </w:rPr>
        <w:t>13</w:t>
      </w:r>
      <w:r w:rsidRPr="007C6A1B">
        <w:rPr>
          <w:rFonts w:cs="Times New Roman"/>
          <w:color w:val="222222"/>
          <w:szCs w:val="24"/>
          <w:shd w:val="clear" w:color="auto" w:fill="FFFFFF"/>
        </w:rPr>
        <w:t>(1), pp.25-40.</w:t>
      </w:r>
    </w:p>
    <w:p w14:paraId="14FA0A40" w14:textId="35A99627"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lastRenderedPageBreak/>
        <w:t xml:space="preserve">Nissim, D. and Penman, S.H.,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w:t>
      </w:r>
      <w:r w:rsidRPr="007C6A1B">
        <w:rPr>
          <w:rFonts w:cs="Times New Roman"/>
          <w:color w:val="222222"/>
          <w:szCs w:val="24"/>
          <w:shd w:val="clear" w:color="auto" w:fill="FFFFFF"/>
        </w:rPr>
        <w:t>3</w:t>
      </w:r>
      <w:r w:rsidR="00EB25DB">
        <w:rPr>
          <w:rFonts w:cs="Times New Roman"/>
          <w:color w:val="222222"/>
          <w:szCs w:val="24"/>
          <w:shd w:val="clear" w:color="auto" w:fill="FFFFFF"/>
        </w:rPr>
        <w:t>)</w:t>
      </w:r>
      <w:r w:rsidRPr="007C6A1B">
        <w:rPr>
          <w:rFonts w:cs="Times New Roman"/>
          <w:color w:val="222222"/>
          <w:szCs w:val="24"/>
          <w:shd w:val="clear" w:color="auto" w:fill="FFFFFF"/>
        </w:rPr>
        <w:t>. Financial statement analysis of leverage and how it informs about profitability and price-to-book ratios. </w:t>
      </w:r>
      <w:r w:rsidRPr="007C6A1B">
        <w:rPr>
          <w:rFonts w:cs="Times New Roman"/>
          <w:i/>
          <w:iCs/>
          <w:color w:val="222222"/>
          <w:szCs w:val="24"/>
          <w:shd w:val="clear" w:color="auto" w:fill="FFFFFF"/>
        </w:rPr>
        <w:t>Review of accounting studies</w:t>
      </w:r>
      <w:r w:rsidRPr="007C6A1B">
        <w:rPr>
          <w:rFonts w:cs="Times New Roman"/>
          <w:color w:val="222222"/>
          <w:szCs w:val="24"/>
          <w:shd w:val="clear" w:color="auto" w:fill="FFFFFF"/>
        </w:rPr>
        <w:t>, </w:t>
      </w:r>
      <w:r w:rsidRPr="007C6A1B">
        <w:rPr>
          <w:rFonts w:cs="Times New Roman"/>
          <w:i/>
          <w:iCs/>
          <w:color w:val="222222"/>
          <w:szCs w:val="24"/>
          <w:shd w:val="clear" w:color="auto" w:fill="FFFFFF"/>
        </w:rPr>
        <w:t>8</w:t>
      </w:r>
      <w:r w:rsidRPr="007C6A1B">
        <w:rPr>
          <w:rFonts w:cs="Times New Roman"/>
          <w:color w:val="222222"/>
          <w:szCs w:val="24"/>
          <w:shd w:val="clear" w:color="auto" w:fill="FFFFFF"/>
        </w:rPr>
        <w:t>, pp.531-560.</w:t>
      </w:r>
    </w:p>
    <w:p w14:paraId="576807D9" w14:textId="45F21C87"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Paramasivan, C., </w:t>
      </w:r>
      <w:r>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22</w:t>
      </w:r>
      <w:r w:rsidR="00EB25DB">
        <w:rPr>
          <w:rFonts w:cs="Times New Roman"/>
          <w:color w:val="222222"/>
          <w:szCs w:val="24"/>
          <w:shd w:val="clear" w:color="auto" w:fill="FFFFFF"/>
        </w:rPr>
        <w:t>)</w:t>
      </w:r>
      <w:r w:rsidRPr="007C6A1B">
        <w:rPr>
          <w:rFonts w:cs="Times New Roman"/>
          <w:color w:val="222222"/>
          <w:szCs w:val="24"/>
          <w:shd w:val="clear" w:color="auto" w:fill="FFFFFF"/>
        </w:rPr>
        <w:t>. </w:t>
      </w:r>
      <w:r w:rsidRPr="007C6A1B">
        <w:rPr>
          <w:rFonts w:cs="Times New Roman"/>
          <w:i/>
          <w:iCs/>
          <w:color w:val="222222"/>
          <w:szCs w:val="24"/>
          <w:shd w:val="clear" w:color="auto" w:fill="FFFFFF"/>
        </w:rPr>
        <w:t>Financial management</w:t>
      </w:r>
      <w:r w:rsidRPr="007C6A1B">
        <w:rPr>
          <w:rFonts w:cs="Times New Roman"/>
          <w:color w:val="222222"/>
          <w:szCs w:val="24"/>
          <w:shd w:val="clear" w:color="auto" w:fill="FFFFFF"/>
        </w:rPr>
        <w:t>. New age international.</w:t>
      </w:r>
    </w:p>
    <w:p w14:paraId="4D01FE6D" w14:textId="52BE807C"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Petty, J.W., Titman, S., Keown, A.J., Martin, P., Martin, J.D. and Burrow, M.,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sidR="00EB25DB">
        <w:rPr>
          <w:rFonts w:cs="Times New Roman"/>
          <w:color w:val="222222"/>
          <w:szCs w:val="24"/>
          <w:shd w:val="clear" w:color="auto" w:fill="FFFFFF"/>
        </w:rPr>
        <w:t>22)</w:t>
      </w:r>
      <w:r w:rsidRPr="007C6A1B">
        <w:rPr>
          <w:rFonts w:cs="Times New Roman"/>
          <w:color w:val="222222"/>
          <w:szCs w:val="24"/>
          <w:shd w:val="clear" w:color="auto" w:fill="FFFFFF"/>
        </w:rPr>
        <w:t>. </w:t>
      </w:r>
      <w:r w:rsidRPr="007C6A1B">
        <w:rPr>
          <w:rFonts w:cs="Times New Roman"/>
          <w:i/>
          <w:iCs/>
          <w:color w:val="222222"/>
          <w:szCs w:val="24"/>
          <w:shd w:val="clear" w:color="auto" w:fill="FFFFFF"/>
        </w:rPr>
        <w:t>Financial management: Principles and applications</w:t>
      </w:r>
      <w:r w:rsidRPr="007C6A1B">
        <w:rPr>
          <w:rFonts w:cs="Times New Roman"/>
          <w:color w:val="222222"/>
          <w:szCs w:val="24"/>
          <w:shd w:val="clear" w:color="auto" w:fill="FFFFFF"/>
        </w:rPr>
        <w:t>. Pearson Higher Education AU.</w:t>
      </w:r>
    </w:p>
    <w:p w14:paraId="608A7955" w14:textId="3C9B8527" w:rsidR="00CB704D" w:rsidRPr="007C6A1B" w:rsidRDefault="00CB704D" w:rsidP="00CB704D">
      <w:pPr>
        <w:spacing w:line="360" w:lineRule="auto"/>
        <w:jc w:val="both"/>
        <w:rPr>
          <w:rFonts w:cs="Times New Roman"/>
          <w:color w:val="222222"/>
          <w:szCs w:val="24"/>
          <w:shd w:val="clear" w:color="auto" w:fill="FFFFFF"/>
        </w:rPr>
      </w:pPr>
      <w:proofErr w:type="spellStart"/>
      <w:r w:rsidRPr="007C6A1B">
        <w:rPr>
          <w:rFonts w:cs="Times New Roman"/>
          <w:color w:val="222222"/>
          <w:szCs w:val="24"/>
          <w:shd w:val="clear" w:color="auto" w:fill="FFFFFF"/>
        </w:rPr>
        <w:t>Silbergh</w:t>
      </w:r>
      <w:proofErr w:type="spellEnd"/>
      <w:r w:rsidRPr="007C6A1B">
        <w:rPr>
          <w:rFonts w:cs="Times New Roman"/>
          <w:color w:val="222222"/>
          <w:szCs w:val="24"/>
          <w:shd w:val="clear" w:color="auto" w:fill="FFFFFF"/>
        </w:rPr>
        <w:t xml:space="preserve">, M. and Brons, F., </w:t>
      </w:r>
      <w:r w:rsidR="00EB25DB">
        <w:rPr>
          <w:rFonts w:cs="Times New Roman"/>
          <w:color w:val="222222"/>
          <w:szCs w:val="24"/>
          <w:shd w:val="clear" w:color="auto" w:fill="FFFFFF"/>
        </w:rPr>
        <w:t>(</w:t>
      </w:r>
      <w:r>
        <w:rPr>
          <w:rFonts w:cs="Times New Roman"/>
          <w:color w:val="222222"/>
          <w:szCs w:val="24"/>
          <w:shd w:val="clear" w:color="auto" w:fill="FFFFFF"/>
        </w:rPr>
        <w:t>2022</w:t>
      </w:r>
      <w:r w:rsidR="00EB25DB">
        <w:rPr>
          <w:rFonts w:cs="Times New Roman"/>
          <w:color w:val="222222"/>
          <w:szCs w:val="24"/>
          <w:shd w:val="clear" w:color="auto" w:fill="FFFFFF"/>
        </w:rPr>
        <w:t>)</w:t>
      </w:r>
      <w:r w:rsidRPr="007C6A1B">
        <w:rPr>
          <w:rFonts w:cs="Times New Roman"/>
          <w:color w:val="222222"/>
          <w:szCs w:val="24"/>
          <w:shd w:val="clear" w:color="auto" w:fill="FFFFFF"/>
        </w:rPr>
        <w:t>. Profitability Analysis-Where Are We Now?. </w:t>
      </w:r>
      <w:r w:rsidRPr="007C6A1B">
        <w:rPr>
          <w:rFonts w:cs="Times New Roman"/>
          <w:i/>
          <w:iCs/>
          <w:color w:val="222222"/>
          <w:szCs w:val="24"/>
          <w:shd w:val="clear" w:color="auto" w:fill="FFFFFF"/>
        </w:rPr>
        <w:t>Journal of Petroleum Technology</w:t>
      </w:r>
      <w:r w:rsidRPr="007C6A1B">
        <w:rPr>
          <w:rFonts w:cs="Times New Roman"/>
          <w:color w:val="222222"/>
          <w:szCs w:val="24"/>
          <w:shd w:val="clear" w:color="auto" w:fill="FFFFFF"/>
        </w:rPr>
        <w:t>, </w:t>
      </w:r>
      <w:r w:rsidRPr="007C6A1B">
        <w:rPr>
          <w:rFonts w:cs="Times New Roman"/>
          <w:i/>
          <w:iCs/>
          <w:color w:val="222222"/>
          <w:szCs w:val="24"/>
          <w:shd w:val="clear" w:color="auto" w:fill="FFFFFF"/>
        </w:rPr>
        <w:t>24</w:t>
      </w:r>
      <w:r w:rsidRPr="007C6A1B">
        <w:rPr>
          <w:rFonts w:cs="Times New Roman"/>
          <w:color w:val="222222"/>
          <w:szCs w:val="24"/>
          <w:shd w:val="clear" w:color="auto" w:fill="FFFFFF"/>
        </w:rPr>
        <w:t>(01), pp.90-100.</w:t>
      </w:r>
    </w:p>
    <w:p w14:paraId="3B5D94A3" w14:textId="5AA428FB" w:rsidR="00CB704D" w:rsidRPr="007C6A1B" w:rsidRDefault="00CB704D" w:rsidP="00CB704D">
      <w:pPr>
        <w:spacing w:line="360" w:lineRule="auto"/>
        <w:jc w:val="both"/>
        <w:rPr>
          <w:rFonts w:cs="Times New Roman"/>
          <w:color w:val="222222"/>
          <w:szCs w:val="24"/>
          <w:shd w:val="clear" w:color="auto" w:fill="FFFFFF"/>
        </w:rPr>
      </w:pPr>
      <w:proofErr w:type="spellStart"/>
      <w:r w:rsidRPr="007C6A1B">
        <w:rPr>
          <w:rFonts w:cs="Times New Roman"/>
          <w:color w:val="222222"/>
          <w:szCs w:val="24"/>
          <w:shd w:val="clear" w:color="auto" w:fill="FFFFFF"/>
        </w:rPr>
        <w:t>Sukenti</w:t>
      </w:r>
      <w:proofErr w:type="spellEnd"/>
      <w:r w:rsidRPr="007C6A1B">
        <w:rPr>
          <w:rFonts w:cs="Times New Roman"/>
          <w:color w:val="222222"/>
          <w:szCs w:val="24"/>
          <w:shd w:val="clear" w:color="auto" w:fill="FFFFFF"/>
        </w:rPr>
        <w:t xml:space="preserve">, S., </w:t>
      </w:r>
      <w:r w:rsidR="00EB25DB">
        <w:rPr>
          <w:rFonts w:cs="Times New Roman"/>
          <w:color w:val="222222"/>
          <w:szCs w:val="24"/>
          <w:shd w:val="clear" w:color="auto" w:fill="FFFFFF"/>
        </w:rPr>
        <w:t>(</w:t>
      </w:r>
      <w:r w:rsidRPr="007C6A1B">
        <w:rPr>
          <w:rFonts w:cs="Times New Roman"/>
          <w:color w:val="222222"/>
          <w:szCs w:val="24"/>
          <w:shd w:val="clear" w:color="auto" w:fill="FFFFFF"/>
        </w:rPr>
        <w:t>2023</w:t>
      </w:r>
      <w:r w:rsidR="00EB25DB">
        <w:rPr>
          <w:rFonts w:cs="Times New Roman"/>
          <w:color w:val="222222"/>
          <w:szCs w:val="24"/>
          <w:shd w:val="clear" w:color="auto" w:fill="FFFFFF"/>
        </w:rPr>
        <w:t>)</w:t>
      </w:r>
      <w:r w:rsidRPr="007C6A1B">
        <w:rPr>
          <w:rFonts w:cs="Times New Roman"/>
          <w:color w:val="222222"/>
          <w:szCs w:val="24"/>
          <w:shd w:val="clear" w:color="auto" w:fill="FFFFFF"/>
        </w:rPr>
        <w:t>. Financial Management Concepts: A Review. </w:t>
      </w:r>
      <w:r w:rsidRPr="007C6A1B">
        <w:rPr>
          <w:rFonts w:cs="Times New Roman"/>
          <w:i/>
          <w:iCs/>
          <w:color w:val="222222"/>
          <w:szCs w:val="24"/>
          <w:shd w:val="clear" w:color="auto" w:fill="FFFFFF"/>
        </w:rPr>
        <w:t>Journal of Contemporary Administration and Management (ADMAN)</w:t>
      </w:r>
      <w:r w:rsidRPr="007C6A1B">
        <w:rPr>
          <w:rFonts w:cs="Times New Roman"/>
          <w:color w:val="222222"/>
          <w:szCs w:val="24"/>
          <w:shd w:val="clear" w:color="auto" w:fill="FFFFFF"/>
        </w:rPr>
        <w:t>, </w:t>
      </w:r>
      <w:r w:rsidRPr="007C6A1B">
        <w:rPr>
          <w:rFonts w:cs="Times New Roman"/>
          <w:i/>
          <w:iCs/>
          <w:color w:val="222222"/>
          <w:szCs w:val="24"/>
          <w:shd w:val="clear" w:color="auto" w:fill="FFFFFF"/>
        </w:rPr>
        <w:t>1</w:t>
      </w:r>
      <w:r w:rsidRPr="007C6A1B">
        <w:rPr>
          <w:rFonts w:cs="Times New Roman"/>
          <w:color w:val="222222"/>
          <w:szCs w:val="24"/>
          <w:shd w:val="clear" w:color="auto" w:fill="FFFFFF"/>
        </w:rPr>
        <w:t>(1), pp.13-16.</w:t>
      </w:r>
    </w:p>
    <w:p w14:paraId="101BF421" w14:textId="325AEE1B" w:rsidR="00CB704D" w:rsidRPr="007C6A1B" w:rsidRDefault="00CB704D" w:rsidP="00CB704D">
      <w:pPr>
        <w:spacing w:line="360" w:lineRule="auto"/>
        <w:jc w:val="both"/>
        <w:rPr>
          <w:rFonts w:cs="Times New Roman"/>
          <w:color w:val="222222"/>
          <w:szCs w:val="24"/>
          <w:shd w:val="clear" w:color="auto" w:fill="FFFFFF"/>
        </w:rPr>
      </w:pPr>
      <w:r w:rsidRPr="007C6A1B">
        <w:rPr>
          <w:rFonts w:cs="Times New Roman"/>
          <w:color w:val="222222"/>
          <w:szCs w:val="24"/>
          <w:shd w:val="clear" w:color="auto" w:fill="FFFFFF"/>
        </w:rPr>
        <w:t xml:space="preserve">Tsai, H., Pan, S. and Lee, J., </w:t>
      </w:r>
      <w:r w:rsidR="00EB25DB">
        <w:rPr>
          <w:rFonts w:cs="Times New Roman"/>
          <w:color w:val="222222"/>
          <w:szCs w:val="24"/>
          <w:shd w:val="clear" w:color="auto" w:fill="FFFFFF"/>
        </w:rPr>
        <w:t>(</w:t>
      </w:r>
      <w:r w:rsidRPr="007C6A1B">
        <w:rPr>
          <w:rFonts w:cs="Times New Roman"/>
          <w:color w:val="222222"/>
          <w:szCs w:val="24"/>
          <w:shd w:val="clear" w:color="auto" w:fill="FFFFFF"/>
        </w:rPr>
        <w:t>20</w:t>
      </w:r>
      <w:r>
        <w:rPr>
          <w:rFonts w:cs="Times New Roman"/>
          <w:color w:val="222222"/>
          <w:szCs w:val="24"/>
          <w:shd w:val="clear" w:color="auto" w:fill="FFFFFF"/>
        </w:rPr>
        <w:t>22</w:t>
      </w:r>
      <w:r w:rsidR="00EB25DB">
        <w:rPr>
          <w:rFonts w:cs="Times New Roman"/>
          <w:color w:val="222222"/>
          <w:szCs w:val="24"/>
          <w:shd w:val="clear" w:color="auto" w:fill="FFFFFF"/>
        </w:rPr>
        <w:t>)</w:t>
      </w:r>
      <w:r w:rsidRPr="007C6A1B">
        <w:rPr>
          <w:rFonts w:cs="Times New Roman"/>
          <w:color w:val="222222"/>
          <w:szCs w:val="24"/>
          <w:shd w:val="clear" w:color="auto" w:fill="FFFFFF"/>
        </w:rPr>
        <w:t>. Recent research in hospitality financial management. </w:t>
      </w:r>
      <w:r w:rsidRPr="007C6A1B">
        <w:rPr>
          <w:rFonts w:cs="Times New Roman"/>
          <w:i/>
          <w:iCs/>
          <w:color w:val="222222"/>
          <w:szCs w:val="24"/>
          <w:shd w:val="clear" w:color="auto" w:fill="FFFFFF"/>
        </w:rPr>
        <w:t>International Journal of Contemporary Hospitality Management</w:t>
      </w:r>
      <w:r w:rsidRPr="007C6A1B">
        <w:rPr>
          <w:rFonts w:cs="Times New Roman"/>
          <w:color w:val="222222"/>
          <w:szCs w:val="24"/>
          <w:shd w:val="clear" w:color="auto" w:fill="FFFFFF"/>
        </w:rPr>
        <w:t>, </w:t>
      </w:r>
      <w:r w:rsidRPr="007C6A1B">
        <w:rPr>
          <w:rFonts w:cs="Times New Roman"/>
          <w:i/>
          <w:iCs/>
          <w:color w:val="222222"/>
          <w:szCs w:val="24"/>
          <w:shd w:val="clear" w:color="auto" w:fill="FFFFFF"/>
        </w:rPr>
        <w:t>23</w:t>
      </w:r>
      <w:r w:rsidRPr="007C6A1B">
        <w:rPr>
          <w:rFonts w:cs="Times New Roman"/>
          <w:color w:val="222222"/>
          <w:szCs w:val="24"/>
          <w:shd w:val="clear" w:color="auto" w:fill="FFFFFF"/>
        </w:rPr>
        <w:t>(7), pp.941-971.</w:t>
      </w:r>
    </w:p>
    <w:p w14:paraId="61C8C5FD" w14:textId="77777777" w:rsidR="00CB704D" w:rsidRPr="00CB704D" w:rsidRDefault="00CB704D" w:rsidP="00CB704D"/>
    <w:p w14:paraId="160F07C6" w14:textId="77777777" w:rsidR="00CB704D" w:rsidRDefault="00CB704D" w:rsidP="00D83803"/>
    <w:p w14:paraId="4FE80C48" w14:textId="77777777" w:rsidR="00D83803" w:rsidRDefault="00D83803" w:rsidP="00D83803"/>
    <w:p w14:paraId="30D3D30C" w14:textId="77777777" w:rsidR="00F8713E" w:rsidRDefault="00F8713E" w:rsidP="00F8713E"/>
    <w:p w14:paraId="495438F8" w14:textId="77777777" w:rsidR="00F8713E" w:rsidRDefault="00F8713E" w:rsidP="00F8713E"/>
    <w:p w14:paraId="6193D299" w14:textId="77777777" w:rsidR="00F8713E" w:rsidRPr="001363F1" w:rsidRDefault="00F8713E" w:rsidP="00F8713E"/>
    <w:sectPr w:rsidR="00F8713E" w:rsidRPr="001363F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92AB3" w14:textId="77777777" w:rsidR="00DF1195" w:rsidRDefault="00DF1195" w:rsidP="00644F39">
      <w:pPr>
        <w:spacing w:before="0" w:after="0" w:line="240" w:lineRule="auto"/>
      </w:pPr>
      <w:r>
        <w:separator/>
      </w:r>
    </w:p>
  </w:endnote>
  <w:endnote w:type="continuationSeparator" w:id="0">
    <w:p w14:paraId="53D9585D" w14:textId="77777777" w:rsidR="00DF1195" w:rsidRDefault="00DF1195" w:rsidP="00644F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22394" w14:textId="77777777" w:rsidR="00644F39" w:rsidRDefault="00644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DFF98" w14:textId="77777777" w:rsidR="00DF1195" w:rsidRDefault="00DF1195" w:rsidP="00644F39">
      <w:pPr>
        <w:spacing w:before="0" w:after="0" w:line="240" w:lineRule="auto"/>
      </w:pPr>
      <w:r>
        <w:separator/>
      </w:r>
    </w:p>
  </w:footnote>
  <w:footnote w:type="continuationSeparator" w:id="0">
    <w:p w14:paraId="3388D7BF" w14:textId="77777777" w:rsidR="00DF1195" w:rsidRDefault="00DF1195" w:rsidP="00644F3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3D4E5A"/>
    <w:multiLevelType w:val="hybridMultilevel"/>
    <w:tmpl w:val="4D3C85C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7455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83C"/>
    <w:rsid w:val="000435A8"/>
    <w:rsid w:val="000C0828"/>
    <w:rsid w:val="000C76C3"/>
    <w:rsid w:val="001363F1"/>
    <w:rsid w:val="001D6509"/>
    <w:rsid w:val="001D68C5"/>
    <w:rsid w:val="0021031D"/>
    <w:rsid w:val="00274FD2"/>
    <w:rsid w:val="002C4980"/>
    <w:rsid w:val="002E4777"/>
    <w:rsid w:val="003A0E76"/>
    <w:rsid w:val="003C253D"/>
    <w:rsid w:val="004A44F2"/>
    <w:rsid w:val="004E5ADB"/>
    <w:rsid w:val="0050496B"/>
    <w:rsid w:val="00524FBD"/>
    <w:rsid w:val="005A05FC"/>
    <w:rsid w:val="00644F39"/>
    <w:rsid w:val="006D7EFA"/>
    <w:rsid w:val="007B634F"/>
    <w:rsid w:val="00816EAD"/>
    <w:rsid w:val="008D566F"/>
    <w:rsid w:val="008F4CEC"/>
    <w:rsid w:val="00A2283C"/>
    <w:rsid w:val="00BB0649"/>
    <w:rsid w:val="00C06222"/>
    <w:rsid w:val="00CB704D"/>
    <w:rsid w:val="00D83803"/>
    <w:rsid w:val="00DF1195"/>
    <w:rsid w:val="00EB25DB"/>
    <w:rsid w:val="00F71F62"/>
    <w:rsid w:val="00F871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BC181"/>
  <w15:chartTrackingRefBased/>
  <w15:docId w15:val="{9C9FFF2D-00FB-4651-A561-B65B11756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828"/>
    <w:pPr>
      <w:spacing w:before="180" w:after="180" w:line="276"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C76C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after="0" w:line="360" w:lineRule="auto"/>
      <w:jc w:val="both"/>
      <w:outlineLvl w:val="3"/>
    </w:pPr>
    <w:rPr>
      <w:rFonts w:eastAsiaTheme="majorEastAsia" w:cstheme="majorBidi"/>
      <w:i/>
      <w:iCs/>
      <w:color w:val="2F5496" w:themeColor="accent1" w:themeShade="BF"/>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table" w:styleId="TableGrid">
    <w:name w:val="Table Grid"/>
    <w:basedOn w:val="TableNormal"/>
    <w:uiPriority w:val="39"/>
    <w:rsid w:val="00504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031D"/>
    <w:pPr>
      <w:ind w:left="720"/>
      <w:contextualSpacing/>
    </w:pPr>
  </w:style>
  <w:style w:type="paragraph" w:styleId="Header">
    <w:name w:val="header"/>
    <w:basedOn w:val="Normal"/>
    <w:link w:val="HeaderChar"/>
    <w:uiPriority w:val="99"/>
    <w:unhideWhenUsed/>
    <w:rsid w:val="00644F3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44F39"/>
    <w:rPr>
      <w:rFonts w:ascii="Times New Roman" w:hAnsi="Times New Roman"/>
      <w:kern w:val="0"/>
      <w:sz w:val="24"/>
      <w:lang w:val="en-GB"/>
      <w14:ligatures w14:val="none"/>
    </w:rPr>
  </w:style>
  <w:style w:type="paragraph" w:styleId="Footer">
    <w:name w:val="footer"/>
    <w:basedOn w:val="Normal"/>
    <w:link w:val="FooterChar"/>
    <w:uiPriority w:val="99"/>
    <w:unhideWhenUsed/>
    <w:rsid w:val="00644F3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44F39"/>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644F39"/>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44F39"/>
    <w:pPr>
      <w:spacing w:after="100"/>
    </w:pPr>
  </w:style>
  <w:style w:type="paragraph" w:styleId="TOC2">
    <w:name w:val="toc 2"/>
    <w:basedOn w:val="Normal"/>
    <w:next w:val="Normal"/>
    <w:autoRedefine/>
    <w:uiPriority w:val="39"/>
    <w:unhideWhenUsed/>
    <w:rsid w:val="00644F39"/>
    <w:pPr>
      <w:spacing w:after="100"/>
      <w:ind w:left="240"/>
    </w:pPr>
  </w:style>
  <w:style w:type="character" w:styleId="Hyperlink">
    <w:name w:val="Hyperlink"/>
    <w:basedOn w:val="DefaultParagraphFont"/>
    <w:uiPriority w:val="99"/>
    <w:unhideWhenUsed/>
    <w:rsid w:val="00644F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Net</a:t>
            </a:r>
            <a:r>
              <a:rPr lang="en-US" b="1" baseline="0"/>
              <a:t> Profit Margin</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Sheet1!$A$8</c:f>
              <c:strCache>
                <c:ptCount val="1"/>
                <c:pt idx="0">
                  <c:v>Year</c:v>
                </c:pt>
              </c:strCache>
            </c:strRef>
          </c:tx>
          <c:spPr>
            <a:solidFill>
              <a:schemeClr val="accent1"/>
            </a:solidFill>
            <a:ln>
              <a:noFill/>
            </a:ln>
            <a:effectLst/>
          </c:spPr>
          <c:invertIfNegative val="0"/>
          <c:val>
            <c:numRef>
              <c:f>Sheet1!$A$9:$A$11</c:f>
              <c:numCache>
                <c:formatCode>General</c:formatCode>
                <c:ptCount val="3"/>
                <c:pt idx="0">
                  <c:v>2020</c:v>
                </c:pt>
                <c:pt idx="1">
                  <c:v>2021</c:v>
                </c:pt>
                <c:pt idx="2">
                  <c:v>2022</c:v>
                </c:pt>
              </c:numCache>
            </c:numRef>
          </c:val>
          <c:extLst>
            <c:ext xmlns:c16="http://schemas.microsoft.com/office/drawing/2014/chart" uri="{C3380CC4-5D6E-409C-BE32-E72D297353CC}">
              <c16:uniqueId val="{00000000-C5AB-44FB-ABAD-08F50151E517}"/>
            </c:ext>
          </c:extLst>
        </c:ser>
        <c:dLbls>
          <c:showLegendKey val="0"/>
          <c:showVal val="0"/>
          <c:showCatName val="0"/>
          <c:showSerName val="0"/>
          <c:showPercent val="0"/>
          <c:showBubbleSize val="0"/>
        </c:dLbls>
        <c:gapWidth val="219"/>
        <c:overlap val="-27"/>
        <c:axId val="1050665536"/>
        <c:axId val="1050554448"/>
      </c:barChart>
      <c:lineChart>
        <c:grouping val="standard"/>
        <c:varyColors val="0"/>
        <c:ser>
          <c:idx val="1"/>
          <c:order val="1"/>
          <c:tx>
            <c:strRef>
              <c:f>Sheet1!$B$8</c:f>
              <c:strCache>
                <c:ptCount val="1"/>
                <c:pt idx="0">
                  <c:v>Profit</c:v>
                </c:pt>
              </c:strCache>
            </c:strRef>
          </c:tx>
          <c:spPr>
            <a:ln w="28575" cap="rnd">
              <a:solidFill>
                <a:schemeClr val="accent2"/>
              </a:solidFill>
              <a:round/>
            </a:ln>
            <a:effectLst/>
          </c:spPr>
          <c:marker>
            <c:symbol val="none"/>
          </c:marker>
          <c:val>
            <c:numRef>
              <c:f>Sheet1!$B$9:$B$11</c:f>
              <c:numCache>
                <c:formatCode>0%</c:formatCode>
                <c:ptCount val="3"/>
                <c:pt idx="0">
                  <c:v>0.15</c:v>
                </c:pt>
                <c:pt idx="1">
                  <c:v>0.08</c:v>
                </c:pt>
                <c:pt idx="2">
                  <c:v>-0.11</c:v>
                </c:pt>
              </c:numCache>
            </c:numRef>
          </c:val>
          <c:smooth val="0"/>
          <c:extLst>
            <c:ext xmlns:c16="http://schemas.microsoft.com/office/drawing/2014/chart" uri="{C3380CC4-5D6E-409C-BE32-E72D297353CC}">
              <c16:uniqueId val="{00000001-C5AB-44FB-ABAD-08F50151E517}"/>
            </c:ext>
          </c:extLst>
        </c:ser>
        <c:dLbls>
          <c:showLegendKey val="0"/>
          <c:showVal val="0"/>
          <c:showCatName val="0"/>
          <c:showSerName val="0"/>
          <c:showPercent val="0"/>
          <c:showBubbleSize val="0"/>
        </c:dLbls>
        <c:marker val="1"/>
        <c:smooth val="0"/>
        <c:axId val="1050663136"/>
        <c:axId val="1050552960"/>
      </c:lineChart>
      <c:catAx>
        <c:axId val="1050665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0554448"/>
        <c:crosses val="autoZero"/>
        <c:auto val="1"/>
        <c:lblAlgn val="ctr"/>
        <c:lblOffset val="100"/>
        <c:noMultiLvlLbl val="0"/>
      </c:catAx>
      <c:valAx>
        <c:axId val="1050554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0665536"/>
        <c:crosses val="autoZero"/>
        <c:crossBetween val="between"/>
      </c:valAx>
      <c:valAx>
        <c:axId val="1050552960"/>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0663136"/>
        <c:crosses val="max"/>
        <c:crossBetween val="between"/>
      </c:valAx>
      <c:catAx>
        <c:axId val="1050663136"/>
        <c:scaling>
          <c:orientation val="minMax"/>
        </c:scaling>
        <c:delete val="1"/>
        <c:axPos val="b"/>
        <c:majorTickMark val="none"/>
        <c:minorTickMark val="none"/>
        <c:tickLblPos val="nextTo"/>
        <c:crossAx val="105055296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Gross</a:t>
            </a:r>
            <a:r>
              <a:rPr lang="en-US" b="1" baseline="0"/>
              <a:t> Profit Margin</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Sheet1!$A$22</c:f>
              <c:strCache>
                <c:ptCount val="1"/>
                <c:pt idx="0">
                  <c:v>Year</c:v>
                </c:pt>
              </c:strCache>
            </c:strRef>
          </c:tx>
          <c:spPr>
            <a:solidFill>
              <a:schemeClr val="accent1"/>
            </a:solidFill>
            <a:ln>
              <a:noFill/>
            </a:ln>
            <a:effectLst/>
          </c:spPr>
          <c:invertIfNegative val="0"/>
          <c:val>
            <c:numRef>
              <c:f>Sheet1!$A$23:$A$25</c:f>
              <c:numCache>
                <c:formatCode>General</c:formatCode>
                <c:ptCount val="3"/>
                <c:pt idx="0">
                  <c:v>2020</c:v>
                </c:pt>
                <c:pt idx="1">
                  <c:v>2021</c:v>
                </c:pt>
                <c:pt idx="2">
                  <c:v>2022</c:v>
                </c:pt>
              </c:numCache>
            </c:numRef>
          </c:val>
          <c:extLst>
            <c:ext xmlns:c16="http://schemas.microsoft.com/office/drawing/2014/chart" uri="{C3380CC4-5D6E-409C-BE32-E72D297353CC}">
              <c16:uniqueId val="{00000000-0DCF-4E36-9CF8-20243EA49402}"/>
            </c:ext>
          </c:extLst>
        </c:ser>
        <c:dLbls>
          <c:showLegendKey val="0"/>
          <c:showVal val="0"/>
          <c:showCatName val="0"/>
          <c:showSerName val="0"/>
          <c:showPercent val="0"/>
          <c:showBubbleSize val="0"/>
        </c:dLbls>
        <c:gapWidth val="219"/>
        <c:overlap val="-27"/>
        <c:axId val="985907776"/>
        <c:axId val="1050556928"/>
      </c:barChart>
      <c:lineChart>
        <c:grouping val="standard"/>
        <c:varyColors val="0"/>
        <c:ser>
          <c:idx val="1"/>
          <c:order val="1"/>
          <c:tx>
            <c:strRef>
              <c:f>Sheet1!$B$22</c:f>
              <c:strCache>
                <c:ptCount val="1"/>
                <c:pt idx="0">
                  <c:v>Profit</c:v>
                </c:pt>
              </c:strCache>
            </c:strRef>
          </c:tx>
          <c:spPr>
            <a:ln w="28575" cap="rnd">
              <a:solidFill>
                <a:schemeClr val="accent2"/>
              </a:solidFill>
              <a:round/>
            </a:ln>
            <a:effectLst/>
          </c:spPr>
          <c:marker>
            <c:symbol val="none"/>
          </c:marker>
          <c:val>
            <c:numRef>
              <c:f>Sheet1!$B$23:$B$25</c:f>
              <c:numCache>
                <c:formatCode>0%</c:formatCode>
                <c:ptCount val="3"/>
                <c:pt idx="0">
                  <c:v>0.25</c:v>
                </c:pt>
                <c:pt idx="1">
                  <c:v>0.16667000000000001</c:v>
                </c:pt>
                <c:pt idx="2">
                  <c:v>-4.65E-2</c:v>
                </c:pt>
              </c:numCache>
            </c:numRef>
          </c:val>
          <c:smooth val="0"/>
          <c:extLst>
            <c:ext xmlns:c16="http://schemas.microsoft.com/office/drawing/2014/chart" uri="{C3380CC4-5D6E-409C-BE32-E72D297353CC}">
              <c16:uniqueId val="{00000001-0DCF-4E36-9CF8-20243EA49402}"/>
            </c:ext>
          </c:extLst>
        </c:ser>
        <c:dLbls>
          <c:showLegendKey val="0"/>
          <c:showVal val="0"/>
          <c:showCatName val="0"/>
          <c:showSerName val="0"/>
          <c:showPercent val="0"/>
          <c:showBubbleSize val="0"/>
        </c:dLbls>
        <c:marker val="1"/>
        <c:smooth val="0"/>
        <c:axId val="985912576"/>
        <c:axId val="1050550480"/>
      </c:lineChart>
      <c:catAx>
        <c:axId val="985907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0556928"/>
        <c:crosses val="autoZero"/>
        <c:auto val="1"/>
        <c:lblAlgn val="ctr"/>
        <c:lblOffset val="100"/>
        <c:noMultiLvlLbl val="0"/>
      </c:catAx>
      <c:valAx>
        <c:axId val="1050556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07776"/>
        <c:crosses val="autoZero"/>
        <c:crossBetween val="between"/>
      </c:valAx>
      <c:valAx>
        <c:axId val="1050550480"/>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12576"/>
        <c:crosses val="max"/>
        <c:crossBetween val="between"/>
      </c:valAx>
      <c:catAx>
        <c:axId val="985912576"/>
        <c:scaling>
          <c:orientation val="minMax"/>
        </c:scaling>
        <c:delete val="1"/>
        <c:axPos val="b"/>
        <c:majorTickMark val="none"/>
        <c:minorTickMark val="none"/>
        <c:tickLblPos val="nextTo"/>
        <c:crossAx val="105055048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D589C-68A1-45B7-8052-C03016043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13</Pages>
  <Words>2851</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Marius-Aurelian Lupoae (2127268)</cp:lastModifiedBy>
  <cp:revision>15</cp:revision>
  <dcterms:created xsi:type="dcterms:W3CDTF">2023-11-13T07:21:00Z</dcterms:created>
  <dcterms:modified xsi:type="dcterms:W3CDTF">2023-11-14T09:24:00Z</dcterms:modified>
</cp:coreProperties>
</file>