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AC8C0" w14:textId="7F1A22A3" w:rsidR="006E52E6" w:rsidRDefault="00726762" w:rsidP="00726762">
      <w:pPr>
        <w:jc w:val="center"/>
        <w:rPr>
          <w:rFonts w:ascii="Georgia" w:hAnsi="Georgia"/>
          <w:sz w:val="48"/>
          <w:szCs w:val="48"/>
        </w:rPr>
      </w:pPr>
      <w:r>
        <w:rPr>
          <w:rFonts w:ascii="Georgia" w:hAnsi="Georgia"/>
          <w:sz w:val="48"/>
          <w:szCs w:val="48"/>
        </w:rPr>
        <w:t>Foucault and Schools</w:t>
      </w:r>
    </w:p>
    <w:p w14:paraId="79C74E19" w14:textId="77777777" w:rsidR="00726762" w:rsidRDefault="00726762" w:rsidP="00726762">
      <w:pPr>
        <w:jc w:val="center"/>
        <w:rPr>
          <w:rFonts w:ascii="Georgia" w:hAnsi="Georgia"/>
          <w:sz w:val="48"/>
          <w:szCs w:val="48"/>
        </w:rPr>
      </w:pPr>
    </w:p>
    <w:p w14:paraId="6A7CDF00" w14:textId="1A49E779" w:rsidR="00141B18" w:rsidRPr="00141B18" w:rsidRDefault="00141B18" w:rsidP="00141B18">
      <w:pPr>
        <w:rPr>
          <w:rFonts w:ascii="Georgia" w:hAnsi="Georgia"/>
        </w:rPr>
      </w:pPr>
      <w:r w:rsidRPr="00141B18">
        <w:rPr>
          <w:rFonts w:ascii="Georgia" w:hAnsi="Georgia"/>
        </w:rPr>
        <w:t xml:space="preserve">This essay will look at the work of Michel Foucault and how his </w:t>
      </w:r>
      <w:proofErr w:type="spellStart"/>
      <w:r w:rsidRPr="00141B18">
        <w:rPr>
          <w:rFonts w:ascii="Georgia" w:hAnsi="Georgia"/>
        </w:rPr>
        <w:t>post modernist</w:t>
      </w:r>
      <w:proofErr w:type="spellEnd"/>
      <w:r w:rsidRPr="00141B18">
        <w:rPr>
          <w:rFonts w:ascii="Georgia" w:hAnsi="Georgia"/>
        </w:rPr>
        <w:t xml:space="preserve"> theories can be contextualised for institutions such as schools; revolving around the themes of sex, sexuality and gender. Michel Foucault’s work was widely contested by cultural theorists as his focus on power, discipline, punishment and truth was seen as unravelling of ‘established fields… such as history, political economy, philosophy’ (Geoff Danaher, Schirato and Webb, 2000, p.2) and so on. Power to Foucault is inescapable, ruled by governing bodies, social dynamics and employers. However, he does not state that power should be dismantled rather that its nature is flexible and can be ‘transformed and rerouted’ (Geoff Danaher, Schirato and Webb, 2000, p.95). An Institution that encapsulates these arguments are schools, containing a myriad of dynamics that uphold social order and expectations while being representations of punishment and behaviour correction. Additionally, schools were chosen for their importance in today's world as they encompass the transformative years of the next generations and how they will grow to view the world. The aspects focused on in this essay will be the teacher- student dynamic, uniforms and lessons. Each will be analysed through a </w:t>
      </w:r>
      <w:r w:rsidR="009E2AE1" w:rsidRPr="00141B18">
        <w:rPr>
          <w:rFonts w:ascii="Georgia" w:hAnsi="Georgia"/>
        </w:rPr>
        <w:t>Foucauldian</w:t>
      </w:r>
      <w:r w:rsidRPr="00141B18">
        <w:rPr>
          <w:rFonts w:ascii="Georgia" w:hAnsi="Georgia"/>
        </w:rPr>
        <w:t xml:space="preserve"> lens and related to how they affect the wider social themes of sex gender and sexuality.  </w:t>
      </w:r>
    </w:p>
    <w:p w14:paraId="5383ED53" w14:textId="77777777" w:rsidR="00141B18" w:rsidRPr="00141B18" w:rsidRDefault="00141B18" w:rsidP="00141B18">
      <w:pPr>
        <w:rPr>
          <w:rFonts w:ascii="Georgia" w:hAnsi="Georgia"/>
        </w:rPr>
      </w:pPr>
    </w:p>
    <w:p w14:paraId="07345954" w14:textId="77777777" w:rsidR="00141B18" w:rsidRPr="00141B18" w:rsidRDefault="00141B18" w:rsidP="00141B18">
      <w:pPr>
        <w:rPr>
          <w:rFonts w:ascii="Georgia" w:hAnsi="Georgia"/>
        </w:rPr>
      </w:pPr>
      <w:r w:rsidRPr="00141B18">
        <w:rPr>
          <w:rFonts w:ascii="Georgia" w:hAnsi="Georgia"/>
        </w:rPr>
        <w:t xml:space="preserve">The student-teacher dynamic is often defined by the reaction of teachers to the characteristics of their students and contrariwise (Johnson and Miller, 1993, p.15). With its prevalence in the school culture, it sets a boundary for expectation, social rules and gender binaries. Certain studies such as Nixon and Robinson (1999) and Canes and Rosen (1995) (Dee, 2007, p.529)  remark on the subjectivity of same-gender teachers as their style of teaching is supposedly geared towards a ‘self-fulfilling’ quota (Dee, 2007, p.529). Within this subjectivity it is critiqued on the students perception of the teacher (Dee, 2007, pp.529-530), this can be from past experience with the teacher or prejudices made of the teacher’s gender. By using Foucault’s theory on knowledge being formulated through categorization (Schirato, Webb and Danaher, 2000, p.50) it can be assumed that if the student holds these prejudices then the opposite is equally as true. Foucault suggests that by forming a category we are inadvertently creating a category for the opposite (Schirato, Webb and Danaher, 2000, p.17), therefore a teacher's perception of a student's gender affects the student-teacher dynamic just as much. Research done by </w:t>
      </w:r>
      <w:proofErr w:type="spellStart"/>
      <w:r w:rsidRPr="00141B18">
        <w:rPr>
          <w:rFonts w:ascii="Georgia" w:hAnsi="Georgia"/>
        </w:rPr>
        <w:t>Sadker</w:t>
      </w:r>
      <w:proofErr w:type="spellEnd"/>
      <w:r w:rsidRPr="00141B18">
        <w:rPr>
          <w:rFonts w:ascii="Georgia" w:hAnsi="Georgia"/>
        </w:rPr>
        <w:t xml:space="preserve"> and Klein in 1991 suggests that male students obtain more attention and time to speak in classes, in culmination with receiving higher amounts of positive feedback to female students (Tiedemann, 2002, p.49) it suggests that males are more favoured in education than females. This gender bias would then suggest that girls are undeserving of this praise and their voices are less valued than their male counterparts. As schooling is conducted in the developmental years of children, this subtle bias would instil the belief that men's voices are more deserving of being heard than women's. Which, by harkening back to students' perceptions of teachers, would contradict a female teacher's power in the classroom by implying that their words hold less value. </w:t>
      </w:r>
    </w:p>
    <w:p w14:paraId="7E53ACA0" w14:textId="77777777" w:rsidR="00141B18" w:rsidRPr="00141B18" w:rsidRDefault="00141B18" w:rsidP="00141B18">
      <w:pPr>
        <w:rPr>
          <w:rFonts w:ascii="Georgia" w:hAnsi="Georgia"/>
        </w:rPr>
      </w:pPr>
    </w:p>
    <w:p w14:paraId="6B127068" w14:textId="77777777" w:rsidR="00141B18" w:rsidRPr="00141B18" w:rsidRDefault="00141B18" w:rsidP="00141B18">
      <w:pPr>
        <w:rPr>
          <w:rFonts w:ascii="Georgia" w:hAnsi="Georgia"/>
        </w:rPr>
      </w:pPr>
      <w:r w:rsidRPr="00141B18">
        <w:rPr>
          <w:rFonts w:ascii="Georgia" w:hAnsi="Georgia"/>
        </w:rPr>
        <w:t xml:space="preserve">Foucault understands power as the foundation for knowledge and truth, it fluctuates through time and has become diffuse between multiple governing bodies (Schirato, Webb and Danaher, 2000, p.71). Classrooms set up a strong distinction between who is in power and </w:t>
      </w:r>
      <w:r w:rsidRPr="00141B18">
        <w:rPr>
          <w:rFonts w:ascii="Georgia" w:hAnsi="Georgia"/>
        </w:rPr>
        <w:lastRenderedPageBreak/>
        <w:t xml:space="preserve">who is not, the teacher holds the knowledge and the student must learn from them in order to gain it. Unlike the aforementioned study by </w:t>
      </w:r>
      <w:proofErr w:type="spellStart"/>
      <w:r w:rsidRPr="00141B18">
        <w:rPr>
          <w:rFonts w:ascii="Georgia" w:hAnsi="Georgia"/>
        </w:rPr>
        <w:t>Sadker</w:t>
      </w:r>
      <w:proofErr w:type="spellEnd"/>
      <w:r w:rsidRPr="00141B18">
        <w:rPr>
          <w:rFonts w:ascii="Georgia" w:hAnsi="Georgia"/>
        </w:rPr>
        <w:t xml:space="preserve"> and Klein, there is contradicting research on the assumptions teachers put onto the gender of students. For example Adams and La Voie’s 1974 study concluded with the results that boys are more likely to ‘receive lower ratings on attitudes and work habits than girls’ (Braun, 1976, p.193). Braun goes on to suggest that this is due to the assumption that boys will need larger amounts of behavioural correction than girls (1976, p.193). With this assumption there is a play of power, the teacher uses the categories they have formed through experience to state that boys will act out more than girls, which is therefore putting them forcefully into a box due to their sex. By using their power this way they then reinforce the social truth that boys are more disruptive than girls which then creates the opposite, that girls must be well behaved. Foucault’s theories then line up with schools pushing of sex and gender binarism, being able to identify a certain gender or sex as the problem then makes it easier to manage whilst also setting a precedent of what behaviour should be for the other. </w:t>
      </w:r>
    </w:p>
    <w:p w14:paraId="3D6F3068" w14:textId="77777777" w:rsidR="00141B18" w:rsidRPr="00141B18" w:rsidRDefault="00141B18" w:rsidP="00141B18">
      <w:pPr>
        <w:rPr>
          <w:rFonts w:ascii="Georgia" w:hAnsi="Georgia"/>
        </w:rPr>
      </w:pPr>
    </w:p>
    <w:p w14:paraId="6DA0CB89" w14:textId="77777777" w:rsidR="00141B18" w:rsidRPr="00141B18" w:rsidRDefault="00141B18" w:rsidP="00141B18">
      <w:pPr>
        <w:rPr>
          <w:rFonts w:ascii="Georgia" w:hAnsi="Georgia"/>
        </w:rPr>
      </w:pPr>
      <w:r w:rsidRPr="00141B18">
        <w:rPr>
          <w:rFonts w:ascii="Georgia" w:hAnsi="Georgia"/>
        </w:rPr>
        <w:t xml:space="preserve">Much like Rene Girard’s theory of the scapegoat mechanism, in which people of the inner group bully those in the outer to solidify their positions, this stereotyping of male students can create infighting (Brooke, 2000, p.170). If all male students are seen as disruptive then those who are will retaliate against those who are not as they are seen as different and against the previously mentioned category of what a male student should be. With this united enemy against the inner group they are able to justify their actions as being a way in which they can present themselves as a holotype of a male student or masculinity in as a whole. Through this social truth of boys being disruptive it persists into other facets of everyday life, as those who are in power, the teachers, reinforce this gender disparity through discipline and boundaries. This is also prevalent for those that go against the heteronormative grain as being placed in the outgroup as a homosexual would lead to increased violence as it goes against what is considered the norm. This applies to student-teacher dynamics as teachers were once unable to mention homosexuality due to the </w:t>
      </w:r>
      <w:proofErr w:type="spellStart"/>
      <w:r w:rsidRPr="00141B18">
        <w:rPr>
          <w:rFonts w:ascii="Georgia" w:hAnsi="Georgia"/>
        </w:rPr>
        <w:t>The</w:t>
      </w:r>
      <w:proofErr w:type="spellEnd"/>
      <w:r w:rsidRPr="00141B18">
        <w:rPr>
          <w:rFonts w:ascii="Georgia" w:hAnsi="Georgia"/>
        </w:rPr>
        <w:t xml:space="preserve"> Local Government Act, 1988, which held section 28, the prohibition of mentioning homosexuality (</w:t>
      </w:r>
      <w:proofErr w:type="spellStart"/>
      <w:r w:rsidRPr="00141B18">
        <w:rPr>
          <w:rFonts w:ascii="Georgia" w:hAnsi="Georgia"/>
        </w:rPr>
        <w:t>Iglikowski</w:t>
      </w:r>
      <w:proofErr w:type="spellEnd"/>
      <w:r w:rsidRPr="00141B18">
        <w:rPr>
          <w:rFonts w:ascii="Georgia" w:hAnsi="Georgia"/>
        </w:rPr>
        <w:t xml:space="preserve">-Broad, 2023). Students were not acclimatised to the idea of anything but heterosexuality by their schools and otherwise, this would then create the perception that they are the outer group. Foucault would see this as the controlling of knowledge to solidify power, if it is not taught then it </w:t>
      </w:r>
      <w:proofErr w:type="spellStart"/>
      <w:r w:rsidRPr="00141B18">
        <w:rPr>
          <w:rFonts w:ascii="Georgia" w:hAnsi="Georgia"/>
        </w:rPr>
        <w:t>can not</w:t>
      </w:r>
      <w:proofErr w:type="spellEnd"/>
      <w:r w:rsidRPr="00141B18">
        <w:rPr>
          <w:rFonts w:ascii="Georgia" w:hAnsi="Georgia"/>
        </w:rPr>
        <w:t xml:space="preserve"> change the social truth of heterosexuality being the norm which goes hand in hand with his concept of school disciplinary practices. </w:t>
      </w:r>
    </w:p>
    <w:p w14:paraId="4CAD4B18" w14:textId="77777777" w:rsidR="00141B18" w:rsidRPr="00141B18" w:rsidRDefault="00141B18" w:rsidP="00141B18">
      <w:pPr>
        <w:rPr>
          <w:rFonts w:ascii="Georgia" w:hAnsi="Georgia"/>
        </w:rPr>
      </w:pPr>
    </w:p>
    <w:p w14:paraId="2F26A92B" w14:textId="77777777" w:rsidR="00141B18" w:rsidRPr="00141B18" w:rsidRDefault="00141B18" w:rsidP="00141B18">
      <w:pPr>
        <w:rPr>
          <w:rFonts w:ascii="Georgia" w:hAnsi="Georgia"/>
        </w:rPr>
      </w:pPr>
      <w:r w:rsidRPr="00141B18">
        <w:rPr>
          <w:rFonts w:ascii="Georgia" w:hAnsi="Georgia"/>
        </w:rPr>
        <w:t xml:space="preserve">Uniforms and dress codes are areas of constriction in school environments, leading to greater disciplinary actions than in other facets of school culture. Its utility in individualism makes it a prominent proxy to gender expression (Cumming-Potvin, 2023, pp.1-2) as schools take part in what Foucault terms as ‘dividing practices’ (Friedrich and Shanks, 2021, p.5). Micromanagement of different aspects of school life in order to keep control over the masses, outliers to these practices will be spotted faster and disciplined to keep the power of authority stable. Anomalies to the norm are often defined by a rebellion of gender binaries as the dress code itself promotes a homogenised structure that favours males and subsequently oppresses females (Cumming-Potvin, 2023, p.5). With the variance in female uniforms it creates stricter boundaries, rules on skirt length and jewellery (Friedrich and Shanks, 2021, p.7) that would otherwise be remiss with male students as it is not expected for them to wear things such as skirts. These binaries uphold social expectations for each gender, promoting expressions that fit into the norm and therefore conform to power. Foucault analyses how </w:t>
      </w:r>
      <w:r w:rsidRPr="00141B18">
        <w:rPr>
          <w:rFonts w:ascii="Georgia" w:hAnsi="Georgia"/>
        </w:rPr>
        <w:lastRenderedPageBreak/>
        <w:t>this coercion of expectations from a young age creates the passive knowledge that constructs the person as they grow, allowing them to believe that they are being independent within their aesthetic when in truth it was composed by those in power (Friedrich and Shanks, 2021, p.10; Graham, Treharne and Nairn, 2017, p.2). Gender expression is then restricted by this process, limiting boys to trousers and girls to skirts as it takes away individualism and replaces it with a kindred society that prioritises uniformity. </w:t>
      </w:r>
    </w:p>
    <w:p w14:paraId="79349B1A" w14:textId="77777777" w:rsidR="00141B18" w:rsidRPr="00141B18" w:rsidRDefault="00141B18" w:rsidP="00141B18">
      <w:pPr>
        <w:rPr>
          <w:rFonts w:ascii="Georgia" w:hAnsi="Georgia"/>
        </w:rPr>
      </w:pPr>
    </w:p>
    <w:p w14:paraId="722F3565" w14:textId="77777777" w:rsidR="00141B18" w:rsidRPr="00141B18" w:rsidRDefault="00141B18" w:rsidP="00141B18">
      <w:pPr>
        <w:rPr>
          <w:rFonts w:ascii="Georgia" w:hAnsi="Georgia"/>
        </w:rPr>
      </w:pPr>
      <w:r w:rsidRPr="00141B18">
        <w:rPr>
          <w:rFonts w:ascii="Georgia" w:hAnsi="Georgia"/>
        </w:rPr>
        <w:t>In addition to this, dress codes targeting nature towards feminine presenting individuals induce the social truth of shame revolving around modest dress (Cumming-Potvin, 2023, p.5). By determining that female bodies draw the attention of certain male individuals it is then that schools limit expressions of gender. This upholds the mentality that women are promiscuous by design and therefore need to cover up in order to avoid harassment (</w:t>
      </w:r>
      <w:proofErr w:type="spellStart"/>
      <w:r w:rsidRPr="00141B18">
        <w:rPr>
          <w:rFonts w:ascii="Georgia" w:hAnsi="Georgia"/>
        </w:rPr>
        <w:t>Aghasaleh</w:t>
      </w:r>
      <w:proofErr w:type="spellEnd"/>
      <w:r w:rsidRPr="00141B18">
        <w:rPr>
          <w:rFonts w:ascii="Georgia" w:hAnsi="Georgia"/>
        </w:rPr>
        <w:t>, 2018, p.96). Foucault’s knowledge theory can be contextualised here as the presumption that women are objects of desire grows as children get older and dress codes become more strict, it creates a symbolic association between women and pleasure which feeds into the perception that women are made for the enjoyment of men (</w:t>
      </w:r>
      <w:proofErr w:type="spellStart"/>
      <w:r w:rsidRPr="00141B18">
        <w:rPr>
          <w:rFonts w:ascii="Georgia" w:hAnsi="Georgia"/>
        </w:rPr>
        <w:t>Aghasaleh</w:t>
      </w:r>
      <w:proofErr w:type="spellEnd"/>
      <w:r w:rsidRPr="00141B18">
        <w:rPr>
          <w:rFonts w:ascii="Georgia" w:hAnsi="Georgia"/>
        </w:rPr>
        <w:t xml:space="preserve">, 2018, p.96). With uniforms for girls being restricted on skirt length and blazers being sewn in a different way to boys, it furthers the social truth that girls wear this, and boys wear that. These categorisations, again, binaries the way professionalism is viewed once pupils leave school, creating these ideas that fitting into the boundary will not result in punishment whilst also stripping their individuality in favour of similarity. With this </w:t>
      </w:r>
      <w:proofErr w:type="spellStart"/>
      <w:r w:rsidRPr="00141B18">
        <w:rPr>
          <w:rFonts w:ascii="Georgia" w:hAnsi="Georgia"/>
        </w:rPr>
        <w:t>binarisation</w:t>
      </w:r>
      <w:proofErr w:type="spellEnd"/>
      <w:r w:rsidRPr="00141B18">
        <w:rPr>
          <w:rFonts w:ascii="Georgia" w:hAnsi="Georgia"/>
        </w:rPr>
        <w:t xml:space="preserve"> in schools it leads to the acceptance of it in everyday life, further presenting that girls and boys are innately drawn to certain things despite it being the culmination of gendered propaganda. </w:t>
      </w:r>
    </w:p>
    <w:p w14:paraId="182054C3" w14:textId="77777777" w:rsidR="00141B18" w:rsidRPr="00141B18" w:rsidRDefault="00141B18" w:rsidP="00141B18">
      <w:pPr>
        <w:rPr>
          <w:rFonts w:ascii="Georgia" w:hAnsi="Georgia"/>
        </w:rPr>
      </w:pPr>
    </w:p>
    <w:p w14:paraId="2B607410" w14:textId="77777777" w:rsidR="00141B18" w:rsidRPr="00141B18" w:rsidRDefault="00141B18" w:rsidP="00141B18">
      <w:pPr>
        <w:rPr>
          <w:rFonts w:ascii="Georgia" w:hAnsi="Georgia"/>
        </w:rPr>
      </w:pPr>
      <w:r w:rsidRPr="00141B18">
        <w:rPr>
          <w:rFonts w:ascii="Georgia" w:hAnsi="Georgia"/>
        </w:rPr>
        <w:t>One of the most prominent gendered divisions in schools are the lessons students take. It has been widely remarked on throughout research papers on schools that there is a discrepancy between the performance of boys and girls in STEM subjects. A study done by Tiedemann used a rating based system on a collection of different statements that range from ‘She /He is good at problem solving in mathematics’ to polarising statements such as ‘Mathematics is rather a boys' discipline vs. mathematics is rather a girls' discipline’ (2002, pp.54- 55). Teachers were told to rank these from 1 to 5 on how truthful they believed they were for one of the six selected children, selected by the teachers themselves (Tiedemann, 2002, p.53). There were six students in total with the teachers picking those who were high achievers, medium achievers and lower, a girl and a boy for each. The results concluded that the boys were seen as more highly skilled in mathematics than girls, despite the actuality of the students abilities to be almost equal to each other no matter the gender (Tiedemann, 2002, p.57). As it continued down to the lower achievers, Tiedemann highlighted a certain distortion in the teacher's perception of how good the child was at maths. Specifically, he states that highly traditional teachers perceived boys as being more skilled at mathematics than they were, grades wise (Tiedemann, 2002, p.59). </w:t>
      </w:r>
    </w:p>
    <w:p w14:paraId="2E515EA2" w14:textId="77777777" w:rsidR="00141B18" w:rsidRPr="00141B18" w:rsidRDefault="00141B18" w:rsidP="00141B18">
      <w:pPr>
        <w:rPr>
          <w:rFonts w:ascii="Georgia" w:hAnsi="Georgia"/>
        </w:rPr>
      </w:pPr>
    </w:p>
    <w:p w14:paraId="02A83802" w14:textId="19B21D41" w:rsidR="00141B18" w:rsidRPr="00141B18" w:rsidRDefault="00141B18" w:rsidP="00141B18">
      <w:pPr>
        <w:rPr>
          <w:rFonts w:ascii="Georgia" w:hAnsi="Georgia"/>
        </w:rPr>
      </w:pPr>
      <w:r w:rsidRPr="00141B18">
        <w:rPr>
          <w:rFonts w:ascii="Georgia" w:hAnsi="Georgia"/>
        </w:rPr>
        <w:t xml:space="preserve">Through a </w:t>
      </w:r>
      <w:r w:rsidR="009E2AE1" w:rsidRPr="00141B18">
        <w:rPr>
          <w:rFonts w:ascii="Georgia" w:hAnsi="Georgia"/>
        </w:rPr>
        <w:t>Foucauldian</w:t>
      </w:r>
      <w:r w:rsidRPr="00141B18">
        <w:rPr>
          <w:rFonts w:ascii="Georgia" w:hAnsi="Georgia"/>
        </w:rPr>
        <w:t xml:space="preserve"> lens this study would be an example of not only the use of power to force stereotypes onto children but also an example of how knowledge fluctuates with introductions of newer, more modern thinking. The teachers hold the power to determine who they believe is high, medium and lower ability, with this they then are categorising them into good or bad at maths. These categories come with a prejudice which is mentioned in the study of teachers being traditional and non- traditional. These </w:t>
      </w:r>
      <w:r w:rsidR="009E2AE1" w:rsidRPr="00141B18">
        <w:rPr>
          <w:rFonts w:ascii="Georgia" w:hAnsi="Georgia"/>
        </w:rPr>
        <w:t>distinct</w:t>
      </w:r>
      <w:r w:rsidR="009E2AE1">
        <w:rPr>
          <w:rFonts w:ascii="Georgia" w:hAnsi="Georgia"/>
        </w:rPr>
        <w:t>ions</w:t>
      </w:r>
      <w:r w:rsidRPr="00141B18">
        <w:rPr>
          <w:rFonts w:ascii="Georgia" w:hAnsi="Georgia"/>
        </w:rPr>
        <w:t xml:space="preserve"> imply that </w:t>
      </w:r>
      <w:r w:rsidRPr="00141B18">
        <w:rPr>
          <w:rFonts w:ascii="Georgia" w:hAnsi="Georgia"/>
        </w:rPr>
        <w:lastRenderedPageBreak/>
        <w:t>misunderstandings when formulating these categories can cause a bias that determines one child's academic skills over the other solely based on their perception of the child's gender. Furthermore, these assumptions, despite being wrong in the results, cultivate the gender binary and traditional social roles which would in turn hold back young girls from pursuing STEM jobs or subjects as they are not geared towards it or promoted in it despite their achievements. </w:t>
      </w:r>
    </w:p>
    <w:p w14:paraId="0A795F53" w14:textId="77777777" w:rsidR="00141B18" w:rsidRPr="00141B18" w:rsidRDefault="00141B18" w:rsidP="00141B18">
      <w:pPr>
        <w:rPr>
          <w:rFonts w:ascii="Georgia" w:hAnsi="Georgia"/>
        </w:rPr>
      </w:pPr>
    </w:p>
    <w:p w14:paraId="6D4AA847" w14:textId="77777777" w:rsidR="00141B18" w:rsidRPr="00141B18" w:rsidRDefault="00141B18" w:rsidP="00141B18">
      <w:pPr>
        <w:rPr>
          <w:rFonts w:ascii="Georgia" w:hAnsi="Georgia"/>
        </w:rPr>
      </w:pPr>
      <w:r w:rsidRPr="00141B18">
        <w:rPr>
          <w:rFonts w:ascii="Georgia" w:hAnsi="Georgia"/>
        </w:rPr>
        <w:t>With this knowledge, the idea that girls in single sex schools are being steered towards subjects that would prepare them for being a homemaker would again fixate on gender stereotypes and  traditional roles (Graham, Treharne and Nairn, 2017, p.2) . This continues with gendered subjects such as sex education where the detailing of women's bodies are solely that of reproduction and not of pleasure, unlike what is taught of the men (Graham, Treharne and Nairn, 2017, p.4). This normalisation of women being objects of desire for men but do not have desires themselves draws on Foucault's ideas on how power can determine social truths as the teachers are stating that girls do not feel these desires by saying the opposite, that boys do. This calls back to the idea that by creating one category there is inadvertently the creation of the opposing and with the belief that girls and boys are opposites of each other, if boys are taught that these desires happen then girls not be taught they happen means they do not. </w:t>
      </w:r>
    </w:p>
    <w:p w14:paraId="6426944F" w14:textId="77777777" w:rsidR="00141B18" w:rsidRPr="00141B18" w:rsidRDefault="00141B18" w:rsidP="00141B18">
      <w:pPr>
        <w:rPr>
          <w:rFonts w:ascii="Georgia" w:hAnsi="Georgia"/>
        </w:rPr>
      </w:pPr>
    </w:p>
    <w:p w14:paraId="3714743D" w14:textId="77777777" w:rsidR="00141B18" w:rsidRPr="00141B18" w:rsidRDefault="00141B18" w:rsidP="00141B18">
      <w:pPr>
        <w:rPr>
          <w:rFonts w:ascii="Georgia" w:hAnsi="Georgia"/>
        </w:rPr>
      </w:pPr>
      <w:r w:rsidRPr="00141B18">
        <w:rPr>
          <w:rFonts w:ascii="Georgia" w:hAnsi="Georgia"/>
        </w:rPr>
        <w:t>Overall, schools are an institution that cultivates and produces the social truths of the era and therefore stimulates traditional stereotypes. Foucault’s role in the understanding of schools in the context of sex, sexuality and gender is given by the belief that the nature of power is fluid and therefore can be changed or adapted in order to simulate the greater powers expectations outside of schools, such as the workforce. The student teacher dynamic in Foucault's thinking then surmises to the control of the teacher over the judgement of the student, using their power as a teacher to differentiate what is considered normal and abnormal behaviour. This is similar with the case of uniforms as they allow for the unification of a student body which will then make it easier to recognise the outliers as they do not fit into the whole. Lessons in schools also uphold social order as they eliminate the opportunity for a diverse range of interests if the school has already decided that the student is not fit for the disciple, specifically the single sex schools providing less stereotypically masculine opportunities to their female students. In conclusion, Foucault’s work on power, knowledge and the truth with influences of his writings of prisons can fully analyse the structural importance schools have in a society through the upholding of social truths and therefore the reinforcement of power. </w:t>
      </w:r>
    </w:p>
    <w:p w14:paraId="5CC52F71" w14:textId="77777777" w:rsidR="00726762" w:rsidRDefault="00726762" w:rsidP="00141B18">
      <w:pPr>
        <w:rPr>
          <w:rFonts w:ascii="Georgia" w:hAnsi="Georgia"/>
        </w:rPr>
      </w:pPr>
    </w:p>
    <w:p w14:paraId="3EEE4598" w14:textId="77777777" w:rsidR="00141B18" w:rsidRDefault="00141B18" w:rsidP="00141B18">
      <w:pPr>
        <w:rPr>
          <w:rFonts w:ascii="Georgia" w:hAnsi="Georgia"/>
        </w:rPr>
      </w:pPr>
    </w:p>
    <w:p w14:paraId="0AC6DF56" w14:textId="77777777" w:rsidR="00141B18" w:rsidRDefault="00141B18" w:rsidP="00141B18">
      <w:pPr>
        <w:rPr>
          <w:rFonts w:ascii="Georgia" w:hAnsi="Georgia"/>
        </w:rPr>
      </w:pPr>
    </w:p>
    <w:p w14:paraId="69E1B51E" w14:textId="77777777" w:rsidR="00141B18" w:rsidRDefault="00141B18" w:rsidP="00141B18">
      <w:pPr>
        <w:rPr>
          <w:rFonts w:ascii="Georgia" w:hAnsi="Georgia"/>
        </w:rPr>
      </w:pPr>
    </w:p>
    <w:p w14:paraId="554CA316" w14:textId="77777777" w:rsidR="00141B18" w:rsidRDefault="00141B18" w:rsidP="00141B18">
      <w:pPr>
        <w:rPr>
          <w:rFonts w:ascii="Georgia" w:hAnsi="Georgia"/>
        </w:rPr>
      </w:pPr>
    </w:p>
    <w:p w14:paraId="02FC472C" w14:textId="77777777" w:rsidR="00141B18" w:rsidRDefault="00141B18" w:rsidP="00141B18">
      <w:pPr>
        <w:rPr>
          <w:rFonts w:ascii="Georgia" w:hAnsi="Georgia"/>
        </w:rPr>
      </w:pPr>
    </w:p>
    <w:p w14:paraId="5EDB88E3" w14:textId="77777777" w:rsidR="00141B18" w:rsidRDefault="00141B18" w:rsidP="00141B18">
      <w:pPr>
        <w:rPr>
          <w:rFonts w:ascii="Georgia" w:hAnsi="Georgia"/>
        </w:rPr>
      </w:pPr>
    </w:p>
    <w:p w14:paraId="76E443FA" w14:textId="77777777" w:rsidR="00141B18" w:rsidRDefault="00141B18" w:rsidP="00141B18">
      <w:pPr>
        <w:rPr>
          <w:rFonts w:ascii="Georgia" w:hAnsi="Georgia"/>
        </w:rPr>
      </w:pPr>
    </w:p>
    <w:p w14:paraId="55B9AE21" w14:textId="4370E79A" w:rsidR="00141B18" w:rsidRDefault="00141B18" w:rsidP="00141B18">
      <w:pPr>
        <w:rPr>
          <w:rFonts w:ascii="Georgia" w:hAnsi="Georgia"/>
          <w:sz w:val="28"/>
          <w:szCs w:val="28"/>
        </w:rPr>
      </w:pPr>
      <w:r>
        <w:rPr>
          <w:rFonts w:ascii="Georgia" w:hAnsi="Georgia"/>
          <w:sz w:val="28"/>
          <w:szCs w:val="28"/>
        </w:rPr>
        <w:lastRenderedPageBreak/>
        <w:t xml:space="preserve">Bibliography: </w:t>
      </w:r>
    </w:p>
    <w:p w14:paraId="2E2640C5" w14:textId="77777777" w:rsidR="007E3FE9" w:rsidRPr="007E3FE9" w:rsidRDefault="007E3FE9" w:rsidP="007E3FE9">
      <w:pPr>
        <w:rPr>
          <w:rFonts w:ascii="Georgia" w:hAnsi="Georgia"/>
        </w:rPr>
      </w:pPr>
      <w:proofErr w:type="spellStart"/>
      <w:r w:rsidRPr="007E3FE9">
        <w:rPr>
          <w:rFonts w:ascii="Georgia" w:hAnsi="Georgia"/>
        </w:rPr>
        <w:t>Aghasaleh</w:t>
      </w:r>
      <w:proofErr w:type="spellEnd"/>
      <w:r w:rsidRPr="007E3FE9">
        <w:rPr>
          <w:rFonts w:ascii="Georgia" w:hAnsi="Georgia"/>
        </w:rPr>
        <w:t xml:space="preserve">, R. (2018). Oppressive Curriculum: Sexist, Racist, Classist, and Homophobic Practice of Dress Codes in Schooling. </w:t>
      </w:r>
      <w:r w:rsidRPr="007E3FE9">
        <w:rPr>
          <w:rFonts w:ascii="Georgia" w:hAnsi="Georgia"/>
          <w:i/>
          <w:iCs/>
        </w:rPr>
        <w:t>Journal of African American Studies</w:t>
      </w:r>
      <w:r w:rsidRPr="007E3FE9">
        <w:rPr>
          <w:rFonts w:ascii="Georgia" w:hAnsi="Georgia"/>
        </w:rPr>
        <w:t xml:space="preserve">, [online] 22(1), pp.94–108. </w:t>
      </w:r>
      <w:proofErr w:type="spellStart"/>
      <w:r w:rsidRPr="007E3FE9">
        <w:rPr>
          <w:rFonts w:ascii="Georgia" w:hAnsi="Georgia"/>
        </w:rPr>
        <w:t>doi:https</w:t>
      </w:r>
      <w:proofErr w:type="spellEnd"/>
      <w:r w:rsidRPr="007E3FE9">
        <w:rPr>
          <w:rFonts w:ascii="Georgia" w:hAnsi="Georgia"/>
        </w:rPr>
        <w:t>://doi.org/10.1007/s12111-018-9397-5.</w:t>
      </w:r>
    </w:p>
    <w:p w14:paraId="0C8F9FEF" w14:textId="77777777" w:rsidR="007E3FE9" w:rsidRPr="007E3FE9" w:rsidRDefault="007E3FE9" w:rsidP="007E3FE9">
      <w:pPr>
        <w:rPr>
          <w:rFonts w:ascii="Georgia" w:hAnsi="Georgia"/>
        </w:rPr>
      </w:pPr>
      <w:r w:rsidRPr="007E3FE9">
        <w:rPr>
          <w:rFonts w:ascii="Georgia" w:hAnsi="Georgia"/>
          <w:lang w:val="fr-FR"/>
        </w:rPr>
        <w:t xml:space="preserve">Braun, C. (1976). Teacher Expectation: </w:t>
      </w:r>
      <w:proofErr w:type="spellStart"/>
      <w:r w:rsidRPr="007E3FE9">
        <w:rPr>
          <w:rFonts w:ascii="Georgia" w:hAnsi="Georgia"/>
          <w:lang w:val="fr-FR"/>
        </w:rPr>
        <w:t>Sociopsychological</w:t>
      </w:r>
      <w:proofErr w:type="spellEnd"/>
      <w:r w:rsidRPr="007E3FE9">
        <w:rPr>
          <w:rFonts w:ascii="Georgia" w:hAnsi="Georgia"/>
          <w:lang w:val="fr-FR"/>
        </w:rPr>
        <w:t xml:space="preserve"> Dynamics. </w:t>
      </w:r>
      <w:r w:rsidRPr="007E3FE9">
        <w:rPr>
          <w:rFonts w:ascii="Georgia" w:hAnsi="Georgia"/>
          <w:i/>
          <w:iCs/>
        </w:rPr>
        <w:t>Review of Educational Research</w:t>
      </w:r>
      <w:r w:rsidRPr="007E3FE9">
        <w:rPr>
          <w:rFonts w:ascii="Georgia" w:hAnsi="Georgia"/>
        </w:rPr>
        <w:t xml:space="preserve">, 46(2), pp.185–213. </w:t>
      </w:r>
      <w:proofErr w:type="spellStart"/>
      <w:r w:rsidRPr="007E3FE9">
        <w:rPr>
          <w:rFonts w:ascii="Georgia" w:hAnsi="Georgia"/>
        </w:rPr>
        <w:t>doi:https</w:t>
      </w:r>
      <w:proofErr w:type="spellEnd"/>
      <w:r w:rsidRPr="007E3FE9">
        <w:rPr>
          <w:rFonts w:ascii="Georgia" w:hAnsi="Georgia"/>
        </w:rPr>
        <w:t>://doi.org/10.2307/1170038.</w:t>
      </w:r>
    </w:p>
    <w:p w14:paraId="7CF7498B" w14:textId="77777777" w:rsidR="007E3FE9" w:rsidRPr="007E3FE9" w:rsidRDefault="007E3FE9" w:rsidP="007E3FE9">
      <w:pPr>
        <w:rPr>
          <w:rFonts w:ascii="Georgia" w:hAnsi="Georgia"/>
        </w:rPr>
      </w:pPr>
      <w:r w:rsidRPr="007E3FE9">
        <w:rPr>
          <w:rFonts w:ascii="Georgia" w:hAnsi="Georgia"/>
        </w:rPr>
        <w:t xml:space="preserve">Brooke, R. (2000). René Girard and the Dynamics of Imitation, Scapegoating, and Renunciative Identification: A Response to Richard Boyd. </w:t>
      </w:r>
      <w:r w:rsidRPr="007E3FE9">
        <w:rPr>
          <w:rFonts w:ascii="Georgia" w:hAnsi="Georgia"/>
          <w:i/>
          <w:iCs/>
        </w:rPr>
        <w:t>JAC</w:t>
      </w:r>
      <w:r w:rsidRPr="007E3FE9">
        <w:rPr>
          <w:rFonts w:ascii="Georgia" w:hAnsi="Georgia"/>
        </w:rPr>
        <w:t xml:space="preserve">, [online] 20(1), pp.167–176. </w:t>
      </w:r>
      <w:proofErr w:type="spellStart"/>
      <w:r w:rsidRPr="007E3FE9">
        <w:rPr>
          <w:rFonts w:ascii="Georgia" w:hAnsi="Georgia"/>
        </w:rPr>
        <w:t>doi:https</w:t>
      </w:r>
      <w:proofErr w:type="spellEnd"/>
      <w:r w:rsidRPr="007E3FE9">
        <w:rPr>
          <w:rFonts w:ascii="Georgia" w:hAnsi="Georgia"/>
        </w:rPr>
        <w:t>://doi.org/10.2307/20866304.</w:t>
      </w:r>
    </w:p>
    <w:p w14:paraId="35CD62C4" w14:textId="77777777" w:rsidR="007E3FE9" w:rsidRPr="007E3FE9" w:rsidRDefault="007E3FE9" w:rsidP="007E3FE9">
      <w:pPr>
        <w:rPr>
          <w:rFonts w:ascii="Georgia" w:hAnsi="Georgia"/>
        </w:rPr>
      </w:pPr>
      <w:r w:rsidRPr="007E3FE9">
        <w:rPr>
          <w:rFonts w:ascii="Georgia" w:hAnsi="Georgia"/>
        </w:rPr>
        <w:t xml:space="preserve">Cumming-Potvin, W. (2023). The politics of school dress codes and uniform policies: Towards gender diversity and gender equity in schools. </w:t>
      </w:r>
      <w:r w:rsidRPr="007E3FE9">
        <w:rPr>
          <w:rFonts w:ascii="Georgia" w:hAnsi="Georgia"/>
          <w:i/>
          <w:iCs/>
        </w:rPr>
        <w:t>International Journal of Educational Research</w:t>
      </w:r>
      <w:r w:rsidRPr="007E3FE9">
        <w:rPr>
          <w:rFonts w:ascii="Georgia" w:hAnsi="Georgia"/>
        </w:rPr>
        <w:t xml:space="preserve">, [online] 122(122), pp.1–12. </w:t>
      </w:r>
      <w:proofErr w:type="spellStart"/>
      <w:r w:rsidRPr="007E3FE9">
        <w:rPr>
          <w:rFonts w:ascii="Georgia" w:hAnsi="Georgia"/>
        </w:rPr>
        <w:t>doi:https</w:t>
      </w:r>
      <w:proofErr w:type="spellEnd"/>
      <w:r w:rsidRPr="007E3FE9">
        <w:rPr>
          <w:rFonts w:ascii="Georgia" w:hAnsi="Georgia"/>
        </w:rPr>
        <w:t>://doi.org/10.1016/j.ijer.2023.102239.</w:t>
      </w:r>
    </w:p>
    <w:p w14:paraId="2352CA0E" w14:textId="77777777" w:rsidR="007E3FE9" w:rsidRPr="007E3FE9" w:rsidRDefault="007E3FE9" w:rsidP="007E3FE9">
      <w:pPr>
        <w:rPr>
          <w:rFonts w:ascii="Georgia" w:hAnsi="Georgia"/>
        </w:rPr>
      </w:pPr>
      <w:r w:rsidRPr="007E3FE9">
        <w:rPr>
          <w:rFonts w:ascii="Georgia" w:hAnsi="Georgia"/>
        </w:rPr>
        <w:t xml:space="preserve">Dee, T.S. (2007). Teachers and the Gender Gaps in Student Achievement. </w:t>
      </w:r>
      <w:r w:rsidRPr="007E3FE9">
        <w:rPr>
          <w:rFonts w:ascii="Georgia" w:hAnsi="Georgia"/>
          <w:i/>
          <w:iCs/>
        </w:rPr>
        <w:t>The Journal of Human Resources</w:t>
      </w:r>
      <w:r w:rsidRPr="007E3FE9">
        <w:rPr>
          <w:rFonts w:ascii="Georgia" w:hAnsi="Georgia"/>
        </w:rPr>
        <w:t>, [online] 42(3), pp.528–554. Available at: https://www.jstor.org/stable/40057317.</w:t>
      </w:r>
    </w:p>
    <w:p w14:paraId="3A1E2E30" w14:textId="77777777" w:rsidR="007E3FE9" w:rsidRPr="007E3FE9" w:rsidRDefault="007E3FE9" w:rsidP="007E3FE9">
      <w:pPr>
        <w:rPr>
          <w:rFonts w:ascii="Georgia" w:hAnsi="Georgia"/>
        </w:rPr>
      </w:pPr>
      <w:r w:rsidRPr="007E3FE9">
        <w:rPr>
          <w:rFonts w:ascii="Georgia" w:hAnsi="Georgia"/>
        </w:rPr>
        <w:t xml:space="preserve">Friedrich, J. and Shanks, R. (2021). ‘The Prison of the body’: School Uniforms between Discipline and Governmentality. </w:t>
      </w:r>
      <w:r w:rsidRPr="007E3FE9">
        <w:rPr>
          <w:rFonts w:ascii="Georgia" w:hAnsi="Georgia"/>
          <w:i/>
          <w:iCs/>
        </w:rPr>
        <w:t>Discourse: Studies in the Cultural Politics of Education</w:t>
      </w:r>
      <w:r w:rsidRPr="007E3FE9">
        <w:rPr>
          <w:rFonts w:ascii="Georgia" w:hAnsi="Georgia"/>
        </w:rPr>
        <w:t xml:space="preserve">, 44(1), pp.1–14. </w:t>
      </w:r>
      <w:proofErr w:type="spellStart"/>
      <w:r w:rsidRPr="007E3FE9">
        <w:rPr>
          <w:rFonts w:ascii="Georgia" w:hAnsi="Georgia"/>
        </w:rPr>
        <w:t>doi:https</w:t>
      </w:r>
      <w:proofErr w:type="spellEnd"/>
      <w:r w:rsidRPr="007E3FE9">
        <w:rPr>
          <w:rFonts w:ascii="Georgia" w:hAnsi="Georgia"/>
        </w:rPr>
        <w:t>://doi.org/10.1080/01596306.2021.1931813.</w:t>
      </w:r>
    </w:p>
    <w:p w14:paraId="32DEBCA2" w14:textId="77777777" w:rsidR="007E3FE9" w:rsidRPr="007E3FE9" w:rsidRDefault="007E3FE9" w:rsidP="007E3FE9">
      <w:pPr>
        <w:rPr>
          <w:rFonts w:ascii="Georgia" w:hAnsi="Georgia"/>
        </w:rPr>
      </w:pPr>
      <w:r w:rsidRPr="007E3FE9">
        <w:rPr>
          <w:rFonts w:ascii="Georgia" w:hAnsi="Georgia"/>
          <w:lang w:val="de-DE"/>
        </w:rPr>
        <w:t xml:space="preserve">Geoff Danaher, Schirato, T. and Webb, J. (2000). </w:t>
      </w:r>
      <w:r w:rsidRPr="007E3FE9">
        <w:rPr>
          <w:rFonts w:ascii="Georgia" w:hAnsi="Georgia"/>
          <w:i/>
          <w:iCs/>
        </w:rPr>
        <w:t>Understanding Foucault</w:t>
      </w:r>
      <w:r w:rsidRPr="007E3FE9">
        <w:rPr>
          <w:rFonts w:ascii="Georgia" w:hAnsi="Georgia"/>
        </w:rPr>
        <w:t>. Sydney: Allen &amp; Unwin.</w:t>
      </w:r>
    </w:p>
    <w:p w14:paraId="25F75A7C" w14:textId="77777777" w:rsidR="007E3FE9" w:rsidRPr="007E3FE9" w:rsidRDefault="007E3FE9" w:rsidP="007E3FE9">
      <w:pPr>
        <w:rPr>
          <w:rFonts w:ascii="Georgia" w:hAnsi="Georgia"/>
        </w:rPr>
      </w:pPr>
      <w:r w:rsidRPr="007E3FE9">
        <w:rPr>
          <w:rFonts w:ascii="Georgia" w:hAnsi="Georgia"/>
        </w:rPr>
        <w:t xml:space="preserve">Graham, K., Treharne, G.J. and Nairn, K. (2017). Using Foucault’s theory of disciplinary power to critically examine the construction of gender in secondary schools. </w:t>
      </w:r>
      <w:r w:rsidRPr="007E3FE9">
        <w:rPr>
          <w:rFonts w:ascii="Georgia" w:hAnsi="Georgia"/>
          <w:i/>
          <w:iCs/>
        </w:rPr>
        <w:t>Social and Personality Psychology Compass</w:t>
      </w:r>
      <w:r w:rsidRPr="007E3FE9">
        <w:rPr>
          <w:rFonts w:ascii="Georgia" w:hAnsi="Georgia"/>
        </w:rPr>
        <w:t xml:space="preserve">, 11(2). </w:t>
      </w:r>
      <w:proofErr w:type="spellStart"/>
      <w:r w:rsidRPr="007E3FE9">
        <w:rPr>
          <w:rFonts w:ascii="Georgia" w:hAnsi="Georgia"/>
        </w:rPr>
        <w:t>doi:https</w:t>
      </w:r>
      <w:proofErr w:type="spellEnd"/>
      <w:r w:rsidRPr="007E3FE9">
        <w:rPr>
          <w:rFonts w:ascii="Georgia" w:hAnsi="Georgia"/>
        </w:rPr>
        <w:t>://doi.org/10.1111/spc3.12302.</w:t>
      </w:r>
    </w:p>
    <w:p w14:paraId="1D571367" w14:textId="77777777" w:rsidR="007E3FE9" w:rsidRPr="007E3FE9" w:rsidRDefault="007E3FE9" w:rsidP="007E3FE9">
      <w:pPr>
        <w:rPr>
          <w:rFonts w:ascii="Georgia" w:hAnsi="Georgia"/>
        </w:rPr>
      </w:pPr>
      <w:proofErr w:type="spellStart"/>
      <w:r w:rsidRPr="007E3FE9">
        <w:rPr>
          <w:rFonts w:ascii="Georgia" w:hAnsi="Georgia"/>
        </w:rPr>
        <w:t>Iglikowski</w:t>
      </w:r>
      <w:proofErr w:type="spellEnd"/>
      <w:r w:rsidRPr="007E3FE9">
        <w:rPr>
          <w:rFonts w:ascii="Georgia" w:hAnsi="Georgia"/>
        </w:rPr>
        <w:t xml:space="preserve">-Broad (2023). </w:t>
      </w:r>
      <w:r w:rsidRPr="007E3FE9">
        <w:rPr>
          <w:rFonts w:ascii="Georgia" w:hAnsi="Georgia"/>
          <w:i/>
          <w:iCs/>
        </w:rPr>
        <w:t>The origins of Section 28</w:t>
      </w:r>
      <w:r w:rsidRPr="007E3FE9">
        <w:rPr>
          <w:rFonts w:ascii="Georgia" w:hAnsi="Georgia"/>
        </w:rPr>
        <w:t>. [online] The National Archives. Available at: https://www.nationalarchives.gov.uk/explore-the-collection/stories/origins-section-28/.</w:t>
      </w:r>
    </w:p>
    <w:p w14:paraId="30900D6B" w14:textId="77777777" w:rsidR="007E3FE9" w:rsidRPr="007E3FE9" w:rsidRDefault="007E3FE9" w:rsidP="007E3FE9">
      <w:pPr>
        <w:rPr>
          <w:rFonts w:ascii="Georgia" w:hAnsi="Georgia"/>
        </w:rPr>
      </w:pPr>
      <w:r w:rsidRPr="007E3FE9">
        <w:rPr>
          <w:rFonts w:ascii="Georgia" w:hAnsi="Georgia"/>
        </w:rPr>
        <w:t xml:space="preserve">Johnson, G.M. and Miller, P.J. (1993). Field Theory Applied To Classrooms: Toward A Bidirectional Paradigm Of </w:t>
      </w:r>
      <w:proofErr w:type="spellStart"/>
      <w:r w:rsidRPr="007E3FE9">
        <w:rPr>
          <w:rFonts w:ascii="Georgia" w:hAnsi="Georgia"/>
        </w:rPr>
        <w:t>TeacherStudent</w:t>
      </w:r>
      <w:proofErr w:type="spellEnd"/>
      <w:r w:rsidRPr="007E3FE9">
        <w:rPr>
          <w:rFonts w:ascii="Georgia" w:hAnsi="Georgia"/>
        </w:rPr>
        <w:t xml:space="preserve"> Relationships. </w:t>
      </w:r>
      <w:r w:rsidRPr="007E3FE9">
        <w:rPr>
          <w:rFonts w:ascii="Georgia" w:hAnsi="Georgia"/>
          <w:i/>
          <w:iCs/>
        </w:rPr>
        <w:t>The Journal of Classroom Interaction</w:t>
      </w:r>
      <w:r w:rsidRPr="007E3FE9">
        <w:rPr>
          <w:rFonts w:ascii="Georgia" w:hAnsi="Georgia"/>
        </w:rPr>
        <w:t xml:space="preserve">, [online] 28(2), pp.15–21. </w:t>
      </w:r>
      <w:proofErr w:type="spellStart"/>
      <w:r w:rsidRPr="007E3FE9">
        <w:rPr>
          <w:rFonts w:ascii="Georgia" w:hAnsi="Georgia"/>
        </w:rPr>
        <w:t>doi:https</w:t>
      </w:r>
      <w:proofErr w:type="spellEnd"/>
      <w:r w:rsidRPr="007E3FE9">
        <w:rPr>
          <w:rFonts w:ascii="Georgia" w:hAnsi="Georgia"/>
        </w:rPr>
        <w:t>://doi.org/10.2307/23870747.</w:t>
      </w:r>
    </w:p>
    <w:p w14:paraId="215F81CA" w14:textId="77777777" w:rsidR="007E3FE9" w:rsidRPr="007E3FE9" w:rsidRDefault="007E3FE9" w:rsidP="007E3FE9">
      <w:pPr>
        <w:rPr>
          <w:rFonts w:ascii="Georgia" w:hAnsi="Georgia"/>
        </w:rPr>
      </w:pPr>
      <w:r w:rsidRPr="007E3FE9">
        <w:rPr>
          <w:rFonts w:ascii="Georgia" w:hAnsi="Georgia"/>
        </w:rPr>
        <w:t xml:space="preserve">Tiedemann, J. (2002). Teachers’ Gender Stereotypes as Determinants of Teacher Perceptions in Elementary School Mathematics. </w:t>
      </w:r>
      <w:r w:rsidRPr="007E3FE9">
        <w:rPr>
          <w:rFonts w:ascii="Georgia" w:hAnsi="Georgia"/>
          <w:i/>
          <w:iCs/>
        </w:rPr>
        <w:t>Educational Studies in Mathematics</w:t>
      </w:r>
      <w:r w:rsidRPr="007E3FE9">
        <w:rPr>
          <w:rFonts w:ascii="Georgia" w:hAnsi="Georgia"/>
        </w:rPr>
        <w:t>, [online] 50(1), pp.49–62. Available at: https://www.jstor.org/stable/3483051.</w:t>
      </w:r>
    </w:p>
    <w:p w14:paraId="73BBC702" w14:textId="77777777" w:rsidR="00141B18" w:rsidRPr="00141B18" w:rsidRDefault="00141B18" w:rsidP="00141B18">
      <w:pPr>
        <w:rPr>
          <w:rFonts w:ascii="Georgia" w:hAnsi="Georgia"/>
          <w:sz w:val="28"/>
          <w:szCs w:val="28"/>
        </w:rPr>
      </w:pPr>
    </w:p>
    <w:sectPr w:rsidR="00141B18" w:rsidRPr="00141B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762"/>
    <w:rsid w:val="00141B18"/>
    <w:rsid w:val="001D1819"/>
    <w:rsid w:val="006E52E6"/>
    <w:rsid w:val="00726762"/>
    <w:rsid w:val="007E3FE9"/>
    <w:rsid w:val="00893028"/>
    <w:rsid w:val="00993676"/>
    <w:rsid w:val="009E2AE1"/>
    <w:rsid w:val="00CA3AF0"/>
    <w:rsid w:val="00E30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B65CB"/>
  <w15:chartTrackingRefBased/>
  <w15:docId w15:val="{8A030079-0336-49A5-8450-036AD5307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762"/>
    <w:rPr>
      <w:rFonts w:eastAsiaTheme="majorEastAsia" w:cstheme="majorBidi"/>
      <w:color w:val="272727" w:themeColor="text1" w:themeTint="D8"/>
    </w:rPr>
  </w:style>
  <w:style w:type="paragraph" w:styleId="Title">
    <w:name w:val="Title"/>
    <w:basedOn w:val="Normal"/>
    <w:next w:val="Normal"/>
    <w:link w:val="TitleChar"/>
    <w:uiPriority w:val="10"/>
    <w:qFormat/>
    <w:rsid w:val="00726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762"/>
    <w:pPr>
      <w:spacing w:before="160"/>
      <w:jc w:val="center"/>
    </w:pPr>
    <w:rPr>
      <w:i/>
      <w:iCs/>
      <w:color w:val="404040" w:themeColor="text1" w:themeTint="BF"/>
    </w:rPr>
  </w:style>
  <w:style w:type="character" w:customStyle="1" w:styleId="QuoteChar">
    <w:name w:val="Quote Char"/>
    <w:basedOn w:val="DefaultParagraphFont"/>
    <w:link w:val="Quote"/>
    <w:uiPriority w:val="29"/>
    <w:rsid w:val="00726762"/>
    <w:rPr>
      <w:i/>
      <w:iCs/>
      <w:color w:val="404040" w:themeColor="text1" w:themeTint="BF"/>
    </w:rPr>
  </w:style>
  <w:style w:type="paragraph" w:styleId="ListParagraph">
    <w:name w:val="List Paragraph"/>
    <w:basedOn w:val="Normal"/>
    <w:uiPriority w:val="34"/>
    <w:qFormat/>
    <w:rsid w:val="00726762"/>
    <w:pPr>
      <w:ind w:left="720"/>
      <w:contextualSpacing/>
    </w:pPr>
  </w:style>
  <w:style w:type="character" w:styleId="IntenseEmphasis">
    <w:name w:val="Intense Emphasis"/>
    <w:basedOn w:val="DefaultParagraphFont"/>
    <w:uiPriority w:val="21"/>
    <w:qFormat/>
    <w:rsid w:val="00726762"/>
    <w:rPr>
      <w:i/>
      <w:iCs/>
      <w:color w:val="0F4761" w:themeColor="accent1" w:themeShade="BF"/>
    </w:rPr>
  </w:style>
  <w:style w:type="paragraph" w:styleId="IntenseQuote">
    <w:name w:val="Intense Quote"/>
    <w:basedOn w:val="Normal"/>
    <w:next w:val="Normal"/>
    <w:link w:val="IntenseQuoteChar"/>
    <w:uiPriority w:val="30"/>
    <w:qFormat/>
    <w:rsid w:val="00726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762"/>
    <w:rPr>
      <w:i/>
      <w:iCs/>
      <w:color w:val="0F4761" w:themeColor="accent1" w:themeShade="BF"/>
    </w:rPr>
  </w:style>
  <w:style w:type="character" w:styleId="IntenseReference">
    <w:name w:val="Intense Reference"/>
    <w:basedOn w:val="DefaultParagraphFont"/>
    <w:uiPriority w:val="32"/>
    <w:qFormat/>
    <w:rsid w:val="0072676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2525</Words>
  <Characters>14399</Characters>
  <Application>Microsoft Office Word</Application>
  <DocSecurity>0</DocSecurity>
  <Lines>119</Lines>
  <Paragraphs>33</Paragraphs>
  <ScaleCrop>false</ScaleCrop>
  <Company/>
  <LinksUpToDate>false</LinksUpToDate>
  <CharactersWithSpaces>16891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dc:creator>
  <cp:keywords/>
  <dc:description/>
  <cp:lastModifiedBy>Elizabeth Jasper</cp:lastModifiedBy>
  <cp:revision>4</cp:revision>
  <dcterms:created xsi:type="dcterms:W3CDTF">2026-05-18T00:46:00Z</dcterms:created>
  <dcterms:modified xsi:type="dcterms:W3CDTF">2026-05-18T01:47:00Z</dcterms:modified>
</cp:coreProperties>
</file>