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BF0D9D" w14:textId="56CD5DA0" w:rsidR="00B06FA9" w:rsidRPr="00AA6042" w:rsidRDefault="00425E48" w:rsidP="00AA6042">
      <w:pPr>
        <w:pStyle w:val="Heading1"/>
        <w:jc w:val="center"/>
        <w:rPr>
          <w:sz w:val="32"/>
          <w:szCs w:val="32"/>
        </w:rPr>
      </w:pPr>
      <w:r w:rsidRPr="00AA6042">
        <w:rPr>
          <w:sz w:val="32"/>
          <w:szCs w:val="32"/>
        </w:rPr>
        <w:t>Contemporary Issues in HRM</w:t>
      </w:r>
    </w:p>
    <w:p w14:paraId="6779F66E" w14:textId="77777777" w:rsidR="00B06FA9" w:rsidRPr="00E230A0" w:rsidRDefault="00425E48" w:rsidP="00AA6042">
      <w:pPr>
        <w:pStyle w:val="Heading1"/>
      </w:pPr>
      <w:r w:rsidRPr="00E230A0">
        <w:t>Case Study 1: Uber and the Gig Economy</w:t>
      </w:r>
    </w:p>
    <w:p w14:paraId="4CEFD538" w14:textId="77777777" w:rsidR="00B06FA9" w:rsidRPr="00E230A0" w:rsidRDefault="00425E48">
      <w:r w:rsidRPr="00E230A0">
        <w:t>Uber Technologies Inc., a pioneer of the gig economy, employs a flexible labor model that classifies drivers as independent contractors. While this model allows Uber to scale globally without traditional employment liabilities, it has also sparked significant controversy over workers’ rights. Drivers lack access to benefits such as paid leave, healthcare, or job security. Legal challenges in the UK, California, and other jurisdictions have called into question whether gig workers should be reclassified as employees. Uber’s operational model thus sits at the intersection of flexibility, labor rights, and evolving employment law.</w:t>
      </w:r>
    </w:p>
    <w:p w14:paraId="27D39778" w14:textId="77777777" w:rsidR="00B06FA9" w:rsidRPr="00E230A0" w:rsidRDefault="00425E48">
      <w:r w:rsidRPr="00E230A0">
        <w:t>Questions for Reflection:</w:t>
      </w:r>
    </w:p>
    <w:p w14:paraId="7B668D10" w14:textId="77777777" w:rsidR="00B06FA9" w:rsidRPr="00E230A0" w:rsidRDefault="00425E48">
      <w:pPr>
        <w:pStyle w:val="ListNumber"/>
      </w:pPr>
      <w:r w:rsidRPr="00E230A0">
        <w:t>1. What are the benefits and drawbacks of the gig economy for employers and workers?</w:t>
      </w:r>
    </w:p>
    <w:p w14:paraId="283EA10A" w14:textId="77777777" w:rsidR="00B06FA9" w:rsidRPr="00E230A0" w:rsidRDefault="00425E48">
      <w:pPr>
        <w:pStyle w:val="ListNumber"/>
      </w:pPr>
      <w:r w:rsidRPr="00E230A0">
        <w:t>2. Should gig workers like Uber drivers be classified as employees? Why or why not?</w:t>
      </w:r>
    </w:p>
    <w:p w14:paraId="05B4CAC9" w14:textId="77777777" w:rsidR="00B06FA9" w:rsidRPr="00E230A0" w:rsidRDefault="00425E48">
      <w:pPr>
        <w:pStyle w:val="ListNumber"/>
      </w:pPr>
      <w:r w:rsidRPr="00E230A0">
        <w:t>3. How can HR practices be adapted to better support gig workers?</w:t>
      </w:r>
    </w:p>
    <w:p w14:paraId="03D445CF" w14:textId="77777777" w:rsidR="00B06FA9" w:rsidRPr="00E230A0" w:rsidRDefault="00425E48" w:rsidP="00AA6042">
      <w:pPr>
        <w:pStyle w:val="Heading1"/>
      </w:pPr>
      <w:r w:rsidRPr="00E230A0">
        <w:t xml:space="preserve">Case Study 2: IBM </w:t>
      </w:r>
      <w:r w:rsidRPr="00AA6042">
        <w:t>and</w:t>
      </w:r>
      <w:r w:rsidRPr="00E230A0">
        <w:t xml:space="preserve"> Artificial Intelligence in Recruitment</w:t>
      </w:r>
    </w:p>
    <w:p w14:paraId="0186BFF0" w14:textId="77777777" w:rsidR="00B06FA9" w:rsidRPr="00E230A0" w:rsidRDefault="00425E48">
      <w:r w:rsidRPr="00E230A0">
        <w:t>IBM has implemented AI tools to assist in recruitment, performance management, and workforce analytics. Using predictive analytics, IBM’s systems can assess candidate suitability, forecast future performance, and reduce unconscious bias in hiring. However, critics argue that reliance on algorithms could inadvertently reinforce existing biases encoded in historical data. IBM has responded with transparency initiatives, AI ethics guidelines, and continuous auditing of AI systems to ensure fairness.</w:t>
      </w:r>
    </w:p>
    <w:p w14:paraId="297E1455" w14:textId="77777777" w:rsidR="00B06FA9" w:rsidRPr="00E230A0" w:rsidRDefault="00425E48">
      <w:r w:rsidRPr="00E230A0">
        <w:t>Questions for Reflection:</w:t>
      </w:r>
    </w:p>
    <w:p w14:paraId="64DED8EB" w14:textId="77777777" w:rsidR="00B06FA9" w:rsidRPr="00E230A0" w:rsidRDefault="00425E48">
      <w:pPr>
        <w:pStyle w:val="ListNumber"/>
      </w:pPr>
      <w:r w:rsidRPr="00E230A0">
        <w:t>1. What are the ethical risks of using AI in recruitment?</w:t>
      </w:r>
    </w:p>
    <w:p w14:paraId="5434A51F" w14:textId="77777777" w:rsidR="00B06FA9" w:rsidRPr="00E230A0" w:rsidRDefault="00425E48">
      <w:pPr>
        <w:pStyle w:val="ListNumber"/>
      </w:pPr>
      <w:r w:rsidRPr="00E230A0">
        <w:t>2. How can companies ensure fairness and transparency when using automated tools?</w:t>
      </w:r>
    </w:p>
    <w:p w14:paraId="02AF6E15" w14:textId="77777777" w:rsidR="00B06FA9" w:rsidRPr="00E230A0" w:rsidRDefault="00425E48">
      <w:pPr>
        <w:pStyle w:val="ListNumber"/>
      </w:pPr>
      <w:r w:rsidRPr="00E230A0">
        <w:t>3. What role should HR professionals play in the governance of AI systems?</w:t>
      </w:r>
    </w:p>
    <w:p w14:paraId="1F1ECA9C" w14:textId="77777777" w:rsidR="00B06FA9" w:rsidRPr="00E230A0" w:rsidRDefault="00425E48" w:rsidP="00AA6042">
      <w:pPr>
        <w:pStyle w:val="Heading1"/>
      </w:pPr>
      <w:r w:rsidRPr="00E230A0">
        <w:t xml:space="preserve">Case Study 3: </w:t>
      </w:r>
      <w:r w:rsidRPr="00AA6042">
        <w:t>HSBC</w:t>
      </w:r>
      <w:r w:rsidRPr="00E230A0">
        <w:t xml:space="preserve"> and International HRM Challenges</w:t>
      </w:r>
    </w:p>
    <w:p w14:paraId="7B4F983D" w14:textId="77777777" w:rsidR="00B06FA9" w:rsidRPr="00E230A0" w:rsidRDefault="00425E48">
      <w:r w:rsidRPr="00E230A0">
        <w:t>HSBC, one of the world’s largest banking institutions, operates across over 60 countries. Its HR function must navigate complex challenges such as cultural diversity, compliance with local labor laws, expatriate management, and global leadership development. The bank’s ‘One HSBC’ strategy attempts to unify corporate values while allowing for regional flexibility. Despite efforts, the organization has faced criticism over talent mobility, cultural misunderstanding, and inconsistent leadership development practices.</w:t>
      </w:r>
    </w:p>
    <w:p w14:paraId="37905DA3" w14:textId="77777777" w:rsidR="00B06FA9" w:rsidRPr="00E230A0" w:rsidRDefault="00425E48">
      <w:r w:rsidRPr="00E230A0">
        <w:t>Questions for Reflection:</w:t>
      </w:r>
    </w:p>
    <w:p w14:paraId="38650B42" w14:textId="77777777" w:rsidR="00B06FA9" w:rsidRPr="00E230A0" w:rsidRDefault="00425E48">
      <w:pPr>
        <w:pStyle w:val="ListNumber"/>
      </w:pPr>
      <w:r w:rsidRPr="00E230A0">
        <w:lastRenderedPageBreak/>
        <w:t>1. What are the key challenges in managing HR across multiple countries?</w:t>
      </w:r>
    </w:p>
    <w:p w14:paraId="176DC30A" w14:textId="77777777" w:rsidR="00B06FA9" w:rsidRPr="00E230A0" w:rsidRDefault="00425E48">
      <w:pPr>
        <w:pStyle w:val="ListNumber"/>
      </w:pPr>
      <w:r w:rsidRPr="00E230A0">
        <w:t>2. How can companies maintain a unified culture while respecting local norms?</w:t>
      </w:r>
    </w:p>
    <w:p w14:paraId="68E004DD" w14:textId="77777777" w:rsidR="00B06FA9" w:rsidRPr="00E230A0" w:rsidRDefault="00425E48">
      <w:pPr>
        <w:pStyle w:val="ListNumber"/>
      </w:pPr>
      <w:r w:rsidRPr="00E230A0">
        <w:t>3. What strategies could HSBC adopt to improve global talent management?</w:t>
      </w:r>
    </w:p>
    <w:p w14:paraId="75276EE5" w14:textId="77777777" w:rsidR="00B06FA9" w:rsidRPr="00E230A0" w:rsidRDefault="00425E48" w:rsidP="00AA6042">
      <w:pPr>
        <w:pStyle w:val="Heading1"/>
      </w:pPr>
      <w:r w:rsidRPr="00E230A0">
        <w:t xml:space="preserve">Case Study 4: </w:t>
      </w:r>
      <w:r w:rsidRPr="00AA6042">
        <w:t>Amazon</w:t>
      </w:r>
      <w:r w:rsidRPr="00E230A0">
        <w:t xml:space="preserve"> and Worker Surveillance</w:t>
      </w:r>
    </w:p>
    <w:p w14:paraId="04D63484" w14:textId="77777777" w:rsidR="00B06FA9" w:rsidRPr="00E230A0" w:rsidRDefault="00425E48">
      <w:r w:rsidRPr="00E230A0">
        <w:t>Amazon has been widely scrutinized for its use of surveillance technology to monitor employee productivity, especially in its warehouses. Systems track worker pace, break frequency, and even physical movements. While intended to optimize efficiency, these practices have been criticized as invasive and detrimental to employee well-being. Amazon has made limited efforts to address these concerns, though union activity and media attention continue to pressure the company for reforms.</w:t>
      </w:r>
    </w:p>
    <w:p w14:paraId="28A96008" w14:textId="77777777" w:rsidR="00B06FA9" w:rsidRPr="00E230A0" w:rsidRDefault="00425E48">
      <w:r w:rsidRPr="00E230A0">
        <w:t>Questions for Reflection:</w:t>
      </w:r>
    </w:p>
    <w:p w14:paraId="04D5CF9A" w14:textId="77777777" w:rsidR="00B06FA9" w:rsidRPr="00E230A0" w:rsidRDefault="00425E48">
      <w:pPr>
        <w:pStyle w:val="ListNumber"/>
      </w:pPr>
      <w:r w:rsidRPr="00E230A0">
        <w:t>1. Where is the line between performance monitoring and invasion of privacy?</w:t>
      </w:r>
    </w:p>
    <w:p w14:paraId="1989FF5E" w14:textId="77777777" w:rsidR="00B06FA9" w:rsidRPr="00E230A0" w:rsidRDefault="00425E48">
      <w:pPr>
        <w:pStyle w:val="ListNumber"/>
      </w:pPr>
      <w:r w:rsidRPr="00E230A0">
        <w:t>2. How can organizations balance productivity with employee trust?</w:t>
      </w:r>
    </w:p>
    <w:p w14:paraId="5E168A5F" w14:textId="77777777" w:rsidR="00B06FA9" w:rsidRPr="00E230A0" w:rsidRDefault="00425E48">
      <w:pPr>
        <w:pStyle w:val="ListNumber"/>
      </w:pPr>
      <w:r w:rsidRPr="00E230A0">
        <w:t>3. What policies could improve transparency around employee monitoring?</w:t>
      </w:r>
    </w:p>
    <w:p w14:paraId="21C73475" w14:textId="77777777" w:rsidR="00B06FA9" w:rsidRPr="00E230A0" w:rsidRDefault="00425E48" w:rsidP="00AA6042">
      <w:pPr>
        <w:pStyle w:val="Heading1"/>
      </w:pPr>
      <w:r w:rsidRPr="00E230A0">
        <w:t>Case Study 5: Unilever and the Four-Day Work Week Pilot</w:t>
      </w:r>
    </w:p>
    <w:p w14:paraId="72342D17" w14:textId="77777777" w:rsidR="00B06FA9" w:rsidRPr="00E230A0" w:rsidRDefault="00425E48">
      <w:r w:rsidRPr="00E230A0">
        <w:t>Unilever New Zealand ran a year-long trial of the four-day work week with no reduction in pay. The trial aimed to improve work-life balance and productivity. Results showed enhanced employee well-being and sustained performance, leading the company to consider expanding the pilot. However, challenges around client expectations, workload compression, and collaboration across global time zones were also noted.</w:t>
      </w:r>
    </w:p>
    <w:p w14:paraId="56B2BB39" w14:textId="77777777" w:rsidR="00B06FA9" w:rsidRPr="00E230A0" w:rsidRDefault="00425E48">
      <w:r w:rsidRPr="00E230A0">
        <w:t>Questions for Reflection:</w:t>
      </w:r>
    </w:p>
    <w:p w14:paraId="21C55AE4" w14:textId="77777777" w:rsidR="00B06FA9" w:rsidRPr="00E230A0" w:rsidRDefault="00425E48">
      <w:pPr>
        <w:pStyle w:val="ListNumber"/>
      </w:pPr>
      <w:r w:rsidRPr="00E230A0">
        <w:t>1. What are the pros and cons of a four-day work week?</w:t>
      </w:r>
    </w:p>
    <w:p w14:paraId="2B3CA6DC" w14:textId="77777777" w:rsidR="00B06FA9" w:rsidRPr="00E230A0" w:rsidRDefault="00425E48">
      <w:pPr>
        <w:pStyle w:val="ListNumber"/>
      </w:pPr>
      <w:r w:rsidRPr="00E230A0">
        <w:t>2. How might this model impact productivity, employee morale, and customer service?</w:t>
      </w:r>
    </w:p>
    <w:p w14:paraId="50DA0B14" w14:textId="77777777" w:rsidR="00B06FA9" w:rsidRDefault="00425E48">
      <w:pPr>
        <w:pStyle w:val="ListNumber"/>
      </w:pPr>
      <w:r w:rsidRPr="00E230A0">
        <w:t>3. Should such policies be tailored to local contexts or applied universally?</w:t>
      </w:r>
    </w:p>
    <w:p w14:paraId="1B9FD7FC" w14:textId="77777777" w:rsidR="004B2DCF" w:rsidRDefault="004B2DCF" w:rsidP="004B2DCF">
      <w:pPr>
        <w:pStyle w:val="ListNumber"/>
        <w:numPr>
          <w:ilvl w:val="0"/>
          <w:numId w:val="0"/>
        </w:numPr>
        <w:ind w:left="360" w:hanging="360"/>
      </w:pPr>
    </w:p>
    <w:p w14:paraId="17CBA4E3" w14:textId="77777777" w:rsidR="004B2DCF" w:rsidRDefault="004B2DCF" w:rsidP="004B2DCF">
      <w:pPr>
        <w:pStyle w:val="ListNumber"/>
        <w:numPr>
          <w:ilvl w:val="0"/>
          <w:numId w:val="0"/>
        </w:numPr>
        <w:ind w:left="360" w:hanging="360"/>
      </w:pPr>
    </w:p>
    <w:p w14:paraId="28670427" w14:textId="00D03963" w:rsidR="007B2DED" w:rsidRPr="0024003F" w:rsidRDefault="007B2DED" w:rsidP="00AA6042">
      <w:pPr>
        <w:pStyle w:val="Heading1"/>
      </w:pPr>
      <w:r>
        <w:t xml:space="preserve">Case Study </w:t>
      </w:r>
      <w:r w:rsidR="00AA6042">
        <w:t xml:space="preserve">6: </w:t>
      </w:r>
      <w:r w:rsidRPr="0024003F">
        <w:t>Netflix: Freedom and Responsibility Culture</w:t>
      </w:r>
    </w:p>
    <w:p w14:paraId="13171899" w14:textId="77777777" w:rsidR="007B2DED" w:rsidRPr="0024003F" w:rsidRDefault="007B2DED" w:rsidP="007B2DED">
      <w:r w:rsidRPr="0024003F">
        <w:t>Netflix’s HR philosophy is built around the dual concepts of freedom and responsibility. This unique culture emphasizes trust, accountability, and radical transparency. Netflix hires only top-performing individuals and provides them with an environment where micromanagement is absent and expectations are high. Rather than imposing strict vacation or expense policies, the company trusts employees to use good judgment. The emphasis is on results and impact, not hours clocked in.</w:t>
      </w:r>
      <w:r w:rsidRPr="0024003F">
        <w:br/>
      </w:r>
      <w:r w:rsidRPr="0024003F">
        <w:br/>
        <w:t xml:space="preserve">This HR strategy has allowed Netflix to remain agile and innovative in a highly competitive </w:t>
      </w:r>
      <w:r w:rsidRPr="0024003F">
        <w:lastRenderedPageBreak/>
        <w:t>entertainment landscape. By focusing on performance and cultural fit, the company sustains high standards while empowering staff. However, critics argue that this approach can result in a high-pressure environment where job security is minimal.</w:t>
      </w:r>
      <w:r w:rsidRPr="0024003F">
        <w:br/>
      </w:r>
      <w:r w:rsidRPr="0024003F">
        <w:br/>
        <w:t>Reflection Questions:</w:t>
      </w:r>
      <w:r w:rsidRPr="0024003F">
        <w:br/>
        <w:t>1. What are the benefits and potential drawbacks of Netflix’s high-trust, high-performance culture?</w:t>
      </w:r>
      <w:r w:rsidRPr="0024003F">
        <w:br/>
        <w:t>2. How can other companies adapt elements of this model while managing employee well-being?</w:t>
      </w:r>
    </w:p>
    <w:p w14:paraId="7817638B" w14:textId="3D2EFA16" w:rsidR="007B2DED" w:rsidRPr="0024003F" w:rsidRDefault="00AA6042" w:rsidP="00AA6042">
      <w:pPr>
        <w:pStyle w:val="Heading1"/>
      </w:pPr>
      <w:r>
        <w:t xml:space="preserve">Case Study 7: </w:t>
      </w:r>
      <w:r w:rsidR="007B2DED" w:rsidRPr="0024003F">
        <w:t>Unilever’s Digital HR Transformation</w:t>
      </w:r>
    </w:p>
    <w:p w14:paraId="3452D404" w14:textId="77777777" w:rsidR="007B2DED" w:rsidRPr="0024003F" w:rsidRDefault="007B2DED" w:rsidP="007B2DED">
      <w:r w:rsidRPr="0024003F">
        <w:t>Unilever undertook a major digital transformation of its HR function with the aim of improving employee experience, streamlining operations, and using data for strategic workforce decisions. This included rolling out cloud-based HR platforms, using AI in recruitment, and applying predictive analytics for talent management.</w:t>
      </w:r>
      <w:r w:rsidRPr="0024003F">
        <w:br/>
      </w:r>
      <w:r w:rsidRPr="0024003F">
        <w:br/>
        <w:t>Unilever also implemented mobile-first solutions to ensure accessibility for a global workforce, and used people analytics to improve performance, engagement, and succession planning. These changes have led to a more data-driven and agile HR operation aligned with business needs.</w:t>
      </w:r>
      <w:r w:rsidRPr="0024003F">
        <w:br/>
      </w:r>
      <w:r w:rsidRPr="0024003F">
        <w:br/>
        <w:t>Reflection Questions:</w:t>
      </w:r>
      <w:r w:rsidRPr="0024003F">
        <w:br/>
        <w:t>1. What are the key enablers of successful HR digital transformation?</w:t>
      </w:r>
      <w:r w:rsidRPr="0024003F">
        <w:br/>
        <w:t xml:space="preserve">2. How can </w:t>
      </w:r>
      <w:proofErr w:type="spellStart"/>
      <w:r w:rsidRPr="0024003F">
        <w:t>organisations</w:t>
      </w:r>
      <w:proofErr w:type="spellEnd"/>
      <w:r w:rsidRPr="0024003F">
        <w:t xml:space="preserve"> balance automation and human-centered HR services?</w:t>
      </w:r>
    </w:p>
    <w:p w14:paraId="689C757E" w14:textId="74B887B1" w:rsidR="007B2DED" w:rsidRPr="0024003F" w:rsidRDefault="00AA6042" w:rsidP="00AA6042">
      <w:pPr>
        <w:pStyle w:val="Heading1"/>
      </w:pPr>
      <w:r>
        <w:t xml:space="preserve">Case Study 8: </w:t>
      </w:r>
      <w:r w:rsidR="007B2DED" w:rsidRPr="0024003F">
        <w:t>Accenture’s Approach to Diversity, Equity and Inclusion (DEI)</w:t>
      </w:r>
    </w:p>
    <w:p w14:paraId="55544D05" w14:textId="77777777" w:rsidR="007B2DED" w:rsidRPr="0024003F" w:rsidRDefault="007B2DED" w:rsidP="007B2DED">
      <w:r w:rsidRPr="0024003F">
        <w:t>Accenture has emerged as a global leader in DEI through a holistic and integrated strategy. It publicly discloses workforce diversity data and has set measurable goals for gender and ethnic representation. Key initiatives include inclusive hiring practices, employee resource groups, unconscious bias training, and leadership accountability for DEI outcomes.</w:t>
      </w:r>
      <w:r w:rsidRPr="0024003F">
        <w:br/>
      </w:r>
      <w:r w:rsidRPr="0024003F">
        <w:br/>
        <w:t>Accenture’s ‘Inclusion Starts With I’ campaign has gained global recognition and helped embed inclusivity into the company culture. The firm also ties executive performance and bonuses to DEI metrics.</w:t>
      </w:r>
      <w:r w:rsidRPr="0024003F">
        <w:br/>
      </w:r>
      <w:r w:rsidRPr="0024003F">
        <w:br/>
        <w:t>Reflection Questions:</w:t>
      </w:r>
      <w:r w:rsidRPr="0024003F">
        <w:br/>
        <w:t xml:space="preserve">1. How can </w:t>
      </w:r>
      <w:proofErr w:type="spellStart"/>
      <w:r w:rsidRPr="0024003F">
        <w:t>organisations</w:t>
      </w:r>
      <w:proofErr w:type="spellEnd"/>
      <w:r w:rsidRPr="0024003F">
        <w:t xml:space="preserve"> go beyond tokenism to embed DEI authentically?</w:t>
      </w:r>
      <w:r w:rsidRPr="0024003F">
        <w:br/>
        <w:t>2. What role does leadership play in sustaining meaningful DEI outcomes?</w:t>
      </w:r>
    </w:p>
    <w:p w14:paraId="20A9AD38" w14:textId="77777777" w:rsidR="007B2DED" w:rsidRPr="00E230A0" w:rsidRDefault="007B2DED" w:rsidP="004B2DCF">
      <w:pPr>
        <w:pStyle w:val="ListNumber"/>
        <w:numPr>
          <w:ilvl w:val="0"/>
          <w:numId w:val="0"/>
        </w:numPr>
        <w:ind w:left="360" w:hanging="360"/>
      </w:pPr>
    </w:p>
    <w:sectPr w:rsidR="007B2DED" w:rsidRPr="00E230A0"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6C6A2A" w14:textId="77777777" w:rsidR="004B2DCF" w:rsidRDefault="004B2DCF" w:rsidP="004B2DCF">
      <w:pPr>
        <w:spacing w:after="0" w:line="240" w:lineRule="auto"/>
      </w:pPr>
      <w:r>
        <w:separator/>
      </w:r>
    </w:p>
  </w:endnote>
  <w:endnote w:type="continuationSeparator" w:id="0">
    <w:p w14:paraId="473221DF" w14:textId="77777777" w:rsidR="004B2DCF" w:rsidRDefault="004B2DCF" w:rsidP="004B2D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A8FA25" w14:textId="77777777" w:rsidR="004B2DCF" w:rsidRDefault="004B2DCF" w:rsidP="004B2DCF">
      <w:pPr>
        <w:spacing w:after="0" w:line="240" w:lineRule="auto"/>
      </w:pPr>
      <w:r>
        <w:separator/>
      </w:r>
    </w:p>
  </w:footnote>
  <w:footnote w:type="continuationSeparator" w:id="0">
    <w:p w14:paraId="2F9F37CE" w14:textId="77777777" w:rsidR="004B2DCF" w:rsidRDefault="004B2DCF" w:rsidP="004B2D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915700322">
    <w:abstractNumId w:val="8"/>
  </w:num>
  <w:num w:numId="2" w16cid:durableId="1459301017">
    <w:abstractNumId w:val="6"/>
  </w:num>
  <w:num w:numId="3" w16cid:durableId="1446264468">
    <w:abstractNumId w:val="5"/>
  </w:num>
  <w:num w:numId="4" w16cid:durableId="1817642337">
    <w:abstractNumId w:val="4"/>
  </w:num>
  <w:num w:numId="5" w16cid:durableId="923296302">
    <w:abstractNumId w:val="7"/>
  </w:num>
  <w:num w:numId="6" w16cid:durableId="118232222">
    <w:abstractNumId w:val="3"/>
  </w:num>
  <w:num w:numId="7" w16cid:durableId="616714598">
    <w:abstractNumId w:val="2"/>
  </w:num>
  <w:num w:numId="8" w16cid:durableId="1215308292">
    <w:abstractNumId w:val="1"/>
  </w:num>
  <w:num w:numId="9" w16cid:durableId="4623123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2A5BFA"/>
    <w:rsid w:val="00326F90"/>
    <w:rsid w:val="00425E48"/>
    <w:rsid w:val="004B2DCF"/>
    <w:rsid w:val="007B2DED"/>
    <w:rsid w:val="00915E3B"/>
    <w:rsid w:val="00AA1D8D"/>
    <w:rsid w:val="00AA6042"/>
    <w:rsid w:val="00B06FA9"/>
    <w:rsid w:val="00B47730"/>
    <w:rsid w:val="00CB0664"/>
    <w:rsid w:val="00E230A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6B2BA73"/>
  <w14:defaultImageDpi w14:val="300"/>
  <w15:docId w15:val="{24F51E18-3623-43A1-B853-035FADF413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1015</Words>
  <Characters>5786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6788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Hoang Dang Nguyen</cp:lastModifiedBy>
  <cp:revision>6</cp:revision>
  <dcterms:created xsi:type="dcterms:W3CDTF">2025-04-05T12:21:00Z</dcterms:created>
  <dcterms:modified xsi:type="dcterms:W3CDTF">2025-04-07T09:32:00Z</dcterms:modified>
  <cp:category/>
</cp:coreProperties>
</file>