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4BB765" w14:textId="77777777" w:rsidR="00925B43" w:rsidRDefault="0087002B" w:rsidP="0087002B">
      <w:pPr>
        <w:jc w:val="center"/>
        <w:rPr>
          <w:b/>
          <w:sz w:val="28"/>
          <w:szCs w:val="28"/>
          <w:u w:val="single"/>
        </w:rPr>
      </w:pPr>
      <w:r>
        <w:rPr>
          <w:b/>
          <w:sz w:val="28"/>
          <w:szCs w:val="28"/>
          <w:u w:val="single"/>
        </w:rPr>
        <w:t>Satanic Panic, Mass Hysteria, and Child Abuse</w:t>
      </w:r>
    </w:p>
    <w:p w14:paraId="12C76C98" w14:textId="5398A8B7" w:rsidR="0087002B" w:rsidRDefault="0087002B" w:rsidP="0087002B">
      <w:pPr>
        <w:jc w:val="center"/>
        <w:rPr>
          <w:b/>
          <w:sz w:val="28"/>
          <w:szCs w:val="28"/>
          <w:u w:val="single"/>
        </w:rPr>
      </w:pPr>
    </w:p>
    <w:p w14:paraId="18C8DC80" w14:textId="77777777" w:rsidR="009209CD" w:rsidRDefault="009209CD" w:rsidP="0087002B">
      <w:pPr>
        <w:jc w:val="center"/>
        <w:rPr>
          <w:b/>
          <w:sz w:val="28"/>
          <w:szCs w:val="28"/>
          <w:u w:val="single"/>
        </w:rPr>
      </w:pPr>
    </w:p>
    <w:p w14:paraId="079DCF5A" w14:textId="77777777" w:rsidR="0087002B" w:rsidRDefault="0087002B" w:rsidP="005A0F7D"/>
    <w:p w14:paraId="18BED88A" w14:textId="5D4A6860" w:rsidR="005A0F7D" w:rsidRDefault="00AC602F" w:rsidP="005A0F7D">
      <w:r>
        <w:tab/>
        <w:t>The Satanic P</w:t>
      </w:r>
      <w:r w:rsidR="005A0F7D">
        <w:t xml:space="preserve">anic of the 1980s in the United States was a phenomenon that led to </w:t>
      </w:r>
      <w:r w:rsidR="006B5695">
        <w:t xml:space="preserve">mass hysteria, false accusations, and injustice. </w:t>
      </w:r>
      <w:r w:rsidR="00817DD4">
        <w:t xml:space="preserve">Social stress </w:t>
      </w:r>
      <w:r w:rsidR="0098698F">
        <w:t xml:space="preserve">was aggravated by poverty and a lack of education, which allowed such events to take hold in society. </w:t>
      </w:r>
      <w:r w:rsidR="00246AD3">
        <w:t xml:space="preserve">The sad reality is that </w:t>
      </w:r>
      <w:r w:rsidR="005A537A">
        <w:t xml:space="preserve">real victims were caught up in the hysteria with investigations, mental health services, and children all falling through the cracks as society hunted for Satan. </w:t>
      </w:r>
      <w:r w:rsidR="00985BED">
        <w:t xml:space="preserve">The need to identify a cause for crime led to scapegoats being created, which took attention away from the true matters at hand. Police investigations were diverted, people weren’t able to get the help they needed, and real concerns were disregarded as Satanic cult rituals. </w:t>
      </w:r>
      <w:r w:rsidR="00DF725D">
        <w:t>The subliminal perceptions that Satan could be found anywhere caused severe problems in high stakes scenarios which effected thousands of people.</w:t>
      </w:r>
    </w:p>
    <w:p w14:paraId="4A8DD6FD" w14:textId="1286A722" w:rsidR="002C23E9" w:rsidRDefault="002C23E9" w:rsidP="005A0F7D">
      <w:r>
        <w:tab/>
        <w:t>To identify the issues that Satanic scapegoats caused, we must first look into why society was so desperate for answers to begin with. The 1980s in the United States was a time in which many industrial factories were closing, which</w:t>
      </w:r>
      <w:r w:rsidR="00F25140">
        <w:t xml:space="preserve"> led to many individuals and families in rural areas between the ages of 18-29 to lose their jobs.</w:t>
      </w:r>
      <w:r w:rsidR="005C7255">
        <w:t xml:space="preserve"> In 1986, 32% of these families were considered poor, which is a staggering increase from the 19% which was seen in 1979.</w:t>
      </w:r>
      <w:r w:rsidR="005C7255">
        <w:rPr>
          <w:rStyle w:val="FootnoteReference"/>
        </w:rPr>
        <w:footnoteReference w:id="1"/>
      </w:r>
      <w:r w:rsidR="000E60FC">
        <w:t xml:space="preserve"> The loss of jobs contributed to shared family stress, leading t</w:t>
      </w:r>
      <w:r w:rsidR="00A22B95">
        <w:t xml:space="preserve">o the report that 43% of children in a New York high school were only living with one of their natural parents. </w:t>
      </w:r>
      <w:r w:rsidR="00C72FAC">
        <w:t>The primary demographic for those en</w:t>
      </w:r>
      <w:r w:rsidR="000E78B2">
        <w:t>gaging in the Satanic Panic was</w:t>
      </w:r>
      <w:r w:rsidR="00C72FAC">
        <w:t xml:space="preserve"> low-income, weakly educated areas. </w:t>
      </w:r>
      <w:r w:rsidR="00697EEE">
        <w:t xml:space="preserve">This demographic was precisely that which was effected the most by job loss in the 1980s. </w:t>
      </w:r>
      <w:r w:rsidR="00173CAF">
        <w:t>Perhaps as a result of the stress and break down of families, there was a sharp increase in the amount of cases regarding children’s services, child abuse, and delinquency programs during this time.</w:t>
      </w:r>
      <w:r w:rsidR="001939EF">
        <w:rPr>
          <w:rStyle w:val="FootnoteReference"/>
        </w:rPr>
        <w:footnoteReference w:id="2"/>
      </w:r>
      <w:r w:rsidR="00173CAF">
        <w:t xml:space="preserve"> While it is not possible to </w:t>
      </w:r>
      <w:r w:rsidR="009B251A">
        <w:t xml:space="preserve">concretely </w:t>
      </w:r>
      <w:r w:rsidR="008F2AE9">
        <w:t>credit</w:t>
      </w:r>
      <w:r w:rsidR="009B251A">
        <w:t xml:space="preserve"> the stress during the 1980s with</w:t>
      </w:r>
      <w:r w:rsidR="008F2AE9">
        <w:t xml:space="preserve"> the turn to the Satanic Panic, there is certainly evidence to suggest that</w:t>
      </w:r>
      <w:r w:rsidR="00ED55F0">
        <w:t xml:space="preserve"> there is correlation between the two. </w:t>
      </w:r>
    </w:p>
    <w:p w14:paraId="7281BDDF" w14:textId="71B7456C" w:rsidR="004F390D" w:rsidRDefault="004F390D" w:rsidP="005A0F7D">
      <w:r>
        <w:tab/>
      </w:r>
      <w:r w:rsidR="00A64C2E">
        <w:t xml:space="preserve">The trend of inventing scapegoat solutions or deviants </w:t>
      </w:r>
      <w:r w:rsidR="00284714">
        <w:t xml:space="preserve">has always been a staple of society during times of strife, stress, or confusion. As a society, it is all too easy to search for something or someone to blame for what cannot </w:t>
      </w:r>
      <w:r w:rsidR="00B97FC2">
        <w:t>easily be explained. This trend in the 1980s brought about the label of “Satanist” to be a household term. The</w:t>
      </w:r>
      <w:r w:rsidR="0061480F">
        <w:t xml:space="preserve"> very designation of “Satanist” is extremely broad, changing over periods of time, cultures, societal trends, and social groups. </w:t>
      </w:r>
      <w:r w:rsidR="00A02D49">
        <w:t xml:space="preserve">In the 1980s, it was a term applied widely to varying individuals </w:t>
      </w:r>
      <w:r w:rsidR="00A22813">
        <w:t>as a scapegoat to explain troubling behaviour.</w:t>
      </w:r>
      <w:r w:rsidR="005347A6">
        <w:t xml:space="preserve"> This is an act which can quickly become dangerous when people or groups are targeted for false allegations, </w:t>
      </w:r>
      <w:r w:rsidR="001C0171">
        <w:t xml:space="preserve">thus drawing attention away from the true cause of the given problem. The situation turns into a witch hunt instead of a proper investigation. </w:t>
      </w:r>
    </w:p>
    <w:p w14:paraId="2AEA78CD" w14:textId="40238C79" w:rsidR="00166021" w:rsidRDefault="00166021" w:rsidP="005A0F7D">
      <w:r>
        <w:tab/>
      </w:r>
      <w:r w:rsidR="00BD5DA2">
        <w:t xml:space="preserve">The assumption cannot be made that every claim of death by Satanic cult rituals was false, just as we cannot ever truly know the motivation or intent behind crime. </w:t>
      </w:r>
      <w:r w:rsidR="00307DEA">
        <w:t xml:space="preserve">That being said, </w:t>
      </w:r>
      <w:r w:rsidR="00702D4E">
        <w:t xml:space="preserve">psychotherapists have attempted to identify causes of distress or intent behind certain cases in which Satanism was blamed. </w:t>
      </w:r>
      <w:r w:rsidR="00BB59B8">
        <w:t xml:space="preserve">This is true in the case of Tommy Sullivan, </w:t>
      </w:r>
      <w:r w:rsidR="0098455A">
        <w:t xml:space="preserve">a fourteen-year-old </w:t>
      </w:r>
      <w:r w:rsidR="00BB59B8">
        <w:t xml:space="preserve">who </w:t>
      </w:r>
      <w:r w:rsidR="00552823">
        <w:t xml:space="preserve">was reported to have </w:t>
      </w:r>
      <w:r w:rsidR="00BB59B8">
        <w:t>murdered his mother before killing</w:t>
      </w:r>
      <w:r w:rsidR="0098455A">
        <w:t xml:space="preserve"> himself in</w:t>
      </w:r>
      <w:r w:rsidR="00552823">
        <w:t xml:space="preserve"> 1986.</w:t>
      </w:r>
      <w:r w:rsidR="00552BBA">
        <w:t xml:space="preserve"> The evidence states that he began reading into the occult a month prior to the crime, which is what prompted him to act. </w:t>
      </w:r>
      <w:r w:rsidR="00D44E1F">
        <w:t>This case was used as an example in a police training seminar</w:t>
      </w:r>
      <w:r w:rsidR="00331110">
        <w:t xml:space="preserve"> entitled, “The </w:t>
      </w:r>
      <w:r w:rsidR="00331110">
        <w:lastRenderedPageBreak/>
        <w:t>Identification and Investigation of Satanic and Cult Related Crime Scenes,”</w:t>
      </w:r>
      <w:r w:rsidR="00D44E1F">
        <w:t xml:space="preserve"> that was attended by Jeffrey Victor in April 1989. Victor states that the featured speaker Detective Paul Hart admitted himself that he believed the interest in Satanism was a symptom of severe psychological problems.</w:t>
      </w:r>
      <w:r w:rsidR="0063528C">
        <w:rPr>
          <w:rStyle w:val="FootnoteReference"/>
        </w:rPr>
        <w:footnoteReference w:id="3"/>
      </w:r>
      <w:r w:rsidR="00AD29F2">
        <w:t xml:space="preserve"> </w:t>
      </w:r>
    </w:p>
    <w:p w14:paraId="6C85EBAA" w14:textId="0ED0F57E" w:rsidR="005A0F7D" w:rsidRDefault="00AD29F2" w:rsidP="005A0F7D">
      <w:r>
        <w:tab/>
        <w:t>The seminar mention</w:t>
      </w:r>
      <w:r w:rsidR="00362840">
        <w:t>ed</w:t>
      </w:r>
      <w:r>
        <w:t xml:space="preserve"> is not an isolated insolent of police officers and detectives resorting to Satanic blame despite evidence suggesting </w:t>
      </w:r>
      <w:r w:rsidR="00F62BB1">
        <w:t xml:space="preserve">other motives. </w:t>
      </w:r>
      <w:r w:rsidR="00796E99">
        <w:t xml:space="preserve">Cases of child abductions in the 1980s were often associated with Satanic cult rituals. Conspiracy theorists would readily cite stories in which a psychopath kills a child as a self-proclaimed Satanist and apply that lens </w:t>
      </w:r>
      <w:r w:rsidR="00872268">
        <w:t xml:space="preserve">to further cases. </w:t>
      </w:r>
      <w:r w:rsidR="00574F1C">
        <w:t xml:space="preserve">Often media would sensationalise headlines and draw attention to Satanism claims, regardless if the claims were found to be true. </w:t>
      </w:r>
      <w:r w:rsidR="00DD5C15">
        <w:t xml:space="preserve">In the case of Charity Freeman, a seven-year-old from Ohio was reported missing in 1982. </w:t>
      </w:r>
      <w:r w:rsidR="00242110">
        <w:t>Her story made news as a tragic example of Satanic cult rituals, when in reality it was her grandfather who had kidnapped her. Despite the reality of the situation, the sensationalised Satanic overtones that the case inspired were remembered long after the case was closed.</w:t>
      </w:r>
      <w:r w:rsidR="004B0F63">
        <w:rPr>
          <w:rStyle w:val="FootnoteReference"/>
        </w:rPr>
        <w:footnoteReference w:id="4"/>
      </w:r>
      <w:r w:rsidR="00796E99">
        <w:t xml:space="preserve"> </w:t>
      </w:r>
    </w:p>
    <w:p w14:paraId="2268D2A3" w14:textId="01B9E80E" w:rsidR="005D5F1A" w:rsidRDefault="005D5F1A" w:rsidP="005A0F7D">
      <w:r>
        <w:tab/>
        <w:t xml:space="preserve">The rise in </w:t>
      </w:r>
      <w:r w:rsidR="004F40E6">
        <w:t>cases associated with</w:t>
      </w:r>
      <w:r w:rsidR="0024475D">
        <w:t xml:space="preserve"> Satanism led to the search for Satan in various types of media. </w:t>
      </w:r>
      <w:r w:rsidR="00B849BD">
        <w:t xml:space="preserve">Across the United States, there were accusations of blatant Satanic messages in music, children’s books, and games, to name a few. </w:t>
      </w:r>
      <w:r w:rsidR="00456519">
        <w:t xml:space="preserve">It would seem parents were primarily fearful of influences of which they could not easily control, such as peer groups, teachers, and mass media. This led to the famous accusations that heavy metal and rock music is “of the devil” and contains Satanic messages meant to corrupt impressionable young minds. </w:t>
      </w:r>
      <w:r w:rsidR="007456BA">
        <w:t xml:space="preserve">There were claims of subliminal Satanic messages in rock music which would drive listeners to commit murder or suicide, claims which were only encouraged by local censorship campaigns against the genre. </w:t>
      </w:r>
      <w:r w:rsidR="0028244F">
        <w:tab/>
      </w:r>
      <w:r w:rsidR="0009188E">
        <w:t>This phenomenon led to parents and</w:t>
      </w:r>
      <w:r w:rsidR="00102EC9">
        <w:t xml:space="preserve"> non-parents alike to find Satanic messages in everything, whether the words or accusations of Satanic influence were explicitly present or not. </w:t>
      </w:r>
      <w:r w:rsidR="006D481A">
        <w:t xml:space="preserve">During the Panic in the 1980s and early 1990s, day care sex abuse cases skyrocketed. Arguably the most famous of these cases being </w:t>
      </w:r>
      <w:r w:rsidR="00972582">
        <w:t xml:space="preserve">the </w:t>
      </w:r>
      <w:proofErr w:type="spellStart"/>
      <w:r w:rsidR="00972582">
        <w:t>McMartin</w:t>
      </w:r>
      <w:proofErr w:type="spellEnd"/>
      <w:r w:rsidR="00972582">
        <w:t xml:space="preserve"> Preschool trial. </w:t>
      </w:r>
      <w:r w:rsidR="00022A3C">
        <w:t xml:space="preserve">It was a case which brought the about the hysteria that Satan worshippers had infiltrated United States preschools. </w:t>
      </w:r>
      <w:r w:rsidR="00DD1497">
        <w:t xml:space="preserve">It was an incredibly long and expensive case riddled with accusations that the </w:t>
      </w:r>
      <w:proofErr w:type="spellStart"/>
      <w:r w:rsidR="00DD1497">
        <w:t>McMartin</w:t>
      </w:r>
      <w:proofErr w:type="spellEnd"/>
      <w:r w:rsidR="00DD1497">
        <w:t xml:space="preserve"> family was sexually abusing the children in their care as part of Satanic cult rituals. </w:t>
      </w:r>
      <w:r w:rsidR="002D26AB">
        <w:t xml:space="preserve">Taking place during the prime period of the Satanic Panic, mass hysteria quickly spread which led to more and more day cares being swept up in the allegations of abuse. </w:t>
      </w:r>
      <w:r w:rsidR="00353FD7">
        <w:t xml:space="preserve">As members of the </w:t>
      </w:r>
      <w:proofErr w:type="spellStart"/>
      <w:r w:rsidR="00353FD7">
        <w:t>McMartin</w:t>
      </w:r>
      <w:proofErr w:type="spellEnd"/>
      <w:r w:rsidR="00353FD7">
        <w:t xml:space="preserve"> family were acquitted, it became evident that claims of abuse made by children during that time in other cases may have been false. In fact, we now know that social scientists agree that many of the allegations made during the 1980s against day cares were almost entirely false.</w:t>
      </w:r>
      <w:r w:rsidR="000A045A">
        <w:rPr>
          <w:rStyle w:val="FootnoteReference"/>
        </w:rPr>
        <w:footnoteReference w:id="5"/>
      </w:r>
      <w:r w:rsidR="00275CBC">
        <w:t xml:space="preserve"> The true cause of the amount of accusations ma</w:t>
      </w:r>
      <w:r w:rsidR="0011079D">
        <w:t xml:space="preserve">de during this time is unknown, though scholars agree that the Satanic Panic and the witch hunt that ensued as a result is a </w:t>
      </w:r>
      <w:r w:rsidR="000F530C">
        <w:t>reasonable</w:t>
      </w:r>
      <w:r w:rsidR="0011079D">
        <w:t xml:space="preserve"> root</w:t>
      </w:r>
      <w:r w:rsidR="000F530C">
        <w:t xml:space="preserve"> for</w:t>
      </w:r>
      <w:r w:rsidR="0011079D">
        <w:t xml:space="preserve"> concern.</w:t>
      </w:r>
      <w:r w:rsidR="005753F8">
        <w:rPr>
          <w:rStyle w:val="FootnoteReference"/>
        </w:rPr>
        <w:footnoteReference w:id="6"/>
      </w:r>
    </w:p>
    <w:p w14:paraId="68AEC82D" w14:textId="45571463" w:rsidR="005A0F7D" w:rsidRDefault="00E97783" w:rsidP="005A0F7D">
      <w:r>
        <w:tab/>
        <w:t xml:space="preserve">The unfortunate side effect of these accusations and attention being drawn towards Satanism is the loss of focus on the true problems at hand. Not only were child abuse and kidnapping cases derailed by witch hunts, mental health services at the time were seriously hindered in the Panic. </w:t>
      </w:r>
      <w:r w:rsidR="0064065A">
        <w:t>The public’s propensity for blaming Satan for society’s problems had very real consequences for those suffering from mental health concerns, primary Multiple Personality Disorder</w:t>
      </w:r>
      <w:r w:rsidR="0055322F">
        <w:t xml:space="preserve"> (MPD)</w:t>
      </w:r>
      <w:r w:rsidR="0064065A">
        <w:t>.</w:t>
      </w:r>
      <w:r w:rsidR="00846A38">
        <w:t xml:space="preserve"> Patients in the care of therapists would often make claims of abuse by Satanic cults or forces, which impact</w:t>
      </w:r>
      <w:r w:rsidR="00AD16C2">
        <w:t>ed the care that they received.</w:t>
      </w:r>
      <w:r w:rsidR="00AD16C2">
        <w:rPr>
          <w:rStyle w:val="FootnoteReference"/>
        </w:rPr>
        <w:footnoteReference w:id="7"/>
      </w:r>
      <w:r w:rsidR="0055322F">
        <w:t xml:space="preserve"> Therapists were caught in a situation of needing to accept allegations</w:t>
      </w:r>
      <w:r w:rsidR="00FA2ADB">
        <w:t xml:space="preserve"> made by their patients with MPD. Some therapists went as far as to stake their reputations to believe </w:t>
      </w:r>
      <w:r w:rsidR="00145260">
        <w:t>claims of abuse by Satanic cults, rather than dia</w:t>
      </w:r>
      <w:r w:rsidR="00EC0D04">
        <w:t>gnosing and treating delusions.</w:t>
      </w:r>
      <w:r w:rsidR="00EC0D04">
        <w:rPr>
          <w:rStyle w:val="FootnoteReference"/>
        </w:rPr>
        <w:footnoteReference w:id="8"/>
      </w:r>
      <w:r w:rsidR="007867EB">
        <w:tab/>
      </w:r>
    </w:p>
    <w:p w14:paraId="4A26960C" w14:textId="31766128" w:rsidR="007867EB" w:rsidRDefault="007867EB" w:rsidP="005A0F7D">
      <w:r>
        <w:tab/>
        <w:t xml:space="preserve">The fact of the matter is that there is a chance that the children and adults who were claiming they were abused by Satanic cults </w:t>
      </w:r>
      <w:r w:rsidR="00502697">
        <w:t xml:space="preserve">were truly abused. In that case, it becomes a problem of accuracy of the accounts, rather than the truth of abuse. Child protection officers and those in positions of care during the time of the Satanic Panic were in a situation with incredibly high stakes in a time where society and moral crusades were campaigning for scapegoat </w:t>
      </w:r>
      <w:r w:rsidR="00DA1282">
        <w:t>deviants</w:t>
      </w:r>
      <w:r w:rsidR="00502697">
        <w:t xml:space="preserve">. </w:t>
      </w:r>
      <w:r w:rsidR="00C132CC">
        <w:t>The very real side effects of the Satanic Panic include the wrong people being placed in jail under false accusations, and very real victims not receiving the proper investigative care to solve cases</w:t>
      </w:r>
      <w:r w:rsidR="0072505D">
        <w:t xml:space="preserve"> correctly. </w:t>
      </w:r>
      <w:r w:rsidR="00553B61">
        <w:t xml:space="preserve">The mass hysteria that ensued in the 1980s and the obsession with Satanic subliminal messaging and influence greatly harmed society and may have cost lives. </w:t>
      </w:r>
    </w:p>
    <w:p w14:paraId="14424416" w14:textId="77777777" w:rsidR="005A0F7D" w:rsidRDefault="005A0F7D" w:rsidP="005A0F7D"/>
    <w:p w14:paraId="4D3ABC62" w14:textId="77777777" w:rsidR="005A0F7D" w:rsidRDefault="005A0F7D" w:rsidP="005A0F7D"/>
    <w:p w14:paraId="6159E4E0" w14:textId="77777777" w:rsidR="005A0F7D" w:rsidRDefault="005A0F7D" w:rsidP="005A0F7D"/>
    <w:p w14:paraId="50AE4715" w14:textId="77777777" w:rsidR="005A0F7D" w:rsidRDefault="005A0F7D" w:rsidP="005A0F7D"/>
    <w:p w14:paraId="48E9C513" w14:textId="77777777" w:rsidR="005A0F7D" w:rsidRDefault="005A0F7D" w:rsidP="005A0F7D"/>
    <w:p w14:paraId="4B3A3894" w14:textId="77777777" w:rsidR="005A0F7D" w:rsidRDefault="005A0F7D" w:rsidP="005A0F7D"/>
    <w:p w14:paraId="139954F8" w14:textId="77777777" w:rsidR="005A0F7D" w:rsidRDefault="005A0F7D" w:rsidP="005A0F7D"/>
    <w:p w14:paraId="7C5D6157" w14:textId="77777777" w:rsidR="005A0F7D" w:rsidRDefault="005A0F7D" w:rsidP="005A0F7D"/>
    <w:p w14:paraId="256C501A" w14:textId="77777777" w:rsidR="005A0F7D" w:rsidRDefault="005A0F7D" w:rsidP="005A0F7D"/>
    <w:p w14:paraId="4749B4E9" w14:textId="77777777" w:rsidR="005A0F7D" w:rsidRDefault="005A0F7D" w:rsidP="005A0F7D"/>
    <w:p w14:paraId="71AE22B6" w14:textId="77777777" w:rsidR="005A0F7D" w:rsidRDefault="005A0F7D" w:rsidP="005A0F7D"/>
    <w:p w14:paraId="407698AD" w14:textId="77777777" w:rsidR="005A0F7D" w:rsidRDefault="005A0F7D" w:rsidP="005A0F7D"/>
    <w:p w14:paraId="20CC08BB" w14:textId="77777777" w:rsidR="005A0F7D" w:rsidRDefault="005A0F7D" w:rsidP="005A0F7D"/>
    <w:p w14:paraId="4E77A647" w14:textId="77777777" w:rsidR="005A0F7D" w:rsidRDefault="005A0F7D" w:rsidP="005A0F7D"/>
    <w:p w14:paraId="3E24B035" w14:textId="77777777" w:rsidR="005A0F7D" w:rsidRDefault="005A0F7D" w:rsidP="005A0F7D"/>
    <w:p w14:paraId="2088C7D5" w14:textId="77777777" w:rsidR="005A0F7D" w:rsidRDefault="005A0F7D" w:rsidP="005A0F7D"/>
    <w:p w14:paraId="3A670368" w14:textId="77777777" w:rsidR="005A0F7D" w:rsidRDefault="005A0F7D" w:rsidP="005A0F7D"/>
    <w:p w14:paraId="1CFA7C22" w14:textId="77777777" w:rsidR="005A0F7D" w:rsidRDefault="005A0F7D" w:rsidP="005A0F7D"/>
    <w:p w14:paraId="5078E58A" w14:textId="77777777" w:rsidR="005A0F7D" w:rsidRDefault="005A0F7D" w:rsidP="005A0F7D"/>
    <w:p w14:paraId="490ABA05" w14:textId="77777777" w:rsidR="005A0F7D" w:rsidRDefault="005A0F7D" w:rsidP="005A0F7D"/>
    <w:p w14:paraId="3B8F3852" w14:textId="77777777" w:rsidR="005A0F7D" w:rsidRDefault="005A0F7D" w:rsidP="005A0F7D"/>
    <w:p w14:paraId="007067DA" w14:textId="77777777" w:rsidR="005A0F7D" w:rsidRDefault="005A0F7D" w:rsidP="005A0F7D"/>
    <w:p w14:paraId="734CC34D" w14:textId="77777777" w:rsidR="005A0F7D" w:rsidRDefault="005A0F7D" w:rsidP="005A0F7D">
      <w:bookmarkStart w:id="0" w:name="_GoBack"/>
      <w:bookmarkEnd w:id="0"/>
    </w:p>
    <w:p w14:paraId="62ED4826" w14:textId="77777777" w:rsidR="005A0F7D" w:rsidRDefault="005A0F7D" w:rsidP="005A0F7D"/>
    <w:p w14:paraId="43F5C3D4" w14:textId="77777777" w:rsidR="005A0F7D" w:rsidRDefault="005A0F7D" w:rsidP="005A0F7D"/>
    <w:p w14:paraId="466676AE" w14:textId="77777777" w:rsidR="005A0F7D" w:rsidRDefault="005A0F7D" w:rsidP="005A0F7D"/>
    <w:p w14:paraId="63E3C2CE" w14:textId="77777777" w:rsidR="005A0F7D" w:rsidRDefault="005A0F7D" w:rsidP="005A0F7D"/>
    <w:p w14:paraId="33B5519F" w14:textId="77777777" w:rsidR="005A0F7D" w:rsidRDefault="005A0F7D" w:rsidP="005A0F7D"/>
    <w:p w14:paraId="34D7A2BF" w14:textId="77777777" w:rsidR="00607D93" w:rsidRDefault="00607D93" w:rsidP="0087002B">
      <w:pPr>
        <w:jc w:val="center"/>
      </w:pPr>
    </w:p>
    <w:p w14:paraId="029ABE58" w14:textId="594F9151" w:rsidR="00805833" w:rsidRDefault="00805833" w:rsidP="0087002B">
      <w:pPr>
        <w:jc w:val="center"/>
        <w:rPr>
          <w:b/>
          <w:sz w:val="28"/>
          <w:szCs w:val="28"/>
          <w:u w:val="single"/>
        </w:rPr>
      </w:pPr>
      <w:r>
        <w:rPr>
          <w:b/>
          <w:sz w:val="28"/>
          <w:szCs w:val="28"/>
          <w:u w:val="single"/>
        </w:rPr>
        <w:t>Bibliography</w:t>
      </w:r>
    </w:p>
    <w:p w14:paraId="0584F8F5" w14:textId="77777777" w:rsidR="00805833" w:rsidRPr="0097608D" w:rsidRDefault="00805833" w:rsidP="0087002B">
      <w:pPr>
        <w:jc w:val="center"/>
        <w:rPr>
          <w:b/>
          <w:color w:val="000000" w:themeColor="text1"/>
          <w:sz w:val="28"/>
          <w:szCs w:val="28"/>
          <w:u w:val="single"/>
        </w:rPr>
      </w:pPr>
    </w:p>
    <w:p w14:paraId="116A9CA0" w14:textId="2106ABEE" w:rsidR="00E5414E" w:rsidRPr="00E5414E" w:rsidRDefault="00E5414E" w:rsidP="00C50073">
      <w:pPr>
        <w:pStyle w:val="ListParagraph"/>
        <w:numPr>
          <w:ilvl w:val="0"/>
          <w:numId w:val="1"/>
        </w:numPr>
        <w:rPr>
          <w:rFonts w:eastAsia="Times New Roman"/>
          <w:color w:val="000000" w:themeColor="text1"/>
          <w:lang w:val="en-US"/>
        </w:rPr>
      </w:pPr>
      <w:r>
        <w:rPr>
          <w:rFonts w:eastAsia="Times New Roman"/>
          <w:color w:val="000000" w:themeColor="text1"/>
          <w:lang w:val="en-US"/>
        </w:rPr>
        <w:t>Bo</w:t>
      </w:r>
      <w:r w:rsidR="00F8336B">
        <w:rPr>
          <w:rFonts w:eastAsia="Times New Roman"/>
          <w:color w:val="000000" w:themeColor="text1"/>
          <w:lang w:val="en-US"/>
        </w:rPr>
        <w:t xml:space="preserve">ttoms, B.L., Goodman, G.S., &amp; </w:t>
      </w:r>
      <w:proofErr w:type="spellStart"/>
      <w:r w:rsidR="00F8336B">
        <w:rPr>
          <w:rFonts w:eastAsia="Times New Roman"/>
          <w:color w:val="000000" w:themeColor="text1"/>
          <w:lang w:val="en-US"/>
        </w:rPr>
        <w:t>Najdowski</w:t>
      </w:r>
      <w:proofErr w:type="spellEnd"/>
      <w:r w:rsidR="00F8336B">
        <w:rPr>
          <w:rFonts w:eastAsia="Times New Roman"/>
          <w:color w:val="000000" w:themeColor="text1"/>
          <w:lang w:val="en-US"/>
        </w:rPr>
        <w:t xml:space="preserve">, C.J. 2009. </w:t>
      </w:r>
      <w:r w:rsidR="00F8336B">
        <w:rPr>
          <w:rFonts w:eastAsia="Times New Roman"/>
          <w:i/>
          <w:color w:val="000000" w:themeColor="text1"/>
          <w:lang w:val="en-US"/>
        </w:rPr>
        <w:t xml:space="preserve">Children as Victims, Witnesses, and Offenders: Psychological Science and the Law. </w:t>
      </w:r>
      <w:r w:rsidR="00F8336B">
        <w:rPr>
          <w:rFonts w:eastAsia="Times New Roman"/>
          <w:color w:val="000000" w:themeColor="text1"/>
          <w:lang w:val="en-US"/>
        </w:rPr>
        <w:t>New York: Guilford Press</w:t>
      </w:r>
    </w:p>
    <w:p w14:paraId="03345678" w14:textId="61E2DE94" w:rsidR="0097608D" w:rsidRPr="0097608D" w:rsidRDefault="0097608D" w:rsidP="00C50073">
      <w:pPr>
        <w:pStyle w:val="ListParagraph"/>
        <w:numPr>
          <w:ilvl w:val="0"/>
          <w:numId w:val="1"/>
        </w:numPr>
        <w:rPr>
          <w:rFonts w:eastAsia="Times New Roman"/>
          <w:color w:val="000000" w:themeColor="text1"/>
          <w:lang w:val="en-US"/>
        </w:rPr>
      </w:pPr>
      <w:proofErr w:type="spellStart"/>
      <w:r w:rsidRPr="0097608D">
        <w:rPr>
          <w:rFonts w:eastAsia="Times New Roman"/>
          <w:color w:val="000000" w:themeColor="text1"/>
          <w:shd w:val="clear" w:color="auto" w:fill="FFFFFF"/>
        </w:rPr>
        <w:t>Crockenberg</w:t>
      </w:r>
      <w:proofErr w:type="spellEnd"/>
      <w:r w:rsidRPr="0097608D">
        <w:rPr>
          <w:rFonts w:eastAsia="Times New Roman"/>
          <w:color w:val="000000" w:themeColor="text1"/>
          <w:shd w:val="clear" w:color="auto" w:fill="FFFFFF"/>
        </w:rPr>
        <w:t>, V. “In the Courts: Intolerance and the Impressions Reading Series.” </w:t>
      </w:r>
      <w:r w:rsidRPr="0097608D">
        <w:rPr>
          <w:rFonts w:eastAsia="Times New Roman"/>
          <w:i/>
          <w:iCs/>
          <w:color w:val="000000" w:themeColor="text1"/>
          <w:shd w:val="clear" w:color="auto" w:fill="FFFFFF"/>
        </w:rPr>
        <w:t>Teacher Education Quarterly</w:t>
      </w:r>
      <w:r w:rsidRPr="0097608D">
        <w:rPr>
          <w:rFonts w:eastAsia="Times New Roman"/>
          <w:color w:val="000000" w:themeColor="text1"/>
          <w:shd w:val="clear" w:color="auto" w:fill="FFFFFF"/>
        </w:rPr>
        <w:t>, vol. 18, no. 2, 1991, pp. 93–96</w:t>
      </w:r>
    </w:p>
    <w:p w14:paraId="30CBA229" w14:textId="72491F4F" w:rsidR="00C50073" w:rsidRPr="00C50073" w:rsidRDefault="00C50073" w:rsidP="00C50073">
      <w:pPr>
        <w:numPr>
          <w:ilvl w:val="0"/>
          <w:numId w:val="1"/>
        </w:numPr>
        <w:rPr>
          <w:lang w:val="en-US"/>
        </w:rPr>
      </w:pPr>
      <w:r w:rsidRPr="00C37A4C">
        <w:rPr>
          <w:lang w:val="en-US"/>
        </w:rPr>
        <w:t xml:space="preserve">Delap, L. 2015. “Child welfare, child protection and sexual abuse, 1918-1990.” </w:t>
      </w:r>
      <w:r w:rsidRPr="00C37A4C">
        <w:rPr>
          <w:i/>
          <w:iCs/>
          <w:lang w:val="en-US"/>
        </w:rPr>
        <w:t xml:space="preserve">History &amp; Policy, </w:t>
      </w:r>
      <w:hyperlink r:id="rId7" w:history="1">
        <w:r w:rsidRPr="00C37A4C">
          <w:rPr>
            <w:rStyle w:val="Hyperlink"/>
            <w:lang w:val="en-US"/>
          </w:rPr>
          <w:t>http://www.historyandpolicy.org/policy-papers/papers/child-welfare-child-protection-and-sexual-abuse-1918-1990</w:t>
        </w:r>
      </w:hyperlink>
    </w:p>
    <w:p w14:paraId="5B907F69" w14:textId="77777777" w:rsidR="008E7B0C" w:rsidRPr="00C37A4C" w:rsidRDefault="00C50073" w:rsidP="00C50073">
      <w:pPr>
        <w:numPr>
          <w:ilvl w:val="0"/>
          <w:numId w:val="1"/>
        </w:numPr>
        <w:rPr>
          <w:lang w:val="en-US"/>
        </w:rPr>
      </w:pPr>
      <w:proofErr w:type="spellStart"/>
      <w:r w:rsidRPr="00C37A4C">
        <w:rPr>
          <w:lang w:val="en-US"/>
        </w:rPr>
        <w:t>Eberle</w:t>
      </w:r>
      <w:proofErr w:type="spellEnd"/>
      <w:r w:rsidRPr="00C37A4C">
        <w:rPr>
          <w:lang w:val="en-US"/>
        </w:rPr>
        <w:t xml:space="preserve">, P. &amp; S. 1993. </w:t>
      </w:r>
      <w:r w:rsidRPr="00C37A4C">
        <w:rPr>
          <w:i/>
          <w:iCs/>
          <w:lang w:val="en-US"/>
        </w:rPr>
        <w:t xml:space="preserve">The Abuse of Innocence. </w:t>
      </w:r>
      <w:r w:rsidRPr="00C37A4C">
        <w:rPr>
          <w:lang w:val="en-US"/>
        </w:rPr>
        <w:t>Buffalo, NY: Prometheus</w:t>
      </w:r>
    </w:p>
    <w:p w14:paraId="5174C499" w14:textId="77777777" w:rsidR="008E7B0C" w:rsidRPr="00C37A4C" w:rsidRDefault="00C50073" w:rsidP="00C50073">
      <w:pPr>
        <w:numPr>
          <w:ilvl w:val="0"/>
          <w:numId w:val="1"/>
        </w:numPr>
        <w:rPr>
          <w:lang w:val="en-US"/>
        </w:rPr>
      </w:pPr>
      <w:r w:rsidRPr="00C37A4C">
        <w:rPr>
          <w:lang w:val="en-US"/>
        </w:rPr>
        <w:t>Frankfurter, D. “The Satanic Ritual Abuse Panic as Religious-Studies Data.” </w:t>
      </w:r>
      <w:r w:rsidRPr="00C37A4C">
        <w:rPr>
          <w:i/>
          <w:iCs/>
          <w:lang w:val="en-US"/>
        </w:rPr>
        <w:t>Numen</w:t>
      </w:r>
      <w:r w:rsidRPr="00C37A4C">
        <w:rPr>
          <w:lang w:val="en-US"/>
        </w:rPr>
        <w:t>, vol. 50, no. 1, 2003, pp. 108–117. </w:t>
      </w:r>
      <w:r w:rsidRPr="00C37A4C">
        <w:rPr>
          <w:i/>
          <w:iCs/>
          <w:lang w:val="en-US"/>
        </w:rPr>
        <w:t>JSTOR</w:t>
      </w:r>
      <w:r w:rsidRPr="00C37A4C">
        <w:rPr>
          <w:lang w:val="en-US"/>
        </w:rPr>
        <w:t xml:space="preserve">, </w:t>
      </w:r>
      <w:hyperlink r:id="rId8" w:history="1">
        <w:r w:rsidRPr="00C37A4C">
          <w:rPr>
            <w:rStyle w:val="Hyperlink"/>
            <w:lang w:val="en-US"/>
          </w:rPr>
          <w:t>www.jstor.org/stable/3270557</w:t>
        </w:r>
      </w:hyperlink>
    </w:p>
    <w:p w14:paraId="07A7102E" w14:textId="2A6DE1A5" w:rsidR="008E7B0C" w:rsidRPr="00BF786D" w:rsidRDefault="00C50073" w:rsidP="00C50073">
      <w:pPr>
        <w:numPr>
          <w:ilvl w:val="0"/>
          <w:numId w:val="1"/>
        </w:numPr>
        <w:rPr>
          <w:rStyle w:val="Hyperlink"/>
          <w:color w:val="auto"/>
          <w:u w:val="none"/>
          <w:lang w:val="en-US"/>
        </w:rPr>
      </w:pPr>
      <w:proofErr w:type="spellStart"/>
      <w:r w:rsidRPr="00C37A4C">
        <w:rPr>
          <w:lang w:val="en-US"/>
        </w:rPr>
        <w:t>Klass</w:t>
      </w:r>
      <w:proofErr w:type="spellEnd"/>
      <w:r w:rsidRPr="00C37A4C">
        <w:rPr>
          <w:lang w:val="en-US"/>
        </w:rPr>
        <w:t>, B. “The Ghost of Subliminal Advertising.” </w:t>
      </w:r>
      <w:r w:rsidRPr="00C37A4C">
        <w:rPr>
          <w:i/>
          <w:iCs/>
          <w:lang w:val="en-US"/>
        </w:rPr>
        <w:t>Journal of Marketing</w:t>
      </w:r>
      <w:r w:rsidRPr="00C37A4C">
        <w:rPr>
          <w:lang w:val="en-US"/>
        </w:rPr>
        <w:t>, vol. 23, no. 2, 1958, pp. 146–150. </w:t>
      </w:r>
      <w:r w:rsidRPr="00C37A4C">
        <w:rPr>
          <w:i/>
          <w:iCs/>
          <w:lang w:val="en-US"/>
        </w:rPr>
        <w:t>JSTOR</w:t>
      </w:r>
      <w:r w:rsidRPr="00C37A4C">
        <w:rPr>
          <w:lang w:val="en-US"/>
        </w:rPr>
        <w:t xml:space="preserve">, </w:t>
      </w:r>
      <w:hyperlink r:id="rId9" w:history="1">
        <w:r w:rsidR="008B384F" w:rsidRPr="00524C72">
          <w:rPr>
            <w:rStyle w:val="Hyperlink"/>
            <w:lang w:val="en-US"/>
          </w:rPr>
          <w:t>www.jstor.org/stable/1247831</w:t>
        </w:r>
      </w:hyperlink>
    </w:p>
    <w:p w14:paraId="580DE581" w14:textId="7168D3F4" w:rsidR="00BF786D" w:rsidRDefault="00BF786D" w:rsidP="00C50073">
      <w:pPr>
        <w:numPr>
          <w:ilvl w:val="0"/>
          <w:numId w:val="1"/>
        </w:numPr>
        <w:rPr>
          <w:lang w:val="en-US"/>
        </w:rPr>
      </w:pPr>
      <w:r>
        <w:rPr>
          <w:lang w:val="en-US"/>
        </w:rPr>
        <w:t xml:space="preserve">McNeill, L.S., Tucker, E. 2018. </w:t>
      </w:r>
      <w:r>
        <w:rPr>
          <w:i/>
          <w:lang w:val="en-US"/>
        </w:rPr>
        <w:t xml:space="preserve">Legend Tripping: A Contemporary Legend Casebook. </w:t>
      </w:r>
      <w:r>
        <w:rPr>
          <w:lang w:val="en-US"/>
        </w:rPr>
        <w:t>Colorado: Utah State University Press</w:t>
      </w:r>
    </w:p>
    <w:p w14:paraId="24257BFC" w14:textId="4C5384BB" w:rsidR="008B384F" w:rsidRPr="008B384F" w:rsidRDefault="008B384F" w:rsidP="00C50073">
      <w:pPr>
        <w:numPr>
          <w:ilvl w:val="0"/>
          <w:numId w:val="1"/>
        </w:numPr>
        <w:rPr>
          <w:lang w:val="en-US"/>
        </w:rPr>
      </w:pPr>
      <w:r w:rsidRPr="008B384F">
        <w:rPr>
          <w:lang w:val="en-US"/>
        </w:rPr>
        <w:t xml:space="preserve">O’Hare, W. P. 1988. </w:t>
      </w:r>
      <w:r w:rsidRPr="008B384F">
        <w:rPr>
          <w:i/>
          <w:iCs/>
          <w:lang w:val="en-US"/>
        </w:rPr>
        <w:t xml:space="preserve">The Rise of Poverty in Rural America. </w:t>
      </w:r>
      <w:r w:rsidRPr="008B384F">
        <w:rPr>
          <w:lang w:val="en-US"/>
        </w:rPr>
        <w:t>New York: Population Reference Bureau Inc.</w:t>
      </w:r>
    </w:p>
    <w:p w14:paraId="2F246C16" w14:textId="5016683D" w:rsidR="008E7B0C" w:rsidRDefault="00C50073" w:rsidP="00C50073">
      <w:pPr>
        <w:numPr>
          <w:ilvl w:val="0"/>
          <w:numId w:val="1"/>
        </w:numPr>
        <w:rPr>
          <w:lang w:val="en-US"/>
        </w:rPr>
      </w:pPr>
      <w:r w:rsidRPr="00C37A4C">
        <w:rPr>
          <w:lang w:val="en-US"/>
        </w:rPr>
        <w:t>Reichert, J., &amp; Richardson, J.T. “Decline of a Moral Panic: A Social Psychological and Socio-Legal Examination of the Current Status of Satanism.” </w:t>
      </w:r>
      <w:r w:rsidRPr="00C37A4C">
        <w:rPr>
          <w:i/>
          <w:iCs/>
          <w:lang w:val="en-US"/>
        </w:rPr>
        <w:t xml:space="preserve">Nova </w:t>
      </w:r>
      <w:proofErr w:type="spellStart"/>
      <w:r w:rsidRPr="00C37A4C">
        <w:rPr>
          <w:i/>
          <w:iCs/>
          <w:lang w:val="en-US"/>
        </w:rPr>
        <w:t>Religio</w:t>
      </w:r>
      <w:proofErr w:type="spellEnd"/>
      <w:r w:rsidRPr="00C37A4C">
        <w:rPr>
          <w:i/>
          <w:iCs/>
          <w:lang w:val="en-US"/>
        </w:rPr>
        <w:t>: The Journal of Alternative and Emergent Religions</w:t>
      </w:r>
      <w:r w:rsidRPr="00C37A4C">
        <w:rPr>
          <w:lang w:val="en-US"/>
        </w:rPr>
        <w:t>, vol. 16, no. 2, 2012, pp. 47–63. </w:t>
      </w:r>
      <w:r w:rsidRPr="00C37A4C">
        <w:rPr>
          <w:i/>
          <w:iCs/>
          <w:lang w:val="en-US"/>
        </w:rPr>
        <w:t>JSTOR</w:t>
      </w:r>
      <w:r w:rsidRPr="00C37A4C">
        <w:rPr>
          <w:lang w:val="en-US"/>
        </w:rPr>
        <w:t xml:space="preserve">, </w:t>
      </w:r>
      <w:hyperlink r:id="rId10" w:history="1">
        <w:r w:rsidR="00C37A4C" w:rsidRPr="00524C72">
          <w:rPr>
            <w:rStyle w:val="Hyperlink"/>
            <w:lang w:val="en-US"/>
          </w:rPr>
          <w:t>www.jstor.org/stable/10.1525/nr.2012.16.2.47</w:t>
        </w:r>
      </w:hyperlink>
    </w:p>
    <w:p w14:paraId="33854CB6" w14:textId="77777777" w:rsidR="008E7B0C" w:rsidRPr="00C37A4C" w:rsidRDefault="00C50073" w:rsidP="00C50073">
      <w:pPr>
        <w:numPr>
          <w:ilvl w:val="0"/>
          <w:numId w:val="1"/>
        </w:numPr>
        <w:rPr>
          <w:lang w:val="en-US"/>
        </w:rPr>
      </w:pPr>
      <w:r w:rsidRPr="00C37A4C">
        <w:rPr>
          <w:lang w:val="en-US"/>
        </w:rPr>
        <w:t xml:space="preserve">Smith, M., &amp; </w:t>
      </w:r>
      <w:proofErr w:type="spellStart"/>
      <w:r w:rsidRPr="00C37A4C">
        <w:rPr>
          <w:lang w:val="en-US"/>
        </w:rPr>
        <w:t>Pazder</w:t>
      </w:r>
      <w:proofErr w:type="spellEnd"/>
      <w:r w:rsidRPr="00C37A4C">
        <w:rPr>
          <w:lang w:val="en-US"/>
        </w:rPr>
        <w:t xml:space="preserve">, L. 1980. </w:t>
      </w:r>
      <w:r w:rsidRPr="00C37A4C">
        <w:rPr>
          <w:i/>
          <w:iCs/>
          <w:lang w:val="en-US"/>
        </w:rPr>
        <w:t xml:space="preserve">Michelle Remembers. </w:t>
      </w:r>
      <w:r w:rsidRPr="00C37A4C">
        <w:rPr>
          <w:lang w:val="en-US"/>
        </w:rPr>
        <w:t>Canada: Nelson</w:t>
      </w:r>
    </w:p>
    <w:p w14:paraId="1BDCAD33" w14:textId="77777777" w:rsidR="008E7B0C" w:rsidRPr="00C37A4C" w:rsidRDefault="00C50073" w:rsidP="00C50073">
      <w:pPr>
        <w:numPr>
          <w:ilvl w:val="0"/>
          <w:numId w:val="1"/>
        </w:numPr>
        <w:rPr>
          <w:lang w:val="en-US"/>
        </w:rPr>
      </w:pPr>
      <w:r w:rsidRPr="00C37A4C">
        <w:rPr>
          <w:lang w:val="en-US"/>
        </w:rPr>
        <w:t>Stewart, M. </w:t>
      </w:r>
      <w:r w:rsidRPr="00C37A4C">
        <w:rPr>
          <w:i/>
          <w:iCs/>
          <w:lang w:val="en-US"/>
        </w:rPr>
        <w:t>American Studies</w:t>
      </w:r>
      <w:r w:rsidRPr="00C37A4C">
        <w:rPr>
          <w:lang w:val="en-US"/>
        </w:rPr>
        <w:t>, vol. 55, no. 1, 2016, pp. 172–173. </w:t>
      </w:r>
      <w:r w:rsidRPr="00C37A4C">
        <w:rPr>
          <w:i/>
          <w:iCs/>
          <w:lang w:val="en-US"/>
        </w:rPr>
        <w:t>JSTOR</w:t>
      </w:r>
      <w:r w:rsidRPr="00C37A4C">
        <w:rPr>
          <w:lang w:val="en-US"/>
        </w:rPr>
        <w:t xml:space="preserve">, </w:t>
      </w:r>
      <w:hyperlink r:id="rId11" w:history="1">
        <w:r w:rsidRPr="00C37A4C">
          <w:rPr>
            <w:rStyle w:val="Hyperlink"/>
            <w:lang w:val="en-US"/>
          </w:rPr>
          <w:t>www.jstor.org/stable/44982579</w:t>
        </w:r>
      </w:hyperlink>
    </w:p>
    <w:p w14:paraId="7BED3126" w14:textId="77777777" w:rsidR="008E7B0C" w:rsidRPr="00C37A4C" w:rsidRDefault="00C50073" w:rsidP="00C50073">
      <w:pPr>
        <w:numPr>
          <w:ilvl w:val="0"/>
          <w:numId w:val="1"/>
        </w:numPr>
        <w:rPr>
          <w:lang w:val="en-US"/>
        </w:rPr>
      </w:pPr>
      <w:r w:rsidRPr="00C37A4C">
        <w:rPr>
          <w:lang w:val="en-US"/>
        </w:rPr>
        <w:t>Toynbee, M.R. “Subliminal Advertising.” </w:t>
      </w:r>
      <w:r w:rsidRPr="00C37A4C">
        <w:rPr>
          <w:i/>
          <w:iCs/>
          <w:lang w:val="en-US"/>
        </w:rPr>
        <w:t>BMJ: British Medical Journal</w:t>
      </w:r>
      <w:r w:rsidRPr="00C37A4C">
        <w:rPr>
          <w:lang w:val="en-US"/>
        </w:rPr>
        <w:t>, vol. 345, no. 7887, 2012, pp. 26–26. </w:t>
      </w:r>
      <w:r w:rsidRPr="00C37A4C">
        <w:rPr>
          <w:i/>
          <w:iCs/>
          <w:lang w:val="en-US"/>
        </w:rPr>
        <w:t>JSTOR</w:t>
      </w:r>
      <w:r w:rsidRPr="00C37A4C">
        <w:rPr>
          <w:lang w:val="en-US"/>
        </w:rPr>
        <w:t>, www.jstor.org/stable/23493314</w:t>
      </w:r>
    </w:p>
    <w:p w14:paraId="558384C7" w14:textId="77777777" w:rsidR="008E7B0C" w:rsidRPr="00C37A4C" w:rsidRDefault="00C50073" w:rsidP="00C50073">
      <w:pPr>
        <w:numPr>
          <w:ilvl w:val="0"/>
          <w:numId w:val="1"/>
        </w:numPr>
        <w:rPr>
          <w:lang w:val="en-US"/>
        </w:rPr>
      </w:pPr>
      <w:r w:rsidRPr="00C37A4C">
        <w:rPr>
          <w:lang w:val="en-US"/>
        </w:rPr>
        <w:t xml:space="preserve">Victor, J.S. 1993. </w:t>
      </w:r>
      <w:r w:rsidRPr="00C37A4C">
        <w:rPr>
          <w:i/>
          <w:iCs/>
          <w:lang w:val="en-US"/>
        </w:rPr>
        <w:t xml:space="preserve">Satanic Panic: The Creation of a Contemporary Legend. </w:t>
      </w:r>
      <w:r w:rsidRPr="00C37A4C">
        <w:rPr>
          <w:lang w:val="en-US"/>
        </w:rPr>
        <w:t>Chicago: Open Court</w:t>
      </w:r>
    </w:p>
    <w:p w14:paraId="31899771" w14:textId="77777777" w:rsidR="008E7B0C" w:rsidRPr="00C37A4C" w:rsidRDefault="00C50073" w:rsidP="00C50073">
      <w:pPr>
        <w:numPr>
          <w:ilvl w:val="0"/>
          <w:numId w:val="1"/>
        </w:numPr>
        <w:rPr>
          <w:lang w:val="en-US"/>
        </w:rPr>
      </w:pPr>
      <w:r w:rsidRPr="00C37A4C">
        <w:rPr>
          <w:lang w:val="en-US"/>
        </w:rPr>
        <w:t>Victor, J.S. “Moral Panics and the Social Construction of Deviant Behavior: A Theory and Application to the Case of Ritual Child Abuse.” </w:t>
      </w:r>
      <w:r w:rsidRPr="00C37A4C">
        <w:rPr>
          <w:i/>
          <w:iCs/>
          <w:lang w:val="en-US"/>
        </w:rPr>
        <w:t>Sociological Perspectives</w:t>
      </w:r>
      <w:r w:rsidRPr="00C37A4C">
        <w:rPr>
          <w:lang w:val="en-US"/>
        </w:rPr>
        <w:t>, vol. 41, no. 3, 1998, pp. 541–565. </w:t>
      </w:r>
      <w:r w:rsidRPr="00C37A4C">
        <w:rPr>
          <w:i/>
          <w:iCs/>
          <w:lang w:val="en-US"/>
        </w:rPr>
        <w:t>JSTOR</w:t>
      </w:r>
      <w:r w:rsidRPr="00C37A4C">
        <w:rPr>
          <w:lang w:val="en-US"/>
        </w:rPr>
        <w:t xml:space="preserve">, </w:t>
      </w:r>
      <w:hyperlink r:id="rId12" w:history="1">
        <w:r w:rsidRPr="00C37A4C">
          <w:rPr>
            <w:rStyle w:val="Hyperlink"/>
            <w:lang w:val="en-US"/>
          </w:rPr>
          <w:t>www.jstor.org/stable/1389563</w:t>
        </w:r>
      </w:hyperlink>
    </w:p>
    <w:p w14:paraId="4AB9880B" w14:textId="0425E2A1" w:rsidR="00C37A4C" w:rsidRPr="00C37A4C" w:rsidRDefault="00C50073" w:rsidP="00C50073">
      <w:pPr>
        <w:numPr>
          <w:ilvl w:val="0"/>
          <w:numId w:val="1"/>
        </w:numPr>
        <w:rPr>
          <w:lang w:val="en-US"/>
        </w:rPr>
      </w:pPr>
      <w:proofErr w:type="spellStart"/>
      <w:r w:rsidRPr="00C37A4C">
        <w:rPr>
          <w:lang w:val="en-US"/>
        </w:rPr>
        <w:t>Zanot</w:t>
      </w:r>
      <w:proofErr w:type="spellEnd"/>
      <w:r w:rsidRPr="00C37A4C">
        <w:rPr>
          <w:lang w:val="en-US"/>
        </w:rPr>
        <w:t>, E.J., et al. “Public Perceptions of Subliminal Advertising.” </w:t>
      </w:r>
      <w:r w:rsidRPr="00C37A4C">
        <w:rPr>
          <w:i/>
          <w:iCs/>
          <w:lang w:val="en-US"/>
        </w:rPr>
        <w:t>Journal of Advertising</w:t>
      </w:r>
      <w:r w:rsidRPr="00C37A4C">
        <w:rPr>
          <w:lang w:val="en-US"/>
        </w:rPr>
        <w:t>, vol. 12, no. 1, 1983, pp. 39–45. </w:t>
      </w:r>
      <w:r w:rsidRPr="00C37A4C">
        <w:rPr>
          <w:i/>
          <w:iCs/>
          <w:lang w:val="en-US"/>
        </w:rPr>
        <w:t>JSTOR</w:t>
      </w:r>
      <w:r w:rsidRPr="00C37A4C">
        <w:rPr>
          <w:lang w:val="en-US"/>
        </w:rPr>
        <w:t>, www.jstor.org/stable/4188431</w:t>
      </w:r>
    </w:p>
    <w:p w14:paraId="5C86B7BE" w14:textId="77777777" w:rsidR="00805833" w:rsidRPr="00C37A4C" w:rsidRDefault="00805833" w:rsidP="00C37A4C"/>
    <w:sectPr w:rsidR="00805833" w:rsidRPr="00C37A4C"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A914F7" w14:textId="77777777" w:rsidR="00C969D8" w:rsidRDefault="00C969D8" w:rsidP="005C7255">
      <w:r>
        <w:separator/>
      </w:r>
    </w:p>
  </w:endnote>
  <w:endnote w:type="continuationSeparator" w:id="0">
    <w:p w14:paraId="684E60DA" w14:textId="77777777" w:rsidR="00C969D8" w:rsidRDefault="00C969D8" w:rsidP="005C72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DEB398" w14:textId="77777777" w:rsidR="00C969D8" w:rsidRDefault="00C969D8" w:rsidP="005C7255">
      <w:r>
        <w:separator/>
      </w:r>
    </w:p>
  </w:footnote>
  <w:footnote w:type="continuationSeparator" w:id="0">
    <w:p w14:paraId="24C031F4" w14:textId="77777777" w:rsidR="00C969D8" w:rsidRDefault="00C969D8" w:rsidP="005C7255">
      <w:r>
        <w:continuationSeparator/>
      </w:r>
    </w:p>
  </w:footnote>
  <w:footnote w:id="1">
    <w:p w14:paraId="4306D376" w14:textId="73C24223" w:rsidR="005C7255" w:rsidRPr="005C7255" w:rsidRDefault="005C7255">
      <w:pPr>
        <w:pStyle w:val="FootnoteText"/>
        <w:rPr>
          <w:lang w:val="en-US"/>
        </w:rPr>
      </w:pPr>
      <w:r>
        <w:rPr>
          <w:rStyle w:val="FootnoteReference"/>
        </w:rPr>
        <w:footnoteRef/>
      </w:r>
      <w:r>
        <w:t xml:space="preserve"> </w:t>
      </w:r>
      <w:r>
        <w:rPr>
          <w:lang w:val="en-US"/>
        </w:rPr>
        <w:t>O’Hare 1988: 2</w:t>
      </w:r>
    </w:p>
  </w:footnote>
  <w:footnote w:id="2">
    <w:p w14:paraId="56830127" w14:textId="77777777" w:rsidR="001939EF" w:rsidRPr="00A22B95" w:rsidRDefault="001939EF" w:rsidP="001939EF">
      <w:pPr>
        <w:pStyle w:val="FootnoteText"/>
        <w:rPr>
          <w:lang w:val="en-US"/>
        </w:rPr>
      </w:pPr>
      <w:r>
        <w:rPr>
          <w:rStyle w:val="FootnoteReference"/>
        </w:rPr>
        <w:footnoteRef/>
      </w:r>
      <w:r>
        <w:t xml:space="preserve"> </w:t>
      </w:r>
      <w:r>
        <w:rPr>
          <w:lang w:val="en-US"/>
        </w:rPr>
        <w:t>Victor 1993: 49</w:t>
      </w:r>
    </w:p>
    <w:p w14:paraId="153AC25B" w14:textId="29EF259F" w:rsidR="001939EF" w:rsidRPr="001939EF" w:rsidRDefault="001939EF">
      <w:pPr>
        <w:pStyle w:val="FootnoteText"/>
        <w:rPr>
          <w:lang w:val="en-US"/>
        </w:rPr>
      </w:pPr>
    </w:p>
  </w:footnote>
  <w:footnote w:id="3">
    <w:p w14:paraId="4EF330C5" w14:textId="475413EF" w:rsidR="0063528C" w:rsidRPr="0063528C" w:rsidRDefault="0063528C">
      <w:pPr>
        <w:pStyle w:val="FootnoteText"/>
        <w:rPr>
          <w:lang w:val="en-US"/>
        </w:rPr>
      </w:pPr>
      <w:r>
        <w:rPr>
          <w:rStyle w:val="FootnoteReference"/>
        </w:rPr>
        <w:footnoteRef/>
      </w:r>
      <w:r>
        <w:t xml:space="preserve"> </w:t>
      </w:r>
      <w:r>
        <w:rPr>
          <w:lang w:val="en-US"/>
        </w:rPr>
        <w:t>Victor 1993: 165-167</w:t>
      </w:r>
    </w:p>
  </w:footnote>
  <w:footnote w:id="4">
    <w:p w14:paraId="01669401" w14:textId="765ED03A" w:rsidR="004B0F63" w:rsidRPr="004B0F63" w:rsidRDefault="004B0F63">
      <w:pPr>
        <w:pStyle w:val="FootnoteText"/>
        <w:rPr>
          <w:lang w:val="en-US"/>
        </w:rPr>
      </w:pPr>
      <w:r>
        <w:rPr>
          <w:rStyle w:val="FootnoteReference"/>
        </w:rPr>
        <w:footnoteRef/>
      </w:r>
      <w:r>
        <w:t xml:space="preserve"> </w:t>
      </w:r>
      <w:r>
        <w:rPr>
          <w:lang w:val="en-US"/>
        </w:rPr>
        <w:t>Victory 1993: 128-129</w:t>
      </w:r>
    </w:p>
  </w:footnote>
  <w:footnote w:id="5">
    <w:p w14:paraId="7B5DEBB7" w14:textId="01477C55" w:rsidR="000A045A" w:rsidRPr="000A045A" w:rsidRDefault="000A045A">
      <w:pPr>
        <w:pStyle w:val="FootnoteText"/>
        <w:rPr>
          <w:lang w:val="en-US"/>
        </w:rPr>
      </w:pPr>
      <w:r>
        <w:rPr>
          <w:rStyle w:val="FootnoteReference"/>
        </w:rPr>
        <w:footnoteRef/>
      </w:r>
      <w:r>
        <w:t xml:space="preserve"> </w:t>
      </w:r>
      <w:r>
        <w:rPr>
          <w:lang w:val="en-US"/>
        </w:rPr>
        <w:t xml:space="preserve">Bottoms, Goodman, &amp; </w:t>
      </w:r>
      <w:proofErr w:type="spellStart"/>
      <w:r>
        <w:rPr>
          <w:lang w:val="en-US"/>
        </w:rPr>
        <w:t>Najdowski</w:t>
      </w:r>
      <w:proofErr w:type="spellEnd"/>
      <w:r>
        <w:rPr>
          <w:lang w:val="en-US"/>
        </w:rPr>
        <w:t xml:space="preserve"> 2009: 81-82</w:t>
      </w:r>
    </w:p>
  </w:footnote>
  <w:footnote w:id="6">
    <w:p w14:paraId="54080294" w14:textId="36763306" w:rsidR="005753F8" w:rsidRPr="005753F8" w:rsidRDefault="005753F8">
      <w:pPr>
        <w:pStyle w:val="FootnoteText"/>
        <w:rPr>
          <w:lang w:val="en-US"/>
        </w:rPr>
      </w:pPr>
      <w:r>
        <w:rPr>
          <w:rStyle w:val="FootnoteReference"/>
        </w:rPr>
        <w:footnoteRef/>
      </w:r>
      <w:r>
        <w:t xml:space="preserve"> </w:t>
      </w:r>
      <w:r>
        <w:rPr>
          <w:lang w:val="en-US"/>
        </w:rPr>
        <w:t xml:space="preserve">Bottoms, </w:t>
      </w:r>
      <w:r>
        <w:rPr>
          <w:lang w:val="en-US"/>
        </w:rPr>
        <w:t xml:space="preserve">Goodman, &amp; </w:t>
      </w:r>
      <w:proofErr w:type="spellStart"/>
      <w:r>
        <w:rPr>
          <w:lang w:val="en-US"/>
        </w:rPr>
        <w:t>Najdowski</w:t>
      </w:r>
      <w:proofErr w:type="spellEnd"/>
      <w:r>
        <w:rPr>
          <w:lang w:val="en-US"/>
        </w:rPr>
        <w:t xml:space="preserve"> 2009: 82-83</w:t>
      </w:r>
    </w:p>
  </w:footnote>
  <w:footnote w:id="7">
    <w:p w14:paraId="755C0B9C" w14:textId="652FFAD0" w:rsidR="00AD16C2" w:rsidRPr="00AD16C2" w:rsidRDefault="00AD16C2">
      <w:pPr>
        <w:pStyle w:val="FootnoteText"/>
        <w:rPr>
          <w:lang w:val="en-US"/>
        </w:rPr>
      </w:pPr>
      <w:r>
        <w:rPr>
          <w:rStyle w:val="FootnoteReference"/>
        </w:rPr>
        <w:footnoteRef/>
      </w:r>
      <w:r>
        <w:t xml:space="preserve"> </w:t>
      </w:r>
      <w:r>
        <w:rPr>
          <w:lang w:val="en-US"/>
        </w:rPr>
        <w:t>Victor 1993: 255</w:t>
      </w:r>
    </w:p>
  </w:footnote>
  <w:footnote w:id="8">
    <w:p w14:paraId="7757C44E" w14:textId="6C7F47C6" w:rsidR="00EC0D04" w:rsidRPr="00EC0D04" w:rsidRDefault="00EC0D04">
      <w:pPr>
        <w:pStyle w:val="FootnoteText"/>
        <w:rPr>
          <w:lang w:val="en-US"/>
        </w:rPr>
      </w:pPr>
      <w:r>
        <w:rPr>
          <w:rStyle w:val="FootnoteReference"/>
        </w:rPr>
        <w:footnoteRef/>
      </w:r>
      <w:r>
        <w:t xml:space="preserve"> </w:t>
      </w:r>
      <w:r>
        <w:rPr>
          <w:lang w:val="en-US"/>
        </w:rPr>
        <w:t>Victor 1993: 256</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C35782"/>
    <w:multiLevelType w:val="hybridMultilevel"/>
    <w:tmpl w:val="9E862B16"/>
    <w:lvl w:ilvl="0" w:tplc="50C40208">
      <w:start w:val="1"/>
      <w:numFmt w:val="bullet"/>
      <w:lvlText w:val="•"/>
      <w:lvlJc w:val="left"/>
      <w:pPr>
        <w:tabs>
          <w:tab w:val="num" w:pos="720"/>
        </w:tabs>
        <w:ind w:left="720" w:hanging="360"/>
      </w:pPr>
      <w:rPr>
        <w:rFonts w:ascii="Arial" w:hAnsi="Arial" w:hint="default"/>
      </w:rPr>
    </w:lvl>
    <w:lvl w:ilvl="1" w:tplc="5CCEE870" w:tentative="1">
      <w:start w:val="1"/>
      <w:numFmt w:val="bullet"/>
      <w:lvlText w:val="•"/>
      <w:lvlJc w:val="left"/>
      <w:pPr>
        <w:tabs>
          <w:tab w:val="num" w:pos="1440"/>
        </w:tabs>
        <w:ind w:left="1440" w:hanging="360"/>
      </w:pPr>
      <w:rPr>
        <w:rFonts w:ascii="Arial" w:hAnsi="Arial" w:hint="default"/>
      </w:rPr>
    </w:lvl>
    <w:lvl w:ilvl="2" w:tplc="AFFA874E" w:tentative="1">
      <w:start w:val="1"/>
      <w:numFmt w:val="bullet"/>
      <w:lvlText w:val="•"/>
      <w:lvlJc w:val="left"/>
      <w:pPr>
        <w:tabs>
          <w:tab w:val="num" w:pos="2160"/>
        </w:tabs>
        <w:ind w:left="2160" w:hanging="360"/>
      </w:pPr>
      <w:rPr>
        <w:rFonts w:ascii="Arial" w:hAnsi="Arial" w:hint="default"/>
      </w:rPr>
    </w:lvl>
    <w:lvl w:ilvl="3" w:tplc="52CA7F4C" w:tentative="1">
      <w:start w:val="1"/>
      <w:numFmt w:val="bullet"/>
      <w:lvlText w:val="•"/>
      <w:lvlJc w:val="left"/>
      <w:pPr>
        <w:tabs>
          <w:tab w:val="num" w:pos="2880"/>
        </w:tabs>
        <w:ind w:left="2880" w:hanging="360"/>
      </w:pPr>
      <w:rPr>
        <w:rFonts w:ascii="Arial" w:hAnsi="Arial" w:hint="default"/>
      </w:rPr>
    </w:lvl>
    <w:lvl w:ilvl="4" w:tplc="0E009296" w:tentative="1">
      <w:start w:val="1"/>
      <w:numFmt w:val="bullet"/>
      <w:lvlText w:val="•"/>
      <w:lvlJc w:val="left"/>
      <w:pPr>
        <w:tabs>
          <w:tab w:val="num" w:pos="3600"/>
        </w:tabs>
        <w:ind w:left="3600" w:hanging="360"/>
      </w:pPr>
      <w:rPr>
        <w:rFonts w:ascii="Arial" w:hAnsi="Arial" w:hint="default"/>
      </w:rPr>
    </w:lvl>
    <w:lvl w:ilvl="5" w:tplc="146CEF52" w:tentative="1">
      <w:start w:val="1"/>
      <w:numFmt w:val="bullet"/>
      <w:lvlText w:val="•"/>
      <w:lvlJc w:val="left"/>
      <w:pPr>
        <w:tabs>
          <w:tab w:val="num" w:pos="4320"/>
        </w:tabs>
        <w:ind w:left="4320" w:hanging="360"/>
      </w:pPr>
      <w:rPr>
        <w:rFonts w:ascii="Arial" w:hAnsi="Arial" w:hint="default"/>
      </w:rPr>
    </w:lvl>
    <w:lvl w:ilvl="6" w:tplc="BFC47A88" w:tentative="1">
      <w:start w:val="1"/>
      <w:numFmt w:val="bullet"/>
      <w:lvlText w:val="•"/>
      <w:lvlJc w:val="left"/>
      <w:pPr>
        <w:tabs>
          <w:tab w:val="num" w:pos="5040"/>
        </w:tabs>
        <w:ind w:left="5040" w:hanging="360"/>
      </w:pPr>
      <w:rPr>
        <w:rFonts w:ascii="Arial" w:hAnsi="Arial" w:hint="default"/>
      </w:rPr>
    </w:lvl>
    <w:lvl w:ilvl="7" w:tplc="29CE4A86" w:tentative="1">
      <w:start w:val="1"/>
      <w:numFmt w:val="bullet"/>
      <w:lvlText w:val="•"/>
      <w:lvlJc w:val="left"/>
      <w:pPr>
        <w:tabs>
          <w:tab w:val="num" w:pos="5760"/>
        </w:tabs>
        <w:ind w:left="5760" w:hanging="360"/>
      </w:pPr>
      <w:rPr>
        <w:rFonts w:ascii="Arial" w:hAnsi="Arial" w:hint="default"/>
      </w:rPr>
    </w:lvl>
    <w:lvl w:ilvl="8" w:tplc="783CF412" w:tentative="1">
      <w:start w:val="1"/>
      <w:numFmt w:val="bullet"/>
      <w:lvlText w:val="•"/>
      <w:lvlJc w:val="left"/>
      <w:pPr>
        <w:tabs>
          <w:tab w:val="num" w:pos="6480"/>
        </w:tabs>
        <w:ind w:left="6480" w:hanging="360"/>
      </w:pPr>
      <w:rPr>
        <w:rFonts w:ascii="Arial" w:hAnsi="Arial" w:hint="default"/>
      </w:rPr>
    </w:lvl>
  </w:abstractNum>
  <w:abstractNum w:abstractNumId="1">
    <w:nsid w:val="586972E0"/>
    <w:multiLevelType w:val="hybridMultilevel"/>
    <w:tmpl w:val="80FE1178"/>
    <w:lvl w:ilvl="0" w:tplc="64CC78EC">
      <w:start w:val="1"/>
      <w:numFmt w:val="bullet"/>
      <w:lvlText w:val="•"/>
      <w:lvlJc w:val="left"/>
      <w:pPr>
        <w:tabs>
          <w:tab w:val="num" w:pos="720"/>
        </w:tabs>
        <w:ind w:left="720" w:hanging="360"/>
      </w:pPr>
      <w:rPr>
        <w:rFonts w:ascii="Arial" w:hAnsi="Arial" w:hint="default"/>
      </w:rPr>
    </w:lvl>
    <w:lvl w:ilvl="1" w:tplc="840C4290" w:tentative="1">
      <w:start w:val="1"/>
      <w:numFmt w:val="bullet"/>
      <w:lvlText w:val="•"/>
      <w:lvlJc w:val="left"/>
      <w:pPr>
        <w:tabs>
          <w:tab w:val="num" w:pos="1440"/>
        </w:tabs>
        <w:ind w:left="1440" w:hanging="360"/>
      </w:pPr>
      <w:rPr>
        <w:rFonts w:ascii="Arial" w:hAnsi="Arial" w:hint="default"/>
      </w:rPr>
    </w:lvl>
    <w:lvl w:ilvl="2" w:tplc="15F23682" w:tentative="1">
      <w:start w:val="1"/>
      <w:numFmt w:val="bullet"/>
      <w:lvlText w:val="•"/>
      <w:lvlJc w:val="left"/>
      <w:pPr>
        <w:tabs>
          <w:tab w:val="num" w:pos="2160"/>
        </w:tabs>
        <w:ind w:left="2160" w:hanging="360"/>
      </w:pPr>
      <w:rPr>
        <w:rFonts w:ascii="Arial" w:hAnsi="Arial" w:hint="default"/>
      </w:rPr>
    </w:lvl>
    <w:lvl w:ilvl="3" w:tplc="7FD46A64" w:tentative="1">
      <w:start w:val="1"/>
      <w:numFmt w:val="bullet"/>
      <w:lvlText w:val="•"/>
      <w:lvlJc w:val="left"/>
      <w:pPr>
        <w:tabs>
          <w:tab w:val="num" w:pos="2880"/>
        </w:tabs>
        <w:ind w:left="2880" w:hanging="360"/>
      </w:pPr>
      <w:rPr>
        <w:rFonts w:ascii="Arial" w:hAnsi="Arial" w:hint="default"/>
      </w:rPr>
    </w:lvl>
    <w:lvl w:ilvl="4" w:tplc="F1445B86" w:tentative="1">
      <w:start w:val="1"/>
      <w:numFmt w:val="bullet"/>
      <w:lvlText w:val="•"/>
      <w:lvlJc w:val="left"/>
      <w:pPr>
        <w:tabs>
          <w:tab w:val="num" w:pos="3600"/>
        </w:tabs>
        <w:ind w:left="3600" w:hanging="360"/>
      </w:pPr>
      <w:rPr>
        <w:rFonts w:ascii="Arial" w:hAnsi="Arial" w:hint="default"/>
      </w:rPr>
    </w:lvl>
    <w:lvl w:ilvl="5" w:tplc="8634FF8A" w:tentative="1">
      <w:start w:val="1"/>
      <w:numFmt w:val="bullet"/>
      <w:lvlText w:val="•"/>
      <w:lvlJc w:val="left"/>
      <w:pPr>
        <w:tabs>
          <w:tab w:val="num" w:pos="4320"/>
        </w:tabs>
        <w:ind w:left="4320" w:hanging="360"/>
      </w:pPr>
      <w:rPr>
        <w:rFonts w:ascii="Arial" w:hAnsi="Arial" w:hint="default"/>
      </w:rPr>
    </w:lvl>
    <w:lvl w:ilvl="6" w:tplc="D7209D86" w:tentative="1">
      <w:start w:val="1"/>
      <w:numFmt w:val="bullet"/>
      <w:lvlText w:val="•"/>
      <w:lvlJc w:val="left"/>
      <w:pPr>
        <w:tabs>
          <w:tab w:val="num" w:pos="5040"/>
        </w:tabs>
        <w:ind w:left="5040" w:hanging="360"/>
      </w:pPr>
      <w:rPr>
        <w:rFonts w:ascii="Arial" w:hAnsi="Arial" w:hint="default"/>
      </w:rPr>
    </w:lvl>
    <w:lvl w:ilvl="7" w:tplc="88885916" w:tentative="1">
      <w:start w:val="1"/>
      <w:numFmt w:val="bullet"/>
      <w:lvlText w:val="•"/>
      <w:lvlJc w:val="left"/>
      <w:pPr>
        <w:tabs>
          <w:tab w:val="num" w:pos="5760"/>
        </w:tabs>
        <w:ind w:left="5760" w:hanging="360"/>
      </w:pPr>
      <w:rPr>
        <w:rFonts w:ascii="Arial" w:hAnsi="Arial" w:hint="default"/>
      </w:rPr>
    </w:lvl>
    <w:lvl w:ilvl="8" w:tplc="0B0E8C10" w:tentative="1">
      <w:start w:val="1"/>
      <w:numFmt w:val="bullet"/>
      <w:lvlText w:val="•"/>
      <w:lvlJc w:val="left"/>
      <w:pPr>
        <w:tabs>
          <w:tab w:val="num" w:pos="6480"/>
        </w:tabs>
        <w:ind w:left="6480" w:hanging="360"/>
      </w:pPr>
      <w:rPr>
        <w:rFonts w:ascii="Arial" w:hAnsi="Arial" w:hint="default"/>
      </w:rPr>
    </w:lvl>
  </w:abstractNum>
  <w:abstractNum w:abstractNumId="2">
    <w:nsid w:val="7EBB2926"/>
    <w:multiLevelType w:val="hybridMultilevel"/>
    <w:tmpl w:val="B760796C"/>
    <w:lvl w:ilvl="0" w:tplc="8BF6E4BA">
      <w:start w:val="1"/>
      <w:numFmt w:val="bullet"/>
      <w:lvlText w:val="•"/>
      <w:lvlJc w:val="left"/>
      <w:pPr>
        <w:tabs>
          <w:tab w:val="num" w:pos="720"/>
        </w:tabs>
        <w:ind w:left="720" w:hanging="360"/>
      </w:pPr>
      <w:rPr>
        <w:rFonts w:ascii="Arial" w:hAnsi="Arial" w:hint="default"/>
      </w:rPr>
    </w:lvl>
    <w:lvl w:ilvl="1" w:tplc="35A2D2FE" w:tentative="1">
      <w:start w:val="1"/>
      <w:numFmt w:val="bullet"/>
      <w:lvlText w:val="•"/>
      <w:lvlJc w:val="left"/>
      <w:pPr>
        <w:tabs>
          <w:tab w:val="num" w:pos="1440"/>
        </w:tabs>
        <w:ind w:left="1440" w:hanging="360"/>
      </w:pPr>
      <w:rPr>
        <w:rFonts w:ascii="Arial" w:hAnsi="Arial" w:hint="default"/>
      </w:rPr>
    </w:lvl>
    <w:lvl w:ilvl="2" w:tplc="197E4D52" w:tentative="1">
      <w:start w:val="1"/>
      <w:numFmt w:val="bullet"/>
      <w:lvlText w:val="•"/>
      <w:lvlJc w:val="left"/>
      <w:pPr>
        <w:tabs>
          <w:tab w:val="num" w:pos="2160"/>
        </w:tabs>
        <w:ind w:left="2160" w:hanging="360"/>
      </w:pPr>
      <w:rPr>
        <w:rFonts w:ascii="Arial" w:hAnsi="Arial" w:hint="default"/>
      </w:rPr>
    </w:lvl>
    <w:lvl w:ilvl="3" w:tplc="A42A7B72" w:tentative="1">
      <w:start w:val="1"/>
      <w:numFmt w:val="bullet"/>
      <w:lvlText w:val="•"/>
      <w:lvlJc w:val="left"/>
      <w:pPr>
        <w:tabs>
          <w:tab w:val="num" w:pos="2880"/>
        </w:tabs>
        <w:ind w:left="2880" w:hanging="360"/>
      </w:pPr>
      <w:rPr>
        <w:rFonts w:ascii="Arial" w:hAnsi="Arial" w:hint="default"/>
      </w:rPr>
    </w:lvl>
    <w:lvl w:ilvl="4" w:tplc="662AE48A" w:tentative="1">
      <w:start w:val="1"/>
      <w:numFmt w:val="bullet"/>
      <w:lvlText w:val="•"/>
      <w:lvlJc w:val="left"/>
      <w:pPr>
        <w:tabs>
          <w:tab w:val="num" w:pos="3600"/>
        </w:tabs>
        <w:ind w:left="3600" w:hanging="360"/>
      </w:pPr>
      <w:rPr>
        <w:rFonts w:ascii="Arial" w:hAnsi="Arial" w:hint="default"/>
      </w:rPr>
    </w:lvl>
    <w:lvl w:ilvl="5" w:tplc="1E6EE79C" w:tentative="1">
      <w:start w:val="1"/>
      <w:numFmt w:val="bullet"/>
      <w:lvlText w:val="•"/>
      <w:lvlJc w:val="left"/>
      <w:pPr>
        <w:tabs>
          <w:tab w:val="num" w:pos="4320"/>
        </w:tabs>
        <w:ind w:left="4320" w:hanging="360"/>
      </w:pPr>
      <w:rPr>
        <w:rFonts w:ascii="Arial" w:hAnsi="Arial" w:hint="default"/>
      </w:rPr>
    </w:lvl>
    <w:lvl w:ilvl="6" w:tplc="CAEE8648" w:tentative="1">
      <w:start w:val="1"/>
      <w:numFmt w:val="bullet"/>
      <w:lvlText w:val="•"/>
      <w:lvlJc w:val="left"/>
      <w:pPr>
        <w:tabs>
          <w:tab w:val="num" w:pos="5040"/>
        </w:tabs>
        <w:ind w:left="5040" w:hanging="360"/>
      </w:pPr>
      <w:rPr>
        <w:rFonts w:ascii="Arial" w:hAnsi="Arial" w:hint="default"/>
      </w:rPr>
    </w:lvl>
    <w:lvl w:ilvl="7" w:tplc="20F0FBBE" w:tentative="1">
      <w:start w:val="1"/>
      <w:numFmt w:val="bullet"/>
      <w:lvlText w:val="•"/>
      <w:lvlJc w:val="left"/>
      <w:pPr>
        <w:tabs>
          <w:tab w:val="num" w:pos="5760"/>
        </w:tabs>
        <w:ind w:left="5760" w:hanging="360"/>
      </w:pPr>
      <w:rPr>
        <w:rFonts w:ascii="Arial" w:hAnsi="Arial" w:hint="default"/>
      </w:rPr>
    </w:lvl>
    <w:lvl w:ilvl="8" w:tplc="68CA8E4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02B"/>
    <w:rsid w:val="00022A3C"/>
    <w:rsid w:val="00031B61"/>
    <w:rsid w:val="0003293D"/>
    <w:rsid w:val="00071771"/>
    <w:rsid w:val="0009188E"/>
    <w:rsid w:val="000A045A"/>
    <w:rsid w:val="000E60FC"/>
    <w:rsid w:val="000E78B2"/>
    <w:rsid w:val="000F530C"/>
    <w:rsid w:val="00102EC9"/>
    <w:rsid w:val="0011079D"/>
    <w:rsid w:val="00145260"/>
    <w:rsid w:val="00166021"/>
    <w:rsid w:val="00173CAF"/>
    <w:rsid w:val="001939EF"/>
    <w:rsid w:val="001C0171"/>
    <w:rsid w:val="00242110"/>
    <w:rsid w:val="0024475D"/>
    <w:rsid w:val="00246AD3"/>
    <w:rsid w:val="00275CBC"/>
    <w:rsid w:val="0028244F"/>
    <w:rsid w:val="00284714"/>
    <w:rsid w:val="002852ED"/>
    <w:rsid w:val="002A60F9"/>
    <w:rsid w:val="002B30BD"/>
    <w:rsid w:val="002C23E9"/>
    <w:rsid w:val="002D26AB"/>
    <w:rsid w:val="002F443E"/>
    <w:rsid w:val="00307DEA"/>
    <w:rsid w:val="00331110"/>
    <w:rsid w:val="00353FD7"/>
    <w:rsid w:val="00362840"/>
    <w:rsid w:val="00456519"/>
    <w:rsid w:val="004B0F63"/>
    <w:rsid w:val="004F390D"/>
    <w:rsid w:val="004F40E6"/>
    <w:rsid w:val="004F72B7"/>
    <w:rsid w:val="00502697"/>
    <w:rsid w:val="005347A6"/>
    <w:rsid w:val="00552823"/>
    <w:rsid w:val="00552BBA"/>
    <w:rsid w:val="0055322F"/>
    <w:rsid w:val="00553A2E"/>
    <w:rsid w:val="00553B61"/>
    <w:rsid w:val="00574F1C"/>
    <w:rsid w:val="005753F8"/>
    <w:rsid w:val="005A0F7D"/>
    <w:rsid w:val="005A537A"/>
    <w:rsid w:val="005C7255"/>
    <w:rsid w:val="005D5F1A"/>
    <w:rsid w:val="00607D93"/>
    <w:rsid w:val="0061480F"/>
    <w:rsid w:val="00617AD3"/>
    <w:rsid w:val="0063528C"/>
    <w:rsid w:val="0064065A"/>
    <w:rsid w:val="00697EEE"/>
    <w:rsid w:val="006B5695"/>
    <w:rsid w:val="006D481A"/>
    <w:rsid w:val="00702D4E"/>
    <w:rsid w:val="00705F83"/>
    <w:rsid w:val="0072505D"/>
    <w:rsid w:val="007456BA"/>
    <w:rsid w:val="0076557E"/>
    <w:rsid w:val="007867EB"/>
    <w:rsid w:val="00796E99"/>
    <w:rsid w:val="007B5E99"/>
    <w:rsid w:val="00805833"/>
    <w:rsid w:val="0080602A"/>
    <w:rsid w:val="00817DD4"/>
    <w:rsid w:val="008429CD"/>
    <w:rsid w:val="00846A38"/>
    <w:rsid w:val="0087002B"/>
    <w:rsid w:val="00872268"/>
    <w:rsid w:val="008B384F"/>
    <w:rsid w:val="008E1739"/>
    <w:rsid w:val="008E7B0C"/>
    <w:rsid w:val="008F2AE9"/>
    <w:rsid w:val="009209CD"/>
    <w:rsid w:val="00925B43"/>
    <w:rsid w:val="00972582"/>
    <w:rsid w:val="0097608D"/>
    <w:rsid w:val="0098455A"/>
    <w:rsid w:val="00985BED"/>
    <w:rsid w:val="0098698F"/>
    <w:rsid w:val="009964CB"/>
    <w:rsid w:val="009B251A"/>
    <w:rsid w:val="00A02D49"/>
    <w:rsid w:val="00A22813"/>
    <w:rsid w:val="00A22B95"/>
    <w:rsid w:val="00A64C2E"/>
    <w:rsid w:val="00AC602F"/>
    <w:rsid w:val="00AD16C2"/>
    <w:rsid w:val="00AD29F2"/>
    <w:rsid w:val="00AD5364"/>
    <w:rsid w:val="00B50398"/>
    <w:rsid w:val="00B562F3"/>
    <w:rsid w:val="00B849BD"/>
    <w:rsid w:val="00B95FA7"/>
    <w:rsid w:val="00B97FC2"/>
    <w:rsid w:val="00BB59B8"/>
    <w:rsid w:val="00BD5DA2"/>
    <w:rsid w:val="00BF786D"/>
    <w:rsid w:val="00C132CC"/>
    <w:rsid w:val="00C37A4C"/>
    <w:rsid w:val="00C50073"/>
    <w:rsid w:val="00C72FAC"/>
    <w:rsid w:val="00C7401B"/>
    <w:rsid w:val="00C81D51"/>
    <w:rsid w:val="00C969D8"/>
    <w:rsid w:val="00CE356E"/>
    <w:rsid w:val="00D20DE9"/>
    <w:rsid w:val="00D44E1F"/>
    <w:rsid w:val="00DA1282"/>
    <w:rsid w:val="00DD1497"/>
    <w:rsid w:val="00DD5C15"/>
    <w:rsid w:val="00DF725D"/>
    <w:rsid w:val="00DF735B"/>
    <w:rsid w:val="00E31932"/>
    <w:rsid w:val="00E5414E"/>
    <w:rsid w:val="00E97783"/>
    <w:rsid w:val="00EC0D04"/>
    <w:rsid w:val="00ED55F0"/>
    <w:rsid w:val="00F25140"/>
    <w:rsid w:val="00F62BB1"/>
    <w:rsid w:val="00F8336B"/>
    <w:rsid w:val="00F96B80"/>
    <w:rsid w:val="00FA2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A62DE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7A4C"/>
    <w:rPr>
      <w:color w:val="0563C1" w:themeColor="hyperlink"/>
      <w:u w:val="single"/>
    </w:rPr>
  </w:style>
  <w:style w:type="paragraph" w:styleId="ListParagraph">
    <w:name w:val="List Paragraph"/>
    <w:basedOn w:val="Normal"/>
    <w:uiPriority w:val="34"/>
    <w:qFormat/>
    <w:rsid w:val="0097608D"/>
    <w:pPr>
      <w:ind w:left="720"/>
      <w:contextualSpacing/>
    </w:pPr>
  </w:style>
  <w:style w:type="paragraph" w:styleId="FootnoteText">
    <w:name w:val="footnote text"/>
    <w:basedOn w:val="Normal"/>
    <w:link w:val="FootnoteTextChar"/>
    <w:uiPriority w:val="99"/>
    <w:unhideWhenUsed/>
    <w:rsid w:val="005C7255"/>
  </w:style>
  <w:style w:type="character" w:customStyle="1" w:styleId="FootnoteTextChar">
    <w:name w:val="Footnote Text Char"/>
    <w:basedOn w:val="DefaultParagraphFont"/>
    <w:link w:val="FootnoteText"/>
    <w:uiPriority w:val="99"/>
    <w:rsid w:val="005C7255"/>
    <w:rPr>
      <w:lang w:val="en-GB"/>
    </w:rPr>
  </w:style>
  <w:style w:type="character" w:styleId="FootnoteReference">
    <w:name w:val="footnote reference"/>
    <w:basedOn w:val="DefaultParagraphFont"/>
    <w:uiPriority w:val="99"/>
    <w:unhideWhenUsed/>
    <w:rsid w:val="005C72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8323948">
      <w:bodyDiv w:val="1"/>
      <w:marLeft w:val="0"/>
      <w:marRight w:val="0"/>
      <w:marTop w:val="0"/>
      <w:marBottom w:val="0"/>
      <w:divBdr>
        <w:top w:val="none" w:sz="0" w:space="0" w:color="auto"/>
        <w:left w:val="none" w:sz="0" w:space="0" w:color="auto"/>
        <w:bottom w:val="none" w:sz="0" w:space="0" w:color="auto"/>
        <w:right w:val="none" w:sz="0" w:space="0" w:color="auto"/>
      </w:divBdr>
      <w:divsChild>
        <w:div w:id="1663243226">
          <w:marLeft w:val="360"/>
          <w:marRight w:val="0"/>
          <w:marTop w:val="200"/>
          <w:marBottom w:val="0"/>
          <w:divBdr>
            <w:top w:val="none" w:sz="0" w:space="0" w:color="auto"/>
            <w:left w:val="none" w:sz="0" w:space="0" w:color="auto"/>
            <w:bottom w:val="none" w:sz="0" w:space="0" w:color="auto"/>
            <w:right w:val="none" w:sz="0" w:space="0" w:color="auto"/>
          </w:divBdr>
        </w:div>
      </w:divsChild>
    </w:div>
    <w:div w:id="1226450294">
      <w:bodyDiv w:val="1"/>
      <w:marLeft w:val="0"/>
      <w:marRight w:val="0"/>
      <w:marTop w:val="0"/>
      <w:marBottom w:val="0"/>
      <w:divBdr>
        <w:top w:val="none" w:sz="0" w:space="0" w:color="auto"/>
        <w:left w:val="none" w:sz="0" w:space="0" w:color="auto"/>
        <w:bottom w:val="none" w:sz="0" w:space="0" w:color="auto"/>
        <w:right w:val="none" w:sz="0" w:space="0" w:color="auto"/>
      </w:divBdr>
      <w:divsChild>
        <w:div w:id="1372917292">
          <w:marLeft w:val="360"/>
          <w:marRight w:val="0"/>
          <w:marTop w:val="200"/>
          <w:marBottom w:val="0"/>
          <w:divBdr>
            <w:top w:val="none" w:sz="0" w:space="0" w:color="auto"/>
            <w:left w:val="none" w:sz="0" w:space="0" w:color="auto"/>
            <w:bottom w:val="none" w:sz="0" w:space="0" w:color="auto"/>
            <w:right w:val="none" w:sz="0" w:space="0" w:color="auto"/>
          </w:divBdr>
        </w:div>
        <w:div w:id="588777714">
          <w:marLeft w:val="360"/>
          <w:marRight w:val="0"/>
          <w:marTop w:val="200"/>
          <w:marBottom w:val="0"/>
          <w:divBdr>
            <w:top w:val="none" w:sz="0" w:space="0" w:color="auto"/>
            <w:left w:val="none" w:sz="0" w:space="0" w:color="auto"/>
            <w:bottom w:val="none" w:sz="0" w:space="0" w:color="auto"/>
            <w:right w:val="none" w:sz="0" w:space="0" w:color="auto"/>
          </w:divBdr>
        </w:div>
        <w:div w:id="679623039">
          <w:marLeft w:val="360"/>
          <w:marRight w:val="0"/>
          <w:marTop w:val="200"/>
          <w:marBottom w:val="0"/>
          <w:divBdr>
            <w:top w:val="none" w:sz="0" w:space="0" w:color="auto"/>
            <w:left w:val="none" w:sz="0" w:space="0" w:color="auto"/>
            <w:bottom w:val="none" w:sz="0" w:space="0" w:color="auto"/>
            <w:right w:val="none" w:sz="0" w:space="0" w:color="auto"/>
          </w:divBdr>
        </w:div>
        <w:div w:id="1032419148">
          <w:marLeft w:val="360"/>
          <w:marRight w:val="0"/>
          <w:marTop w:val="200"/>
          <w:marBottom w:val="0"/>
          <w:divBdr>
            <w:top w:val="none" w:sz="0" w:space="0" w:color="auto"/>
            <w:left w:val="none" w:sz="0" w:space="0" w:color="auto"/>
            <w:bottom w:val="none" w:sz="0" w:space="0" w:color="auto"/>
            <w:right w:val="none" w:sz="0" w:space="0" w:color="auto"/>
          </w:divBdr>
        </w:div>
        <w:div w:id="1808013242">
          <w:marLeft w:val="360"/>
          <w:marRight w:val="0"/>
          <w:marTop w:val="200"/>
          <w:marBottom w:val="0"/>
          <w:divBdr>
            <w:top w:val="none" w:sz="0" w:space="0" w:color="auto"/>
            <w:left w:val="none" w:sz="0" w:space="0" w:color="auto"/>
            <w:bottom w:val="none" w:sz="0" w:space="0" w:color="auto"/>
            <w:right w:val="none" w:sz="0" w:space="0" w:color="auto"/>
          </w:divBdr>
        </w:div>
      </w:divsChild>
    </w:div>
    <w:div w:id="1315185918">
      <w:bodyDiv w:val="1"/>
      <w:marLeft w:val="0"/>
      <w:marRight w:val="0"/>
      <w:marTop w:val="0"/>
      <w:marBottom w:val="0"/>
      <w:divBdr>
        <w:top w:val="none" w:sz="0" w:space="0" w:color="auto"/>
        <w:left w:val="none" w:sz="0" w:space="0" w:color="auto"/>
        <w:bottom w:val="none" w:sz="0" w:space="0" w:color="auto"/>
        <w:right w:val="none" w:sz="0" w:space="0" w:color="auto"/>
      </w:divBdr>
      <w:divsChild>
        <w:div w:id="672491677">
          <w:marLeft w:val="360"/>
          <w:marRight w:val="0"/>
          <w:marTop w:val="200"/>
          <w:marBottom w:val="0"/>
          <w:divBdr>
            <w:top w:val="none" w:sz="0" w:space="0" w:color="auto"/>
            <w:left w:val="none" w:sz="0" w:space="0" w:color="auto"/>
            <w:bottom w:val="none" w:sz="0" w:space="0" w:color="auto"/>
            <w:right w:val="none" w:sz="0" w:space="0" w:color="auto"/>
          </w:divBdr>
        </w:div>
        <w:div w:id="58090417">
          <w:marLeft w:val="360"/>
          <w:marRight w:val="0"/>
          <w:marTop w:val="200"/>
          <w:marBottom w:val="0"/>
          <w:divBdr>
            <w:top w:val="none" w:sz="0" w:space="0" w:color="auto"/>
            <w:left w:val="none" w:sz="0" w:space="0" w:color="auto"/>
            <w:bottom w:val="none" w:sz="0" w:space="0" w:color="auto"/>
            <w:right w:val="none" w:sz="0" w:space="0" w:color="auto"/>
          </w:divBdr>
        </w:div>
        <w:div w:id="660543468">
          <w:marLeft w:val="360"/>
          <w:marRight w:val="0"/>
          <w:marTop w:val="200"/>
          <w:marBottom w:val="0"/>
          <w:divBdr>
            <w:top w:val="none" w:sz="0" w:space="0" w:color="auto"/>
            <w:left w:val="none" w:sz="0" w:space="0" w:color="auto"/>
            <w:bottom w:val="none" w:sz="0" w:space="0" w:color="auto"/>
            <w:right w:val="none" w:sz="0" w:space="0" w:color="auto"/>
          </w:divBdr>
        </w:div>
        <w:div w:id="51781947">
          <w:marLeft w:val="360"/>
          <w:marRight w:val="0"/>
          <w:marTop w:val="200"/>
          <w:marBottom w:val="0"/>
          <w:divBdr>
            <w:top w:val="none" w:sz="0" w:space="0" w:color="auto"/>
            <w:left w:val="none" w:sz="0" w:space="0" w:color="auto"/>
            <w:bottom w:val="none" w:sz="0" w:space="0" w:color="auto"/>
            <w:right w:val="none" w:sz="0" w:space="0" w:color="auto"/>
          </w:divBdr>
        </w:div>
        <w:div w:id="478770340">
          <w:marLeft w:val="360"/>
          <w:marRight w:val="0"/>
          <w:marTop w:val="200"/>
          <w:marBottom w:val="0"/>
          <w:divBdr>
            <w:top w:val="none" w:sz="0" w:space="0" w:color="auto"/>
            <w:left w:val="none" w:sz="0" w:space="0" w:color="auto"/>
            <w:bottom w:val="none" w:sz="0" w:space="0" w:color="auto"/>
            <w:right w:val="none" w:sz="0" w:space="0" w:color="auto"/>
          </w:divBdr>
        </w:div>
        <w:div w:id="1932733872">
          <w:marLeft w:val="360"/>
          <w:marRight w:val="0"/>
          <w:marTop w:val="200"/>
          <w:marBottom w:val="0"/>
          <w:divBdr>
            <w:top w:val="none" w:sz="0" w:space="0" w:color="auto"/>
            <w:left w:val="none" w:sz="0" w:space="0" w:color="auto"/>
            <w:bottom w:val="none" w:sz="0" w:space="0" w:color="auto"/>
            <w:right w:val="none" w:sz="0" w:space="0" w:color="auto"/>
          </w:divBdr>
        </w:div>
      </w:divsChild>
    </w:div>
    <w:div w:id="20661777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jstor.org/stable/44982579" TargetMode="External"/><Relationship Id="rId12" Type="http://schemas.openxmlformats.org/officeDocument/2006/relationships/hyperlink" Target="http://www.jstor.org/stable/1389563"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historyandpolicy.org/policy-papers/papers/child-welfare-child-protection-and-sexual-abuse-1918-1990" TargetMode="External"/><Relationship Id="rId8" Type="http://schemas.openxmlformats.org/officeDocument/2006/relationships/hyperlink" Target="http://www.jstor.org/stable/3270557" TargetMode="External"/><Relationship Id="rId9" Type="http://schemas.openxmlformats.org/officeDocument/2006/relationships/hyperlink" Target="http://www.jstor.org/stable/1247831" TargetMode="External"/><Relationship Id="rId10" Type="http://schemas.openxmlformats.org/officeDocument/2006/relationships/hyperlink" Target="http://www.jstor.org/stable/10.1525/nr.2012.16.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4</Pages>
  <Words>1669</Words>
  <Characters>9518</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248</cp:revision>
  <dcterms:created xsi:type="dcterms:W3CDTF">2020-04-12T15:09:00Z</dcterms:created>
  <dcterms:modified xsi:type="dcterms:W3CDTF">2020-04-21T22:56:00Z</dcterms:modified>
</cp:coreProperties>
</file>