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75AC9" w14:textId="77777777" w:rsidR="008F6C2B" w:rsidRDefault="008F6C2B">
      <w:pPr>
        <w:jc w:val="center"/>
        <w:rPr>
          <w:b/>
          <w:bCs/>
          <w:sz w:val="32"/>
          <w:szCs w:val="32"/>
          <w:lang w:val="en-GB"/>
        </w:rPr>
      </w:pPr>
    </w:p>
    <w:p w14:paraId="77D2B9B1" w14:textId="77777777" w:rsidR="008F6C2B" w:rsidRDefault="008F6C2B">
      <w:pPr>
        <w:jc w:val="center"/>
        <w:rPr>
          <w:b/>
          <w:bCs/>
          <w:sz w:val="32"/>
          <w:szCs w:val="32"/>
          <w:lang w:val="en-GB"/>
        </w:rPr>
      </w:pPr>
    </w:p>
    <w:p w14:paraId="6A2AB1FC" w14:textId="77777777" w:rsidR="008F6C2B" w:rsidRDefault="008F6C2B">
      <w:pPr>
        <w:jc w:val="center"/>
        <w:rPr>
          <w:b/>
          <w:bCs/>
          <w:sz w:val="32"/>
          <w:szCs w:val="32"/>
          <w:lang w:val="en-GB"/>
        </w:rPr>
      </w:pPr>
    </w:p>
    <w:p w14:paraId="02FB05F7" w14:textId="77777777" w:rsidR="008F6C2B" w:rsidRDefault="008F6C2B">
      <w:pPr>
        <w:jc w:val="center"/>
        <w:rPr>
          <w:b/>
          <w:bCs/>
          <w:sz w:val="32"/>
          <w:szCs w:val="32"/>
          <w:lang w:val="en-GB"/>
        </w:rPr>
      </w:pPr>
    </w:p>
    <w:p w14:paraId="73207A0B" w14:textId="77777777" w:rsidR="008F6C2B" w:rsidRDefault="008F6C2B">
      <w:pPr>
        <w:jc w:val="center"/>
        <w:rPr>
          <w:b/>
          <w:bCs/>
          <w:sz w:val="32"/>
          <w:szCs w:val="32"/>
          <w:lang w:val="en-GB"/>
        </w:rPr>
      </w:pPr>
    </w:p>
    <w:p w14:paraId="3FF6E35F" w14:textId="77777777" w:rsidR="008F6C2B" w:rsidRDefault="008F6C2B">
      <w:pPr>
        <w:jc w:val="center"/>
        <w:rPr>
          <w:b/>
          <w:bCs/>
          <w:sz w:val="32"/>
          <w:szCs w:val="32"/>
          <w:lang w:val="en-GB"/>
        </w:rPr>
      </w:pPr>
    </w:p>
    <w:p w14:paraId="7D7D8927" w14:textId="77777777" w:rsidR="008F6C2B" w:rsidRDefault="008F6C2B">
      <w:pPr>
        <w:jc w:val="center"/>
        <w:rPr>
          <w:b/>
          <w:bCs/>
          <w:sz w:val="32"/>
          <w:szCs w:val="32"/>
          <w:lang w:val="en-GB"/>
        </w:rPr>
      </w:pPr>
    </w:p>
    <w:p w14:paraId="54038E9C" w14:textId="77777777" w:rsidR="008F6C2B" w:rsidRDefault="008F6C2B">
      <w:pPr>
        <w:jc w:val="center"/>
        <w:rPr>
          <w:b/>
          <w:bCs/>
          <w:sz w:val="32"/>
          <w:szCs w:val="32"/>
          <w:lang w:val="en-GB"/>
        </w:rPr>
      </w:pPr>
    </w:p>
    <w:p w14:paraId="2782D0AA" w14:textId="77777777" w:rsidR="008F6C2B" w:rsidRDefault="00B20E39">
      <w:pPr>
        <w:jc w:val="center"/>
        <w:rPr>
          <w:b/>
          <w:bCs/>
          <w:sz w:val="32"/>
          <w:szCs w:val="32"/>
          <w:lang w:val="en-GB"/>
        </w:rPr>
      </w:pPr>
      <w:r>
        <w:rPr>
          <w:b/>
          <w:bCs/>
          <w:sz w:val="32"/>
          <w:szCs w:val="32"/>
          <w:lang w:val="en-GB"/>
        </w:rPr>
        <w:t>Module Code-BMMB7005D</w:t>
      </w:r>
    </w:p>
    <w:p w14:paraId="608BC300" w14:textId="77777777" w:rsidR="008F6C2B" w:rsidRDefault="00B20E39">
      <w:pPr>
        <w:jc w:val="center"/>
        <w:rPr>
          <w:b/>
          <w:bCs/>
          <w:sz w:val="32"/>
          <w:szCs w:val="32"/>
          <w:lang w:val="en-GB"/>
        </w:rPr>
      </w:pPr>
      <w:r>
        <w:rPr>
          <w:b/>
          <w:bCs/>
          <w:sz w:val="32"/>
          <w:szCs w:val="32"/>
          <w:lang w:val="en-GB"/>
        </w:rPr>
        <w:t xml:space="preserve">Module Name- Finance For Business Manager </w:t>
      </w:r>
    </w:p>
    <w:p w14:paraId="6CC4CE82" w14:textId="77777777" w:rsidR="008F6C2B" w:rsidRDefault="00B20E39">
      <w:pPr>
        <w:jc w:val="center"/>
        <w:rPr>
          <w:b/>
          <w:bCs/>
          <w:sz w:val="32"/>
          <w:szCs w:val="32"/>
          <w:lang w:val="en-GB"/>
        </w:rPr>
      </w:pPr>
      <w:r>
        <w:rPr>
          <w:b/>
          <w:bCs/>
          <w:sz w:val="32"/>
          <w:szCs w:val="32"/>
          <w:lang w:val="en-GB"/>
        </w:rPr>
        <w:t xml:space="preserve">Month and Year - January </w:t>
      </w:r>
    </w:p>
    <w:p w14:paraId="55334690" w14:textId="77777777" w:rsidR="008F6C2B" w:rsidRDefault="00B20E39">
      <w:pPr>
        <w:jc w:val="center"/>
        <w:rPr>
          <w:b/>
          <w:bCs/>
          <w:sz w:val="32"/>
          <w:szCs w:val="32"/>
          <w:lang w:val="en-GB"/>
        </w:rPr>
      </w:pPr>
      <w:r>
        <w:rPr>
          <w:b/>
          <w:bCs/>
          <w:sz w:val="32"/>
          <w:szCs w:val="32"/>
          <w:lang w:val="en-GB"/>
        </w:rPr>
        <w:t xml:space="preserve">Student Name -Manna Barua </w:t>
      </w:r>
    </w:p>
    <w:p w14:paraId="2B26ED63" w14:textId="77777777" w:rsidR="008F6C2B" w:rsidRDefault="00B20E39">
      <w:pPr>
        <w:jc w:val="center"/>
        <w:rPr>
          <w:b/>
          <w:bCs/>
          <w:sz w:val="32"/>
          <w:szCs w:val="32"/>
          <w:lang w:val="en-GB"/>
        </w:rPr>
      </w:pPr>
      <w:r>
        <w:rPr>
          <w:b/>
          <w:bCs/>
          <w:sz w:val="32"/>
          <w:szCs w:val="32"/>
          <w:lang w:val="en-GB"/>
        </w:rPr>
        <w:t>Student ID-2428346</w:t>
      </w:r>
    </w:p>
    <w:p w14:paraId="0F6DB819" w14:textId="77777777" w:rsidR="008F6C2B" w:rsidRDefault="00B20E39">
      <w:pPr>
        <w:rPr>
          <w:b/>
          <w:bCs/>
          <w:sz w:val="32"/>
          <w:szCs w:val="32"/>
          <w:lang w:val="en-GB"/>
        </w:rPr>
      </w:pPr>
      <w:r>
        <w:rPr>
          <w:lang w:val="en-GB"/>
        </w:rPr>
        <w:br w:type="page"/>
      </w:r>
    </w:p>
    <w:p w14:paraId="7F3C5558" w14:textId="77777777" w:rsidR="008F6C2B" w:rsidRDefault="00B20E39">
      <w:pPr>
        <w:jc w:val="center"/>
        <w:rPr>
          <w:b/>
          <w:bCs/>
          <w:lang w:val="en-GB"/>
        </w:rPr>
      </w:pPr>
      <w:r>
        <w:rPr>
          <w:b/>
          <w:bCs/>
          <w:lang w:val="en-GB"/>
        </w:rPr>
        <w:t>Executive Summary</w:t>
      </w:r>
    </w:p>
    <w:p w14:paraId="48A30EFF" w14:textId="16D16465" w:rsidR="008F6C2B" w:rsidRDefault="00B20E39">
      <w:pPr>
        <w:rPr>
          <w:lang w:val="en-GB"/>
        </w:rPr>
      </w:pPr>
      <w:r>
        <w:rPr>
          <w:lang w:val="en-GB"/>
        </w:rPr>
        <w:t xml:space="preserve">The report is an assessment of the financial performance to infer the investment decisions of Next Plc based on a detailed ratio analysis. Some of the key financial ratios were </w:t>
      </w:r>
      <w:r w:rsidR="00D458AB">
        <w:rPr>
          <w:lang w:val="en-GB"/>
        </w:rPr>
        <w:t>analysed</w:t>
      </w:r>
      <w:r>
        <w:rPr>
          <w:lang w:val="en-GB"/>
        </w:rPr>
        <w:t xml:space="preserve"> to determine the profitability, liquidity, efficiency, gearing, and investor performance. Results indicate improved sales and operational productivity, less financial risk, but a portion is still found in the decrease of profitability and liquidity. NPV and Profitability Index (PI) techniques were utilized in the selection of investment alternatives of Westward Plc with a cost of capital of 6% under a limited capital base. The findings suggest that more emphasis should be put on projects that enhance the greatest incremental value and achieve sustainable long term growth. Altogether, the report provides clear actionable information as the basis of the efficient financial management and decision-making.</w:t>
      </w:r>
      <w:r>
        <w:rPr>
          <w:lang w:val="en-GB"/>
        </w:rPr>
        <w:br w:type="page"/>
      </w:r>
    </w:p>
    <w:p w14:paraId="32833A68" w14:textId="77777777" w:rsidR="008F6C2B" w:rsidRDefault="00B20E39">
      <w:pPr>
        <w:jc w:val="center"/>
        <w:rPr>
          <w:b/>
          <w:bCs/>
          <w:lang w:val="en-GB"/>
        </w:rPr>
      </w:pPr>
      <w:r>
        <w:rPr>
          <w:b/>
          <w:bCs/>
          <w:lang w:val="en-GB"/>
        </w:rPr>
        <w:t xml:space="preserve">Table of Contents </w:t>
      </w:r>
    </w:p>
    <w:sdt>
      <w:sdtPr>
        <w:rPr>
          <w:lang w:val="en-GB"/>
        </w:rPr>
        <w:id w:val="406299603"/>
        <w:docPartObj>
          <w:docPartGallery w:val="Table of Contents"/>
          <w:docPartUnique/>
        </w:docPartObj>
      </w:sdtPr>
      <w:sdtEndPr/>
      <w:sdtContent>
        <w:p w14:paraId="6F648597" w14:textId="77777777" w:rsidR="008F6C2B" w:rsidRDefault="00B20E39">
          <w:pPr>
            <w:pStyle w:val="TOC1"/>
            <w:tabs>
              <w:tab w:val="right" w:leader="dot" w:pos="9350"/>
            </w:tabs>
          </w:pPr>
          <w:r>
            <w:rPr>
              <w:lang w:val="en-GB"/>
            </w:rPr>
            <w:fldChar w:fldCharType="begin"/>
          </w:r>
          <w:r>
            <w:rPr>
              <w:lang w:val="en-GB"/>
            </w:rPr>
            <w:instrText xml:space="preserve"> TOC \h \u \z \t "Heading 1,1,Heading 2,2,Heading 3,3,Heading 4,4,Heading 5,5,Heading 6,6,"</w:instrText>
          </w:r>
          <w:r>
            <w:rPr>
              <w:lang w:val="en-GB"/>
            </w:rPr>
            <w:fldChar w:fldCharType="separate"/>
          </w:r>
          <w:hyperlink w:anchor="_Toc218694222" w:history="1">
            <w:r>
              <w:rPr>
                <w:rStyle w:val="Hyperlink"/>
                <w:lang w:val="en-GB"/>
              </w:rPr>
              <w:t>Introduction</w:t>
            </w:r>
            <w:r>
              <w:tab/>
            </w:r>
            <w:r>
              <w:fldChar w:fldCharType="begin"/>
            </w:r>
            <w:r>
              <w:instrText xml:space="preserve"> PAGEREF _Toc218694222 \h </w:instrText>
            </w:r>
            <w:r>
              <w:fldChar w:fldCharType="separate"/>
            </w:r>
            <w:r>
              <w:t>4</w:t>
            </w:r>
            <w:r>
              <w:fldChar w:fldCharType="end"/>
            </w:r>
          </w:hyperlink>
        </w:p>
        <w:p w14:paraId="7E65DB93" w14:textId="77777777" w:rsidR="008F6C2B" w:rsidRDefault="00B20E39">
          <w:pPr>
            <w:pStyle w:val="TOC1"/>
            <w:tabs>
              <w:tab w:val="right" w:leader="dot" w:pos="9350"/>
            </w:tabs>
          </w:pPr>
          <w:hyperlink w:anchor="_Toc218694223" w:history="1">
            <w:r>
              <w:rPr>
                <w:rStyle w:val="Hyperlink"/>
                <w:lang w:val="en-GB"/>
              </w:rPr>
              <w:t>Part 1</w:t>
            </w:r>
            <w:r>
              <w:tab/>
            </w:r>
            <w:r>
              <w:fldChar w:fldCharType="begin"/>
            </w:r>
            <w:r>
              <w:instrText xml:space="preserve"> PAGEREF _Toc218694223 \h </w:instrText>
            </w:r>
            <w:r>
              <w:fldChar w:fldCharType="separate"/>
            </w:r>
            <w:r>
              <w:t>4</w:t>
            </w:r>
            <w:r>
              <w:fldChar w:fldCharType="end"/>
            </w:r>
          </w:hyperlink>
        </w:p>
        <w:p w14:paraId="24A5A1FF" w14:textId="77777777" w:rsidR="008F6C2B" w:rsidRDefault="00B20E39">
          <w:pPr>
            <w:pStyle w:val="TOC2"/>
            <w:tabs>
              <w:tab w:val="right" w:leader="dot" w:pos="9350"/>
            </w:tabs>
          </w:pPr>
          <w:hyperlink w:anchor="_Toc218694224" w:history="1">
            <w:r>
              <w:rPr>
                <w:rStyle w:val="Hyperlink"/>
                <w:lang w:val="en-GB"/>
              </w:rPr>
              <w:t>1.1 Financial Ratios of Next Plc</w:t>
            </w:r>
            <w:r>
              <w:tab/>
            </w:r>
            <w:r>
              <w:fldChar w:fldCharType="begin"/>
            </w:r>
            <w:r>
              <w:instrText xml:space="preserve"> PAGEREF _Toc218694224 \h </w:instrText>
            </w:r>
            <w:r>
              <w:fldChar w:fldCharType="separate"/>
            </w:r>
            <w:r>
              <w:t>4</w:t>
            </w:r>
            <w:r>
              <w:fldChar w:fldCharType="end"/>
            </w:r>
          </w:hyperlink>
        </w:p>
        <w:p w14:paraId="01447667" w14:textId="77777777" w:rsidR="008F6C2B" w:rsidRDefault="00B20E39">
          <w:pPr>
            <w:pStyle w:val="TOC2"/>
            <w:tabs>
              <w:tab w:val="right" w:leader="dot" w:pos="9350"/>
            </w:tabs>
          </w:pPr>
          <w:hyperlink w:anchor="_Toc218694225" w:history="1">
            <w:r>
              <w:rPr>
                <w:rStyle w:val="Hyperlink"/>
                <w:lang w:val="en-GB"/>
              </w:rPr>
              <w:t>1.2 Critical evaluation of ratios</w:t>
            </w:r>
            <w:r>
              <w:tab/>
            </w:r>
            <w:r>
              <w:fldChar w:fldCharType="begin"/>
            </w:r>
            <w:r>
              <w:instrText xml:space="preserve"> PAGEREF _Toc218694225 \h </w:instrText>
            </w:r>
            <w:r>
              <w:fldChar w:fldCharType="separate"/>
            </w:r>
            <w:r>
              <w:t>4</w:t>
            </w:r>
            <w:r>
              <w:fldChar w:fldCharType="end"/>
            </w:r>
          </w:hyperlink>
        </w:p>
        <w:p w14:paraId="3A7EFAD3" w14:textId="77777777" w:rsidR="008F6C2B" w:rsidRDefault="00B20E39">
          <w:pPr>
            <w:pStyle w:val="TOC2"/>
            <w:tabs>
              <w:tab w:val="right" w:leader="dot" w:pos="9350"/>
            </w:tabs>
          </w:pPr>
          <w:hyperlink w:anchor="_Toc218694226" w:history="1">
            <w:r>
              <w:rPr>
                <w:rStyle w:val="Hyperlink"/>
                <w:lang w:val="en-GB"/>
              </w:rPr>
              <w:t>1.3 Recommendation</w:t>
            </w:r>
            <w:r>
              <w:tab/>
            </w:r>
            <w:r>
              <w:fldChar w:fldCharType="begin"/>
            </w:r>
            <w:r>
              <w:instrText xml:space="preserve"> PAGEREF _Toc218694226 \h </w:instrText>
            </w:r>
            <w:r>
              <w:fldChar w:fldCharType="separate"/>
            </w:r>
            <w:r>
              <w:t>5</w:t>
            </w:r>
            <w:r>
              <w:fldChar w:fldCharType="end"/>
            </w:r>
          </w:hyperlink>
        </w:p>
        <w:p w14:paraId="34694D57" w14:textId="77777777" w:rsidR="008F6C2B" w:rsidRDefault="00B20E39">
          <w:pPr>
            <w:pStyle w:val="TOC1"/>
            <w:tabs>
              <w:tab w:val="right" w:leader="dot" w:pos="9350"/>
            </w:tabs>
          </w:pPr>
          <w:hyperlink w:anchor="_Toc218694227" w:history="1">
            <w:r>
              <w:rPr>
                <w:rStyle w:val="Hyperlink"/>
                <w:lang w:val="en-GB"/>
              </w:rPr>
              <w:t>Part 2</w:t>
            </w:r>
            <w:r>
              <w:tab/>
            </w:r>
            <w:r>
              <w:fldChar w:fldCharType="begin"/>
            </w:r>
            <w:r>
              <w:instrText xml:space="preserve"> PAGEREF _Toc218694227 \h </w:instrText>
            </w:r>
            <w:r>
              <w:fldChar w:fldCharType="separate"/>
            </w:r>
            <w:r>
              <w:t>5</w:t>
            </w:r>
            <w:r>
              <w:fldChar w:fldCharType="end"/>
            </w:r>
          </w:hyperlink>
        </w:p>
        <w:p w14:paraId="46C8DBFF" w14:textId="77777777" w:rsidR="008F6C2B" w:rsidRDefault="00B20E39">
          <w:pPr>
            <w:pStyle w:val="TOC2"/>
            <w:tabs>
              <w:tab w:val="right" w:leader="dot" w:pos="9350"/>
            </w:tabs>
          </w:pPr>
          <w:hyperlink w:anchor="_Toc218694228" w:history="1">
            <w:r>
              <w:rPr>
                <w:rStyle w:val="Hyperlink"/>
                <w:lang w:val="en-GB"/>
              </w:rPr>
              <w:t>2.1  Evaluation of three projects using NPV</w:t>
            </w:r>
            <w:r>
              <w:tab/>
            </w:r>
            <w:r>
              <w:fldChar w:fldCharType="begin"/>
            </w:r>
            <w:r>
              <w:instrText xml:space="preserve"> PAGEREF _Toc218694228 \h </w:instrText>
            </w:r>
            <w:r>
              <w:fldChar w:fldCharType="separate"/>
            </w:r>
            <w:r>
              <w:t>5</w:t>
            </w:r>
            <w:r>
              <w:fldChar w:fldCharType="end"/>
            </w:r>
          </w:hyperlink>
        </w:p>
        <w:p w14:paraId="22AC93DD" w14:textId="77777777" w:rsidR="008F6C2B" w:rsidRDefault="00B20E39">
          <w:pPr>
            <w:pStyle w:val="TOC2"/>
            <w:tabs>
              <w:tab w:val="right" w:leader="dot" w:pos="9350"/>
            </w:tabs>
          </w:pPr>
          <w:hyperlink w:anchor="_Toc218694229" w:history="1">
            <w:r>
              <w:rPr>
                <w:rStyle w:val="Hyperlink"/>
                <w:lang w:val="en-GB"/>
              </w:rPr>
              <w:t>2.2 Internal rate of return</w:t>
            </w:r>
            <w:r>
              <w:tab/>
            </w:r>
            <w:r>
              <w:fldChar w:fldCharType="begin"/>
            </w:r>
            <w:r>
              <w:instrText xml:space="preserve"> PAGEREF _Toc218694229 \h </w:instrText>
            </w:r>
            <w:r>
              <w:fldChar w:fldCharType="separate"/>
            </w:r>
            <w:r>
              <w:t>5</w:t>
            </w:r>
            <w:r>
              <w:fldChar w:fldCharType="end"/>
            </w:r>
          </w:hyperlink>
        </w:p>
        <w:p w14:paraId="51B15109" w14:textId="77777777" w:rsidR="008F6C2B" w:rsidRDefault="00B20E39">
          <w:pPr>
            <w:pStyle w:val="TOC2"/>
            <w:tabs>
              <w:tab w:val="right" w:leader="dot" w:pos="9350"/>
            </w:tabs>
          </w:pPr>
          <w:hyperlink w:anchor="_Toc218694230" w:history="1">
            <w:r>
              <w:rPr>
                <w:rStyle w:val="Hyperlink"/>
                <w:lang w:val="en-GB"/>
              </w:rPr>
              <w:t>2.3 Interpretation of results for management</w:t>
            </w:r>
            <w:r>
              <w:tab/>
            </w:r>
            <w:r>
              <w:fldChar w:fldCharType="begin"/>
            </w:r>
            <w:r>
              <w:instrText xml:space="preserve"> PAGEREF _Toc218694230 \h </w:instrText>
            </w:r>
            <w:r>
              <w:fldChar w:fldCharType="separate"/>
            </w:r>
            <w:r>
              <w:t>6</w:t>
            </w:r>
            <w:r>
              <w:fldChar w:fldCharType="end"/>
            </w:r>
          </w:hyperlink>
        </w:p>
        <w:p w14:paraId="1A7EB89D" w14:textId="77777777" w:rsidR="008F6C2B" w:rsidRDefault="00B20E39">
          <w:pPr>
            <w:pStyle w:val="TOC2"/>
            <w:tabs>
              <w:tab w:val="right" w:leader="dot" w:pos="9350"/>
            </w:tabs>
          </w:pPr>
          <w:hyperlink w:anchor="_Toc218694231" w:history="1">
            <w:r>
              <w:rPr>
                <w:rStyle w:val="Hyperlink"/>
                <w:lang w:val="en-GB"/>
              </w:rPr>
              <w:t>2.4 Optimal investment policy and the resulting total NPV</w:t>
            </w:r>
            <w:r>
              <w:tab/>
            </w:r>
            <w:r>
              <w:fldChar w:fldCharType="begin"/>
            </w:r>
            <w:r>
              <w:instrText xml:space="preserve"> PAGEREF _Toc218694231 \h </w:instrText>
            </w:r>
            <w:r>
              <w:fldChar w:fldCharType="separate"/>
            </w:r>
            <w:r>
              <w:t>6</w:t>
            </w:r>
            <w:r>
              <w:fldChar w:fldCharType="end"/>
            </w:r>
          </w:hyperlink>
        </w:p>
        <w:p w14:paraId="0A7D198F" w14:textId="77777777" w:rsidR="008F6C2B" w:rsidRDefault="00B20E39">
          <w:pPr>
            <w:pStyle w:val="TOC1"/>
            <w:tabs>
              <w:tab w:val="right" w:leader="dot" w:pos="9350"/>
            </w:tabs>
          </w:pPr>
          <w:hyperlink w:anchor="_Toc218694232" w:history="1">
            <w:r>
              <w:rPr>
                <w:rStyle w:val="Hyperlink"/>
                <w:lang w:val="en-GB"/>
              </w:rPr>
              <w:t>Conclusion</w:t>
            </w:r>
            <w:r>
              <w:tab/>
            </w:r>
            <w:r>
              <w:fldChar w:fldCharType="begin"/>
            </w:r>
            <w:r>
              <w:instrText xml:space="preserve"> PAGEREF _Toc218694232 \h </w:instrText>
            </w:r>
            <w:r>
              <w:fldChar w:fldCharType="separate"/>
            </w:r>
            <w:r>
              <w:t>7</w:t>
            </w:r>
            <w:r>
              <w:fldChar w:fldCharType="end"/>
            </w:r>
          </w:hyperlink>
        </w:p>
        <w:p w14:paraId="7C4A311A" w14:textId="77777777" w:rsidR="008F6C2B" w:rsidRDefault="00B20E39">
          <w:pPr>
            <w:pStyle w:val="TOC1"/>
            <w:tabs>
              <w:tab w:val="right" w:leader="dot" w:pos="9350"/>
            </w:tabs>
          </w:pPr>
          <w:hyperlink w:anchor="_Toc218694233" w:history="1">
            <w:r>
              <w:rPr>
                <w:rStyle w:val="Hyperlink"/>
                <w:lang w:val="en-GB"/>
              </w:rPr>
              <w:t>References</w:t>
            </w:r>
            <w:r>
              <w:tab/>
            </w:r>
            <w:r>
              <w:fldChar w:fldCharType="begin"/>
            </w:r>
            <w:r>
              <w:instrText xml:space="preserve"> PAGEREF _Toc218694233 \h </w:instrText>
            </w:r>
            <w:r>
              <w:fldChar w:fldCharType="separate"/>
            </w:r>
            <w:r>
              <w:t>8</w:t>
            </w:r>
            <w:r>
              <w:fldChar w:fldCharType="end"/>
            </w:r>
          </w:hyperlink>
        </w:p>
        <w:p w14:paraId="454AAE74" w14:textId="77777777" w:rsidR="008F6C2B" w:rsidRDefault="00B20E39">
          <w:pPr>
            <w:pStyle w:val="TOC1"/>
            <w:tabs>
              <w:tab w:val="right" w:leader="dot" w:pos="9350"/>
            </w:tabs>
          </w:pPr>
          <w:hyperlink w:anchor="_Toc218694234" w:history="1">
            <w:r>
              <w:rPr>
                <w:rStyle w:val="Hyperlink"/>
                <w:lang w:val="en-GB"/>
              </w:rPr>
              <w:t>Appendices</w:t>
            </w:r>
            <w:r>
              <w:tab/>
            </w:r>
            <w:r>
              <w:fldChar w:fldCharType="begin"/>
            </w:r>
            <w:r>
              <w:instrText xml:space="preserve"> PAGEREF _Toc218694234 \h </w:instrText>
            </w:r>
            <w:r>
              <w:fldChar w:fldCharType="separate"/>
            </w:r>
            <w:r>
              <w:t>9</w:t>
            </w:r>
            <w:r>
              <w:fldChar w:fldCharType="end"/>
            </w:r>
          </w:hyperlink>
        </w:p>
        <w:p w14:paraId="5D13634B" w14:textId="77777777" w:rsidR="008F6C2B" w:rsidRDefault="00B20E39">
          <w:pPr>
            <w:pStyle w:val="TOC2"/>
            <w:tabs>
              <w:tab w:val="right" w:leader="dot" w:pos="9350"/>
            </w:tabs>
          </w:pPr>
          <w:hyperlink w:anchor="_Toc218694235" w:history="1">
            <w:r>
              <w:rPr>
                <w:rStyle w:val="Hyperlink"/>
                <w:lang w:val="en-GB"/>
              </w:rPr>
              <w:t>Appendix 1: Next Plc’s Income statement and Balance Sheet</w:t>
            </w:r>
            <w:r>
              <w:tab/>
            </w:r>
            <w:r>
              <w:fldChar w:fldCharType="begin"/>
            </w:r>
            <w:r>
              <w:instrText xml:space="preserve"> PAGEREF _Toc218694235 \h </w:instrText>
            </w:r>
            <w:r>
              <w:fldChar w:fldCharType="separate"/>
            </w:r>
            <w:r>
              <w:t>9</w:t>
            </w:r>
            <w:r>
              <w:fldChar w:fldCharType="end"/>
            </w:r>
          </w:hyperlink>
        </w:p>
        <w:p w14:paraId="4BD51534" w14:textId="77777777" w:rsidR="008F6C2B" w:rsidRDefault="00B20E39">
          <w:pPr>
            <w:pStyle w:val="TOC2"/>
            <w:tabs>
              <w:tab w:val="right" w:leader="dot" w:pos="9350"/>
            </w:tabs>
          </w:pPr>
          <w:hyperlink w:anchor="_Toc218694236" w:history="1">
            <w:r>
              <w:rPr>
                <w:rStyle w:val="Hyperlink"/>
                <w:lang w:val="en-GB"/>
              </w:rPr>
              <w:t>Appendix 2: Ratios of Next Plc for the year ended 2025 and 2024</w:t>
            </w:r>
            <w:r>
              <w:tab/>
            </w:r>
            <w:r>
              <w:fldChar w:fldCharType="begin"/>
            </w:r>
            <w:r>
              <w:instrText xml:space="preserve"> PAGEREF _Toc218694236 \h </w:instrText>
            </w:r>
            <w:r>
              <w:fldChar w:fldCharType="separate"/>
            </w:r>
            <w:r>
              <w:t>11</w:t>
            </w:r>
            <w:r>
              <w:fldChar w:fldCharType="end"/>
            </w:r>
          </w:hyperlink>
        </w:p>
        <w:p w14:paraId="489B4761" w14:textId="77777777" w:rsidR="008F6C2B" w:rsidRDefault="00B20E39">
          <w:pPr>
            <w:pStyle w:val="TOC2"/>
            <w:tabs>
              <w:tab w:val="right" w:leader="dot" w:pos="9350"/>
            </w:tabs>
          </w:pPr>
          <w:hyperlink w:anchor="_Toc218694237" w:history="1">
            <w:r>
              <w:rPr>
                <w:rStyle w:val="Hyperlink"/>
                <w:lang w:val="en-GB"/>
              </w:rPr>
              <w:t>Appendix 3: Calculation of NPV</w:t>
            </w:r>
            <w:r>
              <w:tab/>
            </w:r>
            <w:r>
              <w:fldChar w:fldCharType="begin"/>
            </w:r>
            <w:r>
              <w:instrText xml:space="preserve"> PAGEREF _Toc218694237 \h </w:instrText>
            </w:r>
            <w:r>
              <w:fldChar w:fldCharType="separate"/>
            </w:r>
            <w:r>
              <w:t>13</w:t>
            </w:r>
            <w:r>
              <w:fldChar w:fldCharType="end"/>
            </w:r>
          </w:hyperlink>
        </w:p>
        <w:p w14:paraId="080E25C4" w14:textId="77777777" w:rsidR="008F6C2B" w:rsidRDefault="00B20E39">
          <w:pPr>
            <w:widowControl w:val="0"/>
            <w:tabs>
              <w:tab w:val="right" w:leader="dot" w:pos="9360"/>
            </w:tabs>
            <w:ind w:left="360"/>
            <w:jc w:val="left"/>
            <w:rPr>
              <w:color w:val="000000"/>
              <w:lang w:val="en-GB"/>
            </w:rPr>
          </w:pPr>
          <w:r>
            <w:rPr>
              <w:lang w:val="en-GB"/>
            </w:rPr>
            <w:fldChar w:fldCharType="end"/>
          </w:r>
        </w:p>
      </w:sdtContent>
    </w:sdt>
    <w:p w14:paraId="21CB754B" w14:textId="77777777" w:rsidR="008F6C2B" w:rsidRDefault="00B20E39">
      <w:pPr>
        <w:rPr>
          <w:lang w:val="en-GB"/>
        </w:rPr>
      </w:pPr>
      <w:r>
        <w:rPr>
          <w:lang w:val="en-GB"/>
        </w:rPr>
        <w:br w:type="page"/>
      </w:r>
    </w:p>
    <w:p w14:paraId="155F94B7" w14:textId="77777777" w:rsidR="008F6C2B" w:rsidRDefault="00B20E39">
      <w:pPr>
        <w:pStyle w:val="Heading1"/>
        <w:rPr>
          <w:lang w:val="en-GB"/>
        </w:rPr>
      </w:pPr>
      <w:bookmarkStart w:id="0" w:name="_Toc218694222"/>
      <w:r>
        <w:rPr>
          <w:lang w:val="en-GB"/>
        </w:rPr>
        <w:t>Introduction</w:t>
      </w:r>
      <w:bookmarkEnd w:id="0"/>
    </w:p>
    <w:p w14:paraId="0ED8FB7D" w14:textId="77777777" w:rsidR="008F6C2B" w:rsidRDefault="00B20E39">
      <w:pPr>
        <w:rPr>
          <w:lang w:val="en-GB"/>
        </w:rPr>
      </w:pPr>
      <w:r>
        <w:rPr>
          <w:lang w:val="en-GB"/>
        </w:rPr>
        <w:t xml:space="preserve">This discussion compares the financial performance of the Next Plc and investment prospects of the Westward Plc using some of the key financial ratios, as well as, a Net Present Value (NPV) analysis. The ratios define profitability, liquidity, efficiency, and risk, whereas the NPV analysis helps to identify the value-adding of most investment decisions in the limited financial resources and budgetary limitations. </w:t>
      </w:r>
    </w:p>
    <w:p w14:paraId="35349712" w14:textId="77777777" w:rsidR="008F6C2B" w:rsidRDefault="00B20E39">
      <w:r>
        <w:t xml:space="preserve">The report will analyze the financial performance of the company as well as the investment choices made using simple and sensible financial instruments. Financial analysis is a necessity because it helps the managers understand the performance of the business and where there is need to improve on. In that regard, the ratio analysis is used to evaluate such essential fields as profitability, liquidity, gearing, efficiency, and performance of its investors. Such ratios provide helpful insights concerning the use of resources, the use of cost, control of risks, and the provision of values to the shareholders of the company. The trends can be identified by comparing financial data provided over time to make improved decisions and plans in the long term. In addition to the ratio analysis, the report focuses on methodologies of investment appraisal, that is, the Net Present Value and the Profitability Index. These techniques will help the managers to decide if the suggested projects will create value to the company as well as to spend scarce funds selectively. </w:t>
      </w:r>
    </w:p>
    <w:p w14:paraId="3D944AE8" w14:textId="77777777" w:rsidR="008F6C2B" w:rsidRDefault="00B20E39">
      <w:pPr>
        <w:pStyle w:val="Heading1"/>
        <w:rPr>
          <w:lang w:val="en-GB"/>
        </w:rPr>
      </w:pPr>
      <w:bookmarkStart w:id="1" w:name="_Toc218694223"/>
      <w:r>
        <w:rPr>
          <w:lang w:val="en-GB"/>
        </w:rPr>
        <w:t>Part 1</w:t>
      </w:r>
      <w:bookmarkEnd w:id="1"/>
    </w:p>
    <w:p w14:paraId="7D0A770D" w14:textId="77777777" w:rsidR="008F6C2B" w:rsidRDefault="00B20E39">
      <w:pPr>
        <w:pStyle w:val="Heading2"/>
        <w:numPr>
          <w:ilvl w:val="1"/>
          <w:numId w:val="1"/>
        </w:numPr>
        <w:rPr>
          <w:lang w:val="en-GB"/>
        </w:rPr>
      </w:pPr>
      <w:bookmarkStart w:id="2" w:name="_Toc218694224"/>
      <w:r>
        <w:rPr>
          <w:lang w:val="en-GB"/>
        </w:rPr>
        <w:t>Financial Ratios of Next Plc</w:t>
      </w:r>
      <w:bookmarkEnd w:id="2"/>
    </w:p>
    <w:p w14:paraId="15862696" w14:textId="77777777" w:rsidR="008F6C2B" w:rsidRDefault="00B20E39">
      <w:r>
        <w:rPr>
          <w:b/>
          <w:bCs/>
          <w:i/>
          <w:iCs/>
          <w:u w:val="single"/>
        </w:rPr>
        <w:t xml:space="preserve">Profitability Ratios </w:t>
      </w:r>
    </w:p>
    <w:p w14:paraId="5682FB84" w14:textId="77777777" w:rsidR="008F6C2B" w:rsidRDefault="00B20E39">
      <w:pPr>
        <w:jc w:val="center"/>
        <w:rPr>
          <w:lang w:val="en-GB"/>
        </w:rPr>
      </w:pPr>
      <w:r>
        <w:rPr>
          <w:noProof/>
          <w:lang w:val="en-GB"/>
        </w:rPr>
        <w:drawing>
          <wp:inline distT="0" distB="0" distL="0" distR="0" wp14:anchorId="29A9FE54" wp14:editId="798EADF6">
            <wp:extent cx="4896485" cy="2409825"/>
            <wp:effectExtent l="76200" t="76200" r="132715"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4896533" cy="241016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9F7EB8A" w14:textId="77777777" w:rsidR="008F6C2B" w:rsidRDefault="00B20E39">
      <w:pPr>
        <w:jc w:val="center"/>
        <w:rPr>
          <w:b/>
          <w:bCs/>
        </w:rPr>
      </w:pPr>
      <w:r>
        <w:rPr>
          <w:b/>
          <w:bCs/>
        </w:rPr>
        <w:t>Figure 1: Next Plc’s Profitability Ratios</w:t>
      </w:r>
    </w:p>
    <w:p w14:paraId="3713FF40" w14:textId="77777777" w:rsidR="008F6C2B" w:rsidRDefault="00B20E39">
      <w:pPr>
        <w:jc w:val="center"/>
      </w:pPr>
      <w:r>
        <w:t xml:space="preserve">(Source: Created using Excel) </w:t>
      </w:r>
    </w:p>
    <w:p w14:paraId="1534064E" w14:textId="77777777" w:rsidR="008F6C2B" w:rsidRDefault="00B20E39">
      <w:pPr>
        <w:jc w:val="left"/>
      </w:pPr>
      <w:r>
        <w:t>The ratios of profitability are used to demonstrate the efficiency with which Next Plc uses its sales to generate a profit. The revenue growth was recorded with sales improved to 6,118.1 million pounds as compared to 5,491.0 million pounds. However, the gross profit margin dropped to 43 0.5 %, which represents high-cost production and sourcing of the product. The operating profit margin was steady at 18 %, and these show that the company operates the earnings well. The net profit margin also decreased by 15 % to 12 % that contained higher interest and tax charges. This is an indication that, though the sales have been on the increase, the final profits are being strained (</w:t>
      </w:r>
      <w:proofErr w:type="spellStart"/>
      <w:r>
        <w:t>Pallathadka</w:t>
      </w:r>
      <w:proofErr w:type="spellEnd"/>
      <w:r>
        <w:t xml:space="preserve"> </w:t>
      </w:r>
      <w:r>
        <w:rPr>
          <w:i/>
          <w:iCs/>
        </w:rPr>
        <w:t xml:space="preserve">et al. </w:t>
      </w:r>
      <w:r>
        <w:t>2023). To maintain profitable growth and shareholder returns, it is therefore important to ensure that cost efficiency is enhanced.</w:t>
      </w:r>
    </w:p>
    <w:p w14:paraId="07E29FD4" w14:textId="77777777" w:rsidR="008F6C2B" w:rsidRDefault="00B20E39">
      <w:pPr>
        <w:rPr>
          <w:b/>
          <w:bCs/>
          <w:i/>
          <w:iCs/>
          <w:u w:val="single"/>
        </w:rPr>
      </w:pPr>
      <w:r>
        <w:rPr>
          <w:b/>
          <w:bCs/>
          <w:i/>
          <w:iCs/>
          <w:u w:val="single"/>
        </w:rPr>
        <w:t>Liquidity Ratios</w:t>
      </w:r>
    </w:p>
    <w:p w14:paraId="1C1A320E" w14:textId="77777777" w:rsidR="008F6C2B" w:rsidRDefault="00B20E39">
      <w:pPr>
        <w:jc w:val="center"/>
        <w:rPr>
          <w:lang w:val="en-GB"/>
        </w:rPr>
      </w:pPr>
      <w:r>
        <w:rPr>
          <w:noProof/>
          <w:lang w:val="en-GB"/>
        </w:rPr>
        <w:drawing>
          <wp:inline distT="0" distB="0" distL="0" distR="0" wp14:anchorId="71B4A136" wp14:editId="39999592">
            <wp:extent cx="5153660" cy="2314575"/>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stretch>
                      <a:fillRect/>
                    </a:stretch>
                  </pic:blipFill>
                  <pic:spPr>
                    <a:xfrm>
                      <a:off x="0" y="0"/>
                      <a:ext cx="5153744" cy="2314898"/>
                    </a:xfrm>
                    <a:prstGeom prst="rect">
                      <a:avLst/>
                    </a:prstGeom>
                  </pic:spPr>
                </pic:pic>
              </a:graphicData>
            </a:graphic>
          </wp:inline>
        </w:drawing>
      </w:r>
    </w:p>
    <w:p w14:paraId="33FEF2BE" w14:textId="77777777" w:rsidR="008F6C2B" w:rsidRDefault="00B20E39">
      <w:pPr>
        <w:jc w:val="center"/>
        <w:rPr>
          <w:b/>
          <w:bCs/>
        </w:rPr>
      </w:pPr>
      <w:r>
        <w:rPr>
          <w:b/>
          <w:bCs/>
        </w:rPr>
        <w:t>Figure 2: Next Plc’s Liquidity Ratios</w:t>
      </w:r>
    </w:p>
    <w:p w14:paraId="56B32A94" w14:textId="77777777" w:rsidR="008F6C2B" w:rsidRDefault="00B20E39">
      <w:pPr>
        <w:jc w:val="center"/>
      </w:pPr>
      <w:r>
        <w:t xml:space="preserve">(Source: Created using Excel) </w:t>
      </w:r>
    </w:p>
    <w:p w14:paraId="32755B83" w14:textId="77777777" w:rsidR="008F6C2B" w:rsidRDefault="00B20E39">
      <w:r>
        <w:t xml:space="preserve">The liquidity ratios determine the ability of Next Plc to meet its short-term commitments. The change in the current ratio was 1.83 in 2024, while in the year 2025, the current ratio was 1.6,9 showing that there is a decline in the short-term financial standing. Similarly, the quick ratio dropped to 1.14 after having been 1.3,5 indicating that the percentage of resources that remain </w:t>
      </w:r>
      <w:proofErr w:type="spellStart"/>
      <w:r>
        <w:t>unutilised</w:t>
      </w:r>
      <w:proofErr w:type="spellEnd"/>
      <w:r>
        <w:t xml:space="preserve"> in inventory is greater. Even though the ratios have been above the standard of 1, the decreasing trend is an issue of concern (Gallagher, 2022). The reduction of liquidity would put a limit on the flexibility of the company during economic uncertainty. Better inventory management and faster receivables collection are needed to strengthen the cash flow and support the future growth of the business and its stability.</w:t>
      </w:r>
    </w:p>
    <w:p w14:paraId="5B449212" w14:textId="77777777" w:rsidR="008F6C2B" w:rsidRDefault="00B20E39">
      <w:pPr>
        <w:jc w:val="left"/>
        <w:rPr>
          <w:b/>
          <w:bCs/>
          <w:i/>
          <w:iCs/>
          <w:u w:val="single"/>
        </w:rPr>
      </w:pPr>
      <w:r>
        <w:rPr>
          <w:b/>
          <w:bCs/>
          <w:i/>
          <w:iCs/>
          <w:u w:val="single"/>
        </w:rPr>
        <w:t>Gearing Ratios</w:t>
      </w:r>
    </w:p>
    <w:p w14:paraId="70A4A270" w14:textId="77777777" w:rsidR="008F6C2B" w:rsidRDefault="00B20E39">
      <w:pPr>
        <w:jc w:val="center"/>
        <w:rPr>
          <w:lang w:val="en-GB"/>
        </w:rPr>
      </w:pPr>
      <w:r>
        <w:rPr>
          <w:noProof/>
          <w:lang w:val="en-GB"/>
        </w:rPr>
        <w:drawing>
          <wp:inline distT="0" distB="0" distL="0" distR="0" wp14:anchorId="540BCCBE" wp14:editId="63BA7288">
            <wp:extent cx="5353685"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tretch>
                      <a:fillRect/>
                    </a:stretch>
                  </pic:blipFill>
                  <pic:spPr>
                    <a:xfrm>
                      <a:off x="0" y="0"/>
                      <a:ext cx="5353797" cy="2667372"/>
                    </a:xfrm>
                    <a:prstGeom prst="rect">
                      <a:avLst/>
                    </a:prstGeom>
                  </pic:spPr>
                </pic:pic>
              </a:graphicData>
            </a:graphic>
          </wp:inline>
        </w:drawing>
      </w:r>
    </w:p>
    <w:p w14:paraId="76F8A416" w14:textId="77777777" w:rsidR="008F6C2B" w:rsidRDefault="00B20E39">
      <w:pPr>
        <w:jc w:val="center"/>
        <w:rPr>
          <w:b/>
          <w:bCs/>
        </w:rPr>
      </w:pPr>
      <w:r>
        <w:rPr>
          <w:b/>
          <w:bCs/>
        </w:rPr>
        <w:t xml:space="preserve">Figure 3: Next </w:t>
      </w:r>
      <w:proofErr w:type="spellStart"/>
      <w:r>
        <w:rPr>
          <w:b/>
          <w:bCs/>
        </w:rPr>
        <w:t>Plc’sGearing</w:t>
      </w:r>
      <w:proofErr w:type="spellEnd"/>
      <w:r>
        <w:rPr>
          <w:b/>
          <w:bCs/>
        </w:rPr>
        <w:t xml:space="preserve"> Ratios</w:t>
      </w:r>
    </w:p>
    <w:p w14:paraId="3BBBD482" w14:textId="77777777" w:rsidR="008F6C2B" w:rsidRDefault="00B20E39">
      <w:pPr>
        <w:jc w:val="center"/>
      </w:pPr>
      <w:r>
        <w:t>(Source: Created using Excel)</w:t>
      </w:r>
    </w:p>
    <w:p w14:paraId="2FD44416" w14:textId="77777777" w:rsidR="008F6C2B" w:rsidRDefault="00B20E39">
      <w:r>
        <w:t xml:space="preserve">Gearing ratios measure the dependence of debt funding by Next Plc. The debt-equity ratio in 2024 was 1.12, and in 2025 it was 0.88, which is a lower reliance on borrowed funds. The debt asset of the company also contracted by the ratio of 0.39 to 0.32, showing that there is less use of debt to finance its assets. This decreases the risk of finance and interest payments, thus making it more stable in the long run. The benefit of the lower gearing position is during inflation and uncertainty in the economy however, overly low debt can hamper growth opportunities (Rao </w:t>
      </w:r>
      <w:r>
        <w:rPr>
          <w:i/>
          <w:iCs/>
        </w:rPr>
        <w:t>et al</w:t>
      </w:r>
      <w:r>
        <w:t>.  2023). By maintaining a balanced gearing structure, it will be easy to finance future growth and protect shareholders against financial risk.</w:t>
      </w:r>
    </w:p>
    <w:p w14:paraId="7D44D70E" w14:textId="77777777" w:rsidR="008F6C2B" w:rsidRDefault="00B20E39">
      <w:pPr>
        <w:jc w:val="left"/>
        <w:rPr>
          <w:b/>
          <w:bCs/>
          <w:i/>
          <w:iCs/>
          <w:u w:val="single"/>
        </w:rPr>
      </w:pPr>
      <w:r>
        <w:rPr>
          <w:b/>
          <w:bCs/>
          <w:i/>
          <w:iCs/>
          <w:u w:val="single"/>
        </w:rPr>
        <w:t xml:space="preserve">Efficiency Ratios </w:t>
      </w:r>
    </w:p>
    <w:p w14:paraId="54FB36D6" w14:textId="77777777" w:rsidR="008F6C2B" w:rsidRDefault="00B20E39">
      <w:pPr>
        <w:jc w:val="center"/>
        <w:rPr>
          <w:lang w:val="en-GB"/>
        </w:rPr>
      </w:pPr>
      <w:r>
        <w:rPr>
          <w:noProof/>
          <w:lang w:val="en-GB"/>
        </w:rPr>
        <w:drawing>
          <wp:inline distT="0" distB="0" distL="0" distR="0" wp14:anchorId="02C8BFA0" wp14:editId="6A6C0609">
            <wp:extent cx="5144135" cy="259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a:stretch>
                      <a:fillRect/>
                    </a:stretch>
                  </pic:blipFill>
                  <pic:spPr>
                    <a:xfrm>
                      <a:off x="0" y="0"/>
                      <a:ext cx="5144218" cy="2591162"/>
                    </a:xfrm>
                    <a:prstGeom prst="rect">
                      <a:avLst/>
                    </a:prstGeom>
                  </pic:spPr>
                </pic:pic>
              </a:graphicData>
            </a:graphic>
          </wp:inline>
        </w:drawing>
      </w:r>
    </w:p>
    <w:p w14:paraId="4473883C" w14:textId="77777777" w:rsidR="008F6C2B" w:rsidRDefault="00B20E39">
      <w:pPr>
        <w:jc w:val="center"/>
        <w:rPr>
          <w:b/>
          <w:bCs/>
        </w:rPr>
      </w:pPr>
      <w:r>
        <w:rPr>
          <w:b/>
          <w:bCs/>
        </w:rPr>
        <w:t>Figure 4: Next Plc’s Efficiency Ratios</w:t>
      </w:r>
    </w:p>
    <w:p w14:paraId="1F3E2D22" w14:textId="77777777" w:rsidR="008F6C2B" w:rsidRDefault="00B20E39">
      <w:pPr>
        <w:jc w:val="center"/>
      </w:pPr>
      <w:r>
        <w:t xml:space="preserve">(Source: Created using Excel) </w:t>
      </w:r>
    </w:p>
    <w:p w14:paraId="2F5621D5" w14:textId="77777777" w:rsidR="008F6C2B" w:rsidRDefault="00B20E39">
      <w:r>
        <w:t>Efficiency ratios are used to determine the level of efficiency with which Next Plc uses its resources. The receivables turnover ratio improved by an increment of 3.78 to 4.06, including improved cash earnings through a faster payment period, along with increased cash inflows. There is also a slight improvement in inventory turnover as 3.95 changed to 4.00 that indicates faster stock turnover and efficient inventory control. These profits lower carrying expenses and lower the chances of obsolete stocks. Sturdy efficiency supports the cash flow without the need to draw extra loans (</w:t>
      </w:r>
      <w:proofErr w:type="spellStart"/>
      <w:r>
        <w:t>Rane</w:t>
      </w:r>
      <w:proofErr w:type="spellEnd"/>
      <w:r>
        <w:t>, 2023). Further improvement will allow Next Plc to grow sales profitably, reduce operational costs, and maintain competitiveness in the retail business segment.</w:t>
      </w:r>
    </w:p>
    <w:p w14:paraId="165CAFDD" w14:textId="77777777" w:rsidR="008F6C2B" w:rsidRDefault="00B20E39">
      <w:pPr>
        <w:jc w:val="left"/>
        <w:rPr>
          <w:b/>
          <w:bCs/>
          <w:i/>
          <w:iCs/>
          <w:u w:val="single"/>
        </w:rPr>
      </w:pPr>
      <w:r>
        <w:rPr>
          <w:b/>
          <w:bCs/>
          <w:i/>
          <w:iCs/>
          <w:u w:val="single"/>
        </w:rPr>
        <w:t>Investors Ratios</w:t>
      </w:r>
    </w:p>
    <w:p w14:paraId="7CD36FB2" w14:textId="77777777" w:rsidR="008F6C2B" w:rsidRDefault="00B20E39">
      <w:pPr>
        <w:jc w:val="center"/>
        <w:rPr>
          <w:lang w:val="en-GB"/>
        </w:rPr>
      </w:pPr>
      <w:r>
        <w:rPr>
          <w:noProof/>
          <w:lang w:val="en-GB"/>
        </w:rPr>
        <w:drawing>
          <wp:inline distT="0" distB="0" distL="0" distR="0" wp14:anchorId="4D3067DB" wp14:editId="550D0C35">
            <wp:extent cx="4620260" cy="2790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stretch>
                      <a:fillRect/>
                    </a:stretch>
                  </pic:blipFill>
                  <pic:spPr>
                    <a:xfrm>
                      <a:off x="0" y="0"/>
                      <a:ext cx="4620270" cy="2791215"/>
                    </a:xfrm>
                    <a:prstGeom prst="rect">
                      <a:avLst/>
                    </a:prstGeom>
                  </pic:spPr>
                </pic:pic>
              </a:graphicData>
            </a:graphic>
          </wp:inline>
        </w:drawing>
      </w:r>
    </w:p>
    <w:p w14:paraId="56710BA1" w14:textId="77777777" w:rsidR="008F6C2B" w:rsidRDefault="00B20E39">
      <w:pPr>
        <w:jc w:val="center"/>
        <w:rPr>
          <w:b/>
          <w:bCs/>
        </w:rPr>
      </w:pPr>
      <w:r>
        <w:rPr>
          <w:b/>
          <w:bCs/>
        </w:rPr>
        <w:t>Figure 5: Next Plc’s Investors Ratios</w:t>
      </w:r>
    </w:p>
    <w:p w14:paraId="49D80504" w14:textId="77777777" w:rsidR="008F6C2B" w:rsidRDefault="00B20E39">
      <w:pPr>
        <w:jc w:val="center"/>
      </w:pPr>
      <w:r>
        <w:t>(Source: Created using Excel)</w:t>
      </w:r>
    </w:p>
    <w:p w14:paraId="7F454902" w14:textId="77777777" w:rsidR="008F6C2B" w:rsidRDefault="00B20E39">
      <w:r>
        <w:t>The Shareholder returns are expressed through investor ratios, as they show confidence in the market. Lower net profits also led to a decline in the earnings per share to 6.21 by 0.46, and thus the reduction of the short-term income of the shareholders. Still, the ratio increased to 2.20, as an indicator of high confidence of investors in future performance. This shows that the investors hope that they will return to profitability and long-term growth (Calderon-</w:t>
      </w:r>
      <w:proofErr w:type="spellStart"/>
      <w:r>
        <w:t>Monge</w:t>
      </w:r>
      <w:proofErr w:type="spellEnd"/>
      <w:r>
        <w:t xml:space="preserve"> and Ribeiro-Soriano, 2024). Increasing profitability will enhance dividends, attract new investors, and lead to capital appreciation of long-term accounts by Next Plc. </w:t>
      </w:r>
    </w:p>
    <w:p w14:paraId="200EDAC6" w14:textId="77777777" w:rsidR="008F6C2B" w:rsidRDefault="00B20E39">
      <w:pPr>
        <w:rPr>
          <w:b/>
          <w:bCs/>
          <w:i/>
          <w:iCs/>
          <w:lang w:val="en-GB"/>
        </w:rPr>
      </w:pPr>
      <w:r>
        <w:rPr>
          <w:b/>
          <w:bCs/>
          <w:i/>
          <w:iCs/>
          <w:lang w:val="en-GB"/>
        </w:rPr>
        <w:t xml:space="preserve">[Refer to Appendix 2] </w:t>
      </w:r>
    </w:p>
    <w:p w14:paraId="74EB99F2" w14:textId="77777777" w:rsidR="008F6C2B" w:rsidRDefault="00B20E39">
      <w:pPr>
        <w:pStyle w:val="Heading2"/>
        <w:rPr>
          <w:lang w:val="en-GB"/>
        </w:rPr>
      </w:pPr>
      <w:bookmarkStart w:id="3" w:name="_Toc218694225"/>
      <w:r>
        <w:rPr>
          <w:lang w:val="en-GB"/>
        </w:rPr>
        <w:t>1.2 Critical evaluation of ratios</w:t>
      </w:r>
      <w:bookmarkEnd w:id="3"/>
    </w:p>
    <w:p w14:paraId="0D7DC5B7" w14:textId="77777777" w:rsidR="008F6C2B" w:rsidRDefault="00B20E39">
      <w:pPr>
        <w:rPr>
          <w:lang w:val="en-GB"/>
        </w:rPr>
      </w:pPr>
      <w:r>
        <w:rPr>
          <w:lang w:val="en-GB"/>
        </w:rPr>
        <w:t xml:space="preserve">The ratio analysis of Next Plc shows that it is performing </w:t>
      </w:r>
      <w:proofErr w:type="spellStart"/>
      <w:r>
        <w:rPr>
          <w:lang w:val="en-GB"/>
        </w:rPr>
        <w:t>mixedly</w:t>
      </w:r>
      <w:proofErr w:type="spellEnd"/>
      <w:r>
        <w:rPr>
          <w:lang w:val="en-GB"/>
        </w:rPr>
        <w:t xml:space="preserve"> in the period aforementioned (2024-2025). Sales are up, a good gesture but the problem is that profitability is going to be poor. The gross profit margin decreased by a little bit and the net profit margin reduced by 15% to 12% implying that the cost of the company in terms of wages, transport, and inflation has increased faster compared to sales. The operating profit margin has not changed, which means that the company is operating at a relatively acceptable level of operating costs (</w:t>
      </w:r>
      <w:proofErr w:type="spellStart"/>
      <w:r>
        <w:rPr>
          <w:lang w:val="en-GB"/>
        </w:rPr>
        <w:t>Nworie</w:t>
      </w:r>
      <w:proofErr w:type="spellEnd"/>
      <w:r>
        <w:rPr>
          <w:lang w:val="en-GB"/>
        </w:rPr>
        <w:t xml:space="preserve"> and </w:t>
      </w:r>
      <w:proofErr w:type="spellStart"/>
      <w:r>
        <w:rPr>
          <w:lang w:val="en-GB"/>
        </w:rPr>
        <w:t>Nwoye</w:t>
      </w:r>
      <w:proofErr w:type="spellEnd"/>
      <w:r>
        <w:rPr>
          <w:lang w:val="en-GB"/>
        </w:rPr>
        <w:t>, 2023). However, the decrease in net profit has reduced the shareholder earnings as evidenced by a drop in the net profit.</w:t>
      </w:r>
    </w:p>
    <w:p w14:paraId="2D16A711" w14:textId="77777777" w:rsidR="008F6C2B" w:rsidRDefault="00B20E39">
      <w:pPr>
        <w:rPr>
          <w:lang w:val="en-GB"/>
        </w:rPr>
      </w:pPr>
      <w:r>
        <w:rPr>
          <w:lang w:val="en-GB"/>
        </w:rPr>
        <w:t xml:space="preserve">Liquidity is also worse as the current ratio and the quick ratio have all declined indicating that the Next Plc now has less financial flexibility in the short-term and its money is invested in the inventory or payables. However, the levels of liquidity are satisfactory. </w:t>
      </w:r>
    </w:p>
    <w:p w14:paraId="591409BF" w14:textId="41ABD761" w:rsidR="008F6C2B" w:rsidRDefault="00B20E39">
      <w:pPr>
        <w:rPr>
          <w:lang w:val="en-GB"/>
        </w:rPr>
      </w:pPr>
      <w:r>
        <w:rPr>
          <w:lang w:val="en-GB"/>
        </w:rPr>
        <w:t xml:space="preserve">Gearing ratios have also been </w:t>
      </w:r>
      <w:r w:rsidR="004807B2">
        <w:rPr>
          <w:lang w:val="en-GB"/>
        </w:rPr>
        <w:t xml:space="preserve">favourable </w:t>
      </w:r>
      <w:r>
        <w:rPr>
          <w:lang w:val="en-GB"/>
        </w:rPr>
        <w:t xml:space="preserve">(“Debt-equity” and “Debt-asset ratio”) and show that the borrowed resources used by the company have reduced, which lowers the cost of financial risk and increases the stability of the company in the long term. Additionally, there have been moderate improvements in efficiency ratios which indicate that the company manages stocks better and customers pay in a shorter period of time (Lee, 2023). </w:t>
      </w:r>
    </w:p>
    <w:p w14:paraId="70C6C4AB" w14:textId="601BCFB3" w:rsidR="008F6C2B" w:rsidRDefault="00B20E39">
      <w:pPr>
        <w:rPr>
          <w:lang w:val="en-GB"/>
        </w:rPr>
      </w:pPr>
      <w:r>
        <w:rPr>
          <w:lang w:val="en-GB"/>
        </w:rPr>
        <w:t xml:space="preserve">The investor confidence seems also to be solid because there is growth in the share price and in the P/E ratio with low profits suggesting the prospects of future growth. Nevertheless, ratio analysis is not a complete quantification because it uses the past data, misses out on inflation, and even the management </w:t>
      </w:r>
      <w:r w:rsidR="00FB020B">
        <w:rPr>
          <w:lang w:val="en-GB"/>
        </w:rPr>
        <w:t>calibre</w:t>
      </w:r>
      <w:r>
        <w:rPr>
          <w:lang w:val="en-GB"/>
        </w:rPr>
        <w:t xml:space="preserve"> or market forces are not considered (</w:t>
      </w:r>
      <w:proofErr w:type="spellStart"/>
      <w:r>
        <w:rPr>
          <w:lang w:val="en-GB"/>
        </w:rPr>
        <w:t>Jaksties</w:t>
      </w:r>
      <w:proofErr w:type="spellEnd"/>
      <w:r>
        <w:rPr>
          <w:lang w:val="en-GB"/>
        </w:rPr>
        <w:t xml:space="preserve"> and </w:t>
      </w:r>
      <w:proofErr w:type="spellStart"/>
      <w:r>
        <w:rPr>
          <w:lang w:val="en-GB"/>
        </w:rPr>
        <w:t>Lindblad</w:t>
      </w:r>
      <w:proofErr w:type="spellEnd"/>
      <w:r>
        <w:rPr>
          <w:lang w:val="en-GB"/>
        </w:rPr>
        <w:t>, 2022).</w:t>
      </w:r>
    </w:p>
    <w:p w14:paraId="1473BDA0" w14:textId="77777777" w:rsidR="008F6C2B" w:rsidRDefault="00B20E39">
      <w:pPr>
        <w:rPr>
          <w:b/>
          <w:bCs/>
          <w:i/>
          <w:iCs/>
          <w:u w:val="single"/>
        </w:rPr>
      </w:pPr>
      <w:r>
        <w:rPr>
          <w:b/>
          <w:bCs/>
          <w:i/>
          <w:iCs/>
          <w:u w:val="single"/>
        </w:rPr>
        <w:t xml:space="preserve">Evaluation of Profitability </w:t>
      </w:r>
    </w:p>
    <w:p w14:paraId="373E4D03" w14:textId="77777777" w:rsidR="008F6C2B" w:rsidRDefault="00B20E39">
      <w:r>
        <w:t xml:space="preserve">The profitability ratios paint a picture of how much profit is realized by an individual company because of sales. Next Plc increased revenue in 2025 as its sales increased from £5,491.0 million to £6,118.1 million, indicating that the </w:t>
      </w:r>
      <w:proofErr w:type="spellStart"/>
      <w:r>
        <w:t>organisation</w:t>
      </w:r>
      <w:proofErr w:type="spellEnd"/>
      <w:r>
        <w:t xml:space="preserve"> is moving in the right path since it gained more sales than the previous year. Growth in sales is usually a good sign that the customers are spending an increased amount, hence consolidating the position of the company in the market (</w:t>
      </w:r>
      <w:proofErr w:type="spellStart"/>
      <w:r>
        <w:t>Sriram</w:t>
      </w:r>
      <w:proofErr w:type="spellEnd"/>
      <w:r>
        <w:t>, 2023). However, even after sales increased, the firm was not able to bring in more profit. The gross profit margin had decreased slightly, from 44% to 43% in 2024 and 2025, respectively, and this showed that the cost of acquiring or producing goods was more than the sales. This can be explained by the fact that the prices of raw materials have skyrocketed, transport expenses and salaries are increasing, and inflation is rising. These rising costs tend to impact the retailers as well, like Next Plc.</w:t>
      </w:r>
    </w:p>
    <w:p w14:paraId="6C1D342B" w14:textId="77777777" w:rsidR="008F6C2B" w:rsidRDefault="00B20E39">
      <w:r>
        <w:t>Both operating profit margins stood at 18%, indicating that the company was well managed in terms of its primary operating expenses, such as marketing and administrative expenses. Although costs increased, the management managed to keep the operating costs at an acceptable limit, which portrays stability in its internal governance.</w:t>
      </w:r>
    </w:p>
    <w:p w14:paraId="37674BC9" w14:textId="77777777" w:rsidR="008F6C2B" w:rsidRDefault="00B20E39">
      <w:r>
        <w:t>On the other hand, net profit margin declined significantly from 15% to 12% As a result, the company was left with a smaller amount of profit after considering all costs, which included interest and tax, which contributed to decreasing the final profit. This fall in net profit has a direct cause on the shareholders as they experience low returns since the profit is less (</w:t>
      </w:r>
      <w:proofErr w:type="spellStart"/>
      <w:r>
        <w:t>Mandipa</w:t>
      </w:r>
      <w:proofErr w:type="spellEnd"/>
      <w:r>
        <w:t xml:space="preserve"> and </w:t>
      </w:r>
      <w:proofErr w:type="spellStart"/>
      <w:r>
        <w:t>Sibindi</w:t>
      </w:r>
      <w:proofErr w:type="spellEnd"/>
      <w:r>
        <w:t>, 2022). Overall, there is a mixed performance in terms of profitability, where sales have a positive trend, and increasing costs have reduced the ultimate profit at the firm.</w:t>
      </w:r>
    </w:p>
    <w:p w14:paraId="10D322BB" w14:textId="77777777" w:rsidR="008F6C2B" w:rsidRDefault="00B20E39">
      <w:r>
        <w:rPr>
          <w:b/>
          <w:bCs/>
          <w:i/>
          <w:iCs/>
          <w:u w:val="single"/>
        </w:rPr>
        <w:t>Evaluation of Liquidity</w:t>
      </w:r>
    </w:p>
    <w:p w14:paraId="0EE82911" w14:textId="77777777" w:rsidR="008F6C2B" w:rsidRDefault="00B20E39">
      <w:r>
        <w:t>The liquidity ratios determine the ability of a company to meet its demands in the short run. Compared to 2024 the current ratio declined to 1.69 in 2025 and this implies that 2025 had PS1.69 of current assets against 1.00 of short-term liabilities. Even though this ratio is higher than 1, the fact that it is declining demonstrates that the short-term financial strength is becoming weaker (</w:t>
      </w:r>
      <w:proofErr w:type="spellStart"/>
      <w:r>
        <w:t>Gouzoulis</w:t>
      </w:r>
      <w:proofErr w:type="spellEnd"/>
      <w:r>
        <w:t xml:space="preserve"> </w:t>
      </w:r>
      <w:r>
        <w:rPr>
          <w:i/>
          <w:iCs/>
        </w:rPr>
        <w:t>et al.,</w:t>
      </w:r>
      <w:r>
        <w:t>2023). The quick ratio also declined to 1.14 as compared to 1.35. The quick ratio includes all liquid assets or accounts receivable which are not easy to convert into cash, thus the quick ratio shows that a higher percentage of the liquid assets or  accounts receivable is tied up as opposed to being in the form of cash. This is because by eliminating the inventory that may be not readily available as cash (Badakhshan and Ball, 2023). Both liquidity ratios have declined but they still remain acceptable as it implies that Next Plc will not need to struggle to meet its short-term commitments. Still, the decreasing trend of the company is one of the red lights; further, in case it continues, the firm will experience liquidity strains in the future.</w:t>
      </w:r>
    </w:p>
    <w:p w14:paraId="7B7C2F70" w14:textId="77777777" w:rsidR="008F6C2B" w:rsidRDefault="00B20E39">
      <w:pPr>
        <w:rPr>
          <w:b/>
          <w:bCs/>
          <w:i/>
          <w:iCs/>
          <w:u w:val="single"/>
        </w:rPr>
      </w:pPr>
      <w:r>
        <w:rPr>
          <w:b/>
          <w:bCs/>
          <w:i/>
          <w:iCs/>
          <w:u w:val="single"/>
        </w:rPr>
        <w:t xml:space="preserve">Evaluation of Gearing </w:t>
      </w:r>
    </w:p>
    <w:p w14:paraId="6634D9B7" w14:textId="77777777" w:rsidR="008F6C2B" w:rsidRDefault="00B20E39">
      <w:r>
        <w:t>The Gearing ratios are used to determine the dependence of a company on borrowed funds as compared to its own funds. The “debt-equity ratio” of Next Plc decreased with time such that in 2025 it was 0.88 compared to 1.12 in the previous year meaning that the company now generates less debt compared with the equity of the shareholders. Less debt will reduce the financial risk as less debt will reduce the pay to finance the business positions.</w:t>
      </w:r>
    </w:p>
    <w:p w14:paraId="14912F41" w14:textId="77777777" w:rsidR="008F6C2B" w:rsidRDefault="00B20E39">
      <w:r>
        <w:t>“Debt-asset ratio” also decreased as 0.39 was reduced to 0.32 which means that a smaller percentage of the company assets are funded through debts. This is a good move towards financial stability in the long-run and risk reduction in case of financial uncertainty (</w:t>
      </w:r>
      <w:proofErr w:type="spellStart"/>
      <w:r>
        <w:t>Kirikkaleli</w:t>
      </w:r>
      <w:proofErr w:type="spellEnd"/>
      <w:r>
        <w:t xml:space="preserve"> </w:t>
      </w:r>
      <w:r>
        <w:rPr>
          <w:i/>
          <w:iCs/>
        </w:rPr>
        <w:t>et al.,</w:t>
      </w:r>
      <w:r>
        <w:t>2022). The rise in gearing can be as a result of repayments of loans, increase retained earnings or a provision of equity. The reduction of gearing makes the company less risky and more stable especially in times of inflation and the low rate of economic growth.</w:t>
      </w:r>
    </w:p>
    <w:p w14:paraId="20CE8810" w14:textId="77777777" w:rsidR="008F6C2B" w:rsidRDefault="00B20E39">
      <w:pPr>
        <w:rPr>
          <w:b/>
          <w:bCs/>
          <w:i/>
          <w:iCs/>
          <w:u w:val="single"/>
        </w:rPr>
      </w:pPr>
      <w:r>
        <w:rPr>
          <w:b/>
          <w:bCs/>
          <w:i/>
          <w:iCs/>
          <w:u w:val="single"/>
        </w:rPr>
        <w:t xml:space="preserve">Evaluation of Efficiency </w:t>
      </w:r>
    </w:p>
    <w:p w14:paraId="2E46912D" w14:textId="77777777" w:rsidR="008F6C2B" w:rsidRDefault="00B20E39">
      <w:r>
        <w:t xml:space="preserve">The efficiency ratios are used to assess the company effectiveness in its use of resources. Receivable turnover ratio rose to 4.06, as compared to 3.78 meaning that customers are paying on time in the year 2025. The accelerated payments increase the cash flow and reduce chances of delayed payments (Yang </w:t>
      </w:r>
      <w:r>
        <w:rPr>
          <w:i/>
          <w:iCs/>
        </w:rPr>
        <w:t>et al.,</w:t>
      </w:r>
      <w:r>
        <w:t>2024). The inventory turnover ratio increased a little as it increased by 3.95 to 4.00 which indicates that inventory is being sold at a greater rate. Selling stocks at a faster rate will save storage expenses, moreover, the risk of outdated stock will decrease. These enhancements imply a better inventory and customer payroll management. Generally, efficiency has improved showing that Next Plc operates its activities more efficiently.</w:t>
      </w:r>
    </w:p>
    <w:p w14:paraId="643C2A23" w14:textId="77777777" w:rsidR="008F6C2B" w:rsidRDefault="00B20E39">
      <w:pPr>
        <w:rPr>
          <w:b/>
          <w:bCs/>
          <w:i/>
          <w:iCs/>
          <w:u w:val="single"/>
        </w:rPr>
      </w:pPr>
      <w:r>
        <w:rPr>
          <w:b/>
          <w:bCs/>
          <w:i/>
          <w:iCs/>
          <w:u w:val="single"/>
        </w:rPr>
        <w:t xml:space="preserve">Evaluation of Investors </w:t>
      </w:r>
    </w:p>
    <w:p w14:paraId="732962CB" w14:textId="77777777" w:rsidR="008F6C2B" w:rsidRDefault="00B20E39">
      <w:r>
        <w:t>Investor ratios are the measure of the appeal of a company in the eyes of the shareholders. The ratio of the earnings per share decreased by 0.46 to 6.21 because the net profit decreased. Reduction in the earnings per share implies that the shareholders receive less profit per share held (</w:t>
      </w:r>
      <w:proofErr w:type="spellStart"/>
      <w:r>
        <w:t>Alsamhi</w:t>
      </w:r>
      <w:proofErr w:type="spellEnd"/>
      <w:r>
        <w:t xml:space="preserve"> </w:t>
      </w:r>
      <w:r>
        <w:rPr>
          <w:i/>
          <w:iCs/>
        </w:rPr>
        <w:t>et al.,</w:t>
      </w:r>
      <w:r>
        <w:t>2022). However, the stock value went up and the “price-earnings ratio” went up to 2.20. This means that the investors are still optimistic about the company not facing the same future with the possibility of turning around the profits or just having strong long term growth opportunities. Therefore, the feeling of investor confidence depends not only on the present profitability; a more significant effect may be produced by the perspectives about the future.</w:t>
      </w:r>
    </w:p>
    <w:p w14:paraId="15BFFD09" w14:textId="77777777" w:rsidR="008F6C2B" w:rsidRDefault="00B20E39">
      <w:pPr>
        <w:rPr>
          <w:b/>
          <w:bCs/>
          <w:i/>
          <w:iCs/>
          <w:u w:val="single"/>
        </w:rPr>
      </w:pPr>
      <w:r>
        <w:rPr>
          <w:b/>
          <w:bCs/>
          <w:i/>
          <w:iCs/>
          <w:u w:val="single"/>
        </w:rPr>
        <w:t xml:space="preserve">Limitations of Ratio Analysis </w:t>
      </w:r>
    </w:p>
    <w:p w14:paraId="015AFC58" w14:textId="77777777" w:rsidR="008F6C2B" w:rsidRDefault="00B20E39">
      <w:pPr>
        <w:rPr>
          <w:b/>
          <w:bCs/>
          <w:i/>
          <w:iCs/>
          <w:u w:val="single"/>
        </w:rPr>
      </w:pPr>
      <w:r>
        <w:t>Although ratio analysis is very useful, it has several limitations. Ratios are based on past financial data, so they may not show the company’s current or future performance accurately (</w:t>
      </w:r>
      <w:proofErr w:type="spellStart"/>
      <w:r>
        <w:t>Olayinka</w:t>
      </w:r>
      <w:proofErr w:type="spellEnd"/>
      <w:r>
        <w:t xml:space="preserve">, 2022). Ratios also do not consider inflation, which can make comparisons between years less accurate. In addition, different companies use different accounting methods, which can affect the results of ratios. Ratio analysis also ignores non-financial factors such as management quality, brand reputation, customer loyalty, and competition. External factors like economic conditions, government rules, and changes in consumer </w:t>
      </w:r>
      <w:proofErr w:type="spellStart"/>
      <w:r>
        <w:t>behaviour</w:t>
      </w:r>
      <w:proofErr w:type="spellEnd"/>
      <w:r>
        <w:t xml:space="preserve"> are also not included (</w:t>
      </w:r>
      <w:proofErr w:type="spellStart"/>
      <w:r>
        <w:t>Barbu</w:t>
      </w:r>
      <w:proofErr w:type="spellEnd"/>
      <w:r>
        <w:t xml:space="preserve"> </w:t>
      </w:r>
      <w:r>
        <w:rPr>
          <w:i/>
          <w:iCs/>
        </w:rPr>
        <w:t>et al.,</w:t>
      </w:r>
      <w:r>
        <w:t>2022). Therefore, ratio analysis should not be used alone and should be supported with other financial and business analyses.</w:t>
      </w:r>
    </w:p>
    <w:p w14:paraId="1A8F66AE" w14:textId="77777777" w:rsidR="008F6C2B" w:rsidRDefault="00B20E39">
      <w:pPr>
        <w:pStyle w:val="Heading2"/>
        <w:rPr>
          <w:lang w:val="en-GB"/>
        </w:rPr>
      </w:pPr>
      <w:bookmarkStart w:id="4" w:name="_Toc218694226"/>
      <w:r>
        <w:rPr>
          <w:lang w:val="en-GB"/>
        </w:rPr>
        <w:t>1.3 Recommendation</w:t>
      </w:r>
      <w:bookmarkEnd w:id="4"/>
      <w:r>
        <w:rPr>
          <w:lang w:val="en-GB"/>
        </w:rPr>
        <w:t xml:space="preserve">  </w:t>
      </w:r>
    </w:p>
    <w:p w14:paraId="0A62E939" w14:textId="77777777" w:rsidR="008F6C2B" w:rsidRDefault="00B20E39">
      <w:pPr>
        <w:rPr>
          <w:lang w:val="en-GB"/>
        </w:rPr>
      </w:pPr>
      <w:r>
        <w:rPr>
          <w:lang w:val="en-GB"/>
        </w:rPr>
        <w:t>A stringent focus is to be given on cost management with a view of improving profit margins especially costs incurred in production, transport and staff. The company would better control inventory that would result in the holding of too much inventory. Further boosting of cash flow should be achieved by continued growth in the pace of collections by customers. Next Plc should also ensure that debt is kept at a reasonable level and it does not engage in excessive borrowing to minimize the financial risk. Lastly, the company must make investments in the technology and data systems to enhance efficiency, predicting and decision-making, hence, long-term financial stability and growth.</w:t>
      </w:r>
    </w:p>
    <w:p w14:paraId="0F99DDAE" w14:textId="77777777" w:rsidR="008F6C2B" w:rsidRDefault="00B20E39">
      <w:pPr>
        <w:rPr>
          <w:b/>
          <w:bCs/>
          <w:u w:val="single"/>
        </w:rPr>
      </w:pPr>
      <w:r>
        <w:rPr>
          <w:b/>
          <w:bCs/>
          <w:color w:val="111111"/>
          <w:u w:val="single"/>
        </w:rPr>
        <w:t>Recommendation 1: Enhance cost management and quality of profits.</w:t>
      </w:r>
    </w:p>
    <w:p w14:paraId="1CDA0D41" w14:textId="755B20C8" w:rsidR="008F6C2B" w:rsidRDefault="00B20E39">
      <w:r>
        <w:rPr>
          <w:color w:val="111111"/>
        </w:rPr>
        <w:t xml:space="preserve">Next Plc ought to work on the cost control and </w:t>
      </w:r>
      <w:proofErr w:type="spellStart"/>
      <w:r>
        <w:rPr>
          <w:color w:val="111111"/>
        </w:rPr>
        <w:t>maximise</w:t>
      </w:r>
      <w:proofErr w:type="spellEnd"/>
      <w:r>
        <w:rPr>
          <w:color w:val="111111"/>
        </w:rPr>
        <w:t xml:space="preserve"> its profitability. The increase in sales has been accompanied by a reduction in profits due to the increase in operating, transport, and material costs.</w:t>
      </w:r>
      <w:r>
        <w:t xml:space="preserve"> </w:t>
      </w:r>
      <w:r>
        <w:rPr>
          <w:color w:val="111111"/>
        </w:rPr>
        <w:t xml:space="preserve">The management should evaluate the contract agreements with suppliers, logistics </w:t>
      </w:r>
      <w:r w:rsidR="006065F4">
        <w:rPr>
          <w:color w:val="111111"/>
        </w:rPr>
        <w:t>costs</w:t>
      </w:r>
      <w:r>
        <w:rPr>
          <w:color w:val="111111"/>
        </w:rPr>
        <w:t xml:space="preserve"> and energy use to reduce unwarranted costs. Excess inventory and discounting can also be avoided by better demand forecasting (</w:t>
      </w:r>
      <w:proofErr w:type="spellStart"/>
      <w:r>
        <w:rPr>
          <w:color w:val="111111"/>
        </w:rPr>
        <w:t>Graña</w:t>
      </w:r>
      <w:proofErr w:type="spellEnd"/>
      <w:r>
        <w:rPr>
          <w:color w:val="111111"/>
        </w:rPr>
        <w:t xml:space="preserve">-Alvarez </w:t>
      </w:r>
      <w:r>
        <w:rPr>
          <w:i/>
          <w:iCs/>
          <w:color w:val="111111"/>
        </w:rPr>
        <w:t>et al</w:t>
      </w:r>
      <w:r>
        <w:rPr>
          <w:color w:val="111111"/>
        </w:rPr>
        <w:t xml:space="preserve"> 2024).</w:t>
      </w:r>
      <w:r>
        <w:t xml:space="preserve"> </w:t>
      </w:r>
      <w:r>
        <w:rPr>
          <w:color w:val="111111"/>
        </w:rPr>
        <w:t>Small efficiency improvements in both the stores and online business will safeguard the margins without affecting the customer experience. Being able to sustain high operating profit margins is an indication of good internal control, but to continue the growth in the long run, an improvement in net profit is necessary.</w:t>
      </w:r>
      <w:r>
        <w:t xml:space="preserve"> </w:t>
      </w:r>
      <w:r>
        <w:rPr>
          <w:color w:val="111111"/>
        </w:rPr>
        <w:t>Next Plc can maximize the shareholder returns by the prudent management of costs without compromising the quality of the product offered and its competitiveness to promote trust in its future performance (</w:t>
      </w:r>
      <w:proofErr w:type="spellStart"/>
      <w:r>
        <w:rPr>
          <w:color w:val="222222"/>
          <w:highlight w:val="white"/>
        </w:rPr>
        <w:t>Nextplc</w:t>
      </w:r>
      <w:proofErr w:type="spellEnd"/>
      <w:r>
        <w:rPr>
          <w:color w:val="222222"/>
          <w:highlight w:val="white"/>
        </w:rPr>
        <w:t>, 2025)</w:t>
      </w:r>
      <w:r>
        <w:rPr>
          <w:color w:val="111111"/>
        </w:rPr>
        <w:t>. This is a practical and feasible approach that would not require significant modifications in the business model.</w:t>
      </w:r>
    </w:p>
    <w:p w14:paraId="743B38CF" w14:textId="77777777" w:rsidR="008F6C2B" w:rsidRDefault="00B20E39">
      <w:pPr>
        <w:rPr>
          <w:b/>
          <w:bCs/>
          <w:u w:val="single"/>
        </w:rPr>
      </w:pPr>
      <w:r>
        <w:rPr>
          <w:b/>
          <w:bCs/>
          <w:color w:val="111111"/>
          <w:u w:val="single"/>
        </w:rPr>
        <w:t>Recommendation 2: Have a balanced liquidity and low-risk funding.</w:t>
      </w:r>
    </w:p>
    <w:p w14:paraId="1EFF5C9E" w14:textId="77777777" w:rsidR="008F6C2B" w:rsidRDefault="00B20E39">
      <w:r>
        <w:rPr>
          <w:color w:val="111111"/>
        </w:rPr>
        <w:t>Next Plc should pay close attention to the liquidity and maintain the low-risk borrowing policy. The decrease in liquidity ratios in spite of the fact that the latter are acceptable is also indicative of a strain on short-term cash flows (</w:t>
      </w:r>
      <w:proofErr w:type="spellStart"/>
      <w:r>
        <w:rPr>
          <w:color w:val="111111"/>
        </w:rPr>
        <w:t>Umair</w:t>
      </w:r>
      <w:proofErr w:type="spellEnd"/>
      <w:r>
        <w:rPr>
          <w:color w:val="111111"/>
        </w:rPr>
        <w:t xml:space="preserve"> and </w:t>
      </w:r>
      <w:proofErr w:type="spellStart"/>
      <w:r>
        <w:rPr>
          <w:color w:val="111111"/>
        </w:rPr>
        <w:t>Dilanchiev</w:t>
      </w:r>
      <w:proofErr w:type="spellEnd"/>
      <w:r>
        <w:rPr>
          <w:color w:val="111111"/>
        </w:rPr>
        <w:t>, 2022).</w:t>
      </w:r>
      <w:r>
        <w:t xml:space="preserve"> </w:t>
      </w:r>
      <w:r>
        <w:rPr>
          <w:color w:val="111111"/>
        </w:rPr>
        <w:t>The management needs to increase the cash planning process through quicker customer payment and reducing the holding stock.</w:t>
      </w:r>
      <w:r>
        <w:t xml:space="preserve"> </w:t>
      </w:r>
      <w:r>
        <w:rPr>
          <w:color w:val="111111"/>
        </w:rPr>
        <w:t>At the same time, the lower gearing of the company is also a strength that ought to be retained. Reduction of debt reduces interest expense and protects the business in cases of uncertainty in the economy. However, in cases where returns are visible, the selective borrowing should nevertheless be considered by Next Plc in making profitable investments.</w:t>
      </w:r>
      <w:r>
        <w:t xml:space="preserve"> </w:t>
      </w:r>
      <w:r>
        <w:rPr>
          <w:color w:val="111111"/>
        </w:rPr>
        <w:t>One will strike the right balance between cash and wise financing to maintain stability (</w:t>
      </w:r>
      <w:proofErr w:type="spellStart"/>
      <w:r>
        <w:rPr>
          <w:color w:val="111111"/>
        </w:rPr>
        <w:t>Bertoni</w:t>
      </w:r>
      <w:proofErr w:type="spellEnd"/>
      <w:r>
        <w:rPr>
          <w:color w:val="111111"/>
        </w:rPr>
        <w:t xml:space="preserve"> </w:t>
      </w:r>
      <w:r>
        <w:rPr>
          <w:i/>
          <w:iCs/>
          <w:color w:val="111111"/>
        </w:rPr>
        <w:t>et al.</w:t>
      </w:r>
      <w:r>
        <w:rPr>
          <w:color w:val="111111"/>
        </w:rPr>
        <w:t xml:space="preserve"> 2022). This caution would ease the concerns of investors, shield their day-to-day business, and allow the firm to be flexible in terms of its finances in the future.</w:t>
      </w:r>
    </w:p>
    <w:p w14:paraId="4590DB69" w14:textId="77777777" w:rsidR="008F6C2B" w:rsidRDefault="00B20E39">
      <w:pPr>
        <w:pStyle w:val="Heading1"/>
        <w:rPr>
          <w:lang w:val="en-GB"/>
        </w:rPr>
      </w:pPr>
      <w:bookmarkStart w:id="5" w:name="_Toc218694227"/>
      <w:r>
        <w:rPr>
          <w:lang w:val="en-GB"/>
        </w:rPr>
        <w:t>Part 2</w:t>
      </w:r>
      <w:bookmarkEnd w:id="5"/>
    </w:p>
    <w:p w14:paraId="613E25F5" w14:textId="77777777" w:rsidR="008F6C2B" w:rsidRDefault="00B20E39">
      <w:pPr>
        <w:pStyle w:val="Heading2"/>
        <w:rPr>
          <w:lang w:val="en-GB"/>
        </w:rPr>
      </w:pPr>
      <w:bookmarkStart w:id="6" w:name="_Toc218694228"/>
      <w:r>
        <w:rPr>
          <w:lang w:val="en-GB"/>
        </w:rPr>
        <w:t>2.1  Evaluation of three projects using NPV</w:t>
      </w:r>
      <w:bookmarkEnd w:id="6"/>
      <w:r>
        <w:rPr>
          <w:lang w:val="en-GB"/>
        </w:rPr>
        <w:t xml:space="preserve"> </w:t>
      </w:r>
    </w:p>
    <w:p w14:paraId="2843078A" w14:textId="77777777" w:rsidR="008F6C2B" w:rsidRDefault="00B20E39">
      <w:pPr>
        <w:rPr>
          <w:lang w:val="en-GB"/>
        </w:rPr>
      </w:pPr>
      <w:r>
        <w:rPr>
          <w:lang w:val="en-GB"/>
        </w:rPr>
        <w:t xml:space="preserve">Comparing two investments considering the NPV method with a cost of capital of 6%, the three alternatives are deemed as acceptable since they will have a positive net present value hence adding value to the company. The first option, which is the expansion of the retail outlet, has a NPV of £643,000, the smallest of the three- thus it is not the most appealing option to take. Option C which applies to remanufacturing of wooden and Roman blinds will have an NPV of £742,000 which shows that it will have strong returns. On the other hand, the highest NPV of £792,000 is registered under the internet sales making the Option B dominant, hence adding the greatest value. To this end, it is necessary to choose Option B which has the greatest net of capital cost, greater returns and which is expected to promote future expansion and market expansion </w:t>
      </w:r>
      <w:r>
        <w:rPr>
          <w:b/>
          <w:bCs/>
          <w:i/>
          <w:iCs/>
          <w:lang w:val="en-GB"/>
        </w:rPr>
        <w:t>[Refer to Appendix 3]</w:t>
      </w:r>
      <w:r>
        <w:rPr>
          <w:lang w:val="en-GB"/>
        </w:rPr>
        <w:t>.</w:t>
      </w:r>
    </w:p>
    <w:p w14:paraId="2E850350" w14:textId="77777777" w:rsidR="008F6C2B" w:rsidRDefault="00B20E39">
      <w:r>
        <w:t>The three project investments have been analyzed using the Net Present Value technique, which has been outlined in Appendix 3, and a cost of capital of 6%. Net Present Value is used to estimate the discrepancy between the present value of anticipated cash inflows and the investment made in the project, thus telling the managers whether a project will be value-adding to the company (</w:t>
      </w:r>
      <w:proofErr w:type="spellStart"/>
      <w:r>
        <w:t>Risman</w:t>
      </w:r>
      <w:proofErr w:type="spellEnd"/>
      <w:r>
        <w:t>, 2024). The three of them have positive NPVs, and therefore, all the projects are expected to drive returns that are above the cost of capital. This implication shows that there would be no investments that would devalue shareholders. The value of the NPVs in comparison is, however, different among the projects, and this is a large factor in choosing the most appropriate option. The lowest of the three, the NPV of the retail outlet expansion, is found to be £643,000 (</w:t>
      </w:r>
      <w:proofErr w:type="spellStart"/>
      <w:r>
        <w:t>Destriwanti</w:t>
      </w:r>
      <w:proofErr w:type="spellEnd"/>
      <w:r>
        <w:t xml:space="preserve"> </w:t>
      </w:r>
      <w:r>
        <w:rPr>
          <w:i/>
          <w:iCs/>
        </w:rPr>
        <w:t>et al.</w:t>
      </w:r>
      <w:r>
        <w:t xml:space="preserve"> 2022). Though acceptable, it adds little value to the project and could face increased operating risks due to the expenses of the stores and the changing consumer shopping </w:t>
      </w:r>
      <w:proofErr w:type="spellStart"/>
      <w:r>
        <w:t>behaviour</w:t>
      </w:r>
      <w:proofErr w:type="spellEnd"/>
      <w:r>
        <w:t>. It is therefore the least appealing alternative, the least viable in comparison with the alternatives, as far as the financial aspect is concerned (</w:t>
      </w:r>
      <w:proofErr w:type="spellStart"/>
      <w:r>
        <w:t>Acemoglu</w:t>
      </w:r>
      <w:proofErr w:type="spellEnd"/>
      <w:r>
        <w:t xml:space="preserve"> </w:t>
      </w:r>
      <w:r>
        <w:rPr>
          <w:i/>
          <w:iCs/>
        </w:rPr>
        <w:t>et al.</w:t>
      </w:r>
      <w:r>
        <w:t xml:space="preserve"> 2022). An alternative that would be more profitable in terms of NPV would be priority on remanufacturing of wooden and Roman blinds, with a good value of £742,000, and the remanufacturing has better chances of good returns over a longer period, due to reduced material wastage, efficient utilization of the existing materials, and increased customer interest in sustainable products. </w:t>
      </w:r>
    </w:p>
    <w:p w14:paraId="3FDCE729" w14:textId="77777777" w:rsidR="008F6C2B" w:rsidRDefault="00B20E39">
      <w:r>
        <w:t>The cash flows in Appendix 3, the option will be more stable in the long term, which makes it economical and effective in terms of operations. However, the one that results in the highest value is option B, which is the internet sales investment, as it shows an NPV of £742,000 . This option is by all means superior to the rest, giving maximum surplus including cost of capital (Lefebvre, 2022). Online sales also facilitate expansion of market penetration, reduce the expenses of fixed operations, and increase scalability compared to store-operating operations. Additionally, the demand amongst consumers is moving more towards online shopping, which will further consolidate the cash flow of the business. According to the NPV analysis, the best alternative to choose should be Option 2, which maximizes the value of shareholders, has better growth potential, and coincides with the long-term strategic expansion goals of the company. Such a decision also benefits risk, as it avoids deep-rooted investment in stores, augmented flexibility amid economic cycles, and empowers the management to react fast to customer trends, pricing plans, and overseas prospects, and embrace technology to facilitate competent operations and sustainable cost-cutting expenses across numerous overseas markets over the next few years.</w:t>
      </w:r>
      <w:r>
        <w:rPr>
          <w:b/>
          <w:bCs/>
          <w:i/>
          <w:iCs/>
        </w:rPr>
        <w:t>[Refer to Appendix 3]</w:t>
      </w:r>
      <w:r>
        <w:t>.</w:t>
      </w:r>
    </w:p>
    <w:p w14:paraId="189CD43B" w14:textId="77777777" w:rsidR="008F6C2B" w:rsidRDefault="00B20E39">
      <w:pPr>
        <w:pStyle w:val="Heading2"/>
        <w:rPr>
          <w:lang w:val="en-GB"/>
        </w:rPr>
      </w:pPr>
      <w:bookmarkStart w:id="7" w:name="_Toc218694229"/>
      <w:r>
        <w:rPr>
          <w:lang w:val="en-GB"/>
        </w:rPr>
        <w:t>2.2 Internal rate of return</w:t>
      </w:r>
      <w:bookmarkEnd w:id="7"/>
    </w:p>
    <w:p w14:paraId="5386A816" w14:textId="77777777" w:rsidR="008F6C2B" w:rsidRDefault="00B20E39">
      <w:r>
        <w:t xml:space="preserve">The initial investment of the company in the first year is considered to be equal to 1600 pounds, which is the price of online infrastructure construction, online platforms enhancement, and logistics and marketing support. This is a huge initial investment, but it is normal in digital expansion projects. Since the year 1, the project has been paying off cash inflows of £417.5, which indicates that there is substantial customer adoption and increasing customer demand for online systems. This is a continued increase of the cash inflows to £605 in year 2 and to  £755 in year 3, with an indication of better operations, brand presence in the online world, and confidence of customers to buy online (Ren, 2022). The cash inflow will be the highest in year 4, and it is going to be </w:t>
      </w:r>
      <w:r>
        <w:rPr>
          <w:i/>
          <w:iCs/>
        </w:rPr>
        <w:t xml:space="preserve">£ </w:t>
      </w:r>
      <w:r>
        <w:t xml:space="preserve">980, which means that the online sales channel will be highly profitable by now, since the allocation of fixed costs will be done against higher amounts of sales. </w:t>
      </w:r>
    </w:p>
    <w:p w14:paraId="6FEB26DC" w14:textId="77777777" w:rsidR="008F6C2B" w:rsidRDefault="00B20E39">
      <w:r>
        <w:t xml:space="preserve">The internal rate of return on this project amounts to 22 %, which is significantly high when compared to the cost of capital of the company, which is 6 %, in which case the project will yield returns much higher than the required level and is therefore financially promising. A high IRR is also a source of safety buffer, which means that the project will be profitable even when the cash flows in the future are slightly lower than projected. The solid IRR, combined with the increasing annual cash flows, helps highlight the expansion potential and prospect of the internet sales in the long run. Online sales have low ongoing costs as compared to physical store expansion, and they have a wider market coverage (Tang </w:t>
      </w:r>
      <w:r>
        <w:rPr>
          <w:i/>
          <w:iCs/>
        </w:rPr>
        <w:t>et al.</w:t>
      </w:r>
      <w:r>
        <w:t xml:space="preserve"> 2022). In general, Option B is a sound strategic option, which can help the sustainable growth and improvement of financial results, as well as correspond to the changing consumer shopping </w:t>
      </w:r>
      <w:proofErr w:type="spellStart"/>
      <w:r>
        <w:t>behaviour</w:t>
      </w:r>
      <w:proofErr w:type="spellEnd"/>
      <w:r>
        <w:t xml:space="preserve"> and current trends in the digital market.</w:t>
      </w:r>
    </w:p>
    <w:tbl>
      <w:tblPr>
        <w:tblStyle w:val="Style12"/>
        <w:tblW w:w="5000" w:type="pct"/>
        <w:jc w:val="center"/>
        <w:tblInd w:w="0" w:type="dxa"/>
        <w:tblLook w:val="04A0" w:firstRow="1" w:lastRow="0" w:firstColumn="1" w:lastColumn="0" w:noHBand="0" w:noVBand="1"/>
      </w:tblPr>
      <w:tblGrid>
        <w:gridCol w:w="1958"/>
        <w:gridCol w:w="7392"/>
      </w:tblGrid>
      <w:tr w:rsidR="008F6C2B" w14:paraId="21A8525C" w14:textId="77777777">
        <w:trPr>
          <w:trHeight w:val="315"/>
          <w:jc w:val="center"/>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3EC214" w14:textId="77777777" w:rsidR="008F6C2B" w:rsidRDefault="00B20E39">
            <w:pPr>
              <w:jc w:val="center"/>
              <w:rPr>
                <w:b/>
                <w:bCs/>
                <w:lang w:val="en-GB"/>
              </w:rPr>
            </w:pPr>
            <w:r>
              <w:rPr>
                <w:b/>
                <w:bCs/>
                <w:lang w:val="en-GB"/>
              </w:rPr>
              <w:t>B: Develop into internet sales</w:t>
            </w:r>
          </w:p>
        </w:tc>
      </w:tr>
      <w:tr w:rsidR="008F6C2B" w14:paraId="21A9D11A" w14:textId="77777777">
        <w:trPr>
          <w:trHeight w:val="330"/>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16C45C6" w14:textId="77777777" w:rsidR="008F6C2B" w:rsidRDefault="00B20E39">
            <w:pPr>
              <w:jc w:val="center"/>
              <w:rPr>
                <w:b/>
                <w:bCs/>
                <w:i/>
                <w:iCs/>
                <w:lang w:val="en-GB"/>
              </w:rPr>
            </w:pPr>
            <w:r>
              <w:rPr>
                <w:b/>
                <w:bCs/>
                <w:i/>
                <w:iCs/>
                <w:lang w:val="en-GB"/>
              </w:rPr>
              <w:t>Year</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41BD992B" w14:textId="77777777" w:rsidR="008F6C2B" w:rsidRDefault="00B20E39">
            <w:pPr>
              <w:jc w:val="center"/>
              <w:rPr>
                <w:b/>
                <w:bCs/>
                <w:i/>
                <w:iCs/>
                <w:lang w:val="en-GB"/>
              </w:rPr>
            </w:pPr>
            <w:r>
              <w:rPr>
                <w:b/>
                <w:bCs/>
                <w:i/>
                <w:iCs/>
                <w:lang w:val="en-GB"/>
              </w:rPr>
              <w:t>Cash Flow (£'000)</w:t>
            </w:r>
          </w:p>
        </w:tc>
      </w:tr>
      <w:tr w:rsidR="008F6C2B" w14:paraId="1B009457" w14:textId="77777777">
        <w:trPr>
          <w:trHeight w:val="31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AC79B0E" w14:textId="77777777" w:rsidR="008F6C2B" w:rsidRDefault="00B20E39">
            <w:pPr>
              <w:jc w:val="right"/>
              <w:rPr>
                <w:lang w:val="en-GB"/>
              </w:rPr>
            </w:pPr>
            <w:r>
              <w:rPr>
                <w:lang w:val="en-GB"/>
              </w:rPr>
              <w:t>0</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26941BF0" w14:textId="77777777" w:rsidR="008F6C2B" w:rsidRDefault="00B20E39">
            <w:pPr>
              <w:jc w:val="right"/>
              <w:rPr>
                <w:lang w:val="en-GB"/>
              </w:rPr>
            </w:pPr>
            <w:r>
              <w:rPr>
                <w:lang w:val="en-GB"/>
              </w:rPr>
              <w:t>-1600</w:t>
            </w:r>
          </w:p>
        </w:tc>
      </w:tr>
      <w:tr w:rsidR="008F6C2B" w14:paraId="1179F41C" w14:textId="77777777">
        <w:trPr>
          <w:trHeight w:val="31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0479265" w14:textId="77777777" w:rsidR="008F6C2B" w:rsidRDefault="00B20E39">
            <w:pPr>
              <w:jc w:val="right"/>
              <w:rPr>
                <w:lang w:val="en-GB"/>
              </w:rPr>
            </w:pPr>
            <w:r>
              <w:rPr>
                <w:lang w:val="en-GB"/>
              </w:rPr>
              <w:t>1</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54C7D66D" w14:textId="77777777" w:rsidR="008F6C2B" w:rsidRDefault="00B20E39">
            <w:pPr>
              <w:jc w:val="right"/>
              <w:rPr>
                <w:lang w:val="en-GB"/>
              </w:rPr>
            </w:pPr>
            <w:r>
              <w:rPr>
                <w:lang w:val="en-GB"/>
              </w:rPr>
              <w:t>417.5</w:t>
            </w:r>
          </w:p>
        </w:tc>
      </w:tr>
      <w:tr w:rsidR="008F6C2B" w14:paraId="3CB5ABD7" w14:textId="77777777">
        <w:trPr>
          <w:trHeight w:val="31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E96963D" w14:textId="77777777" w:rsidR="008F6C2B" w:rsidRDefault="00B20E39">
            <w:pPr>
              <w:jc w:val="right"/>
              <w:rPr>
                <w:lang w:val="en-GB"/>
              </w:rPr>
            </w:pPr>
            <w:r>
              <w:rPr>
                <w:lang w:val="en-GB"/>
              </w:rPr>
              <w:t>2</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420E6140" w14:textId="77777777" w:rsidR="008F6C2B" w:rsidRDefault="00B20E39">
            <w:pPr>
              <w:jc w:val="right"/>
              <w:rPr>
                <w:lang w:val="en-GB"/>
              </w:rPr>
            </w:pPr>
            <w:r>
              <w:rPr>
                <w:lang w:val="en-GB"/>
              </w:rPr>
              <w:t>605</w:t>
            </w:r>
          </w:p>
        </w:tc>
      </w:tr>
      <w:tr w:rsidR="008F6C2B" w14:paraId="23BF33F8" w14:textId="77777777">
        <w:trPr>
          <w:trHeight w:val="31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08E3DE9" w14:textId="77777777" w:rsidR="008F6C2B" w:rsidRDefault="00B20E39">
            <w:pPr>
              <w:jc w:val="right"/>
              <w:rPr>
                <w:lang w:val="en-GB"/>
              </w:rPr>
            </w:pPr>
            <w:r>
              <w:rPr>
                <w:lang w:val="en-GB"/>
              </w:rPr>
              <w:t>3</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0BE9CF37" w14:textId="77777777" w:rsidR="008F6C2B" w:rsidRDefault="00B20E39">
            <w:pPr>
              <w:jc w:val="right"/>
              <w:rPr>
                <w:lang w:val="en-GB"/>
              </w:rPr>
            </w:pPr>
            <w:r>
              <w:rPr>
                <w:lang w:val="en-GB"/>
              </w:rPr>
              <w:t>755</w:t>
            </w:r>
          </w:p>
        </w:tc>
      </w:tr>
      <w:tr w:rsidR="008F6C2B" w14:paraId="108833DC" w14:textId="77777777">
        <w:trPr>
          <w:trHeight w:val="31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9397367" w14:textId="77777777" w:rsidR="008F6C2B" w:rsidRDefault="00B20E39">
            <w:pPr>
              <w:jc w:val="right"/>
              <w:rPr>
                <w:lang w:val="en-GB"/>
              </w:rPr>
            </w:pPr>
            <w:r>
              <w:rPr>
                <w:lang w:val="en-GB"/>
              </w:rPr>
              <w:t>4</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2C0D2D1B" w14:textId="77777777" w:rsidR="008F6C2B" w:rsidRDefault="00B20E39">
            <w:pPr>
              <w:jc w:val="right"/>
              <w:rPr>
                <w:lang w:val="en-GB"/>
              </w:rPr>
            </w:pPr>
            <w:r>
              <w:rPr>
                <w:lang w:val="en-GB"/>
              </w:rPr>
              <w:t>980</w:t>
            </w:r>
          </w:p>
        </w:tc>
      </w:tr>
      <w:tr w:rsidR="008F6C2B" w14:paraId="29AD07A5" w14:textId="77777777">
        <w:trPr>
          <w:trHeight w:val="285"/>
          <w:jc w:val="center"/>
        </w:trPr>
        <w:tc>
          <w:tcPr>
            <w:tcW w:w="1047"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43A4A99" w14:textId="77777777" w:rsidR="008F6C2B" w:rsidRDefault="00B20E39">
            <w:pPr>
              <w:jc w:val="center"/>
              <w:rPr>
                <w:b/>
                <w:bCs/>
                <w:lang w:val="en-GB"/>
              </w:rPr>
            </w:pPr>
            <w:r>
              <w:rPr>
                <w:b/>
                <w:bCs/>
                <w:lang w:val="en-GB"/>
              </w:rPr>
              <w:t>IRR</w:t>
            </w:r>
          </w:p>
        </w:tc>
        <w:tc>
          <w:tcPr>
            <w:tcW w:w="3953" w:type="pct"/>
            <w:tcBorders>
              <w:top w:val="nil"/>
              <w:left w:val="nil"/>
              <w:bottom w:val="single" w:sz="4" w:space="0" w:color="000000"/>
              <w:right w:val="single" w:sz="4" w:space="0" w:color="000000"/>
            </w:tcBorders>
            <w:tcMar>
              <w:top w:w="0" w:type="dxa"/>
              <w:left w:w="100" w:type="dxa"/>
              <w:bottom w:w="0" w:type="dxa"/>
              <w:right w:w="100" w:type="dxa"/>
            </w:tcMar>
          </w:tcPr>
          <w:p w14:paraId="5B4CBAF4" w14:textId="77777777" w:rsidR="008F6C2B" w:rsidRDefault="00B20E39">
            <w:pPr>
              <w:jc w:val="center"/>
              <w:rPr>
                <w:b/>
                <w:bCs/>
                <w:lang w:val="en-GB"/>
              </w:rPr>
            </w:pPr>
            <w:r>
              <w:rPr>
                <w:b/>
                <w:bCs/>
                <w:lang w:val="en-GB"/>
              </w:rPr>
              <w:t>22%</w:t>
            </w:r>
          </w:p>
        </w:tc>
      </w:tr>
    </w:tbl>
    <w:p w14:paraId="6E0B1915" w14:textId="77777777" w:rsidR="008F6C2B" w:rsidRDefault="00B20E39">
      <w:pPr>
        <w:jc w:val="center"/>
        <w:rPr>
          <w:b/>
          <w:bCs/>
          <w:lang w:val="en-GB"/>
        </w:rPr>
      </w:pPr>
      <w:r>
        <w:rPr>
          <w:b/>
          <w:bCs/>
          <w:lang w:val="en-GB"/>
        </w:rPr>
        <w:t>Table 1: IRR calculation for option B</w:t>
      </w:r>
    </w:p>
    <w:p w14:paraId="3ACE3A28" w14:textId="77777777" w:rsidR="008F6C2B" w:rsidRDefault="00B20E39">
      <w:pPr>
        <w:jc w:val="center"/>
        <w:rPr>
          <w:lang w:val="en-GB"/>
        </w:rPr>
      </w:pPr>
      <w:r>
        <w:rPr>
          <w:lang w:val="en-GB"/>
        </w:rPr>
        <w:t>(Source: Created using excel)</w:t>
      </w:r>
    </w:p>
    <w:p w14:paraId="1499F038" w14:textId="77777777" w:rsidR="008F6C2B" w:rsidRDefault="00B20E39">
      <w:pPr>
        <w:pStyle w:val="Heading2"/>
        <w:rPr>
          <w:lang w:val="en-GB"/>
        </w:rPr>
      </w:pPr>
      <w:bookmarkStart w:id="8" w:name="_Toc218694230"/>
      <w:r>
        <w:rPr>
          <w:lang w:val="en-GB"/>
        </w:rPr>
        <w:t>2.3 Interpretation of results for management</w:t>
      </w:r>
      <w:bookmarkEnd w:id="8"/>
    </w:p>
    <w:p w14:paraId="70A14618" w14:textId="77777777" w:rsidR="008F6C2B" w:rsidRDefault="00B20E39">
      <w:pPr>
        <w:rPr>
          <w:lang w:val="en-GB"/>
        </w:rPr>
      </w:pPr>
      <w:r>
        <w:rPr>
          <w:lang w:val="en-GB"/>
        </w:rPr>
        <w:t xml:space="preserve">NPV methodology is the most dependable tool for management in investment appraisal in that it takes time value of money in consideration and recognizes the higher value of cash at present. NPV uses the cost of capital to show whether a project is adding real value to the corporation (Dai </w:t>
      </w:r>
      <w:r>
        <w:rPr>
          <w:i/>
          <w:iCs/>
          <w:lang w:val="en-GB"/>
        </w:rPr>
        <w:t>et al.,</w:t>
      </w:r>
      <w:r>
        <w:rPr>
          <w:lang w:val="en-GB"/>
        </w:rPr>
        <w:t>2022). Positive NPV is thus an indicator of wealth growth to the shareholders, and this is the central financial goal of the enterprise. However, the approach of non-discounting including the payback period and accounting rate of return have been preferred due to their ease, clarity, and quick calculation. The method of payback is also especially important to the managers, as it focuses its attention on the speed of cash recidivism and this reduces the risk factor and enhances liquidity (Kumar, 2025). Before making a conclusive decision on investments, the management should consider other aspects such as risk and uncertainty, market demand, competitive forces, availability of finances, congruence with strategic objectives, capacity to undertake the operations, and possible environmental or legal issues.</w:t>
      </w:r>
    </w:p>
    <w:p w14:paraId="760AF7EF" w14:textId="77777777" w:rsidR="008F6C2B" w:rsidRDefault="00B20E39">
      <w:r>
        <w:rPr>
          <w:color w:val="111111"/>
        </w:rPr>
        <w:t>The Net Present Value approach can provide the management team with a solid and reliable model of investment results interpretation since it is all-encompassing in terms of the time value of money.</w:t>
      </w:r>
      <w:r>
        <w:t xml:space="preserve"> </w:t>
      </w:r>
      <w:r>
        <w:rPr>
          <w:color w:val="111111"/>
        </w:rPr>
        <w:t>It recognizes the fact that the money you receive now will have more value than you can receive in the future, provided you have the chance to reinvest that money, to reduce the debt, or even to protect yourself against uncertainties (</w:t>
      </w:r>
      <w:proofErr w:type="spellStart"/>
      <w:r>
        <w:rPr>
          <w:color w:val="111111"/>
        </w:rPr>
        <w:t>Mogaji</w:t>
      </w:r>
      <w:proofErr w:type="spellEnd"/>
      <w:r>
        <w:rPr>
          <w:color w:val="111111"/>
        </w:rPr>
        <w:t xml:space="preserve"> and Nguyen, 2022).</w:t>
      </w:r>
      <w:r>
        <w:t xml:space="preserve"> </w:t>
      </w:r>
      <w:r>
        <w:rPr>
          <w:color w:val="111111"/>
        </w:rPr>
        <w:t>NPV clearly shows whether a project receives veritable economic value to the firm by discounting future cash flows using the cost of capital.</w:t>
      </w:r>
      <w:r>
        <w:t xml:space="preserve"> </w:t>
      </w:r>
      <w:r>
        <w:rPr>
          <w:color w:val="111111"/>
        </w:rPr>
        <w:t>When NPV is positive, then there is a significant difference between the returns projected and the cost of financing, and, therefore, it positively affects the shareholder wealth.</w:t>
      </w:r>
      <w:r>
        <w:t xml:space="preserve"> </w:t>
      </w:r>
      <w:r>
        <w:rPr>
          <w:color w:val="111111"/>
        </w:rPr>
        <w:t>This is critical to the management because it supports the value creation over the long term, as opposed to short-term profit-making.</w:t>
      </w:r>
      <w:r>
        <w:t xml:space="preserve"> </w:t>
      </w:r>
      <w:r>
        <w:rPr>
          <w:color w:val="111111"/>
        </w:rPr>
        <w:t xml:space="preserve">The NPV also allows fair comparison of projects of different outstanding sizes and time horizon hence enhancing the precision of capital-allocation decisions (Sharma </w:t>
      </w:r>
      <w:r>
        <w:rPr>
          <w:i/>
          <w:iCs/>
          <w:color w:val="111111"/>
        </w:rPr>
        <w:t xml:space="preserve">et al. </w:t>
      </w:r>
      <w:r>
        <w:rPr>
          <w:color w:val="111111"/>
        </w:rPr>
        <w:t>2024).</w:t>
      </w:r>
      <w:r>
        <w:t xml:space="preserve"> </w:t>
      </w:r>
      <w:r>
        <w:rPr>
          <w:color w:val="111111"/>
        </w:rPr>
        <w:t xml:space="preserve">Based on this, the managers would be able to place more emphasis on investments that strengthen financial stability and sustainable growth, and also strengthen the overall financial position of the </w:t>
      </w:r>
      <w:proofErr w:type="spellStart"/>
      <w:r>
        <w:rPr>
          <w:color w:val="111111"/>
        </w:rPr>
        <w:t>organisation</w:t>
      </w:r>
      <w:proofErr w:type="spellEnd"/>
      <w:r>
        <w:rPr>
          <w:color w:val="111111"/>
        </w:rPr>
        <w:t xml:space="preserve"> in a measured and methodical manner.</w:t>
      </w:r>
    </w:p>
    <w:p w14:paraId="1DD67759" w14:textId="77777777" w:rsidR="008F6C2B" w:rsidRDefault="00B20E39">
      <w:r>
        <w:rPr>
          <w:color w:val="111111"/>
        </w:rPr>
        <w:t>In spite of the merits of NPV, the management continues to use less sophisticated appraisal methods, such as payback period and accounting rate of return. The payback period would be especially useful because it helps to address the speed of the payback of the initial investment, and helps the managers concentrate on the liquidity and other short-term risks.</w:t>
      </w:r>
      <w:r>
        <w:t xml:space="preserve"> </w:t>
      </w:r>
      <w:r>
        <w:rPr>
          <w:color w:val="111111"/>
        </w:rPr>
        <w:t>Recovery of the cash fast is attractive in an environment of uncertain economic conditions when long-term forecasts can be less accurate (</w:t>
      </w:r>
      <w:proofErr w:type="spellStart"/>
      <w:r>
        <w:rPr>
          <w:color w:val="111111"/>
        </w:rPr>
        <w:t>Widagdo</w:t>
      </w:r>
      <w:proofErr w:type="spellEnd"/>
      <w:r>
        <w:rPr>
          <w:color w:val="111111"/>
        </w:rPr>
        <w:t xml:space="preserve"> and </w:t>
      </w:r>
      <w:proofErr w:type="spellStart"/>
      <w:r>
        <w:rPr>
          <w:color w:val="111111"/>
        </w:rPr>
        <w:t>Sa’diyah</w:t>
      </w:r>
      <w:proofErr w:type="spellEnd"/>
      <w:r>
        <w:rPr>
          <w:color w:val="111111"/>
        </w:rPr>
        <w:t>, 2023).</w:t>
      </w:r>
      <w:r>
        <w:t xml:space="preserve"> </w:t>
      </w:r>
      <w:r>
        <w:rPr>
          <w:color w:val="111111"/>
        </w:rPr>
        <w:t>Nevertheless, such approaches are not comprehensive in the value creation and ignore the timing of post-payback cash flows, which only produce a partial picture. Hence, the management is not supposed to involve one technique during the interpretation process of results. Broader business aspects that include the market demand, competition pressure, capacity to operate, availability of funds, and alignment with the strategic goals should also be considered in investment decisions. Legal, environmental, and regulatory issues should also be evaluated. With informed judgment and strict financial analysis, the management is likely to come up with balanced, realistic, and well-informed decisions regarding an investment.</w:t>
      </w:r>
      <w:r>
        <w:t xml:space="preserve"> </w:t>
      </w:r>
    </w:p>
    <w:p w14:paraId="47AD5DFC" w14:textId="77777777" w:rsidR="008F6C2B" w:rsidRDefault="00B20E39">
      <w:pPr>
        <w:pStyle w:val="Heading2"/>
        <w:rPr>
          <w:lang w:val="en-GB"/>
        </w:rPr>
      </w:pPr>
      <w:bookmarkStart w:id="9" w:name="_Toc218694231"/>
      <w:r>
        <w:rPr>
          <w:lang w:val="en-GB"/>
        </w:rPr>
        <w:t>2.4 Optimal investment policy and the resulting total NPV</w:t>
      </w:r>
      <w:bookmarkEnd w:id="9"/>
    </w:p>
    <w:p w14:paraId="60FB5F6A" w14:textId="77777777" w:rsidR="008F6C2B" w:rsidRDefault="00B20E39">
      <w:pPr>
        <w:rPr>
          <w:lang w:val="en-GB"/>
        </w:rPr>
      </w:pPr>
      <w:r>
        <w:rPr>
          <w:lang w:val="en-GB"/>
        </w:rPr>
        <w:t>Considering the limited funds of £2,500,000 and the fact that the projects are divisible, the Profitability Index (PI) method is the most suitable approach for Westward Plc, as it helps management choose projects that generate the highest value per £1 invested.</w:t>
      </w:r>
    </w:p>
    <w:p w14:paraId="268861AA" w14:textId="77777777" w:rsidR="008F6C2B" w:rsidRDefault="00B20E39">
      <w:pPr>
        <w:rPr>
          <w:lang w:val="en-GB"/>
        </w:rPr>
      </w:pPr>
      <w:r>
        <w:rPr>
          <w:lang w:val="en-GB"/>
        </w:rPr>
        <w:t>PI =  NPV ÷ Initial Investment</w:t>
      </w:r>
    </w:p>
    <w:p w14:paraId="59178FC5" w14:textId="77777777" w:rsidR="008F6C2B" w:rsidRDefault="00B20E39">
      <w:pPr>
        <w:rPr>
          <w:lang w:val="en-GB"/>
        </w:rPr>
      </w:pPr>
      <w:r>
        <w:rPr>
          <w:lang w:val="en-GB"/>
        </w:rPr>
        <w:t xml:space="preserve">Therefore, </w:t>
      </w:r>
    </w:p>
    <w:p w14:paraId="77F370AC" w14:textId="77777777" w:rsidR="008F6C2B" w:rsidRDefault="00B20E39">
      <w:pPr>
        <w:numPr>
          <w:ilvl w:val="0"/>
          <w:numId w:val="2"/>
        </w:numPr>
        <w:rPr>
          <w:lang w:val="en-GB"/>
        </w:rPr>
      </w:pPr>
      <w:r>
        <w:rPr>
          <w:lang w:val="en-GB"/>
        </w:rPr>
        <w:t>Option A: 643 ÷ 600 = 1.07</w:t>
      </w:r>
    </w:p>
    <w:p w14:paraId="51367D34" w14:textId="77777777" w:rsidR="008F6C2B" w:rsidRDefault="00B20E39">
      <w:pPr>
        <w:numPr>
          <w:ilvl w:val="0"/>
          <w:numId w:val="2"/>
        </w:numPr>
        <w:rPr>
          <w:lang w:val="en-GB"/>
        </w:rPr>
      </w:pPr>
      <w:r>
        <w:rPr>
          <w:lang w:val="en-GB"/>
        </w:rPr>
        <w:t>Option B: 792 ÷ 1,000 = 0.79</w:t>
      </w:r>
    </w:p>
    <w:p w14:paraId="326E245C" w14:textId="77777777" w:rsidR="008F6C2B" w:rsidRDefault="00B20E39">
      <w:pPr>
        <w:numPr>
          <w:ilvl w:val="0"/>
          <w:numId w:val="2"/>
        </w:numPr>
        <w:rPr>
          <w:lang w:val="en-GB"/>
        </w:rPr>
      </w:pPr>
      <w:r>
        <w:rPr>
          <w:lang w:val="en-GB"/>
        </w:rPr>
        <w:t>Option C: 742 ÷ 1,600 = 0.46</w:t>
      </w:r>
    </w:p>
    <w:p w14:paraId="4675A98D" w14:textId="77777777" w:rsidR="008F6C2B" w:rsidRDefault="00B20E39">
      <w:pPr>
        <w:rPr>
          <w:lang w:val="en-GB"/>
        </w:rPr>
      </w:pPr>
      <w:r>
        <w:rPr>
          <w:lang w:val="en-GB"/>
        </w:rPr>
        <w:t xml:space="preserve">Ranking the three projects based on their PI may place Option A in the first position then option B and option C. Following this, the total amount of available funds (£2,500,000) is to be allocated in different options.  </w:t>
      </w:r>
    </w:p>
    <w:p w14:paraId="2AF64EAE" w14:textId="77777777" w:rsidR="008F6C2B" w:rsidRDefault="00B20E39">
      <w:pPr>
        <w:rPr>
          <w:lang w:val="en-GB"/>
        </w:rPr>
      </w:pPr>
      <w:r>
        <w:rPr>
          <w:lang w:val="en-GB"/>
        </w:rPr>
        <w:t xml:space="preserve">Therefore, </w:t>
      </w:r>
    </w:p>
    <w:p w14:paraId="4635357D" w14:textId="77777777" w:rsidR="008F6C2B" w:rsidRDefault="00B20E39">
      <w:pPr>
        <w:numPr>
          <w:ilvl w:val="0"/>
          <w:numId w:val="3"/>
        </w:numPr>
        <w:rPr>
          <w:lang w:val="en-GB"/>
        </w:rPr>
      </w:pPr>
      <w:r>
        <w:rPr>
          <w:rFonts w:eastAsia="Cardo"/>
          <w:lang w:val="en-GB"/>
        </w:rPr>
        <w:t>Invest fully in Option A → £600,000 (NPV = £643,000)</w:t>
      </w:r>
    </w:p>
    <w:p w14:paraId="0251D2CE" w14:textId="77777777" w:rsidR="008F6C2B" w:rsidRDefault="00B20E39">
      <w:pPr>
        <w:numPr>
          <w:ilvl w:val="0"/>
          <w:numId w:val="3"/>
        </w:numPr>
        <w:rPr>
          <w:lang w:val="en-GB"/>
        </w:rPr>
      </w:pPr>
      <w:r>
        <w:rPr>
          <w:rFonts w:eastAsia="Cardo"/>
          <w:lang w:val="en-GB"/>
        </w:rPr>
        <w:t>Invest fully in Option B → £1,000,000 (NPV = £792,000)</w:t>
      </w:r>
    </w:p>
    <w:p w14:paraId="1810ECE0" w14:textId="77777777" w:rsidR="008F6C2B" w:rsidRDefault="00B20E39">
      <w:pPr>
        <w:numPr>
          <w:ilvl w:val="0"/>
          <w:numId w:val="3"/>
        </w:numPr>
        <w:rPr>
          <w:lang w:val="en-GB"/>
        </w:rPr>
      </w:pPr>
      <w:r>
        <w:rPr>
          <w:rFonts w:eastAsia="Gungsuh"/>
          <w:lang w:val="en-GB"/>
        </w:rPr>
        <w:t>Remaining funds = £2,500,000 − £1,600,000 = £900,000</w:t>
      </w:r>
    </w:p>
    <w:p w14:paraId="5C5BFE27" w14:textId="77777777" w:rsidR="008F6C2B" w:rsidRDefault="00B20E39">
      <w:pPr>
        <w:rPr>
          <w:lang w:val="en-GB"/>
        </w:rPr>
      </w:pPr>
      <w:r>
        <w:rPr>
          <w:lang w:val="en-GB"/>
        </w:rPr>
        <w:t xml:space="preserve">Since projects are divisible, invest £900,000 in Option C, which is 56.25% of the project (900 ÷ 1,600). Which means NPV from option C will be 742 × 56.25% = £417,000. </w:t>
      </w:r>
    </w:p>
    <w:p w14:paraId="50321886" w14:textId="77777777" w:rsidR="008F6C2B" w:rsidRDefault="00B20E39">
      <w:pPr>
        <w:rPr>
          <w:lang w:val="en-GB"/>
        </w:rPr>
      </w:pPr>
      <w:r>
        <w:rPr>
          <w:lang w:val="en-GB"/>
        </w:rPr>
        <w:t xml:space="preserve">Therefore, </w:t>
      </w:r>
    </w:p>
    <w:p w14:paraId="2CE3BE46" w14:textId="77777777" w:rsidR="008F6C2B" w:rsidRDefault="00B20E39">
      <w:pPr>
        <w:rPr>
          <w:lang w:val="en-GB"/>
        </w:rPr>
      </w:pPr>
      <w:r>
        <w:rPr>
          <w:lang w:val="en-GB"/>
        </w:rPr>
        <w:t>Maximum total NPV = (643,000+792,000+417,000)=£1,852,000.</w:t>
      </w:r>
    </w:p>
    <w:p w14:paraId="380744FE" w14:textId="77777777" w:rsidR="008F6C2B" w:rsidRDefault="00B20E39">
      <w:pPr>
        <w:rPr>
          <w:lang w:val="en-GB"/>
        </w:rPr>
      </w:pPr>
      <w:r>
        <w:rPr>
          <w:lang w:val="en-GB"/>
        </w:rPr>
        <w:t>This implies that the best investment strategy is to fully invest in Options A and B and partially invest in Option C, resulting in a maximum total NPV of £1,852,000, which makes the most efficient use of the limited funds.</w:t>
      </w:r>
    </w:p>
    <w:p w14:paraId="09EE9BA5" w14:textId="77777777" w:rsidR="008F6C2B" w:rsidRDefault="00B20E39">
      <w:pPr>
        <w:rPr>
          <w:b/>
          <w:bCs/>
        </w:rPr>
      </w:pPr>
      <w:r>
        <w:rPr>
          <w:b/>
          <w:bCs/>
        </w:rPr>
        <w:t>Profitability Index Ranking under Capital Rationing</w:t>
      </w:r>
    </w:p>
    <w:p w14:paraId="21D5B47A" w14:textId="77777777" w:rsidR="008F6C2B" w:rsidRDefault="00B20E39">
      <w:r>
        <w:t>Profitability Index method is the most accurate tool when the amount of investment is limited, due to the fact that they calculate the value that each project will add for each single pound of investment. Westward Plc can access capital of £ 2,500, 000 which is not enough to finance all the projects. The projects can be divided, so the Profitability Index allows the management to focus on the priorities of projects. Profitability Index is obtained satisfactorily by dividing Net Present Value by initial investment. The Profitability Index of option A is 1.07, and every pound invested in the project yields 1.07 pounds, hence making it the most efficient project. The Profitability Index of Option B is 0.79, and the Profitability Index of Option C is the lowest, with an index of 0.46. According to these findings, Option A comes first, then there is Option B, and finally there is the option C. This ranking is significant in the sense that it puts emphasis on efficiency as opposed to being large in size (</w:t>
      </w:r>
      <w:proofErr w:type="spellStart"/>
      <w:r>
        <w:t>Fahim</w:t>
      </w:r>
      <w:proofErr w:type="spellEnd"/>
      <w:r>
        <w:t xml:space="preserve"> and </w:t>
      </w:r>
      <w:proofErr w:type="spellStart"/>
      <w:r>
        <w:t>Mahadi</w:t>
      </w:r>
      <w:proofErr w:type="spellEnd"/>
      <w:r>
        <w:t>, 2022). Whilst Option C offers a high NPV, it is an investment that is much more costly, making it inefficient. Through the Profitability Index, limited capital is distributed to projects that have the maximum value creation per pound invested, and hence, superior financial decision-making is supported.</w:t>
      </w:r>
    </w:p>
    <w:p w14:paraId="1E797441" w14:textId="77777777" w:rsidR="008F6C2B" w:rsidRDefault="00B20E39">
      <w:pPr>
        <w:rPr>
          <w:b/>
          <w:bCs/>
        </w:rPr>
      </w:pPr>
      <w:r>
        <w:rPr>
          <w:b/>
          <w:bCs/>
        </w:rPr>
        <w:t>Optimal Fund Allocation and Maximum Total NPV</w:t>
      </w:r>
    </w:p>
    <w:p w14:paraId="346DA37A" w14:textId="77777777" w:rsidR="008F6C2B" w:rsidRDefault="00B20E39">
      <w:r>
        <w:t>Having ranked the projects on the basis of Profitability Index, the next thing is to allocate the £ 2,500,000 in such a way that the total Net Present Value is made as high as possible. The reason why option A is chosen before others is that it has the highest value per pound invested (</w:t>
      </w:r>
      <w:proofErr w:type="spellStart"/>
      <w:r>
        <w:t>Achim</w:t>
      </w:r>
      <w:proofErr w:type="spellEnd"/>
      <w:r>
        <w:t xml:space="preserve">,  </w:t>
      </w:r>
      <w:r>
        <w:rPr>
          <w:i/>
          <w:iCs/>
        </w:rPr>
        <w:t>et al.</w:t>
      </w:r>
      <w:r>
        <w:t xml:space="preserve">  2022). The company makes a full investment in Alternative 1, which is £600,000, resulting in an NPV of £643,000. Then there is option B, where the entire amount of the capital (N1,000,000) is invested, and the NPV is equal to 792,000. As it stands, the capital invested amounted to a total of 1,600,00,0 and 900,000 pounds were left over. Given that these are divisible projects, the dividend capital is invested in part in Option 3. The value of the 900000 is 56.25 % of the total investment of option C of 1600000. Hence, the NPV of option C generated is the UK Euro 417, 000. The company makes maximum use of the available funds by taking full investments in Options A and B and partaking in Option C (Cleverley </w:t>
      </w:r>
      <w:r>
        <w:rPr>
          <w:i/>
          <w:iCs/>
        </w:rPr>
        <w:t>et al.</w:t>
      </w:r>
      <w:r>
        <w:t xml:space="preserve"> 2023). This allocation gives a total of NPV of £1,852,000. This will ensure that it does not waste any capital and gives maximum value to the shareholders within the available budget constraint.</w:t>
      </w:r>
    </w:p>
    <w:p w14:paraId="6D254C32" w14:textId="77777777" w:rsidR="008F6C2B" w:rsidRDefault="00B20E39">
      <w:pPr>
        <w:pStyle w:val="Heading1"/>
        <w:rPr>
          <w:lang w:val="en-GB"/>
        </w:rPr>
      </w:pPr>
      <w:bookmarkStart w:id="10" w:name="_Toc218694232"/>
      <w:r>
        <w:rPr>
          <w:lang w:val="en-GB"/>
        </w:rPr>
        <w:t>Conclusion</w:t>
      </w:r>
      <w:bookmarkEnd w:id="10"/>
      <w:r>
        <w:rPr>
          <w:lang w:val="en-GB"/>
        </w:rPr>
        <w:t xml:space="preserve"> </w:t>
      </w:r>
    </w:p>
    <w:p w14:paraId="4AE901F0" w14:textId="77777777" w:rsidR="008F6C2B" w:rsidRDefault="00B20E39">
      <w:pPr>
        <w:rPr>
          <w:lang w:val="en-GB"/>
        </w:rPr>
      </w:pPr>
      <w:r>
        <w:rPr>
          <w:lang w:val="en-GB"/>
        </w:rPr>
        <w:t>In conclusion the ratio analysis has demonstrated Next Plc to have a stable performance, but with slight strain on profitability and liquidity; the risk level has also improved. The NPV findings indicate that working capital such as capital is maximised when it is invested in high-value projects to benefit Westward Plc. The combination of financial ratios with NPV makes the management decisions more value-oriented.</w:t>
      </w:r>
    </w:p>
    <w:p w14:paraId="67FC440E" w14:textId="67C4FE5D" w:rsidR="008F6C2B" w:rsidRDefault="00B20E39">
      <w:pPr>
        <w:rPr>
          <w:lang w:val="en-GB"/>
        </w:rPr>
      </w:pPr>
      <w:r>
        <w:t xml:space="preserve">This report presents an examination of the financial position of the company and the investment decisions with regard to ratio analysis and capital investment appraisal techniques. The ratio analysis indicates a mixed performance that is stable. Sales growth appears in profitability and net margin pressures in view of increased costs, indicating the need to develop greater cost control. The liquidity is also above the safe </w:t>
      </w:r>
      <w:r w:rsidR="0032591F">
        <w:t>level’s</w:t>
      </w:r>
      <w:r>
        <w:t xml:space="preserve"> though the ratios are dropping, which means that there are tightening liquidity management requirements in the short term. There has been a decrease in gearing, hence a decrease in financial risk, and the stability of the business is better in the long run. Efficiency ratios have also increased, showing improvement in the turnover of the inventory and the speed at which customers pay up. The investor ratios indicate reduced short-term returns but maintained confidence in the market towards growth. The investment appraisal section reveals how Net Present Value and profitability Index can be useful in decision-making by the managers. NPV affirms that any project will be creating value, whereas the Profitability Index helps determine the best combination of investment choices to select when capital limitations exist.</w:t>
      </w:r>
    </w:p>
    <w:p w14:paraId="53CBAE31" w14:textId="77777777" w:rsidR="008F6C2B" w:rsidRDefault="00B20E39">
      <w:pPr>
        <w:pStyle w:val="Heading1"/>
        <w:rPr>
          <w:lang w:val="en-GB"/>
        </w:rPr>
      </w:pPr>
      <w:bookmarkStart w:id="11" w:name="_jhgunqpj300d" w:colFirst="0" w:colLast="0"/>
      <w:bookmarkEnd w:id="11"/>
      <w:r>
        <w:rPr>
          <w:lang w:val="en-GB"/>
        </w:rPr>
        <w:br w:type="page"/>
      </w:r>
    </w:p>
    <w:p w14:paraId="47E6773A" w14:textId="77777777" w:rsidR="008F6C2B" w:rsidRDefault="00B20E39">
      <w:pPr>
        <w:pStyle w:val="Heading1"/>
        <w:rPr>
          <w:lang w:val="en-GB"/>
        </w:rPr>
      </w:pPr>
      <w:bookmarkStart w:id="12" w:name="_Toc218694233"/>
      <w:r>
        <w:rPr>
          <w:lang w:val="en-GB"/>
        </w:rPr>
        <w:t>References</w:t>
      </w:r>
      <w:bookmarkEnd w:id="12"/>
      <w:r>
        <w:rPr>
          <w:lang w:val="en-GB"/>
        </w:rPr>
        <w:t xml:space="preserve"> </w:t>
      </w:r>
    </w:p>
    <w:p w14:paraId="6F78B559" w14:textId="77777777" w:rsidR="008F6C2B" w:rsidRDefault="00B20E39">
      <w:pPr>
        <w:rPr>
          <w:color w:val="222222"/>
          <w:highlight w:val="white"/>
          <w:lang w:val="en-GB"/>
        </w:rPr>
      </w:pPr>
      <w:proofErr w:type="spellStart"/>
      <w:r>
        <w:rPr>
          <w:color w:val="222222"/>
          <w:highlight w:val="white"/>
          <w:lang w:val="en-GB"/>
        </w:rPr>
        <w:t>Acemoglu</w:t>
      </w:r>
      <w:proofErr w:type="spellEnd"/>
      <w:r>
        <w:rPr>
          <w:color w:val="222222"/>
          <w:highlight w:val="white"/>
          <w:lang w:val="en-GB"/>
        </w:rPr>
        <w:t xml:space="preserve">, D., He, A. and Le </w:t>
      </w:r>
      <w:proofErr w:type="spellStart"/>
      <w:r>
        <w:rPr>
          <w:color w:val="222222"/>
          <w:highlight w:val="white"/>
          <w:lang w:val="en-GB"/>
        </w:rPr>
        <w:t>Maire</w:t>
      </w:r>
      <w:proofErr w:type="spellEnd"/>
      <w:r>
        <w:rPr>
          <w:color w:val="222222"/>
          <w:highlight w:val="white"/>
          <w:lang w:val="en-GB"/>
        </w:rPr>
        <w:t>, D., 2022. ECLIPSE OF RENT-SHARING: THE EFFECTS OF MANAGERS'BUSINESS EDUCATION ON WAGES AND THE LABOR SHARE IN THE US AND DENMARK.</w:t>
      </w:r>
    </w:p>
    <w:p w14:paraId="04D209E7" w14:textId="77777777" w:rsidR="008F6C2B" w:rsidRDefault="00B20E39">
      <w:pPr>
        <w:rPr>
          <w:color w:val="222222"/>
          <w:highlight w:val="white"/>
          <w:lang w:val="en-GB"/>
        </w:rPr>
      </w:pPr>
      <w:proofErr w:type="spellStart"/>
      <w:r>
        <w:rPr>
          <w:color w:val="222222"/>
          <w:highlight w:val="white"/>
          <w:lang w:val="en-GB"/>
        </w:rPr>
        <w:t>Achim</w:t>
      </w:r>
      <w:proofErr w:type="spellEnd"/>
      <w:r>
        <w:rPr>
          <w:color w:val="222222"/>
          <w:highlight w:val="white"/>
          <w:lang w:val="en-GB"/>
        </w:rPr>
        <w:t xml:space="preserve">, M.V., </w:t>
      </w:r>
      <w:proofErr w:type="spellStart"/>
      <w:r>
        <w:rPr>
          <w:color w:val="222222"/>
          <w:highlight w:val="white"/>
          <w:lang w:val="en-GB"/>
        </w:rPr>
        <w:t>Safta</w:t>
      </w:r>
      <w:proofErr w:type="spellEnd"/>
      <w:r>
        <w:rPr>
          <w:color w:val="222222"/>
          <w:highlight w:val="white"/>
          <w:lang w:val="en-GB"/>
        </w:rPr>
        <w:t xml:space="preserve">, I.L., </w:t>
      </w:r>
      <w:proofErr w:type="spellStart"/>
      <w:r>
        <w:rPr>
          <w:color w:val="222222"/>
          <w:highlight w:val="white"/>
          <w:lang w:val="en-GB"/>
        </w:rPr>
        <w:t>Văidean</w:t>
      </w:r>
      <w:proofErr w:type="spellEnd"/>
      <w:r>
        <w:rPr>
          <w:color w:val="222222"/>
          <w:highlight w:val="white"/>
          <w:lang w:val="en-GB"/>
        </w:rPr>
        <w:t xml:space="preserve">, V.L., </w:t>
      </w:r>
      <w:proofErr w:type="spellStart"/>
      <w:r>
        <w:rPr>
          <w:color w:val="222222"/>
          <w:highlight w:val="white"/>
          <w:lang w:val="en-GB"/>
        </w:rPr>
        <w:t>Mureșan</w:t>
      </w:r>
      <w:proofErr w:type="spellEnd"/>
      <w:r>
        <w:rPr>
          <w:color w:val="222222"/>
          <w:highlight w:val="white"/>
          <w:lang w:val="en-GB"/>
        </w:rPr>
        <w:t xml:space="preserve">, G.M. and </w:t>
      </w:r>
      <w:proofErr w:type="spellStart"/>
      <w:r>
        <w:rPr>
          <w:color w:val="222222"/>
          <w:highlight w:val="white"/>
          <w:lang w:val="en-GB"/>
        </w:rPr>
        <w:t>Borlea</w:t>
      </w:r>
      <w:proofErr w:type="spellEnd"/>
      <w:r>
        <w:rPr>
          <w:color w:val="222222"/>
          <w:highlight w:val="white"/>
          <w:lang w:val="en-GB"/>
        </w:rPr>
        <w:t xml:space="preserve">, N.S., 2022. The impact of covid-19 on financial management: evidence from Romania. </w:t>
      </w:r>
      <w:r>
        <w:rPr>
          <w:i/>
          <w:iCs/>
          <w:color w:val="222222"/>
          <w:highlight w:val="white"/>
          <w:lang w:val="en-GB"/>
        </w:rPr>
        <w:t>Economic Research-</w:t>
      </w:r>
      <w:proofErr w:type="spellStart"/>
      <w:r>
        <w:rPr>
          <w:i/>
          <w:iCs/>
          <w:color w:val="222222"/>
          <w:highlight w:val="white"/>
          <w:lang w:val="en-GB"/>
        </w:rPr>
        <w:t>Ekonomska</w:t>
      </w:r>
      <w:proofErr w:type="spellEnd"/>
      <w:r>
        <w:rPr>
          <w:i/>
          <w:iCs/>
          <w:color w:val="222222"/>
          <w:highlight w:val="white"/>
          <w:lang w:val="en-GB"/>
        </w:rPr>
        <w:t xml:space="preserve"> </w:t>
      </w:r>
      <w:proofErr w:type="spellStart"/>
      <w:r>
        <w:rPr>
          <w:i/>
          <w:iCs/>
          <w:color w:val="222222"/>
          <w:highlight w:val="white"/>
          <w:lang w:val="en-GB"/>
        </w:rPr>
        <w:t>Istraživanja</w:t>
      </w:r>
      <w:proofErr w:type="spellEnd"/>
      <w:r>
        <w:rPr>
          <w:color w:val="222222"/>
          <w:highlight w:val="white"/>
          <w:lang w:val="en-GB"/>
        </w:rPr>
        <w:t xml:space="preserve">, </w:t>
      </w:r>
      <w:r>
        <w:rPr>
          <w:i/>
          <w:iCs/>
          <w:color w:val="222222"/>
          <w:highlight w:val="white"/>
          <w:lang w:val="en-GB"/>
        </w:rPr>
        <w:t>35</w:t>
      </w:r>
      <w:r>
        <w:rPr>
          <w:color w:val="222222"/>
          <w:highlight w:val="white"/>
          <w:lang w:val="en-GB"/>
        </w:rPr>
        <w:t>(1), pp.1807-1832.</w:t>
      </w:r>
    </w:p>
    <w:p w14:paraId="08D28C0F" w14:textId="77777777" w:rsidR="008F6C2B" w:rsidRDefault="00B20E39">
      <w:pPr>
        <w:rPr>
          <w:lang w:val="en-GB"/>
        </w:rPr>
      </w:pPr>
      <w:proofErr w:type="spellStart"/>
      <w:r>
        <w:rPr>
          <w:lang w:val="en-GB"/>
        </w:rPr>
        <w:t>Alsamhi</w:t>
      </w:r>
      <w:proofErr w:type="spellEnd"/>
      <w:r>
        <w:rPr>
          <w:lang w:val="en-GB"/>
        </w:rPr>
        <w:t>, M.H., Al-</w:t>
      </w:r>
      <w:proofErr w:type="spellStart"/>
      <w:r>
        <w:rPr>
          <w:lang w:val="en-GB"/>
        </w:rPr>
        <w:t>Ofairi</w:t>
      </w:r>
      <w:proofErr w:type="spellEnd"/>
      <w:r>
        <w:rPr>
          <w:lang w:val="en-GB"/>
        </w:rPr>
        <w:t>, F.A., Farhan, N.H., Al-</w:t>
      </w:r>
      <w:proofErr w:type="spellStart"/>
      <w:r>
        <w:rPr>
          <w:lang w:val="en-GB"/>
        </w:rPr>
        <w:t>Ahdal</w:t>
      </w:r>
      <w:proofErr w:type="spellEnd"/>
      <w:r>
        <w:rPr>
          <w:lang w:val="en-GB"/>
        </w:rPr>
        <w:t xml:space="preserve">, W.M. and Siddiqui, A., 2022. Impact of Covid-19 on firms’ performance: Empirical evidence from India. </w:t>
      </w:r>
      <w:r>
        <w:rPr>
          <w:i/>
          <w:iCs/>
          <w:lang w:val="en-GB"/>
        </w:rPr>
        <w:t>Cogent Business &amp; Management</w:t>
      </w:r>
      <w:r>
        <w:rPr>
          <w:lang w:val="en-GB"/>
        </w:rPr>
        <w:t xml:space="preserve">, </w:t>
      </w:r>
      <w:r>
        <w:rPr>
          <w:i/>
          <w:iCs/>
          <w:lang w:val="en-GB"/>
        </w:rPr>
        <w:t>9</w:t>
      </w:r>
      <w:r>
        <w:rPr>
          <w:lang w:val="en-GB"/>
        </w:rPr>
        <w:t>(1), p.2044593.</w:t>
      </w:r>
    </w:p>
    <w:p w14:paraId="1053C437" w14:textId="77777777" w:rsidR="008F6C2B" w:rsidRDefault="00B20E39">
      <w:pPr>
        <w:rPr>
          <w:lang w:val="en-GB"/>
        </w:rPr>
      </w:pPr>
      <w:r>
        <w:rPr>
          <w:lang w:val="en-GB"/>
        </w:rPr>
        <w:t xml:space="preserve">Badakhshan, E. and Ball, P., 2023. Applying digital twins for inventory and cash management in supply chains under physical and financial disruptions. </w:t>
      </w:r>
      <w:r>
        <w:rPr>
          <w:i/>
          <w:iCs/>
          <w:lang w:val="en-GB"/>
        </w:rPr>
        <w:t>International Journal of Production Research</w:t>
      </w:r>
      <w:r>
        <w:rPr>
          <w:lang w:val="en-GB"/>
        </w:rPr>
        <w:t xml:space="preserve">, </w:t>
      </w:r>
      <w:r>
        <w:rPr>
          <w:i/>
          <w:iCs/>
          <w:lang w:val="en-GB"/>
        </w:rPr>
        <w:t>61</w:t>
      </w:r>
      <w:r>
        <w:rPr>
          <w:lang w:val="en-GB"/>
        </w:rPr>
        <w:t>(15), pp.5094-5116.</w:t>
      </w:r>
    </w:p>
    <w:p w14:paraId="789B1E43" w14:textId="77777777" w:rsidR="008F6C2B" w:rsidRDefault="00B20E39">
      <w:pPr>
        <w:rPr>
          <w:lang w:val="en-GB"/>
        </w:rPr>
      </w:pPr>
      <w:proofErr w:type="spellStart"/>
      <w:r>
        <w:rPr>
          <w:lang w:val="en-GB"/>
        </w:rPr>
        <w:t>Barbu</w:t>
      </w:r>
      <w:proofErr w:type="spellEnd"/>
      <w:r>
        <w:rPr>
          <w:lang w:val="en-GB"/>
        </w:rPr>
        <w:t xml:space="preserve">, A., </w:t>
      </w:r>
      <w:proofErr w:type="spellStart"/>
      <w:r>
        <w:rPr>
          <w:lang w:val="en-GB"/>
        </w:rPr>
        <w:t>Catană</w:t>
      </w:r>
      <w:proofErr w:type="spellEnd"/>
      <w:r>
        <w:rPr>
          <w:lang w:val="en-GB"/>
        </w:rPr>
        <w:t xml:space="preserve">, Ș.A., </w:t>
      </w:r>
      <w:proofErr w:type="spellStart"/>
      <w:r>
        <w:rPr>
          <w:lang w:val="en-GB"/>
        </w:rPr>
        <w:t>Deselnicu</w:t>
      </w:r>
      <w:proofErr w:type="spellEnd"/>
      <w:r>
        <w:rPr>
          <w:lang w:val="en-GB"/>
        </w:rPr>
        <w:t xml:space="preserve">, D.C., </w:t>
      </w:r>
      <w:proofErr w:type="spellStart"/>
      <w:r>
        <w:rPr>
          <w:lang w:val="en-GB"/>
        </w:rPr>
        <w:t>Cioca</w:t>
      </w:r>
      <w:proofErr w:type="spellEnd"/>
      <w:r>
        <w:rPr>
          <w:lang w:val="en-GB"/>
        </w:rPr>
        <w:t xml:space="preserve">, L.I. and </w:t>
      </w:r>
      <w:proofErr w:type="spellStart"/>
      <w:r>
        <w:rPr>
          <w:lang w:val="en-GB"/>
        </w:rPr>
        <w:t>Ioanid</w:t>
      </w:r>
      <w:proofErr w:type="spellEnd"/>
      <w:r>
        <w:rPr>
          <w:lang w:val="en-GB"/>
        </w:rPr>
        <w:t xml:space="preserve">, A., 2022. Factors influencing consumer </w:t>
      </w:r>
      <w:proofErr w:type="spellStart"/>
      <w:r>
        <w:rPr>
          <w:lang w:val="en-GB"/>
        </w:rPr>
        <w:t>behavior</w:t>
      </w:r>
      <w:proofErr w:type="spellEnd"/>
      <w:r>
        <w:rPr>
          <w:lang w:val="en-GB"/>
        </w:rPr>
        <w:t xml:space="preserve"> toward green products: A systematic literature review. </w:t>
      </w:r>
      <w:r>
        <w:rPr>
          <w:i/>
          <w:iCs/>
          <w:lang w:val="en-GB"/>
        </w:rPr>
        <w:t>International journal of environmental research and public health</w:t>
      </w:r>
      <w:r>
        <w:rPr>
          <w:lang w:val="en-GB"/>
        </w:rPr>
        <w:t xml:space="preserve">, </w:t>
      </w:r>
      <w:r>
        <w:rPr>
          <w:i/>
          <w:iCs/>
          <w:lang w:val="en-GB"/>
        </w:rPr>
        <w:t>19</w:t>
      </w:r>
      <w:r>
        <w:rPr>
          <w:lang w:val="en-GB"/>
        </w:rPr>
        <w:t>(24), p.16568.</w:t>
      </w:r>
    </w:p>
    <w:p w14:paraId="71E4D797" w14:textId="77777777" w:rsidR="008F6C2B" w:rsidRDefault="00B20E39">
      <w:pPr>
        <w:rPr>
          <w:color w:val="222222"/>
          <w:highlight w:val="white"/>
          <w:lang w:val="en-GB"/>
        </w:rPr>
      </w:pPr>
      <w:proofErr w:type="spellStart"/>
      <w:r>
        <w:rPr>
          <w:color w:val="222222"/>
          <w:highlight w:val="white"/>
          <w:lang w:val="en-GB"/>
        </w:rPr>
        <w:t>Bertoni</w:t>
      </w:r>
      <w:proofErr w:type="spellEnd"/>
      <w:r>
        <w:rPr>
          <w:color w:val="222222"/>
          <w:highlight w:val="white"/>
          <w:lang w:val="en-GB"/>
        </w:rPr>
        <w:t xml:space="preserve">, F., </w:t>
      </w:r>
      <w:proofErr w:type="spellStart"/>
      <w:r>
        <w:rPr>
          <w:color w:val="222222"/>
          <w:highlight w:val="white"/>
          <w:lang w:val="en-GB"/>
        </w:rPr>
        <w:t>Bonini</w:t>
      </w:r>
      <w:proofErr w:type="spellEnd"/>
      <w:r>
        <w:rPr>
          <w:color w:val="222222"/>
          <w:highlight w:val="white"/>
          <w:lang w:val="en-GB"/>
        </w:rPr>
        <w:t xml:space="preserve">, S., </w:t>
      </w:r>
      <w:proofErr w:type="spellStart"/>
      <w:r>
        <w:rPr>
          <w:color w:val="222222"/>
          <w:highlight w:val="white"/>
          <w:lang w:val="en-GB"/>
        </w:rPr>
        <w:t>Capizzi</w:t>
      </w:r>
      <w:proofErr w:type="spellEnd"/>
      <w:r>
        <w:rPr>
          <w:color w:val="222222"/>
          <w:highlight w:val="white"/>
          <w:lang w:val="en-GB"/>
        </w:rPr>
        <w:t xml:space="preserve">, V., Colombo, M.G. and </w:t>
      </w:r>
      <w:proofErr w:type="spellStart"/>
      <w:r>
        <w:rPr>
          <w:color w:val="222222"/>
          <w:highlight w:val="white"/>
          <w:lang w:val="en-GB"/>
        </w:rPr>
        <w:t>Manigart</w:t>
      </w:r>
      <w:proofErr w:type="spellEnd"/>
      <w:r>
        <w:rPr>
          <w:color w:val="222222"/>
          <w:highlight w:val="white"/>
          <w:lang w:val="en-GB"/>
        </w:rPr>
        <w:t xml:space="preserve">, S., 2022. Digitization in the market for entrepreneurial finance: Innovative business models and new financing channels. </w:t>
      </w:r>
      <w:r>
        <w:rPr>
          <w:i/>
          <w:iCs/>
          <w:color w:val="222222"/>
          <w:highlight w:val="white"/>
          <w:lang w:val="en-GB"/>
        </w:rPr>
        <w:t>Entrepreneurship Theory and Practice</w:t>
      </w:r>
      <w:r>
        <w:rPr>
          <w:color w:val="222222"/>
          <w:highlight w:val="white"/>
          <w:lang w:val="en-GB"/>
        </w:rPr>
        <w:t xml:space="preserve">, </w:t>
      </w:r>
      <w:r>
        <w:rPr>
          <w:i/>
          <w:iCs/>
          <w:color w:val="222222"/>
          <w:highlight w:val="white"/>
          <w:lang w:val="en-GB"/>
        </w:rPr>
        <w:t>46</w:t>
      </w:r>
      <w:r>
        <w:rPr>
          <w:color w:val="222222"/>
          <w:highlight w:val="white"/>
          <w:lang w:val="en-GB"/>
        </w:rPr>
        <w:t>(5), pp.1120-1135.</w:t>
      </w:r>
    </w:p>
    <w:p w14:paraId="732FA13B" w14:textId="77777777" w:rsidR="008F6C2B" w:rsidRDefault="00B20E39">
      <w:pPr>
        <w:rPr>
          <w:color w:val="222222"/>
          <w:highlight w:val="white"/>
          <w:lang w:val="en-GB"/>
        </w:rPr>
      </w:pPr>
      <w:r>
        <w:rPr>
          <w:color w:val="222222"/>
          <w:highlight w:val="white"/>
          <w:lang w:val="en-GB"/>
        </w:rPr>
        <w:t>Calderon-</w:t>
      </w:r>
      <w:proofErr w:type="spellStart"/>
      <w:r>
        <w:rPr>
          <w:color w:val="222222"/>
          <w:highlight w:val="white"/>
          <w:lang w:val="en-GB"/>
        </w:rPr>
        <w:t>Monge</w:t>
      </w:r>
      <w:proofErr w:type="spellEnd"/>
      <w:r>
        <w:rPr>
          <w:color w:val="222222"/>
          <w:highlight w:val="white"/>
          <w:lang w:val="en-GB"/>
        </w:rPr>
        <w:t xml:space="preserve">, E. and Ribeiro-Soriano, D., 2024. The role of digitalization in business and management: a systematic literature review. </w:t>
      </w:r>
      <w:r>
        <w:rPr>
          <w:i/>
          <w:iCs/>
          <w:color w:val="222222"/>
          <w:highlight w:val="white"/>
          <w:lang w:val="en-GB"/>
        </w:rPr>
        <w:t>Review of managerial science</w:t>
      </w:r>
      <w:r>
        <w:rPr>
          <w:color w:val="222222"/>
          <w:highlight w:val="white"/>
          <w:lang w:val="en-GB"/>
        </w:rPr>
        <w:t xml:space="preserve">, </w:t>
      </w:r>
      <w:r>
        <w:rPr>
          <w:i/>
          <w:iCs/>
          <w:color w:val="222222"/>
          <w:highlight w:val="white"/>
          <w:lang w:val="en-GB"/>
        </w:rPr>
        <w:t>18</w:t>
      </w:r>
      <w:r>
        <w:rPr>
          <w:color w:val="222222"/>
          <w:highlight w:val="white"/>
          <w:lang w:val="en-GB"/>
        </w:rPr>
        <w:t>(2), pp.449-491.</w:t>
      </w:r>
    </w:p>
    <w:p w14:paraId="05494B80" w14:textId="77777777" w:rsidR="008F6C2B" w:rsidRDefault="00B20E39">
      <w:pPr>
        <w:rPr>
          <w:color w:val="222222"/>
          <w:highlight w:val="white"/>
          <w:lang w:val="en-GB"/>
        </w:rPr>
      </w:pPr>
      <w:r>
        <w:rPr>
          <w:color w:val="222222"/>
          <w:highlight w:val="white"/>
          <w:lang w:val="en-GB"/>
        </w:rPr>
        <w:t xml:space="preserve">Cleverley, W.O., Cleverley, J.O. and Parks, A.V., 2023. </w:t>
      </w:r>
      <w:r>
        <w:rPr>
          <w:i/>
          <w:iCs/>
          <w:color w:val="222222"/>
          <w:highlight w:val="white"/>
          <w:lang w:val="en-GB"/>
        </w:rPr>
        <w:t>Essentials of health care finance</w:t>
      </w:r>
      <w:r>
        <w:rPr>
          <w:color w:val="222222"/>
          <w:highlight w:val="white"/>
          <w:lang w:val="en-GB"/>
        </w:rPr>
        <w:t>. Jones &amp; Bartlett Learning.</w:t>
      </w:r>
    </w:p>
    <w:p w14:paraId="67E212BD" w14:textId="77777777" w:rsidR="008F6C2B" w:rsidRDefault="00B20E39">
      <w:pPr>
        <w:rPr>
          <w:lang w:val="en-GB"/>
        </w:rPr>
      </w:pPr>
      <w:r>
        <w:rPr>
          <w:lang w:val="en-GB"/>
        </w:rPr>
        <w:t xml:space="preserve">Dai, H., Li, N., Wang, Y. and Zhao, X., 2022, March. The analysis of three main investment criteria: NPV IRR and payback period. In </w:t>
      </w:r>
      <w:r>
        <w:rPr>
          <w:i/>
          <w:iCs/>
          <w:lang w:val="en-GB"/>
        </w:rPr>
        <w:t>2022 7th International Conference on Financial Innovation and Economic Development (ICFIED 2022)</w:t>
      </w:r>
      <w:r>
        <w:rPr>
          <w:lang w:val="en-GB"/>
        </w:rPr>
        <w:t xml:space="preserve"> (pp. 185-189). Atlantis Press.</w:t>
      </w:r>
    </w:p>
    <w:p w14:paraId="66F5C110" w14:textId="77777777" w:rsidR="008F6C2B" w:rsidRDefault="00B20E39">
      <w:pPr>
        <w:rPr>
          <w:color w:val="222222"/>
          <w:highlight w:val="white"/>
          <w:lang w:val="en-GB"/>
        </w:rPr>
      </w:pPr>
      <w:proofErr w:type="spellStart"/>
      <w:r>
        <w:rPr>
          <w:color w:val="222222"/>
          <w:highlight w:val="white"/>
          <w:lang w:val="en-GB"/>
        </w:rPr>
        <w:t>Destriwanti</w:t>
      </w:r>
      <w:proofErr w:type="spellEnd"/>
      <w:r>
        <w:rPr>
          <w:color w:val="222222"/>
          <w:highlight w:val="white"/>
          <w:lang w:val="en-GB"/>
        </w:rPr>
        <w:t xml:space="preserve">, O., </w:t>
      </w:r>
      <w:proofErr w:type="spellStart"/>
      <w:r>
        <w:rPr>
          <w:color w:val="222222"/>
          <w:highlight w:val="white"/>
          <w:lang w:val="en-GB"/>
        </w:rPr>
        <w:t>Sintha</w:t>
      </w:r>
      <w:proofErr w:type="spellEnd"/>
      <w:r>
        <w:rPr>
          <w:color w:val="222222"/>
          <w:highlight w:val="white"/>
          <w:lang w:val="en-GB"/>
        </w:rPr>
        <w:t xml:space="preserve">, L., </w:t>
      </w:r>
      <w:proofErr w:type="spellStart"/>
      <w:r>
        <w:rPr>
          <w:color w:val="222222"/>
          <w:highlight w:val="white"/>
          <w:lang w:val="en-GB"/>
        </w:rPr>
        <w:t>Bertuah</w:t>
      </w:r>
      <w:proofErr w:type="spellEnd"/>
      <w:r>
        <w:rPr>
          <w:color w:val="222222"/>
          <w:highlight w:val="white"/>
          <w:lang w:val="en-GB"/>
        </w:rPr>
        <w:t xml:space="preserve">, E. and </w:t>
      </w:r>
      <w:proofErr w:type="spellStart"/>
      <w:r>
        <w:rPr>
          <w:color w:val="222222"/>
          <w:highlight w:val="white"/>
          <w:lang w:val="en-GB"/>
        </w:rPr>
        <w:t>Munandar</w:t>
      </w:r>
      <w:proofErr w:type="spellEnd"/>
      <w:r>
        <w:rPr>
          <w:color w:val="222222"/>
          <w:highlight w:val="white"/>
          <w:lang w:val="en-GB"/>
        </w:rPr>
        <w:t xml:space="preserve">, A., 2022. </w:t>
      </w:r>
      <w:proofErr w:type="spellStart"/>
      <w:r>
        <w:rPr>
          <w:color w:val="222222"/>
          <w:highlight w:val="white"/>
          <w:lang w:val="en-GB"/>
        </w:rPr>
        <w:t>Analyzing</w:t>
      </w:r>
      <w:proofErr w:type="spellEnd"/>
      <w:r>
        <w:rPr>
          <w:color w:val="222222"/>
          <w:highlight w:val="white"/>
          <w:lang w:val="en-GB"/>
        </w:rPr>
        <w:t xml:space="preserve"> the impact of Good Corporate Governance and Financial Performance on predicting Financial Distress using the modified Altman Z Score model. </w:t>
      </w:r>
      <w:r>
        <w:rPr>
          <w:i/>
          <w:iCs/>
          <w:color w:val="222222"/>
          <w:highlight w:val="white"/>
          <w:lang w:val="en-GB"/>
        </w:rPr>
        <w:t>American International Journal of Business Management (AIJBM)</w:t>
      </w:r>
      <w:r>
        <w:rPr>
          <w:color w:val="222222"/>
          <w:highlight w:val="white"/>
          <w:lang w:val="en-GB"/>
        </w:rPr>
        <w:t xml:space="preserve">, </w:t>
      </w:r>
      <w:r>
        <w:rPr>
          <w:i/>
          <w:iCs/>
          <w:color w:val="222222"/>
          <w:highlight w:val="white"/>
          <w:lang w:val="en-GB"/>
        </w:rPr>
        <w:t>5</w:t>
      </w:r>
      <w:r>
        <w:rPr>
          <w:color w:val="222222"/>
          <w:highlight w:val="white"/>
          <w:lang w:val="en-GB"/>
        </w:rPr>
        <w:t>(2), pp.27-36.</w:t>
      </w:r>
    </w:p>
    <w:p w14:paraId="7CFC6BEF" w14:textId="77777777" w:rsidR="008F6C2B" w:rsidRDefault="00B20E39">
      <w:pPr>
        <w:rPr>
          <w:color w:val="222222"/>
          <w:highlight w:val="white"/>
          <w:lang w:val="en-GB"/>
        </w:rPr>
      </w:pPr>
      <w:proofErr w:type="spellStart"/>
      <w:r>
        <w:rPr>
          <w:color w:val="222222"/>
          <w:highlight w:val="white"/>
          <w:lang w:val="en-GB"/>
        </w:rPr>
        <w:t>Fahim</w:t>
      </w:r>
      <w:proofErr w:type="spellEnd"/>
      <w:r>
        <w:rPr>
          <w:color w:val="222222"/>
          <w:highlight w:val="white"/>
          <w:lang w:val="en-GB"/>
        </w:rPr>
        <w:t xml:space="preserve">, F. and </w:t>
      </w:r>
      <w:proofErr w:type="spellStart"/>
      <w:r>
        <w:rPr>
          <w:color w:val="222222"/>
          <w:highlight w:val="white"/>
          <w:lang w:val="en-GB"/>
        </w:rPr>
        <w:t>Mahadi</w:t>
      </w:r>
      <w:proofErr w:type="spellEnd"/>
      <w:r>
        <w:rPr>
          <w:color w:val="222222"/>
          <w:highlight w:val="white"/>
          <w:lang w:val="en-GB"/>
        </w:rPr>
        <w:t xml:space="preserve">, B., 2022. Green supply chain management/green finance: a </w:t>
      </w:r>
      <w:proofErr w:type="spellStart"/>
      <w:r>
        <w:rPr>
          <w:color w:val="222222"/>
          <w:highlight w:val="white"/>
          <w:lang w:val="en-GB"/>
        </w:rPr>
        <w:t>bibliometric</w:t>
      </w:r>
      <w:proofErr w:type="spellEnd"/>
      <w:r>
        <w:rPr>
          <w:color w:val="222222"/>
          <w:highlight w:val="white"/>
          <w:lang w:val="en-GB"/>
        </w:rPr>
        <w:t xml:space="preserve"> analysis of the last twenty years by using the Scopus database. </w:t>
      </w:r>
      <w:r>
        <w:rPr>
          <w:i/>
          <w:iCs/>
          <w:color w:val="222222"/>
          <w:highlight w:val="white"/>
          <w:lang w:val="en-GB"/>
        </w:rPr>
        <w:t>Environmental Science and Pollution Research</w:t>
      </w:r>
      <w:r>
        <w:rPr>
          <w:color w:val="222222"/>
          <w:highlight w:val="white"/>
          <w:lang w:val="en-GB"/>
        </w:rPr>
        <w:t xml:space="preserve">, </w:t>
      </w:r>
      <w:r>
        <w:rPr>
          <w:i/>
          <w:iCs/>
          <w:color w:val="222222"/>
          <w:highlight w:val="white"/>
          <w:lang w:val="en-GB"/>
        </w:rPr>
        <w:t>29</w:t>
      </w:r>
      <w:r>
        <w:rPr>
          <w:color w:val="222222"/>
          <w:highlight w:val="white"/>
          <w:lang w:val="en-GB"/>
        </w:rPr>
        <w:t>(56), pp.84714-84740.</w:t>
      </w:r>
    </w:p>
    <w:p w14:paraId="7AC5A9F4" w14:textId="77777777" w:rsidR="008F6C2B" w:rsidRDefault="00B20E39">
      <w:pPr>
        <w:rPr>
          <w:color w:val="222222"/>
          <w:highlight w:val="white"/>
          <w:lang w:val="en-GB"/>
        </w:rPr>
      </w:pPr>
      <w:r>
        <w:rPr>
          <w:color w:val="222222"/>
          <w:highlight w:val="white"/>
          <w:lang w:val="en-GB"/>
        </w:rPr>
        <w:t xml:space="preserve">Gallagher, T.J., 2022. </w:t>
      </w:r>
      <w:r>
        <w:rPr>
          <w:i/>
          <w:iCs/>
          <w:color w:val="222222"/>
          <w:highlight w:val="white"/>
          <w:lang w:val="en-GB"/>
        </w:rPr>
        <w:t>Financial management: principles and practice</w:t>
      </w:r>
      <w:r>
        <w:rPr>
          <w:color w:val="222222"/>
          <w:highlight w:val="white"/>
          <w:lang w:val="en-GB"/>
        </w:rPr>
        <w:t>. SAGE Publications.</w:t>
      </w:r>
    </w:p>
    <w:p w14:paraId="0C15F8B2" w14:textId="77777777" w:rsidR="008F6C2B" w:rsidRDefault="00B20E39">
      <w:pPr>
        <w:rPr>
          <w:lang w:val="en-GB"/>
        </w:rPr>
      </w:pPr>
      <w:proofErr w:type="spellStart"/>
      <w:r>
        <w:rPr>
          <w:lang w:val="en-GB"/>
        </w:rPr>
        <w:t>Gouzoulis</w:t>
      </w:r>
      <w:proofErr w:type="spellEnd"/>
      <w:r>
        <w:rPr>
          <w:lang w:val="en-GB"/>
        </w:rPr>
        <w:t xml:space="preserve">, G., 2023. What do indebted employees do? </w:t>
      </w:r>
      <w:proofErr w:type="spellStart"/>
      <w:r>
        <w:rPr>
          <w:lang w:val="en-GB"/>
        </w:rPr>
        <w:t>Financialisation</w:t>
      </w:r>
      <w:proofErr w:type="spellEnd"/>
      <w:r>
        <w:rPr>
          <w:lang w:val="en-GB"/>
        </w:rPr>
        <w:t xml:space="preserve"> and the decline of industrial action. </w:t>
      </w:r>
      <w:r>
        <w:rPr>
          <w:i/>
          <w:iCs/>
          <w:lang w:val="en-GB"/>
        </w:rPr>
        <w:t>Industrial Relations Journal</w:t>
      </w:r>
      <w:r>
        <w:rPr>
          <w:lang w:val="en-GB"/>
        </w:rPr>
        <w:t xml:space="preserve">, </w:t>
      </w:r>
      <w:r>
        <w:rPr>
          <w:i/>
          <w:iCs/>
          <w:lang w:val="en-GB"/>
        </w:rPr>
        <w:t>54</w:t>
      </w:r>
      <w:r>
        <w:rPr>
          <w:lang w:val="en-GB"/>
        </w:rPr>
        <w:t>(1), pp.71-94.</w:t>
      </w:r>
    </w:p>
    <w:p w14:paraId="41F26C4D" w14:textId="77777777" w:rsidR="008F6C2B" w:rsidRDefault="00B20E39">
      <w:pPr>
        <w:rPr>
          <w:color w:val="222222"/>
          <w:highlight w:val="white"/>
          <w:lang w:val="en-GB"/>
        </w:rPr>
      </w:pPr>
      <w:proofErr w:type="spellStart"/>
      <w:r>
        <w:rPr>
          <w:color w:val="222222"/>
          <w:highlight w:val="white"/>
          <w:lang w:val="en-GB"/>
        </w:rPr>
        <w:t>Graña</w:t>
      </w:r>
      <w:proofErr w:type="spellEnd"/>
      <w:r>
        <w:rPr>
          <w:color w:val="222222"/>
          <w:highlight w:val="white"/>
          <w:lang w:val="en-GB"/>
        </w:rPr>
        <w:t>-Alvarez, R., Lopez-</w:t>
      </w:r>
      <w:proofErr w:type="spellStart"/>
      <w:r>
        <w:rPr>
          <w:color w:val="222222"/>
          <w:highlight w:val="white"/>
          <w:lang w:val="en-GB"/>
        </w:rPr>
        <w:t>Valeiras</w:t>
      </w:r>
      <w:proofErr w:type="spellEnd"/>
      <w:r>
        <w:rPr>
          <w:color w:val="222222"/>
          <w:highlight w:val="white"/>
          <w:lang w:val="en-GB"/>
        </w:rPr>
        <w:t>, E., Gonzalez-</w:t>
      </w:r>
      <w:proofErr w:type="spellStart"/>
      <w:r>
        <w:rPr>
          <w:color w:val="222222"/>
          <w:highlight w:val="white"/>
          <w:lang w:val="en-GB"/>
        </w:rPr>
        <w:t>Loureiro</w:t>
      </w:r>
      <w:proofErr w:type="spellEnd"/>
      <w:r>
        <w:rPr>
          <w:color w:val="222222"/>
          <w:highlight w:val="white"/>
          <w:lang w:val="en-GB"/>
        </w:rPr>
        <w:t xml:space="preserve">, M. and Coronado, F., 2024. Financial literacy in SMEs: A systematic literature review and a framework for further inquiry. </w:t>
      </w:r>
      <w:r>
        <w:rPr>
          <w:i/>
          <w:iCs/>
          <w:color w:val="222222"/>
          <w:highlight w:val="white"/>
          <w:lang w:val="en-GB"/>
        </w:rPr>
        <w:t>Journal of Small Business Management</w:t>
      </w:r>
      <w:r>
        <w:rPr>
          <w:color w:val="222222"/>
          <w:highlight w:val="white"/>
          <w:lang w:val="en-GB"/>
        </w:rPr>
        <w:t xml:space="preserve">, </w:t>
      </w:r>
      <w:r>
        <w:rPr>
          <w:i/>
          <w:iCs/>
          <w:color w:val="222222"/>
          <w:highlight w:val="white"/>
          <w:lang w:val="en-GB"/>
        </w:rPr>
        <w:t>62</w:t>
      </w:r>
      <w:r>
        <w:rPr>
          <w:color w:val="222222"/>
          <w:highlight w:val="white"/>
          <w:lang w:val="en-GB"/>
        </w:rPr>
        <w:t>(1), pp.331-380.</w:t>
      </w:r>
    </w:p>
    <w:p w14:paraId="0C31A330" w14:textId="77777777" w:rsidR="008F6C2B" w:rsidRDefault="00B20E39">
      <w:pPr>
        <w:rPr>
          <w:lang w:val="en-GB"/>
        </w:rPr>
      </w:pPr>
      <w:proofErr w:type="spellStart"/>
      <w:r>
        <w:rPr>
          <w:lang w:val="en-GB"/>
        </w:rPr>
        <w:t>Jaksties</w:t>
      </w:r>
      <w:proofErr w:type="spellEnd"/>
      <w:r>
        <w:rPr>
          <w:lang w:val="en-GB"/>
        </w:rPr>
        <w:t xml:space="preserve">, D. and </w:t>
      </w:r>
      <w:proofErr w:type="spellStart"/>
      <w:r>
        <w:rPr>
          <w:lang w:val="en-GB"/>
        </w:rPr>
        <w:t>Lindblad</w:t>
      </w:r>
      <w:proofErr w:type="spellEnd"/>
      <w:r>
        <w:rPr>
          <w:lang w:val="en-GB"/>
        </w:rPr>
        <w:t xml:space="preserve">, M., 2022.Unveiling the Impact of Inflation–A Study of Technical Analysis as a Strategic Tool for. </w:t>
      </w:r>
      <w:r>
        <w:rPr>
          <w:i/>
          <w:iCs/>
          <w:lang w:val="en-GB"/>
        </w:rPr>
        <w:t>perspective</w:t>
      </w:r>
      <w:r>
        <w:rPr>
          <w:lang w:val="en-GB"/>
        </w:rPr>
        <w:t xml:space="preserve">, </w:t>
      </w:r>
      <w:r>
        <w:rPr>
          <w:i/>
          <w:iCs/>
          <w:lang w:val="en-GB"/>
        </w:rPr>
        <w:t>69</w:t>
      </w:r>
      <w:r>
        <w:rPr>
          <w:lang w:val="en-GB"/>
        </w:rPr>
        <w:t>(1), pp.83-101.</w:t>
      </w:r>
    </w:p>
    <w:p w14:paraId="674E1A6A" w14:textId="77777777" w:rsidR="008F6C2B" w:rsidRDefault="00B20E39">
      <w:pPr>
        <w:rPr>
          <w:lang w:val="en-GB"/>
        </w:rPr>
      </w:pPr>
      <w:proofErr w:type="spellStart"/>
      <w:r>
        <w:rPr>
          <w:lang w:val="en-GB"/>
        </w:rPr>
        <w:t>Kirikkaleli</w:t>
      </w:r>
      <w:proofErr w:type="spellEnd"/>
      <w:r>
        <w:rPr>
          <w:lang w:val="en-GB"/>
        </w:rPr>
        <w:t xml:space="preserve">, D., </w:t>
      </w:r>
      <w:proofErr w:type="spellStart"/>
      <w:r>
        <w:rPr>
          <w:lang w:val="en-GB"/>
        </w:rPr>
        <w:t>Castanho</w:t>
      </w:r>
      <w:proofErr w:type="spellEnd"/>
      <w:r>
        <w:rPr>
          <w:lang w:val="en-GB"/>
        </w:rPr>
        <w:t xml:space="preserve">, R.A., </w:t>
      </w:r>
      <w:proofErr w:type="spellStart"/>
      <w:r>
        <w:rPr>
          <w:lang w:val="en-GB"/>
        </w:rPr>
        <w:t>Genc</w:t>
      </w:r>
      <w:proofErr w:type="spellEnd"/>
      <w:r>
        <w:rPr>
          <w:lang w:val="en-GB"/>
        </w:rPr>
        <w:t xml:space="preserve">, S.Y., </w:t>
      </w:r>
      <w:proofErr w:type="spellStart"/>
      <w:r>
        <w:rPr>
          <w:lang w:val="en-GB"/>
        </w:rPr>
        <w:t>Oyebanji</w:t>
      </w:r>
      <w:proofErr w:type="spellEnd"/>
      <w:r>
        <w:rPr>
          <w:lang w:val="en-GB"/>
        </w:rPr>
        <w:t xml:space="preserve">, M.O. and </w:t>
      </w:r>
      <w:proofErr w:type="spellStart"/>
      <w:r>
        <w:rPr>
          <w:lang w:val="en-GB"/>
        </w:rPr>
        <w:t>Couto</w:t>
      </w:r>
      <w:proofErr w:type="spellEnd"/>
      <w:r>
        <w:rPr>
          <w:lang w:val="en-GB"/>
        </w:rPr>
        <w:t xml:space="preserve">, G., 2022. The asymmetric and long-run effect of financial stability on environmental degradation in Norway. </w:t>
      </w:r>
      <w:r>
        <w:rPr>
          <w:i/>
          <w:iCs/>
          <w:lang w:val="en-GB"/>
        </w:rPr>
        <w:t>Sustainability</w:t>
      </w:r>
      <w:r>
        <w:rPr>
          <w:lang w:val="en-GB"/>
        </w:rPr>
        <w:t xml:space="preserve">, </w:t>
      </w:r>
      <w:r>
        <w:rPr>
          <w:i/>
          <w:iCs/>
          <w:lang w:val="en-GB"/>
        </w:rPr>
        <w:t>14</w:t>
      </w:r>
      <w:r>
        <w:rPr>
          <w:lang w:val="en-GB"/>
        </w:rPr>
        <w:t>(16), p.10131.</w:t>
      </w:r>
    </w:p>
    <w:p w14:paraId="3A583444" w14:textId="77777777" w:rsidR="008F6C2B" w:rsidRDefault="00B20E39">
      <w:pPr>
        <w:rPr>
          <w:lang w:val="en-GB"/>
        </w:rPr>
      </w:pPr>
      <w:r>
        <w:rPr>
          <w:lang w:val="en-GB"/>
        </w:rPr>
        <w:t xml:space="preserve">Kumar, R., 2025. Cash flow management in modern businesses: techniques for liquidity optimization. </w:t>
      </w:r>
      <w:r>
        <w:rPr>
          <w:i/>
          <w:iCs/>
          <w:lang w:val="en-GB"/>
        </w:rPr>
        <w:t>International Journal of Exploring Emerging Trends in Engineering</w:t>
      </w:r>
      <w:r>
        <w:rPr>
          <w:lang w:val="en-GB"/>
        </w:rPr>
        <w:t xml:space="preserve">, </w:t>
      </w:r>
      <w:r>
        <w:rPr>
          <w:i/>
          <w:iCs/>
          <w:lang w:val="en-GB"/>
        </w:rPr>
        <w:t>11</w:t>
      </w:r>
      <w:r>
        <w:rPr>
          <w:lang w:val="en-GB"/>
        </w:rPr>
        <w:t>(4), pp.1-12.</w:t>
      </w:r>
    </w:p>
    <w:p w14:paraId="64D9F3C9" w14:textId="77777777" w:rsidR="008F6C2B" w:rsidRDefault="00B20E39">
      <w:pPr>
        <w:rPr>
          <w:lang w:val="en-GB"/>
        </w:rPr>
      </w:pPr>
      <w:r>
        <w:rPr>
          <w:lang w:val="en-GB"/>
        </w:rPr>
        <w:t xml:space="preserve">Lee, C.C., 2023. Analyses of the operating performance of information service companies based on indicators of financial statements. </w:t>
      </w:r>
      <w:r>
        <w:rPr>
          <w:i/>
          <w:iCs/>
          <w:lang w:val="en-GB"/>
        </w:rPr>
        <w:t>Asia Pacific Management Review</w:t>
      </w:r>
      <w:r>
        <w:rPr>
          <w:lang w:val="en-GB"/>
        </w:rPr>
        <w:t xml:space="preserve">, </w:t>
      </w:r>
      <w:r>
        <w:rPr>
          <w:i/>
          <w:iCs/>
          <w:lang w:val="en-GB"/>
        </w:rPr>
        <w:t>28</w:t>
      </w:r>
      <w:r>
        <w:rPr>
          <w:lang w:val="en-GB"/>
        </w:rPr>
        <w:t>(4), pp.410-419.</w:t>
      </w:r>
    </w:p>
    <w:p w14:paraId="186A531E" w14:textId="77777777" w:rsidR="008F6C2B" w:rsidRDefault="00B20E39">
      <w:pPr>
        <w:rPr>
          <w:color w:val="222222"/>
          <w:highlight w:val="white"/>
          <w:lang w:val="en-GB"/>
        </w:rPr>
      </w:pPr>
      <w:r>
        <w:rPr>
          <w:color w:val="222222"/>
          <w:highlight w:val="white"/>
          <w:lang w:val="en-GB"/>
        </w:rPr>
        <w:t xml:space="preserve">Lefebvre, V., 2022. Performance, working capital management, and the liability of smallness: a question of opportunity costs?. </w:t>
      </w:r>
      <w:r>
        <w:rPr>
          <w:i/>
          <w:iCs/>
          <w:color w:val="222222"/>
          <w:highlight w:val="white"/>
          <w:lang w:val="en-GB"/>
        </w:rPr>
        <w:t>Journal of Small Business Management</w:t>
      </w:r>
      <w:r>
        <w:rPr>
          <w:color w:val="222222"/>
          <w:highlight w:val="white"/>
          <w:lang w:val="en-GB"/>
        </w:rPr>
        <w:t xml:space="preserve">, </w:t>
      </w:r>
      <w:r>
        <w:rPr>
          <w:i/>
          <w:iCs/>
          <w:color w:val="222222"/>
          <w:highlight w:val="white"/>
          <w:lang w:val="en-GB"/>
        </w:rPr>
        <w:t>60</w:t>
      </w:r>
      <w:r>
        <w:rPr>
          <w:color w:val="222222"/>
          <w:highlight w:val="white"/>
          <w:lang w:val="en-GB"/>
        </w:rPr>
        <w:t>(3), pp.704-733.</w:t>
      </w:r>
    </w:p>
    <w:p w14:paraId="42036B5B" w14:textId="77777777" w:rsidR="008F6C2B" w:rsidRDefault="00B20E39">
      <w:pPr>
        <w:rPr>
          <w:lang w:val="en-GB"/>
        </w:rPr>
      </w:pPr>
      <w:proofErr w:type="spellStart"/>
      <w:r>
        <w:rPr>
          <w:lang w:val="en-GB"/>
        </w:rPr>
        <w:t>Mandipa</w:t>
      </w:r>
      <w:proofErr w:type="spellEnd"/>
      <w:r>
        <w:rPr>
          <w:lang w:val="en-GB"/>
        </w:rPr>
        <w:t xml:space="preserve">, G. and </w:t>
      </w:r>
      <w:proofErr w:type="spellStart"/>
      <w:r>
        <w:rPr>
          <w:lang w:val="en-GB"/>
        </w:rPr>
        <w:t>Sibindi</w:t>
      </w:r>
      <w:proofErr w:type="spellEnd"/>
      <w:r>
        <w:rPr>
          <w:lang w:val="en-GB"/>
        </w:rPr>
        <w:t xml:space="preserve">, A.B., 2022. Financial performance and working capital management practices in the retail sector: empirical evidence from South Africa. </w:t>
      </w:r>
      <w:r>
        <w:rPr>
          <w:i/>
          <w:iCs/>
          <w:lang w:val="en-GB"/>
        </w:rPr>
        <w:t>Risks</w:t>
      </w:r>
      <w:r>
        <w:rPr>
          <w:lang w:val="en-GB"/>
        </w:rPr>
        <w:t xml:space="preserve">, </w:t>
      </w:r>
      <w:r>
        <w:rPr>
          <w:i/>
          <w:iCs/>
          <w:lang w:val="en-GB"/>
        </w:rPr>
        <w:t>10</w:t>
      </w:r>
      <w:r>
        <w:rPr>
          <w:lang w:val="en-GB"/>
        </w:rPr>
        <w:t>(3), p.63.</w:t>
      </w:r>
    </w:p>
    <w:p w14:paraId="183A6A83" w14:textId="77777777" w:rsidR="008F6C2B" w:rsidRDefault="00B20E39">
      <w:pPr>
        <w:rPr>
          <w:color w:val="222222"/>
          <w:highlight w:val="white"/>
          <w:lang w:val="en-GB"/>
        </w:rPr>
      </w:pPr>
      <w:proofErr w:type="spellStart"/>
      <w:r>
        <w:rPr>
          <w:color w:val="222222"/>
          <w:highlight w:val="white"/>
          <w:lang w:val="en-GB"/>
        </w:rPr>
        <w:t>Mogaji</w:t>
      </w:r>
      <w:proofErr w:type="spellEnd"/>
      <w:r>
        <w:rPr>
          <w:color w:val="222222"/>
          <w:highlight w:val="white"/>
          <w:lang w:val="en-GB"/>
        </w:rPr>
        <w:t xml:space="preserve">, E. and Nguyen, N.P., 2022. Managers' understanding of artificial intelligence in relation to marketing financial services: insights from a cross-country study. </w:t>
      </w:r>
      <w:r>
        <w:rPr>
          <w:i/>
          <w:iCs/>
          <w:color w:val="222222"/>
          <w:highlight w:val="white"/>
          <w:lang w:val="en-GB"/>
        </w:rPr>
        <w:t>International Journal of Bank Marketing</w:t>
      </w:r>
      <w:r>
        <w:rPr>
          <w:color w:val="222222"/>
          <w:highlight w:val="white"/>
          <w:lang w:val="en-GB"/>
        </w:rPr>
        <w:t xml:space="preserve">, </w:t>
      </w:r>
      <w:r>
        <w:rPr>
          <w:i/>
          <w:iCs/>
          <w:color w:val="222222"/>
          <w:highlight w:val="white"/>
          <w:lang w:val="en-GB"/>
        </w:rPr>
        <w:t>40</w:t>
      </w:r>
      <w:r>
        <w:rPr>
          <w:color w:val="222222"/>
          <w:highlight w:val="white"/>
          <w:lang w:val="en-GB"/>
        </w:rPr>
        <w:t>(6), pp.1272-1298.</w:t>
      </w:r>
    </w:p>
    <w:p w14:paraId="1414DF03" w14:textId="77777777" w:rsidR="008F6C2B" w:rsidRDefault="00B20E39">
      <w:pPr>
        <w:rPr>
          <w:lang w:val="en-GB"/>
        </w:rPr>
      </w:pPr>
      <w:r>
        <w:rPr>
          <w:lang w:val="en-GB"/>
        </w:rPr>
        <w:t xml:space="preserve">Next Plc, 2025. </w:t>
      </w:r>
      <w:r>
        <w:rPr>
          <w:i/>
          <w:iCs/>
          <w:lang w:val="en-GB"/>
        </w:rPr>
        <w:t>Next Group plc - AnnualReports.com</w:t>
      </w:r>
      <w:r>
        <w:rPr>
          <w:lang w:val="en-GB"/>
        </w:rPr>
        <w:t>. [online] www.annualreports.com. Available at: https://www.annualreports.com/Company/next-group-plc [Accessed 7 Jan. 2026].</w:t>
      </w:r>
    </w:p>
    <w:p w14:paraId="7FBC2B23" w14:textId="77777777" w:rsidR="008F6C2B" w:rsidRDefault="00B20E39">
      <w:pPr>
        <w:rPr>
          <w:lang w:val="en-GB"/>
        </w:rPr>
      </w:pPr>
      <w:proofErr w:type="spellStart"/>
      <w:r>
        <w:rPr>
          <w:color w:val="222222"/>
          <w:highlight w:val="white"/>
          <w:lang w:val="en-GB"/>
        </w:rPr>
        <w:t>Nextplc</w:t>
      </w:r>
      <w:proofErr w:type="spellEnd"/>
      <w:r>
        <w:rPr>
          <w:color w:val="222222"/>
          <w:highlight w:val="white"/>
          <w:lang w:val="en-GB"/>
        </w:rPr>
        <w:t xml:space="preserve">, (2025). </w:t>
      </w:r>
      <w:r>
        <w:rPr>
          <w:i/>
          <w:iCs/>
          <w:color w:val="222222"/>
          <w:highlight w:val="white"/>
          <w:lang w:val="en-GB"/>
        </w:rPr>
        <w:t>ABOUT US</w:t>
      </w:r>
      <w:r>
        <w:rPr>
          <w:color w:val="222222"/>
          <w:highlight w:val="white"/>
          <w:lang w:val="en-GB"/>
        </w:rPr>
        <w:t xml:space="preserve">. Available at: </w:t>
      </w:r>
      <w:hyperlink r:id="rId12">
        <w:r>
          <w:rPr>
            <w:color w:val="1155CC"/>
            <w:highlight w:val="white"/>
            <w:u w:val="single"/>
            <w:lang w:val="en-GB"/>
          </w:rPr>
          <w:t>https://www.nextplc.co.uk/</w:t>
        </w:r>
      </w:hyperlink>
      <w:r>
        <w:rPr>
          <w:color w:val="222222"/>
          <w:highlight w:val="white"/>
          <w:lang w:val="en-GB"/>
        </w:rPr>
        <w:t xml:space="preserve"> [</w:t>
      </w:r>
      <w:proofErr w:type="spellStart"/>
      <w:r>
        <w:rPr>
          <w:color w:val="222222"/>
          <w:highlight w:val="white"/>
          <w:lang w:val="en-GB"/>
        </w:rPr>
        <w:t>Accssed</w:t>
      </w:r>
      <w:proofErr w:type="spellEnd"/>
      <w:r>
        <w:rPr>
          <w:color w:val="222222"/>
          <w:highlight w:val="white"/>
          <w:lang w:val="en-GB"/>
        </w:rPr>
        <w:t xml:space="preserve"> on: 10.1.2025]</w:t>
      </w:r>
    </w:p>
    <w:p w14:paraId="70CFCEA1" w14:textId="77777777" w:rsidR="008F6C2B" w:rsidRDefault="00B20E39">
      <w:pPr>
        <w:rPr>
          <w:lang w:val="en-GB"/>
        </w:rPr>
      </w:pPr>
      <w:proofErr w:type="spellStart"/>
      <w:r>
        <w:rPr>
          <w:lang w:val="en-GB"/>
        </w:rPr>
        <w:t>Nworie</w:t>
      </w:r>
      <w:proofErr w:type="spellEnd"/>
      <w:r>
        <w:rPr>
          <w:lang w:val="en-GB"/>
        </w:rPr>
        <w:t xml:space="preserve">, G.O. and </w:t>
      </w:r>
      <w:proofErr w:type="spellStart"/>
      <w:r>
        <w:rPr>
          <w:lang w:val="en-GB"/>
        </w:rPr>
        <w:t>Nwoye</w:t>
      </w:r>
      <w:proofErr w:type="spellEnd"/>
      <w:r>
        <w:rPr>
          <w:lang w:val="en-GB"/>
        </w:rPr>
        <w:t xml:space="preserve">, U.J., 2023. Drivers of operating profit: A focus on selected firms’ costs. </w:t>
      </w:r>
      <w:r>
        <w:rPr>
          <w:i/>
          <w:iCs/>
          <w:lang w:val="en-GB"/>
        </w:rPr>
        <w:t>CECCAR Business Review</w:t>
      </w:r>
      <w:r>
        <w:rPr>
          <w:lang w:val="en-GB"/>
        </w:rPr>
        <w:t xml:space="preserve">, </w:t>
      </w:r>
      <w:r>
        <w:rPr>
          <w:i/>
          <w:iCs/>
          <w:lang w:val="en-GB"/>
        </w:rPr>
        <w:t>4</w:t>
      </w:r>
      <w:r>
        <w:rPr>
          <w:lang w:val="en-GB"/>
        </w:rPr>
        <w:t>(2), pp.62-72.</w:t>
      </w:r>
    </w:p>
    <w:p w14:paraId="6F36EC7F" w14:textId="77777777" w:rsidR="008F6C2B" w:rsidRDefault="008F6C2B">
      <w:pPr>
        <w:rPr>
          <w:lang w:val="en-GB"/>
        </w:rPr>
      </w:pPr>
    </w:p>
    <w:p w14:paraId="291BC7A3" w14:textId="77777777" w:rsidR="008F6C2B" w:rsidRDefault="00B20E39">
      <w:pPr>
        <w:pStyle w:val="Heading1"/>
        <w:rPr>
          <w:lang w:val="en-GB"/>
        </w:rPr>
      </w:pPr>
      <w:bookmarkStart w:id="13" w:name="_Toc218694234"/>
      <w:r>
        <w:rPr>
          <w:lang w:val="en-GB"/>
        </w:rPr>
        <w:t>Appendices</w:t>
      </w:r>
      <w:bookmarkEnd w:id="13"/>
      <w:r>
        <w:rPr>
          <w:lang w:val="en-GB"/>
        </w:rPr>
        <w:t xml:space="preserve"> </w:t>
      </w:r>
    </w:p>
    <w:p w14:paraId="29C689AA" w14:textId="77777777" w:rsidR="008F6C2B" w:rsidRDefault="00B20E39">
      <w:pPr>
        <w:pStyle w:val="Heading2"/>
        <w:rPr>
          <w:lang w:val="en-GB"/>
        </w:rPr>
      </w:pPr>
      <w:bookmarkStart w:id="14" w:name="_Toc218694235"/>
      <w:r>
        <w:rPr>
          <w:lang w:val="en-GB"/>
        </w:rPr>
        <w:t>Appendix 1: Next Plc’s Income statement and Balance Sheet</w:t>
      </w:r>
      <w:bookmarkEnd w:id="14"/>
      <w:r>
        <w:rPr>
          <w:lang w:val="en-GB"/>
        </w:rPr>
        <w:t xml:space="preserve"> </w:t>
      </w:r>
    </w:p>
    <w:p w14:paraId="409C033E" w14:textId="77777777" w:rsidR="008F6C2B" w:rsidRDefault="00B20E39">
      <w:pPr>
        <w:rPr>
          <w:lang w:val="en-GB"/>
        </w:rPr>
      </w:pPr>
      <w:r>
        <w:rPr>
          <w:noProof/>
          <w:lang w:val="en-US" w:eastAsia="en-US"/>
        </w:rPr>
        <w:drawing>
          <wp:inline distT="114300" distB="114300" distL="114300" distR="114300" wp14:anchorId="709A2A50" wp14:editId="65562FD4">
            <wp:extent cx="5943600" cy="4254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3"/>
                    <a:srcRect/>
                    <a:stretch>
                      <a:fillRect/>
                    </a:stretch>
                  </pic:blipFill>
                  <pic:spPr>
                    <a:xfrm>
                      <a:off x="0" y="0"/>
                      <a:ext cx="5943600" cy="4254500"/>
                    </a:xfrm>
                    <a:prstGeom prst="rect">
                      <a:avLst/>
                    </a:prstGeom>
                    <a:ln w="12700">
                      <a:solidFill>
                        <a:srgbClr val="000000"/>
                      </a:solidFill>
                      <a:prstDash val="solid"/>
                    </a:ln>
                  </pic:spPr>
                </pic:pic>
              </a:graphicData>
            </a:graphic>
          </wp:inline>
        </w:drawing>
      </w:r>
    </w:p>
    <w:p w14:paraId="3C353C1D" w14:textId="77777777" w:rsidR="008F6C2B" w:rsidRDefault="00B20E39">
      <w:pPr>
        <w:jc w:val="center"/>
        <w:rPr>
          <w:b/>
          <w:bCs/>
          <w:lang w:val="en-GB"/>
        </w:rPr>
      </w:pPr>
      <w:r>
        <w:rPr>
          <w:b/>
          <w:bCs/>
          <w:lang w:val="en-GB"/>
        </w:rPr>
        <w:t xml:space="preserve">Figure 1: Next Plc’s Income statement </w:t>
      </w:r>
    </w:p>
    <w:p w14:paraId="614FEF29" w14:textId="77777777" w:rsidR="008F6C2B" w:rsidRDefault="00B20E39">
      <w:pPr>
        <w:jc w:val="center"/>
        <w:rPr>
          <w:lang w:val="en-GB"/>
        </w:rPr>
      </w:pPr>
      <w:r>
        <w:rPr>
          <w:lang w:val="en-GB"/>
        </w:rPr>
        <w:t>(Source: Next Plc , 2025)</w:t>
      </w:r>
    </w:p>
    <w:p w14:paraId="5296F4CD" w14:textId="77777777" w:rsidR="008F6C2B" w:rsidRDefault="00B20E39">
      <w:pPr>
        <w:jc w:val="center"/>
        <w:rPr>
          <w:lang w:val="en-GB"/>
        </w:rPr>
      </w:pPr>
      <w:r>
        <w:rPr>
          <w:noProof/>
          <w:lang w:val="en-US" w:eastAsia="en-US"/>
        </w:rPr>
        <w:drawing>
          <wp:inline distT="114300" distB="114300" distL="114300" distR="114300" wp14:anchorId="3675C018" wp14:editId="5E5717A8">
            <wp:extent cx="5091430" cy="577659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4"/>
                    <a:srcRect/>
                    <a:stretch>
                      <a:fillRect/>
                    </a:stretch>
                  </pic:blipFill>
                  <pic:spPr>
                    <a:xfrm>
                      <a:off x="0" y="0"/>
                      <a:ext cx="5091516" cy="5776913"/>
                    </a:xfrm>
                    <a:prstGeom prst="rect">
                      <a:avLst/>
                    </a:prstGeom>
                    <a:ln w="12700">
                      <a:solidFill>
                        <a:srgbClr val="000000"/>
                      </a:solidFill>
                      <a:prstDash val="solid"/>
                    </a:ln>
                  </pic:spPr>
                </pic:pic>
              </a:graphicData>
            </a:graphic>
          </wp:inline>
        </w:drawing>
      </w:r>
    </w:p>
    <w:p w14:paraId="043A2E73" w14:textId="77777777" w:rsidR="008F6C2B" w:rsidRDefault="00B20E39">
      <w:pPr>
        <w:jc w:val="center"/>
        <w:rPr>
          <w:b/>
          <w:bCs/>
          <w:lang w:val="en-GB"/>
        </w:rPr>
      </w:pPr>
      <w:r>
        <w:rPr>
          <w:b/>
          <w:bCs/>
          <w:lang w:val="en-GB"/>
        </w:rPr>
        <w:t>Figure 2: Next Plc’s Balance Sheet</w:t>
      </w:r>
    </w:p>
    <w:p w14:paraId="47149A50" w14:textId="77777777" w:rsidR="008F6C2B" w:rsidRDefault="00B20E39">
      <w:pPr>
        <w:jc w:val="center"/>
        <w:rPr>
          <w:lang w:val="en-GB"/>
        </w:rPr>
      </w:pPr>
      <w:r>
        <w:rPr>
          <w:lang w:val="en-GB"/>
        </w:rPr>
        <w:t>(Source: Next Plc , 2025)</w:t>
      </w:r>
    </w:p>
    <w:p w14:paraId="7C70D32A" w14:textId="77777777" w:rsidR="008F6C2B" w:rsidRDefault="00B20E39">
      <w:pPr>
        <w:jc w:val="center"/>
        <w:rPr>
          <w:lang w:val="en-GB"/>
        </w:rPr>
      </w:pPr>
      <w:r>
        <w:rPr>
          <w:lang w:val="en-GB"/>
        </w:rPr>
        <w:br w:type="page"/>
      </w:r>
    </w:p>
    <w:p w14:paraId="0F61E5E0" w14:textId="77777777" w:rsidR="008F6C2B" w:rsidRDefault="00B20E39">
      <w:pPr>
        <w:pStyle w:val="Heading2"/>
        <w:jc w:val="left"/>
        <w:rPr>
          <w:lang w:val="en-GB"/>
        </w:rPr>
      </w:pPr>
      <w:bookmarkStart w:id="15" w:name="_Toc218694236"/>
      <w:r>
        <w:rPr>
          <w:lang w:val="en-GB"/>
        </w:rPr>
        <w:t>Appendix 2: Ratios of Next Plc for the year ended 2025 and 2024</w:t>
      </w:r>
      <w:bookmarkEnd w:id="15"/>
    </w:p>
    <w:tbl>
      <w:tblPr>
        <w:tblStyle w:val="Style13"/>
        <w:tblW w:w="5000" w:type="pct"/>
        <w:jc w:val="center"/>
        <w:tblInd w:w="0" w:type="dxa"/>
        <w:tblLook w:val="04A0" w:firstRow="1" w:lastRow="0" w:firstColumn="1" w:lastColumn="0" w:noHBand="0" w:noVBand="1"/>
      </w:tblPr>
      <w:tblGrid>
        <w:gridCol w:w="6574"/>
        <w:gridCol w:w="1388"/>
        <w:gridCol w:w="1388"/>
      </w:tblGrid>
      <w:tr w:rsidR="008F6C2B" w14:paraId="0F946BC4" w14:textId="77777777">
        <w:trPr>
          <w:trHeight w:val="315"/>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9BC8057" w14:textId="77777777" w:rsidR="008F6C2B" w:rsidRDefault="00B20E39">
            <w:pPr>
              <w:jc w:val="center"/>
              <w:rPr>
                <w:b/>
                <w:bCs/>
                <w:lang w:val="en-GB"/>
              </w:rPr>
            </w:pPr>
            <w:r>
              <w:rPr>
                <w:b/>
                <w:bCs/>
                <w:lang w:val="en-GB"/>
              </w:rPr>
              <w:t>Profitability Ratios</w:t>
            </w:r>
          </w:p>
        </w:tc>
      </w:tr>
      <w:tr w:rsidR="008F6C2B" w14:paraId="4379BEBA"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4BF6EFBB"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B57B53E" w14:textId="77777777" w:rsidR="008F6C2B" w:rsidRDefault="00B20E39">
            <w:pPr>
              <w:jc w:val="center"/>
              <w:rPr>
                <w:b/>
                <w:bCs/>
                <w:lang w:val="en-GB"/>
              </w:rPr>
            </w:pPr>
            <w:r>
              <w:rPr>
                <w:b/>
                <w:bCs/>
                <w:lang w:val="en-GB"/>
              </w:rPr>
              <w:t>2025</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4ED10355" w14:textId="77777777" w:rsidR="008F6C2B" w:rsidRDefault="00B20E39">
            <w:pPr>
              <w:jc w:val="center"/>
              <w:rPr>
                <w:b/>
                <w:bCs/>
                <w:lang w:val="en-GB"/>
              </w:rPr>
            </w:pPr>
            <w:r>
              <w:rPr>
                <w:b/>
                <w:bCs/>
                <w:lang w:val="en-GB"/>
              </w:rPr>
              <w:t>2024</w:t>
            </w:r>
          </w:p>
        </w:tc>
      </w:tr>
      <w:tr w:rsidR="008F6C2B" w14:paraId="5F2F22AD"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096C029"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256AF86" w14:textId="77777777" w:rsidR="008F6C2B" w:rsidRDefault="00B20E39">
            <w:pPr>
              <w:jc w:val="center"/>
              <w:rPr>
                <w:b/>
                <w:bCs/>
                <w:lang w:val="en-GB"/>
              </w:rPr>
            </w:pPr>
            <w:r>
              <w:rPr>
                <w:b/>
                <w:bCs/>
                <w:lang w:val="en-GB"/>
              </w:rPr>
              <w:t>£m</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2987E38" w14:textId="77777777" w:rsidR="008F6C2B" w:rsidRDefault="00B20E39">
            <w:pPr>
              <w:jc w:val="center"/>
              <w:rPr>
                <w:b/>
                <w:bCs/>
                <w:lang w:val="en-GB"/>
              </w:rPr>
            </w:pPr>
            <w:r>
              <w:rPr>
                <w:b/>
                <w:bCs/>
                <w:lang w:val="en-GB"/>
              </w:rPr>
              <w:t>£m</w:t>
            </w:r>
          </w:p>
        </w:tc>
      </w:tr>
      <w:tr w:rsidR="008F6C2B" w14:paraId="4F7C0940"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E523C1D" w14:textId="77777777" w:rsidR="008F6C2B" w:rsidRDefault="00B20E39">
            <w:pPr>
              <w:rPr>
                <w:lang w:val="en-GB"/>
              </w:rPr>
            </w:pPr>
            <w:r>
              <w:rPr>
                <w:lang w:val="en-GB"/>
              </w:rPr>
              <w:t>Revenue</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3D8E247" w14:textId="77777777" w:rsidR="008F6C2B" w:rsidRDefault="00B20E39">
            <w:pPr>
              <w:jc w:val="right"/>
              <w:rPr>
                <w:lang w:val="en-GB"/>
              </w:rPr>
            </w:pPr>
            <w:r>
              <w:rPr>
                <w:lang w:val="en-GB"/>
              </w:rPr>
              <w:t>6,118.10</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26D8B0B" w14:textId="77777777" w:rsidR="008F6C2B" w:rsidRDefault="00B20E39">
            <w:pPr>
              <w:jc w:val="right"/>
              <w:rPr>
                <w:lang w:val="en-GB"/>
              </w:rPr>
            </w:pPr>
            <w:r>
              <w:rPr>
                <w:lang w:val="en-GB"/>
              </w:rPr>
              <w:t>5,491.00</w:t>
            </w:r>
          </w:p>
        </w:tc>
      </w:tr>
      <w:tr w:rsidR="008F6C2B" w14:paraId="572C65C6"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47BB770" w14:textId="77777777" w:rsidR="008F6C2B" w:rsidRDefault="00B20E39">
            <w:pPr>
              <w:rPr>
                <w:lang w:val="en-GB"/>
              </w:rPr>
            </w:pPr>
            <w:r>
              <w:rPr>
                <w:lang w:val="en-GB"/>
              </w:rPr>
              <w:t>Gross profit</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9391FB2" w14:textId="77777777" w:rsidR="008F6C2B" w:rsidRDefault="00B20E39">
            <w:pPr>
              <w:jc w:val="right"/>
              <w:rPr>
                <w:lang w:val="en-GB"/>
              </w:rPr>
            </w:pPr>
            <w:r>
              <w:rPr>
                <w:lang w:val="en-GB"/>
              </w:rPr>
              <w:t>2,642.2</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F81F1F7" w14:textId="77777777" w:rsidR="008F6C2B" w:rsidRDefault="00B20E39">
            <w:pPr>
              <w:jc w:val="right"/>
              <w:rPr>
                <w:lang w:val="en-GB"/>
              </w:rPr>
            </w:pPr>
            <w:r>
              <w:rPr>
                <w:lang w:val="en-GB"/>
              </w:rPr>
              <w:t>2,420.50</w:t>
            </w:r>
          </w:p>
        </w:tc>
      </w:tr>
      <w:tr w:rsidR="008F6C2B" w14:paraId="4D823647"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5D493CFC" w14:textId="77777777" w:rsidR="008F6C2B" w:rsidRDefault="00B20E39">
            <w:pPr>
              <w:rPr>
                <w:lang w:val="en-GB"/>
              </w:rPr>
            </w:pPr>
            <w:r>
              <w:rPr>
                <w:lang w:val="en-GB"/>
              </w:rPr>
              <w:t>Operating profit</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DB58A81" w14:textId="77777777" w:rsidR="008F6C2B" w:rsidRDefault="00B20E39">
            <w:pPr>
              <w:jc w:val="right"/>
              <w:rPr>
                <w:lang w:val="en-GB"/>
              </w:rPr>
            </w:pPr>
            <w:r>
              <w:rPr>
                <w:lang w:val="en-GB"/>
              </w:rPr>
              <w:t>1,075.40</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88F537A" w14:textId="77777777" w:rsidR="008F6C2B" w:rsidRDefault="00B20E39">
            <w:pPr>
              <w:jc w:val="right"/>
              <w:rPr>
                <w:lang w:val="en-GB"/>
              </w:rPr>
            </w:pPr>
            <w:r>
              <w:rPr>
                <w:lang w:val="en-GB"/>
              </w:rPr>
              <w:t>987.9</w:t>
            </w:r>
          </w:p>
        </w:tc>
      </w:tr>
      <w:tr w:rsidR="008F6C2B" w14:paraId="5E6D872F"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17691C29" w14:textId="77777777" w:rsidR="008F6C2B" w:rsidRDefault="00B20E39">
            <w:pPr>
              <w:rPr>
                <w:lang w:val="en-GB"/>
              </w:rPr>
            </w:pPr>
            <w:r>
              <w:rPr>
                <w:lang w:val="en-GB"/>
              </w:rPr>
              <w:t>Net Profit</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66A069E" w14:textId="77777777" w:rsidR="008F6C2B" w:rsidRDefault="00B20E39">
            <w:pPr>
              <w:jc w:val="right"/>
              <w:rPr>
                <w:lang w:val="en-GB"/>
              </w:rPr>
            </w:pPr>
            <w:r>
              <w:rPr>
                <w:lang w:val="en-GB"/>
              </w:rPr>
              <w:t>743.2</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C8CBE4E" w14:textId="77777777" w:rsidR="008F6C2B" w:rsidRDefault="00B20E39">
            <w:pPr>
              <w:jc w:val="right"/>
              <w:rPr>
                <w:lang w:val="en-GB"/>
              </w:rPr>
            </w:pPr>
            <w:r>
              <w:rPr>
                <w:lang w:val="en-GB"/>
              </w:rPr>
              <w:t>800.5</w:t>
            </w:r>
          </w:p>
        </w:tc>
      </w:tr>
      <w:tr w:rsidR="008F6C2B" w14:paraId="05842A29"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AE7EF8A" w14:textId="77777777" w:rsidR="008F6C2B" w:rsidRDefault="00B20E39">
            <w:pPr>
              <w:rPr>
                <w:b/>
                <w:bCs/>
                <w:i/>
                <w:iCs/>
                <w:lang w:val="en-GB"/>
              </w:rPr>
            </w:pPr>
            <w:r>
              <w:rPr>
                <w:b/>
                <w:bCs/>
                <w:i/>
                <w:iCs/>
                <w:lang w:val="en-GB"/>
              </w:rPr>
              <w:t>Gross profit Margin</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EDD5654" w14:textId="77777777" w:rsidR="008F6C2B" w:rsidRDefault="00B20E39">
            <w:pPr>
              <w:jc w:val="right"/>
              <w:rPr>
                <w:b/>
                <w:bCs/>
                <w:i/>
                <w:iCs/>
                <w:lang w:val="en-GB"/>
              </w:rPr>
            </w:pPr>
            <w:r>
              <w:rPr>
                <w:b/>
                <w:bCs/>
                <w:i/>
                <w:iCs/>
                <w:lang w:val="en-GB"/>
              </w:rPr>
              <w:t>43%</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C459C26" w14:textId="77777777" w:rsidR="008F6C2B" w:rsidRDefault="00B20E39">
            <w:pPr>
              <w:jc w:val="right"/>
              <w:rPr>
                <w:b/>
                <w:bCs/>
                <w:i/>
                <w:iCs/>
                <w:lang w:val="en-GB"/>
              </w:rPr>
            </w:pPr>
            <w:r>
              <w:rPr>
                <w:b/>
                <w:bCs/>
                <w:i/>
                <w:iCs/>
                <w:lang w:val="en-GB"/>
              </w:rPr>
              <w:t>44%</w:t>
            </w:r>
          </w:p>
        </w:tc>
      </w:tr>
      <w:tr w:rsidR="008F6C2B" w14:paraId="69B1B0FC"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A521DE4" w14:textId="77777777" w:rsidR="008F6C2B" w:rsidRDefault="00B20E39">
            <w:pPr>
              <w:rPr>
                <w:b/>
                <w:bCs/>
                <w:lang w:val="en-GB"/>
              </w:rPr>
            </w:pPr>
            <w:r>
              <w:rPr>
                <w:b/>
                <w:bCs/>
                <w:lang w:val="en-GB"/>
              </w:rPr>
              <w:t>(Gross Profit/Sales)*100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B519A1A"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0491D554" w14:textId="77777777" w:rsidR="008F6C2B" w:rsidRDefault="00B20E39">
            <w:pPr>
              <w:rPr>
                <w:lang w:val="en-GB"/>
              </w:rPr>
            </w:pPr>
            <w:r>
              <w:rPr>
                <w:lang w:val="en-GB"/>
              </w:rPr>
              <w:t xml:space="preserve"> </w:t>
            </w:r>
          </w:p>
        </w:tc>
      </w:tr>
      <w:tr w:rsidR="008F6C2B" w14:paraId="27306796"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0DF9999" w14:textId="77777777" w:rsidR="008F6C2B" w:rsidRDefault="00B20E39">
            <w:pPr>
              <w:rPr>
                <w:b/>
                <w:bCs/>
                <w:i/>
                <w:iCs/>
                <w:lang w:val="en-GB"/>
              </w:rPr>
            </w:pPr>
            <w:r>
              <w:rPr>
                <w:b/>
                <w:bCs/>
                <w:i/>
                <w:iCs/>
                <w:lang w:val="en-GB"/>
              </w:rPr>
              <w:t>Operating  profit Margin</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D146B8E" w14:textId="77777777" w:rsidR="008F6C2B" w:rsidRDefault="00B20E39">
            <w:pPr>
              <w:jc w:val="right"/>
              <w:rPr>
                <w:b/>
                <w:bCs/>
                <w:i/>
                <w:iCs/>
                <w:lang w:val="en-GB"/>
              </w:rPr>
            </w:pPr>
            <w:r>
              <w:rPr>
                <w:b/>
                <w:bCs/>
                <w:i/>
                <w:iCs/>
                <w:lang w:val="en-GB"/>
              </w:rPr>
              <w:t>18%</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36F12C9" w14:textId="77777777" w:rsidR="008F6C2B" w:rsidRDefault="00B20E39">
            <w:pPr>
              <w:jc w:val="right"/>
              <w:rPr>
                <w:b/>
                <w:bCs/>
                <w:i/>
                <w:iCs/>
                <w:lang w:val="en-GB"/>
              </w:rPr>
            </w:pPr>
            <w:r>
              <w:rPr>
                <w:b/>
                <w:bCs/>
                <w:i/>
                <w:iCs/>
                <w:lang w:val="en-GB"/>
              </w:rPr>
              <w:t>18%</w:t>
            </w:r>
          </w:p>
        </w:tc>
      </w:tr>
      <w:tr w:rsidR="008F6C2B" w14:paraId="20636DFF"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0702B2AC" w14:textId="77777777" w:rsidR="008F6C2B" w:rsidRDefault="00B20E39">
            <w:pPr>
              <w:rPr>
                <w:b/>
                <w:bCs/>
                <w:lang w:val="en-GB"/>
              </w:rPr>
            </w:pPr>
            <w:r>
              <w:rPr>
                <w:b/>
                <w:bCs/>
                <w:lang w:val="en-GB"/>
              </w:rPr>
              <w:t>(Operating Profit/Sales)*100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0D8D2769"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B2DA016" w14:textId="77777777" w:rsidR="008F6C2B" w:rsidRDefault="00B20E39">
            <w:pPr>
              <w:rPr>
                <w:lang w:val="en-GB"/>
              </w:rPr>
            </w:pPr>
            <w:r>
              <w:rPr>
                <w:lang w:val="en-GB"/>
              </w:rPr>
              <w:t xml:space="preserve"> </w:t>
            </w:r>
          </w:p>
        </w:tc>
      </w:tr>
      <w:tr w:rsidR="008F6C2B" w14:paraId="03A84295"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17F88CF" w14:textId="77777777" w:rsidR="008F6C2B" w:rsidRDefault="00B20E39">
            <w:pPr>
              <w:rPr>
                <w:b/>
                <w:bCs/>
                <w:i/>
                <w:iCs/>
                <w:lang w:val="en-GB"/>
              </w:rPr>
            </w:pPr>
            <w:r>
              <w:rPr>
                <w:b/>
                <w:bCs/>
                <w:i/>
                <w:iCs/>
                <w:lang w:val="en-GB"/>
              </w:rPr>
              <w:t>Net profit Margin</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4B03761" w14:textId="77777777" w:rsidR="008F6C2B" w:rsidRDefault="00B20E39">
            <w:pPr>
              <w:jc w:val="right"/>
              <w:rPr>
                <w:b/>
                <w:bCs/>
                <w:i/>
                <w:iCs/>
                <w:lang w:val="en-GB"/>
              </w:rPr>
            </w:pPr>
            <w:r>
              <w:rPr>
                <w:b/>
                <w:bCs/>
                <w:i/>
                <w:iCs/>
                <w:lang w:val="en-GB"/>
              </w:rPr>
              <w:t>12%</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7495755" w14:textId="77777777" w:rsidR="008F6C2B" w:rsidRDefault="00B20E39">
            <w:pPr>
              <w:jc w:val="right"/>
              <w:rPr>
                <w:b/>
                <w:bCs/>
                <w:i/>
                <w:iCs/>
                <w:lang w:val="en-GB"/>
              </w:rPr>
            </w:pPr>
            <w:r>
              <w:rPr>
                <w:b/>
                <w:bCs/>
                <w:i/>
                <w:iCs/>
                <w:lang w:val="en-GB"/>
              </w:rPr>
              <w:t>15%</w:t>
            </w:r>
          </w:p>
        </w:tc>
      </w:tr>
      <w:tr w:rsidR="008F6C2B" w14:paraId="6F033803"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90EF46A" w14:textId="77777777" w:rsidR="008F6C2B" w:rsidRDefault="00B20E39">
            <w:pPr>
              <w:rPr>
                <w:b/>
                <w:bCs/>
                <w:lang w:val="en-GB"/>
              </w:rPr>
            </w:pPr>
            <w:r>
              <w:rPr>
                <w:b/>
                <w:bCs/>
                <w:lang w:val="en-GB"/>
              </w:rPr>
              <w:t>(Net Profit/Sales)*100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DC37FBD"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500871D1" w14:textId="77777777" w:rsidR="008F6C2B" w:rsidRDefault="00B20E39">
            <w:pPr>
              <w:rPr>
                <w:lang w:val="en-GB"/>
              </w:rPr>
            </w:pPr>
            <w:r>
              <w:rPr>
                <w:lang w:val="en-GB"/>
              </w:rPr>
              <w:t xml:space="preserve"> </w:t>
            </w:r>
          </w:p>
        </w:tc>
      </w:tr>
      <w:tr w:rsidR="008F6C2B" w14:paraId="26041907" w14:textId="77777777">
        <w:trPr>
          <w:trHeight w:val="28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988CA2A"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FC0AFDC"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E275566" w14:textId="77777777" w:rsidR="008F6C2B" w:rsidRDefault="008F6C2B">
            <w:pPr>
              <w:rPr>
                <w:lang w:val="en-GB"/>
              </w:rPr>
            </w:pPr>
          </w:p>
        </w:tc>
      </w:tr>
      <w:tr w:rsidR="008F6C2B" w14:paraId="004751D9" w14:textId="77777777">
        <w:trPr>
          <w:trHeight w:val="315"/>
          <w:jc w:val="center"/>
        </w:trPr>
        <w:tc>
          <w:tcPr>
            <w:tcW w:w="5000" w:type="pct"/>
            <w:gridSpan w:val="3"/>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0640D566" w14:textId="77777777" w:rsidR="008F6C2B" w:rsidRDefault="00B20E39">
            <w:pPr>
              <w:jc w:val="center"/>
              <w:rPr>
                <w:b/>
                <w:bCs/>
                <w:lang w:val="en-GB"/>
              </w:rPr>
            </w:pPr>
            <w:r>
              <w:rPr>
                <w:b/>
                <w:bCs/>
                <w:lang w:val="en-GB"/>
              </w:rPr>
              <w:t>Liquidity Ratios</w:t>
            </w:r>
          </w:p>
        </w:tc>
      </w:tr>
      <w:tr w:rsidR="008F6C2B" w14:paraId="3E5E0C56"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4B1B9041"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B79DDB6" w14:textId="77777777" w:rsidR="008F6C2B" w:rsidRDefault="00B20E39">
            <w:pPr>
              <w:jc w:val="center"/>
              <w:rPr>
                <w:b/>
                <w:bCs/>
                <w:lang w:val="en-GB"/>
              </w:rPr>
            </w:pPr>
            <w:r>
              <w:rPr>
                <w:b/>
                <w:bCs/>
                <w:lang w:val="en-GB"/>
              </w:rPr>
              <w:t>2025</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0D3B7E04" w14:textId="77777777" w:rsidR="008F6C2B" w:rsidRDefault="00B20E39">
            <w:pPr>
              <w:jc w:val="center"/>
              <w:rPr>
                <w:b/>
                <w:bCs/>
                <w:lang w:val="en-GB"/>
              </w:rPr>
            </w:pPr>
            <w:r>
              <w:rPr>
                <w:b/>
                <w:bCs/>
                <w:lang w:val="en-GB"/>
              </w:rPr>
              <w:t>2024</w:t>
            </w:r>
          </w:p>
        </w:tc>
      </w:tr>
      <w:tr w:rsidR="008F6C2B" w14:paraId="42357C88"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90C1184"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F08B95D" w14:textId="77777777" w:rsidR="008F6C2B" w:rsidRDefault="00B20E39">
            <w:pPr>
              <w:jc w:val="center"/>
              <w:rPr>
                <w:b/>
                <w:bCs/>
                <w:lang w:val="en-GB"/>
              </w:rPr>
            </w:pPr>
            <w:r>
              <w:rPr>
                <w:b/>
                <w:bCs/>
                <w:lang w:val="en-GB"/>
              </w:rPr>
              <w:t>£m</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CBBF868" w14:textId="77777777" w:rsidR="008F6C2B" w:rsidRDefault="00B20E39">
            <w:pPr>
              <w:jc w:val="center"/>
              <w:rPr>
                <w:b/>
                <w:bCs/>
                <w:lang w:val="en-GB"/>
              </w:rPr>
            </w:pPr>
            <w:r>
              <w:rPr>
                <w:b/>
                <w:bCs/>
                <w:lang w:val="en-GB"/>
              </w:rPr>
              <w:t>£m</w:t>
            </w:r>
          </w:p>
        </w:tc>
      </w:tr>
      <w:tr w:rsidR="008F6C2B" w14:paraId="0DFC7DE6"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18F74394" w14:textId="77777777" w:rsidR="008F6C2B" w:rsidRDefault="00B20E39">
            <w:pPr>
              <w:rPr>
                <w:lang w:val="en-GB"/>
              </w:rPr>
            </w:pPr>
            <w:r>
              <w:rPr>
                <w:lang w:val="en-GB"/>
              </w:rPr>
              <w:t>Current Assets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0E833E5" w14:textId="77777777" w:rsidR="008F6C2B" w:rsidRDefault="00B20E39">
            <w:pPr>
              <w:jc w:val="right"/>
              <w:rPr>
                <w:lang w:val="en-GB"/>
              </w:rPr>
            </w:pPr>
            <w:r>
              <w:rPr>
                <w:lang w:val="en-GB"/>
              </w:rPr>
              <w:t>2,649.90</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471BBBB2" w14:textId="77777777" w:rsidR="008F6C2B" w:rsidRDefault="00B20E39">
            <w:pPr>
              <w:jc w:val="right"/>
              <w:rPr>
                <w:lang w:val="en-GB"/>
              </w:rPr>
            </w:pPr>
            <w:r>
              <w:rPr>
                <w:lang w:val="en-GB"/>
              </w:rPr>
              <w:t>2,447.70</w:t>
            </w:r>
          </w:p>
        </w:tc>
      </w:tr>
      <w:tr w:rsidR="008F6C2B" w14:paraId="0DB55D58"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A76990D" w14:textId="77777777" w:rsidR="008F6C2B" w:rsidRDefault="00B20E39">
            <w:pPr>
              <w:rPr>
                <w:lang w:val="en-GB"/>
              </w:rPr>
            </w:pPr>
            <w:r>
              <w:rPr>
                <w:lang w:val="en-GB"/>
              </w:rPr>
              <w:t>Inventories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2DA5FEA" w14:textId="77777777" w:rsidR="008F6C2B" w:rsidRDefault="00B20E39">
            <w:pPr>
              <w:jc w:val="right"/>
              <w:rPr>
                <w:lang w:val="en-GB"/>
              </w:rPr>
            </w:pPr>
            <w:r>
              <w:rPr>
                <w:lang w:val="en-GB"/>
              </w:rPr>
              <w:t>865.2</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E9E65D5" w14:textId="77777777" w:rsidR="008F6C2B" w:rsidRDefault="00B20E39">
            <w:pPr>
              <w:jc w:val="right"/>
              <w:rPr>
                <w:lang w:val="en-GB"/>
              </w:rPr>
            </w:pPr>
            <w:r>
              <w:rPr>
                <w:lang w:val="en-GB"/>
              </w:rPr>
              <w:t>769</w:t>
            </w:r>
          </w:p>
        </w:tc>
      </w:tr>
      <w:tr w:rsidR="008F6C2B" w14:paraId="5E7322E9"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01CABEF5" w14:textId="77777777" w:rsidR="008F6C2B" w:rsidRDefault="00B20E39">
            <w:pPr>
              <w:rPr>
                <w:lang w:val="en-GB"/>
              </w:rPr>
            </w:pPr>
            <w:r>
              <w:rPr>
                <w:lang w:val="en-GB"/>
              </w:rPr>
              <w:t>Current Liabilities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A0C6324" w14:textId="77777777" w:rsidR="008F6C2B" w:rsidRDefault="00B20E39">
            <w:pPr>
              <w:jc w:val="right"/>
              <w:rPr>
                <w:lang w:val="en-GB"/>
              </w:rPr>
            </w:pPr>
            <w:r>
              <w:rPr>
                <w:lang w:val="en-GB"/>
              </w:rPr>
              <w:t>1,566</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8444761" w14:textId="77777777" w:rsidR="008F6C2B" w:rsidRDefault="00B20E39">
            <w:pPr>
              <w:jc w:val="right"/>
              <w:rPr>
                <w:lang w:val="en-GB"/>
              </w:rPr>
            </w:pPr>
            <w:r>
              <w:rPr>
                <w:lang w:val="en-GB"/>
              </w:rPr>
              <w:t>1,246</w:t>
            </w:r>
          </w:p>
        </w:tc>
      </w:tr>
      <w:tr w:rsidR="008F6C2B" w14:paraId="64C9B60C"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020F3A36" w14:textId="77777777" w:rsidR="008F6C2B" w:rsidRDefault="00B20E39">
            <w:pPr>
              <w:rPr>
                <w:b/>
                <w:bCs/>
                <w:i/>
                <w:iCs/>
                <w:lang w:val="en-GB"/>
              </w:rPr>
            </w:pPr>
            <w:r>
              <w:rPr>
                <w:b/>
                <w:bCs/>
                <w:i/>
                <w:iCs/>
                <w:lang w:val="en-GB"/>
              </w:rPr>
              <w:t>Current Ratio</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D38DCDF" w14:textId="77777777" w:rsidR="008F6C2B" w:rsidRDefault="00B20E39">
            <w:pPr>
              <w:jc w:val="right"/>
              <w:rPr>
                <w:b/>
                <w:bCs/>
                <w:i/>
                <w:iCs/>
                <w:lang w:val="en-GB"/>
              </w:rPr>
            </w:pPr>
            <w:r>
              <w:rPr>
                <w:b/>
                <w:bCs/>
                <w:i/>
                <w:iCs/>
                <w:lang w:val="en-GB"/>
              </w:rPr>
              <w:t>1.69</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97E13C8" w14:textId="77777777" w:rsidR="008F6C2B" w:rsidRDefault="00B20E39">
            <w:pPr>
              <w:jc w:val="right"/>
              <w:rPr>
                <w:b/>
                <w:bCs/>
                <w:i/>
                <w:iCs/>
                <w:lang w:val="en-GB"/>
              </w:rPr>
            </w:pPr>
            <w:r>
              <w:rPr>
                <w:b/>
                <w:bCs/>
                <w:i/>
                <w:iCs/>
                <w:lang w:val="en-GB"/>
              </w:rPr>
              <w:t>1.96</w:t>
            </w:r>
          </w:p>
        </w:tc>
      </w:tr>
      <w:tr w:rsidR="008F6C2B" w14:paraId="39202569"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959D4C2" w14:textId="77777777" w:rsidR="008F6C2B" w:rsidRDefault="00B20E39">
            <w:pPr>
              <w:rPr>
                <w:b/>
                <w:bCs/>
                <w:lang w:val="en-GB"/>
              </w:rPr>
            </w:pPr>
            <w:r>
              <w:rPr>
                <w:b/>
                <w:bCs/>
                <w:lang w:val="en-GB"/>
              </w:rPr>
              <w:t>(Current Assets/Current Liabilities)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643ED9D"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6FFA9C1" w14:textId="77777777" w:rsidR="008F6C2B" w:rsidRDefault="00B20E39">
            <w:pPr>
              <w:rPr>
                <w:lang w:val="en-GB"/>
              </w:rPr>
            </w:pPr>
            <w:r>
              <w:rPr>
                <w:lang w:val="en-GB"/>
              </w:rPr>
              <w:t xml:space="preserve"> </w:t>
            </w:r>
          </w:p>
        </w:tc>
      </w:tr>
      <w:tr w:rsidR="008F6C2B" w14:paraId="02E14A99"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147EDE3" w14:textId="77777777" w:rsidR="008F6C2B" w:rsidRDefault="00B20E39">
            <w:pPr>
              <w:rPr>
                <w:b/>
                <w:bCs/>
                <w:i/>
                <w:iCs/>
                <w:lang w:val="en-GB"/>
              </w:rPr>
            </w:pPr>
            <w:r>
              <w:rPr>
                <w:b/>
                <w:bCs/>
                <w:i/>
                <w:iCs/>
                <w:lang w:val="en-GB"/>
              </w:rPr>
              <w:t>Quick Ratio</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5F7DCE8B" w14:textId="77777777" w:rsidR="008F6C2B" w:rsidRDefault="00B20E39">
            <w:pPr>
              <w:jc w:val="right"/>
              <w:rPr>
                <w:b/>
                <w:bCs/>
                <w:i/>
                <w:iCs/>
                <w:lang w:val="en-GB"/>
              </w:rPr>
            </w:pPr>
            <w:r>
              <w:rPr>
                <w:b/>
                <w:bCs/>
                <w:i/>
                <w:iCs/>
                <w:lang w:val="en-GB"/>
              </w:rPr>
              <w:t>1.14</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869835C" w14:textId="77777777" w:rsidR="008F6C2B" w:rsidRDefault="00B20E39">
            <w:pPr>
              <w:jc w:val="right"/>
              <w:rPr>
                <w:b/>
                <w:bCs/>
                <w:i/>
                <w:iCs/>
                <w:lang w:val="en-GB"/>
              </w:rPr>
            </w:pPr>
            <w:r>
              <w:rPr>
                <w:b/>
                <w:bCs/>
                <w:i/>
                <w:iCs/>
                <w:lang w:val="en-GB"/>
              </w:rPr>
              <w:t>1.35</w:t>
            </w:r>
          </w:p>
        </w:tc>
      </w:tr>
      <w:tr w:rsidR="008F6C2B" w14:paraId="763C0356"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17F791E5" w14:textId="77777777" w:rsidR="008F6C2B" w:rsidRDefault="00B20E39">
            <w:pPr>
              <w:rPr>
                <w:b/>
                <w:bCs/>
                <w:lang w:val="en-GB"/>
              </w:rPr>
            </w:pPr>
            <w:r>
              <w:rPr>
                <w:b/>
                <w:bCs/>
                <w:lang w:val="en-GB"/>
              </w:rPr>
              <w:t>(Current Assets- Inventories)/Current Liabilities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0FA4CE85"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40938401" w14:textId="77777777" w:rsidR="008F6C2B" w:rsidRDefault="00B20E39">
            <w:pPr>
              <w:rPr>
                <w:lang w:val="en-GB"/>
              </w:rPr>
            </w:pPr>
            <w:r>
              <w:rPr>
                <w:lang w:val="en-GB"/>
              </w:rPr>
              <w:t xml:space="preserve"> </w:t>
            </w:r>
          </w:p>
        </w:tc>
      </w:tr>
      <w:tr w:rsidR="008F6C2B" w14:paraId="01F46990" w14:textId="77777777">
        <w:trPr>
          <w:trHeight w:val="28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7758E670"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88D3B9E"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4D34E9A6" w14:textId="77777777" w:rsidR="008F6C2B" w:rsidRDefault="008F6C2B">
            <w:pPr>
              <w:rPr>
                <w:lang w:val="en-GB"/>
              </w:rPr>
            </w:pPr>
          </w:p>
        </w:tc>
      </w:tr>
      <w:tr w:rsidR="008F6C2B" w14:paraId="5EC810BA" w14:textId="77777777">
        <w:trPr>
          <w:trHeight w:val="315"/>
          <w:jc w:val="center"/>
        </w:trPr>
        <w:tc>
          <w:tcPr>
            <w:tcW w:w="5000" w:type="pct"/>
            <w:gridSpan w:val="3"/>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18826E24" w14:textId="77777777" w:rsidR="008F6C2B" w:rsidRDefault="00B20E39">
            <w:pPr>
              <w:jc w:val="center"/>
              <w:rPr>
                <w:b/>
                <w:bCs/>
                <w:lang w:val="en-GB"/>
              </w:rPr>
            </w:pPr>
            <w:r>
              <w:rPr>
                <w:b/>
                <w:bCs/>
                <w:lang w:val="en-GB"/>
              </w:rPr>
              <w:t>Gearing Ratios</w:t>
            </w:r>
          </w:p>
        </w:tc>
      </w:tr>
      <w:tr w:rsidR="008F6C2B" w14:paraId="1CFFE695"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C36A283"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705477F" w14:textId="77777777" w:rsidR="008F6C2B" w:rsidRDefault="00B20E39">
            <w:pPr>
              <w:jc w:val="center"/>
              <w:rPr>
                <w:b/>
                <w:bCs/>
                <w:lang w:val="en-GB"/>
              </w:rPr>
            </w:pPr>
            <w:r>
              <w:rPr>
                <w:b/>
                <w:bCs/>
                <w:lang w:val="en-GB"/>
              </w:rPr>
              <w:t>2025</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409486B0" w14:textId="77777777" w:rsidR="008F6C2B" w:rsidRDefault="00B20E39">
            <w:pPr>
              <w:jc w:val="center"/>
              <w:rPr>
                <w:b/>
                <w:bCs/>
                <w:lang w:val="en-GB"/>
              </w:rPr>
            </w:pPr>
            <w:r>
              <w:rPr>
                <w:b/>
                <w:bCs/>
                <w:lang w:val="en-GB"/>
              </w:rPr>
              <w:t>2024</w:t>
            </w:r>
          </w:p>
        </w:tc>
      </w:tr>
      <w:tr w:rsidR="008F6C2B" w14:paraId="5DD42342"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03D9109"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4F1D4DE" w14:textId="77777777" w:rsidR="008F6C2B" w:rsidRDefault="00B20E39">
            <w:pPr>
              <w:jc w:val="center"/>
              <w:rPr>
                <w:b/>
                <w:bCs/>
                <w:lang w:val="en-GB"/>
              </w:rPr>
            </w:pPr>
            <w:r>
              <w:rPr>
                <w:b/>
                <w:bCs/>
                <w:lang w:val="en-GB"/>
              </w:rPr>
              <w:t>£m</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C80373D" w14:textId="77777777" w:rsidR="008F6C2B" w:rsidRDefault="00B20E39">
            <w:pPr>
              <w:jc w:val="center"/>
              <w:rPr>
                <w:b/>
                <w:bCs/>
                <w:lang w:val="en-GB"/>
              </w:rPr>
            </w:pPr>
            <w:r>
              <w:rPr>
                <w:b/>
                <w:bCs/>
                <w:lang w:val="en-GB"/>
              </w:rPr>
              <w:t>£m</w:t>
            </w:r>
          </w:p>
        </w:tc>
      </w:tr>
      <w:tr w:rsidR="008F6C2B" w14:paraId="41386404"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E597DCF" w14:textId="77777777" w:rsidR="008F6C2B" w:rsidRDefault="00B20E39">
            <w:pPr>
              <w:rPr>
                <w:lang w:val="en-GB"/>
              </w:rPr>
            </w:pPr>
            <w:r>
              <w:rPr>
                <w:lang w:val="en-GB"/>
              </w:rPr>
              <w:t>Total debt</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A3C3814" w14:textId="77777777" w:rsidR="008F6C2B" w:rsidRDefault="00B20E39">
            <w:pPr>
              <w:jc w:val="right"/>
              <w:rPr>
                <w:lang w:val="en-GB"/>
              </w:rPr>
            </w:pPr>
            <w:r>
              <w:rPr>
                <w:lang w:val="en-GB"/>
              </w:rPr>
              <w:t>1,551.80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34034DA" w14:textId="77777777" w:rsidR="008F6C2B" w:rsidRDefault="00B20E39">
            <w:pPr>
              <w:jc w:val="right"/>
              <w:rPr>
                <w:lang w:val="en-GB"/>
              </w:rPr>
            </w:pPr>
            <w:r>
              <w:rPr>
                <w:lang w:val="en-GB"/>
              </w:rPr>
              <w:t>1,839.80</w:t>
            </w:r>
          </w:p>
        </w:tc>
      </w:tr>
      <w:tr w:rsidR="008F6C2B" w14:paraId="532C5052"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B61B89C" w14:textId="77777777" w:rsidR="008F6C2B" w:rsidRDefault="00B20E39">
            <w:pPr>
              <w:rPr>
                <w:lang w:val="en-GB"/>
              </w:rPr>
            </w:pPr>
            <w:r>
              <w:rPr>
                <w:lang w:val="en-GB"/>
              </w:rPr>
              <w:t>Total Equity</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EF3F344" w14:textId="77777777" w:rsidR="008F6C2B" w:rsidRDefault="00B20E39">
            <w:pPr>
              <w:jc w:val="right"/>
              <w:rPr>
                <w:lang w:val="en-GB"/>
              </w:rPr>
            </w:pPr>
            <w:r>
              <w:rPr>
                <w:lang w:val="en-GB"/>
              </w:rPr>
              <w:t>1,754.30</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4FC85331" w14:textId="77777777" w:rsidR="008F6C2B" w:rsidRDefault="00B20E39">
            <w:pPr>
              <w:jc w:val="right"/>
              <w:rPr>
                <w:lang w:val="en-GB"/>
              </w:rPr>
            </w:pPr>
            <w:r>
              <w:rPr>
                <w:lang w:val="en-GB"/>
              </w:rPr>
              <w:t>1,638.80</w:t>
            </w:r>
          </w:p>
        </w:tc>
      </w:tr>
      <w:tr w:rsidR="008F6C2B" w14:paraId="45F546A1"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6124B9A" w14:textId="77777777" w:rsidR="008F6C2B" w:rsidRDefault="00B20E39">
            <w:pPr>
              <w:rPr>
                <w:lang w:val="en-GB"/>
              </w:rPr>
            </w:pPr>
            <w:r>
              <w:rPr>
                <w:lang w:val="en-GB"/>
              </w:rPr>
              <w:t>Total Assets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66EB4FC6" w14:textId="77777777" w:rsidR="008F6C2B" w:rsidRDefault="00B20E39">
            <w:pPr>
              <w:jc w:val="right"/>
              <w:rPr>
                <w:lang w:val="en-GB"/>
              </w:rPr>
            </w:pPr>
            <w:r>
              <w:rPr>
                <w:lang w:val="en-GB"/>
              </w:rPr>
              <w:t>4,872.50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6C60504B" w14:textId="77777777" w:rsidR="008F6C2B" w:rsidRDefault="00B20E39">
            <w:pPr>
              <w:jc w:val="right"/>
              <w:rPr>
                <w:lang w:val="en-GB"/>
              </w:rPr>
            </w:pPr>
            <w:r>
              <w:rPr>
                <w:lang w:val="en-GB"/>
              </w:rPr>
              <w:t>4,724.30</w:t>
            </w:r>
          </w:p>
        </w:tc>
      </w:tr>
      <w:tr w:rsidR="008F6C2B" w14:paraId="44754002"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DA37237" w14:textId="77777777" w:rsidR="008F6C2B" w:rsidRDefault="00B20E39">
            <w:pPr>
              <w:rPr>
                <w:b/>
                <w:bCs/>
                <w:i/>
                <w:iCs/>
                <w:lang w:val="en-GB"/>
              </w:rPr>
            </w:pPr>
            <w:r>
              <w:rPr>
                <w:b/>
                <w:bCs/>
                <w:i/>
                <w:iCs/>
                <w:lang w:val="en-GB"/>
              </w:rPr>
              <w:t>Debt-Equity Ratio</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2619F1E" w14:textId="77777777" w:rsidR="008F6C2B" w:rsidRDefault="00B20E39">
            <w:pPr>
              <w:jc w:val="right"/>
              <w:rPr>
                <w:b/>
                <w:bCs/>
                <w:i/>
                <w:iCs/>
                <w:lang w:val="en-GB"/>
              </w:rPr>
            </w:pPr>
            <w:r>
              <w:rPr>
                <w:b/>
                <w:bCs/>
                <w:i/>
                <w:iCs/>
                <w:lang w:val="en-GB"/>
              </w:rPr>
              <w:t>0.88</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6221464" w14:textId="77777777" w:rsidR="008F6C2B" w:rsidRDefault="00B20E39">
            <w:pPr>
              <w:jc w:val="right"/>
              <w:rPr>
                <w:b/>
                <w:bCs/>
                <w:i/>
                <w:iCs/>
                <w:lang w:val="en-GB"/>
              </w:rPr>
            </w:pPr>
            <w:r>
              <w:rPr>
                <w:b/>
                <w:bCs/>
                <w:i/>
                <w:iCs/>
                <w:lang w:val="en-GB"/>
              </w:rPr>
              <w:t>1.12</w:t>
            </w:r>
          </w:p>
        </w:tc>
      </w:tr>
      <w:tr w:rsidR="008F6C2B" w14:paraId="179ED239"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12553FB" w14:textId="77777777" w:rsidR="008F6C2B" w:rsidRDefault="00B20E39">
            <w:pPr>
              <w:rPr>
                <w:b/>
                <w:bCs/>
                <w:lang w:val="en-GB"/>
              </w:rPr>
            </w:pPr>
            <w:r>
              <w:rPr>
                <w:b/>
                <w:bCs/>
                <w:lang w:val="en-GB"/>
              </w:rPr>
              <w:t>(Total debt/ Total equity)</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013BA6B"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FE38CD6" w14:textId="77777777" w:rsidR="008F6C2B" w:rsidRDefault="00B20E39">
            <w:pPr>
              <w:rPr>
                <w:lang w:val="en-GB"/>
              </w:rPr>
            </w:pPr>
            <w:r>
              <w:rPr>
                <w:lang w:val="en-GB"/>
              </w:rPr>
              <w:t xml:space="preserve"> </w:t>
            </w:r>
          </w:p>
        </w:tc>
      </w:tr>
      <w:tr w:rsidR="008F6C2B" w14:paraId="2D99A8BE"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42F39E70" w14:textId="77777777" w:rsidR="008F6C2B" w:rsidRDefault="00B20E39">
            <w:pPr>
              <w:rPr>
                <w:b/>
                <w:bCs/>
                <w:i/>
                <w:iCs/>
                <w:lang w:val="en-GB"/>
              </w:rPr>
            </w:pPr>
            <w:r>
              <w:rPr>
                <w:b/>
                <w:bCs/>
                <w:i/>
                <w:iCs/>
                <w:lang w:val="en-GB"/>
              </w:rPr>
              <w:t>Debt-Asset Ratio</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711FE57" w14:textId="77777777" w:rsidR="008F6C2B" w:rsidRDefault="00B20E39">
            <w:pPr>
              <w:jc w:val="right"/>
              <w:rPr>
                <w:b/>
                <w:bCs/>
                <w:i/>
                <w:iCs/>
                <w:lang w:val="en-GB"/>
              </w:rPr>
            </w:pPr>
            <w:r>
              <w:rPr>
                <w:b/>
                <w:bCs/>
                <w:i/>
                <w:iCs/>
                <w:lang w:val="en-GB"/>
              </w:rPr>
              <w:t>0.32</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857064E" w14:textId="77777777" w:rsidR="008F6C2B" w:rsidRDefault="00B20E39">
            <w:pPr>
              <w:jc w:val="right"/>
              <w:rPr>
                <w:b/>
                <w:bCs/>
                <w:i/>
                <w:iCs/>
                <w:lang w:val="en-GB"/>
              </w:rPr>
            </w:pPr>
            <w:r>
              <w:rPr>
                <w:b/>
                <w:bCs/>
                <w:i/>
                <w:iCs/>
                <w:lang w:val="en-GB"/>
              </w:rPr>
              <w:t>0.39</w:t>
            </w:r>
          </w:p>
        </w:tc>
      </w:tr>
      <w:tr w:rsidR="008F6C2B" w14:paraId="32A3584B"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7AEB42A8" w14:textId="77777777" w:rsidR="008F6C2B" w:rsidRDefault="00B20E39">
            <w:pPr>
              <w:rPr>
                <w:b/>
                <w:bCs/>
                <w:lang w:val="en-GB"/>
              </w:rPr>
            </w:pPr>
            <w:r>
              <w:rPr>
                <w:b/>
                <w:bCs/>
                <w:lang w:val="en-GB"/>
              </w:rPr>
              <w:t>(Total Deb/Total Assets)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E692BBB"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3BF72CA" w14:textId="77777777" w:rsidR="008F6C2B" w:rsidRDefault="00B20E39">
            <w:pPr>
              <w:rPr>
                <w:lang w:val="en-GB"/>
              </w:rPr>
            </w:pPr>
            <w:r>
              <w:rPr>
                <w:lang w:val="en-GB"/>
              </w:rPr>
              <w:t xml:space="preserve"> </w:t>
            </w:r>
          </w:p>
        </w:tc>
      </w:tr>
      <w:tr w:rsidR="008F6C2B" w14:paraId="7767E947" w14:textId="77777777">
        <w:trPr>
          <w:trHeight w:val="28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F7F15D4"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09754507"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2E5DD4E" w14:textId="77777777" w:rsidR="008F6C2B" w:rsidRDefault="008F6C2B">
            <w:pPr>
              <w:rPr>
                <w:lang w:val="en-GB"/>
              </w:rPr>
            </w:pPr>
          </w:p>
        </w:tc>
      </w:tr>
      <w:tr w:rsidR="008F6C2B" w14:paraId="3FF89A07" w14:textId="77777777">
        <w:trPr>
          <w:trHeight w:val="315"/>
          <w:jc w:val="center"/>
        </w:trPr>
        <w:tc>
          <w:tcPr>
            <w:tcW w:w="5000" w:type="pct"/>
            <w:gridSpan w:val="3"/>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86D30DE" w14:textId="77777777" w:rsidR="008F6C2B" w:rsidRDefault="00B20E39">
            <w:pPr>
              <w:jc w:val="center"/>
              <w:rPr>
                <w:b/>
                <w:bCs/>
                <w:lang w:val="en-GB"/>
              </w:rPr>
            </w:pPr>
            <w:r>
              <w:rPr>
                <w:b/>
                <w:bCs/>
                <w:lang w:val="en-GB"/>
              </w:rPr>
              <w:t>Efficiency  Ratios</w:t>
            </w:r>
          </w:p>
        </w:tc>
      </w:tr>
      <w:tr w:rsidR="008F6C2B" w14:paraId="1E767C94"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F39CF2B"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7CD692F" w14:textId="77777777" w:rsidR="008F6C2B" w:rsidRDefault="00B20E39">
            <w:pPr>
              <w:jc w:val="center"/>
              <w:rPr>
                <w:b/>
                <w:bCs/>
                <w:lang w:val="en-GB"/>
              </w:rPr>
            </w:pPr>
            <w:r>
              <w:rPr>
                <w:b/>
                <w:bCs/>
                <w:lang w:val="en-GB"/>
              </w:rPr>
              <w:t>2025</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0E48EB45" w14:textId="77777777" w:rsidR="008F6C2B" w:rsidRDefault="00B20E39">
            <w:pPr>
              <w:jc w:val="center"/>
              <w:rPr>
                <w:b/>
                <w:bCs/>
                <w:lang w:val="en-GB"/>
              </w:rPr>
            </w:pPr>
            <w:r>
              <w:rPr>
                <w:b/>
                <w:bCs/>
                <w:lang w:val="en-GB"/>
              </w:rPr>
              <w:t>2024</w:t>
            </w:r>
          </w:p>
        </w:tc>
      </w:tr>
      <w:tr w:rsidR="008F6C2B" w14:paraId="35ED15E7"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4295EA52"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0C4B1A3E" w14:textId="77777777" w:rsidR="008F6C2B" w:rsidRDefault="00B20E39">
            <w:pPr>
              <w:jc w:val="center"/>
              <w:rPr>
                <w:b/>
                <w:bCs/>
                <w:lang w:val="en-GB"/>
              </w:rPr>
            </w:pPr>
            <w:r>
              <w:rPr>
                <w:b/>
                <w:bCs/>
                <w:lang w:val="en-GB"/>
              </w:rPr>
              <w:t>£m</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83A76D2" w14:textId="77777777" w:rsidR="008F6C2B" w:rsidRDefault="00B20E39">
            <w:pPr>
              <w:jc w:val="center"/>
              <w:rPr>
                <w:b/>
                <w:bCs/>
                <w:lang w:val="en-GB"/>
              </w:rPr>
            </w:pPr>
            <w:r>
              <w:rPr>
                <w:b/>
                <w:bCs/>
                <w:lang w:val="en-GB"/>
              </w:rPr>
              <w:t>£m</w:t>
            </w:r>
          </w:p>
        </w:tc>
      </w:tr>
      <w:tr w:rsidR="008F6C2B" w14:paraId="320F6D7E"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36E20EC" w14:textId="77777777" w:rsidR="008F6C2B" w:rsidRDefault="00B20E39">
            <w:pPr>
              <w:rPr>
                <w:lang w:val="en-GB"/>
              </w:rPr>
            </w:pPr>
            <w:r>
              <w:rPr>
                <w:lang w:val="en-GB"/>
              </w:rPr>
              <w:t>Revenue</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2F1EE0E" w14:textId="77777777" w:rsidR="008F6C2B" w:rsidRDefault="00B20E39">
            <w:pPr>
              <w:jc w:val="right"/>
              <w:rPr>
                <w:lang w:val="en-GB"/>
              </w:rPr>
            </w:pPr>
            <w:r>
              <w:rPr>
                <w:lang w:val="en-GB"/>
              </w:rPr>
              <w:t>6118.1</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6464D46" w14:textId="77777777" w:rsidR="008F6C2B" w:rsidRDefault="00B20E39">
            <w:pPr>
              <w:jc w:val="right"/>
              <w:rPr>
                <w:lang w:val="en-GB"/>
              </w:rPr>
            </w:pPr>
            <w:r>
              <w:rPr>
                <w:lang w:val="en-GB"/>
              </w:rPr>
              <w:t>5491.00</w:t>
            </w:r>
          </w:p>
        </w:tc>
      </w:tr>
      <w:tr w:rsidR="008F6C2B" w14:paraId="6448B3F0"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14E8464E" w14:textId="77777777" w:rsidR="008F6C2B" w:rsidRDefault="00B20E39">
            <w:pPr>
              <w:rPr>
                <w:lang w:val="en-GB"/>
              </w:rPr>
            </w:pPr>
            <w:r>
              <w:rPr>
                <w:lang w:val="en-GB"/>
              </w:rPr>
              <w:t>Accounts receivables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DDDD569" w14:textId="77777777" w:rsidR="008F6C2B" w:rsidRDefault="00B20E39">
            <w:pPr>
              <w:jc w:val="right"/>
              <w:rPr>
                <w:lang w:val="en-GB"/>
              </w:rPr>
            </w:pPr>
            <w:r>
              <w:rPr>
                <w:lang w:val="en-GB"/>
              </w:rPr>
              <w:t>1,508.40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250E407" w14:textId="77777777" w:rsidR="008F6C2B" w:rsidRDefault="00B20E39">
            <w:pPr>
              <w:jc w:val="right"/>
              <w:rPr>
                <w:lang w:val="en-GB"/>
              </w:rPr>
            </w:pPr>
            <w:r>
              <w:rPr>
                <w:lang w:val="en-GB"/>
              </w:rPr>
              <w:t>1,452.80</w:t>
            </w:r>
          </w:p>
        </w:tc>
      </w:tr>
      <w:tr w:rsidR="008F6C2B" w14:paraId="35E98CF9"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542BDE65" w14:textId="77777777" w:rsidR="008F6C2B" w:rsidRDefault="00B20E39">
            <w:pPr>
              <w:rPr>
                <w:lang w:val="en-GB"/>
              </w:rPr>
            </w:pPr>
            <w:r>
              <w:rPr>
                <w:lang w:val="en-GB"/>
              </w:rPr>
              <w:t>Inventories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1FFAB39" w14:textId="77777777" w:rsidR="008F6C2B" w:rsidRDefault="00B20E39">
            <w:pPr>
              <w:jc w:val="right"/>
              <w:rPr>
                <w:lang w:val="en-GB"/>
              </w:rPr>
            </w:pPr>
            <w:r>
              <w:rPr>
                <w:lang w:val="en-GB"/>
              </w:rPr>
              <w:t>865.2</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8587E14" w14:textId="77777777" w:rsidR="008F6C2B" w:rsidRDefault="00B20E39">
            <w:pPr>
              <w:jc w:val="right"/>
              <w:rPr>
                <w:lang w:val="en-GB"/>
              </w:rPr>
            </w:pPr>
            <w:r>
              <w:rPr>
                <w:lang w:val="en-GB"/>
              </w:rPr>
              <w:t>769</w:t>
            </w:r>
          </w:p>
        </w:tc>
      </w:tr>
      <w:tr w:rsidR="008F6C2B" w14:paraId="57E77971"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5BD1FFC7" w14:textId="77777777" w:rsidR="008F6C2B" w:rsidRDefault="00B20E39">
            <w:pPr>
              <w:rPr>
                <w:lang w:val="en-GB"/>
              </w:rPr>
            </w:pPr>
            <w:r>
              <w:rPr>
                <w:lang w:val="en-GB"/>
              </w:rPr>
              <w:t>Cost of Sales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24E4E89" w14:textId="77777777" w:rsidR="008F6C2B" w:rsidRDefault="00B20E39">
            <w:pPr>
              <w:jc w:val="right"/>
              <w:rPr>
                <w:lang w:val="en-GB"/>
              </w:rPr>
            </w:pPr>
            <w:r>
              <w:rPr>
                <w:lang w:val="en-GB"/>
              </w:rPr>
              <w:t>3,456.5</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31279E0F" w14:textId="77777777" w:rsidR="008F6C2B" w:rsidRDefault="00B20E39">
            <w:pPr>
              <w:jc w:val="right"/>
              <w:rPr>
                <w:lang w:val="en-GB"/>
              </w:rPr>
            </w:pPr>
            <w:r>
              <w:rPr>
                <w:lang w:val="en-GB"/>
              </w:rPr>
              <w:t>3,034.5</w:t>
            </w:r>
          </w:p>
        </w:tc>
      </w:tr>
      <w:tr w:rsidR="008F6C2B" w14:paraId="01C86156"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62AD5A4" w14:textId="77777777" w:rsidR="008F6C2B" w:rsidRDefault="00B20E39">
            <w:pPr>
              <w:rPr>
                <w:b/>
                <w:bCs/>
                <w:i/>
                <w:iCs/>
                <w:lang w:val="en-GB"/>
              </w:rPr>
            </w:pPr>
            <w:r>
              <w:rPr>
                <w:b/>
                <w:bCs/>
                <w:i/>
                <w:iCs/>
                <w:lang w:val="en-GB"/>
              </w:rPr>
              <w:t>Receivable Turnover Ratio</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452DC82" w14:textId="77777777" w:rsidR="008F6C2B" w:rsidRDefault="00B20E39">
            <w:pPr>
              <w:jc w:val="right"/>
              <w:rPr>
                <w:b/>
                <w:bCs/>
                <w:i/>
                <w:iCs/>
                <w:lang w:val="en-GB"/>
              </w:rPr>
            </w:pPr>
            <w:r>
              <w:rPr>
                <w:b/>
                <w:bCs/>
                <w:i/>
                <w:iCs/>
                <w:lang w:val="en-GB"/>
              </w:rPr>
              <w:t>4.06</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49E2183B" w14:textId="77777777" w:rsidR="008F6C2B" w:rsidRDefault="00B20E39">
            <w:pPr>
              <w:jc w:val="right"/>
              <w:rPr>
                <w:b/>
                <w:bCs/>
                <w:i/>
                <w:iCs/>
                <w:lang w:val="en-GB"/>
              </w:rPr>
            </w:pPr>
            <w:r>
              <w:rPr>
                <w:b/>
                <w:bCs/>
                <w:i/>
                <w:iCs/>
                <w:lang w:val="en-GB"/>
              </w:rPr>
              <w:t>3.78</w:t>
            </w:r>
          </w:p>
        </w:tc>
      </w:tr>
      <w:tr w:rsidR="008F6C2B" w14:paraId="57E6B61A"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7F4AC1CE" w14:textId="77777777" w:rsidR="008F6C2B" w:rsidRDefault="00B20E39">
            <w:pPr>
              <w:rPr>
                <w:b/>
                <w:bCs/>
                <w:lang w:val="en-GB"/>
              </w:rPr>
            </w:pPr>
            <w:r>
              <w:rPr>
                <w:b/>
                <w:bCs/>
                <w:lang w:val="en-GB"/>
              </w:rPr>
              <w:t>(Sales/Account Receivables)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1FA0A6D"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06EDB7B" w14:textId="77777777" w:rsidR="008F6C2B" w:rsidRDefault="00B20E39">
            <w:pPr>
              <w:rPr>
                <w:lang w:val="en-GB"/>
              </w:rPr>
            </w:pPr>
            <w:r>
              <w:rPr>
                <w:lang w:val="en-GB"/>
              </w:rPr>
              <w:t xml:space="preserve"> </w:t>
            </w:r>
          </w:p>
        </w:tc>
      </w:tr>
      <w:tr w:rsidR="008F6C2B" w14:paraId="7C09F685"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48E4FB08" w14:textId="77777777" w:rsidR="008F6C2B" w:rsidRDefault="00B20E39">
            <w:pPr>
              <w:rPr>
                <w:b/>
                <w:bCs/>
                <w:i/>
                <w:iCs/>
                <w:lang w:val="en-GB"/>
              </w:rPr>
            </w:pPr>
            <w:r>
              <w:rPr>
                <w:b/>
                <w:bCs/>
                <w:i/>
                <w:iCs/>
                <w:lang w:val="en-GB"/>
              </w:rPr>
              <w:t>Inventory Turnover Ratio</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37F37DA" w14:textId="77777777" w:rsidR="008F6C2B" w:rsidRDefault="00B20E39">
            <w:pPr>
              <w:jc w:val="right"/>
              <w:rPr>
                <w:b/>
                <w:bCs/>
                <w:i/>
                <w:iCs/>
                <w:lang w:val="en-GB"/>
              </w:rPr>
            </w:pPr>
            <w:r>
              <w:rPr>
                <w:b/>
                <w:bCs/>
                <w:i/>
                <w:iCs/>
                <w:lang w:val="en-GB"/>
              </w:rPr>
              <w:t>4.00</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28E66C9" w14:textId="77777777" w:rsidR="008F6C2B" w:rsidRDefault="00B20E39">
            <w:pPr>
              <w:jc w:val="right"/>
              <w:rPr>
                <w:b/>
                <w:bCs/>
                <w:i/>
                <w:iCs/>
                <w:lang w:val="en-GB"/>
              </w:rPr>
            </w:pPr>
            <w:r>
              <w:rPr>
                <w:b/>
                <w:bCs/>
                <w:i/>
                <w:iCs/>
                <w:lang w:val="en-GB"/>
              </w:rPr>
              <w:t>3.95</w:t>
            </w:r>
          </w:p>
        </w:tc>
      </w:tr>
      <w:tr w:rsidR="008F6C2B" w14:paraId="31CF05DE"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54353CA" w14:textId="77777777" w:rsidR="008F6C2B" w:rsidRDefault="00B20E39">
            <w:pPr>
              <w:rPr>
                <w:b/>
                <w:bCs/>
                <w:lang w:val="en-GB"/>
              </w:rPr>
            </w:pPr>
            <w:r>
              <w:rPr>
                <w:b/>
                <w:bCs/>
                <w:lang w:val="en-GB"/>
              </w:rPr>
              <w:t>(Cost of Sales/ Inventories)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2F22F72"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4012F1B2" w14:textId="77777777" w:rsidR="008F6C2B" w:rsidRDefault="00B20E39">
            <w:pPr>
              <w:rPr>
                <w:lang w:val="en-GB"/>
              </w:rPr>
            </w:pPr>
            <w:r>
              <w:rPr>
                <w:lang w:val="en-GB"/>
              </w:rPr>
              <w:t xml:space="preserve"> </w:t>
            </w:r>
          </w:p>
        </w:tc>
      </w:tr>
      <w:tr w:rsidR="008F6C2B" w14:paraId="2D85E4CE" w14:textId="77777777">
        <w:trPr>
          <w:trHeight w:val="28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E20E512"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F00D20E" w14:textId="77777777" w:rsidR="008F6C2B" w:rsidRDefault="008F6C2B">
            <w:pPr>
              <w:rPr>
                <w:lang w:val="en-GB"/>
              </w:rPr>
            </w:pP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D87604A" w14:textId="77777777" w:rsidR="008F6C2B" w:rsidRDefault="008F6C2B">
            <w:pPr>
              <w:rPr>
                <w:lang w:val="en-GB"/>
              </w:rPr>
            </w:pPr>
          </w:p>
        </w:tc>
      </w:tr>
      <w:tr w:rsidR="008F6C2B" w14:paraId="27BBDDD4" w14:textId="77777777">
        <w:trPr>
          <w:trHeight w:val="315"/>
          <w:jc w:val="center"/>
        </w:trPr>
        <w:tc>
          <w:tcPr>
            <w:tcW w:w="5000" w:type="pct"/>
            <w:gridSpan w:val="3"/>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04A77839" w14:textId="77777777" w:rsidR="008F6C2B" w:rsidRDefault="00B20E39">
            <w:pPr>
              <w:jc w:val="center"/>
              <w:rPr>
                <w:b/>
                <w:bCs/>
                <w:lang w:val="en-GB"/>
              </w:rPr>
            </w:pPr>
            <w:r>
              <w:rPr>
                <w:b/>
                <w:bCs/>
                <w:lang w:val="en-GB"/>
              </w:rPr>
              <w:t>Investors  Ratios</w:t>
            </w:r>
          </w:p>
        </w:tc>
      </w:tr>
      <w:tr w:rsidR="008F6C2B" w14:paraId="0D53C395"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D39CD8D"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5D8F9B9F" w14:textId="77777777" w:rsidR="008F6C2B" w:rsidRDefault="00B20E39">
            <w:pPr>
              <w:jc w:val="center"/>
              <w:rPr>
                <w:b/>
                <w:bCs/>
                <w:lang w:val="en-GB"/>
              </w:rPr>
            </w:pPr>
            <w:r>
              <w:rPr>
                <w:b/>
                <w:bCs/>
                <w:lang w:val="en-GB"/>
              </w:rPr>
              <w:t>2025</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9521746" w14:textId="77777777" w:rsidR="008F6C2B" w:rsidRDefault="00B20E39">
            <w:pPr>
              <w:jc w:val="center"/>
              <w:rPr>
                <w:b/>
                <w:bCs/>
                <w:lang w:val="en-GB"/>
              </w:rPr>
            </w:pPr>
            <w:r>
              <w:rPr>
                <w:b/>
                <w:bCs/>
                <w:lang w:val="en-GB"/>
              </w:rPr>
              <w:t>2024</w:t>
            </w:r>
          </w:p>
        </w:tc>
      </w:tr>
      <w:tr w:rsidR="008F6C2B" w14:paraId="0CA4F259"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182D4DD" w14:textId="77777777" w:rsidR="008F6C2B" w:rsidRDefault="00B20E39">
            <w:pPr>
              <w:rPr>
                <w:b/>
                <w:bCs/>
                <w:lang w:val="en-GB"/>
              </w:rPr>
            </w:pPr>
            <w:r>
              <w:rPr>
                <w:b/>
                <w:bCs/>
                <w:lang w:val="en-GB"/>
              </w:rPr>
              <w:t xml:space="preserve"> </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32D02CA" w14:textId="77777777" w:rsidR="008F6C2B" w:rsidRDefault="00B20E39">
            <w:pPr>
              <w:jc w:val="center"/>
              <w:rPr>
                <w:b/>
                <w:bCs/>
                <w:lang w:val="en-GB"/>
              </w:rPr>
            </w:pPr>
            <w:r>
              <w:rPr>
                <w:b/>
                <w:bCs/>
                <w:lang w:val="en-GB"/>
              </w:rPr>
              <w:t>£m</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0D0FDCA" w14:textId="77777777" w:rsidR="008F6C2B" w:rsidRDefault="00B20E39">
            <w:pPr>
              <w:jc w:val="center"/>
              <w:rPr>
                <w:b/>
                <w:bCs/>
                <w:lang w:val="en-GB"/>
              </w:rPr>
            </w:pPr>
            <w:r>
              <w:rPr>
                <w:b/>
                <w:bCs/>
                <w:lang w:val="en-GB"/>
              </w:rPr>
              <w:t>£m</w:t>
            </w:r>
          </w:p>
        </w:tc>
      </w:tr>
      <w:tr w:rsidR="008F6C2B" w14:paraId="45894C7C"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EF1EA25" w14:textId="77777777" w:rsidR="008F6C2B" w:rsidRDefault="00B20E39">
            <w:pPr>
              <w:rPr>
                <w:lang w:val="en-GB"/>
              </w:rPr>
            </w:pPr>
            <w:r>
              <w:rPr>
                <w:lang w:val="en-GB"/>
              </w:rPr>
              <w:t>Net Profit</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1B04E8F" w14:textId="77777777" w:rsidR="008F6C2B" w:rsidRDefault="00B20E39">
            <w:pPr>
              <w:jc w:val="right"/>
              <w:rPr>
                <w:lang w:val="en-GB"/>
              </w:rPr>
            </w:pPr>
            <w:r>
              <w:rPr>
                <w:lang w:val="en-GB"/>
              </w:rPr>
              <w:t>743.2</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3C27182" w14:textId="77777777" w:rsidR="008F6C2B" w:rsidRDefault="00B20E39">
            <w:pPr>
              <w:jc w:val="right"/>
              <w:rPr>
                <w:lang w:val="en-GB"/>
              </w:rPr>
            </w:pPr>
            <w:r>
              <w:rPr>
                <w:lang w:val="en-GB"/>
              </w:rPr>
              <w:t>800.5</w:t>
            </w:r>
          </w:p>
        </w:tc>
      </w:tr>
      <w:tr w:rsidR="008F6C2B" w14:paraId="199FEB4F"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F481D18" w14:textId="77777777" w:rsidR="008F6C2B" w:rsidRDefault="00B20E39">
            <w:pPr>
              <w:rPr>
                <w:lang w:val="en-GB"/>
              </w:rPr>
            </w:pPr>
            <w:r>
              <w:rPr>
                <w:lang w:val="en-GB"/>
              </w:rPr>
              <w:t>Number of Shares Outstanding</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4C90F8B6" w14:textId="77777777" w:rsidR="008F6C2B" w:rsidRDefault="00B20E39">
            <w:pPr>
              <w:jc w:val="right"/>
              <w:rPr>
                <w:lang w:val="en-GB"/>
              </w:rPr>
            </w:pPr>
            <w:r>
              <w:rPr>
                <w:lang w:val="en-GB"/>
              </w:rPr>
              <w:t>120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0A23388" w14:textId="77777777" w:rsidR="008F6C2B" w:rsidRDefault="00B20E39">
            <w:pPr>
              <w:jc w:val="right"/>
              <w:rPr>
                <w:lang w:val="en-GB"/>
              </w:rPr>
            </w:pPr>
            <w:r>
              <w:rPr>
                <w:lang w:val="en-GB"/>
              </w:rPr>
              <w:t>120</w:t>
            </w:r>
          </w:p>
        </w:tc>
      </w:tr>
      <w:tr w:rsidR="008F6C2B" w14:paraId="55E2938B"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712F5C4" w14:textId="77777777" w:rsidR="008F6C2B" w:rsidRDefault="00B20E39">
            <w:pPr>
              <w:rPr>
                <w:lang w:val="en-GB"/>
              </w:rPr>
            </w:pPr>
            <w:r>
              <w:rPr>
                <w:lang w:val="en-GB"/>
              </w:rPr>
              <w:t>Share Price</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1D6B1F4C" w14:textId="77777777" w:rsidR="008F6C2B" w:rsidRDefault="00B20E39">
            <w:pPr>
              <w:jc w:val="right"/>
              <w:rPr>
                <w:lang w:val="en-GB"/>
              </w:rPr>
            </w:pPr>
            <w:r>
              <w:rPr>
                <w:lang w:val="en-GB"/>
              </w:rPr>
              <w:t>14</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319C57D7" w14:textId="77777777" w:rsidR="008F6C2B" w:rsidRDefault="00B20E39">
            <w:pPr>
              <w:jc w:val="right"/>
              <w:rPr>
                <w:lang w:val="en-GB"/>
              </w:rPr>
            </w:pPr>
            <w:r>
              <w:rPr>
                <w:lang w:val="en-GB"/>
              </w:rPr>
              <w:t>13</w:t>
            </w:r>
          </w:p>
        </w:tc>
      </w:tr>
      <w:tr w:rsidR="008F6C2B" w14:paraId="723BAC2D"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70431D6D" w14:textId="77777777" w:rsidR="008F6C2B" w:rsidRDefault="00B20E39">
            <w:pPr>
              <w:rPr>
                <w:b/>
                <w:bCs/>
                <w:i/>
                <w:iCs/>
                <w:lang w:val="en-GB"/>
              </w:rPr>
            </w:pPr>
            <w:r>
              <w:rPr>
                <w:b/>
                <w:bCs/>
                <w:i/>
                <w:iCs/>
                <w:lang w:val="en-GB"/>
              </w:rPr>
              <w:t>Earnings Per Share (EPS)</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59CCC7F2" w14:textId="77777777" w:rsidR="008F6C2B" w:rsidRDefault="00B20E39">
            <w:pPr>
              <w:jc w:val="right"/>
              <w:rPr>
                <w:b/>
                <w:bCs/>
                <w:i/>
                <w:iCs/>
                <w:lang w:val="en-GB"/>
              </w:rPr>
            </w:pPr>
            <w:r>
              <w:rPr>
                <w:b/>
                <w:bCs/>
                <w:i/>
                <w:iCs/>
                <w:lang w:val="en-GB"/>
              </w:rPr>
              <w:t>6.21</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201F7797" w14:textId="77777777" w:rsidR="008F6C2B" w:rsidRDefault="00B20E39">
            <w:pPr>
              <w:jc w:val="right"/>
              <w:rPr>
                <w:b/>
                <w:bCs/>
                <w:i/>
                <w:iCs/>
                <w:lang w:val="en-GB"/>
              </w:rPr>
            </w:pPr>
            <w:r>
              <w:rPr>
                <w:b/>
                <w:bCs/>
                <w:i/>
                <w:iCs/>
                <w:lang w:val="en-GB"/>
              </w:rPr>
              <w:t>6.67</w:t>
            </w:r>
          </w:p>
        </w:tc>
      </w:tr>
      <w:tr w:rsidR="008F6C2B" w14:paraId="4CECB4FE"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76492FC2" w14:textId="77777777" w:rsidR="008F6C2B" w:rsidRDefault="00B20E39">
            <w:pPr>
              <w:rPr>
                <w:b/>
                <w:bCs/>
                <w:lang w:val="en-GB"/>
              </w:rPr>
            </w:pPr>
            <w:r>
              <w:rPr>
                <w:b/>
                <w:bCs/>
                <w:lang w:val="en-GB"/>
              </w:rPr>
              <w:t>(Net Profit/Outstanding Shares)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0BA1797"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2E27EE46" w14:textId="77777777" w:rsidR="008F6C2B" w:rsidRDefault="00B20E39">
            <w:pPr>
              <w:rPr>
                <w:lang w:val="en-GB"/>
              </w:rPr>
            </w:pPr>
            <w:r>
              <w:rPr>
                <w:lang w:val="en-GB"/>
              </w:rPr>
              <w:t xml:space="preserve"> </w:t>
            </w:r>
          </w:p>
        </w:tc>
      </w:tr>
      <w:tr w:rsidR="008F6C2B" w14:paraId="13CE137A" w14:textId="77777777">
        <w:trPr>
          <w:trHeight w:val="330"/>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FE84BA4" w14:textId="77777777" w:rsidR="008F6C2B" w:rsidRDefault="00B20E39">
            <w:pPr>
              <w:rPr>
                <w:b/>
                <w:bCs/>
                <w:i/>
                <w:iCs/>
                <w:lang w:val="en-GB"/>
              </w:rPr>
            </w:pPr>
            <w:r>
              <w:rPr>
                <w:b/>
                <w:bCs/>
                <w:i/>
                <w:iCs/>
                <w:lang w:val="en-GB"/>
              </w:rPr>
              <w:t>Price Earnings Ratio</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7DAAA479" w14:textId="77777777" w:rsidR="008F6C2B" w:rsidRDefault="00B20E39">
            <w:pPr>
              <w:jc w:val="right"/>
              <w:rPr>
                <w:b/>
                <w:bCs/>
                <w:i/>
                <w:iCs/>
                <w:lang w:val="en-GB"/>
              </w:rPr>
            </w:pPr>
            <w:r>
              <w:rPr>
                <w:b/>
                <w:bCs/>
                <w:i/>
                <w:iCs/>
                <w:lang w:val="en-GB"/>
              </w:rPr>
              <w:t>2.20</w:t>
            </w:r>
          </w:p>
        </w:tc>
        <w:tc>
          <w:tcPr>
            <w:tcW w:w="742" w:type="pct"/>
            <w:tcBorders>
              <w:top w:val="nil"/>
              <w:left w:val="nil"/>
              <w:bottom w:val="single" w:sz="4" w:space="0" w:color="000000"/>
              <w:right w:val="single" w:sz="4" w:space="0" w:color="000000"/>
            </w:tcBorders>
            <w:shd w:val="clear" w:color="auto" w:fill="FFF2CC"/>
            <w:tcMar>
              <w:top w:w="0" w:type="dxa"/>
              <w:left w:w="100" w:type="dxa"/>
              <w:bottom w:w="0" w:type="dxa"/>
              <w:right w:w="100" w:type="dxa"/>
            </w:tcMar>
          </w:tcPr>
          <w:p w14:paraId="1674A441" w14:textId="77777777" w:rsidR="008F6C2B" w:rsidRDefault="00B20E39">
            <w:pPr>
              <w:jc w:val="right"/>
              <w:rPr>
                <w:b/>
                <w:bCs/>
                <w:i/>
                <w:iCs/>
                <w:lang w:val="en-GB"/>
              </w:rPr>
            </w:pPr>
            <w:r>
              <w:rPr>
                <w:b/>
                <w:bCs/>
                <w:i/>
                <w:iCs/>
                <w:lang w:val="en-GB"/>
              </w:rPr>
              <w:t>1.95</w:t>
            </w:r>
          </w:p>
        </w:tc>
      </w:tr>
      <w:tr w:rsidR="008F6C2B" w14:paraId="7E943E52" w14:textId="77777777">
        <w:trPr>
          <w:trHeight w:val="315"/>
          <w:jc w:val="center"/>
        </w:trPr>
        <w:tc>
          <w:tcPr>
            <w:tcW w:w="3516"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63CDFC32" w14:textId="77777777" w:rsidR="008F6C2B" w:rsidRDefault="00B20E39">
            <w:pPr>
              <w:rPr>
                <w:b/>
                <w:bCs/>
                <w:lang w:val="en-GB"/>
              </w:rPr>
            </w:pPr>
            <w:r>
              <w:rPr>
                <w:b/>
                <w:bCs/>
                <w:lang w:val="en-GB"/>
              </w:rPr>
              <w:t>(Share Price/EPS)</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7050F1F0" w14:textId="77777777" w:rsidR="008F6C2B" w:rsidRDefault="00B20E39">
            <w:pPr>
              <w:rPr>
                <w:lang w:val="en-GB"/>
              </w:rPr>
            </w:pPr>
            <w:r>
              <w:rPr>
                <w:lang w:val="en-GB"/>
              </w:rPr>
              <w:t xml:space="preserve"> </w:t>
            </w:r>
          </w:p>
        </w:tc>
        <w:tc>
          <w:tcPr>
            <w:tcW w:w="742" w:type="pct"/>
            <w:tcBorders>
              <w:top w:val="nil"/>
              <w:left w:val="nil"/>
              <w:bottom w:val="single" w:sz="4" w:space="0" w:color="000000"/>
              <w:right w:val="single" w:sz="4" w:space="0" w:color="000000"/>
            </w:tcBorders>
            <w:shd w:val="clear" w:color="auto" w:fill="FFE599"/>
            <w:tcMar>
              <w:top w:w="0" w:type="dxa"/>
              <w:left w:w="100" w:type="dxa"/>
              <w:bottom w:w="0" w:type="dxa"/>
              <w:right w:w="100" w:type="dxa"/>
            </w:tcMar>
          </w:tcPr>
          <w:p w14:paraId="6C5E73FA" w14:textId="77777777" w:rsidR="008F6C2B" w:rsidRDefault="00B20E39">
            <w:pPr>
              <w:rPr>
                <w:lang w:val="en-GB"/>
              </w:rPr>
            </w:pPr>
            <w:r>
              <w:rPr>
                <w:lang w:val="en-GB"/>
              </w:rPr>
              <w:t xml:space="preserve"> </w:t>
            </w:r>
          </w:p>
        </w:tc>
      </w:tr>
    </w:tbl>
    <w:p w14:paraId="1827BD69" w14:textId="77777777" w:rsidR="008F6C2B" w:rsidRDefault="00B20E39">
      <w:pPr>
        <w:rPr>
          <w:lang w:val="en-GB"/>
        </w:rPr>
      </w:pPr>
      <w:r>
        <w:rPr>
          <w:lang w:val="en-GB"/>
        </w:rPr>
        <w:br w:type="page"/>
      </w:r>
    </w:p>
    <w:p w14:paraId="479A3518" w14:textId="77777777" w:rsidR="008F6C2B" w:rsidRDefault="00B20E39">
      <w:pPr>
        <w:pStyle w:val="Heading2"/>
        <w:rPr>
          <w:lang w:val="en-GB"/>
        </w:rPr>
      </w:pPr>
      <w:bookmarkStart w:id="16" w:name="_Toc218694237"/>
      <w:r>
        <w:rPr>
          <w:lang w:val="en-GB"/>
        </w:rPr>
        <w:t>Appendix 3: Calculation of NPV</w:t>
      </w:r>
      <w:bookmarkEnd w:id="16"/>
    </w:p>
    <w:p w14:paraId="01F3AC4B" w14:textId="77777777" w:rsidR="008F6C2B" w:rsidRDefault="00B20E39">
      <w:pPr>
        <w:spacing w:before="240" w:after="240"/>
        <w:rPr>
          <w:b/>
          <w:bCs/>
          <w:i/>
          <w:iCs/>
          <w:u w:val="single"/>
          <w:lang w:val="en-GB"/>
        </w:rPr>
      </w:pPr>
      <w:r>
        <w:rPr>
          <w:b/>
          <w:bCs/>
          <w:i/>
          <w:iCs/>
          <w:u w:val="single"/>
          <w:lang w:val="en-GB"/>
        </w:rPr>
        <w:t>Step 1: Capital Allowances &amp; Tax Shield</w:t>
      </w:r>
    </w:p>
    <w:tbl>
      <w:tblPr>
        <w:tblStyle w:val="Style14"/>
        <w:tblW w:w="9345" w:type="dxa"/>
        <w:jc w:val="center"/>
        <w:tblInd w:w="0" w:type="dxa"/>
        <w:tblLayout w:type="fixed"/>
        <w:tblLook w:val="04A0" w:firstRow="1" w:lastRow="0" w:firstColumn="1" w:lastColumn="0" w:noHBand="0" w:noVBand="1"/>
      </w:tblPr>
      <w:tblGrid>
        <w:gridCol w:w="3210"/>
        <w:gridCol w:w="1290"/>
        <w:gridCol w:w="2070"/>
        <w:gridCol w:w="2775"/>
      </w:tblGrid>
      <w:tr w:rsidR="008F6C2B" w14:paraId="43BFFBC2" w14:textId="77777777">
        <w:trPr>
          <w:trHeight w:val="375"/>
          <w:jc w:val="center"/>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FFF2CC"/>
            <w:tcMar>
              <w:top w:w="0" w:type="dxa"/>
              <w:left w:w="100" w:type="dxa"/>
              <w:bottom w:w="0" w:type="dxa"/>
              <w:right w:w="100" w:type="dxa"/>
            </w:tcMar>
          </w:tcPr>
          <w:p w14:paraId="7C25732A" w14:textId="77777777" w:rsidR="008F6C2B" w:rsidRDefault="00B20E39">
            <w:pPr>
              <w:jc w:val="center"/>
              <w:rPr>
                <w:b/>
                <w:bCs/>
                <w:lang w:val="en-GB"/>
              </w:rPr>
            </w:pPr>
            <w:r>
              <w:rPr>
                <w:b/>
                <w:bCs/>
                <w:lang w:val="en-GB"/>
              </w:rPr>
              <w:t>Capital Allowances &amp; Tax Shield</w:t>
            </w:r>
          </w:p>
        </w:tc>
      </w:tr>
      <w:tr w:rsidR="008F6C2B" w14:paraId="6127F282" w14:textId="77777777">
        <w:trPr>
          <w:trHeight w:val="570"/>
          <w:jc w:val="center"/>
        </w:trPr>
        <w:tc>
          <w:tcPr>
            <w:tcW w:w="32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72A28A7" w14:textId="77777777" w:rsidR="008F6C2B" w:rsidRDefault="00B20E39">
            <w:pPr>
              <w:rPr>
                <w:lang w:val="en-GB"/>
              </w:rPr>
            </w:pPr>
            <w:r>
              <w:rPr>
                <w:lang w:val="en-GB"/>
              </w:rPr>
              <w:t>Capital allowance = 20% straight line per year</w:t>
            </w:r>
          </w:p>
        </w:tc>
        <w:tc>
          <w:tcPr>
            <w:tcW w:w="1290" w:type="dxa"/>
            <w:tcBorders>
              <w:top w:val="nil"/>
              <w:left w:val="nil"/>
              <w:bottom w:val="single" w:sz="4" w:space="0" w:color="000000"/>
              <w:right w:val="single" w:sz="4" w:space="0" w:color="000000"/>
            </w:tcBorders>
            <w:tcMar>
              <w:top w:w="0" w:type="dxa"/>
              <w:left w:w="100" w:type="dxa"/>
              <w:bottom w:w="0" w:type="dxa"/>
              <w:right w:w="100" w:type="dxa"/>
            </w:tcMar>
          </w:tcPr>
          <w:p w14:paraId="67666D13" w14:textId="77777777" w:rsidR="008F6C2B" w:rsidRDefault="00B20E39">
            <w:pPr>
              <w:rPr>
                <w:lang w:val="en-GB"/>
              </w:rPr>
            </w:pPr>
            <w:r>
              <w:rPr>
                <w:lang w:val="en-GB"/>
              </w:rPr>
              <w:t xml:space="preserve"> </w:t>
            </w:r>
          </w:p>
        </w:tc>
        <w:tc>
          <w:tcPr>
            <w:tcW w:w="2070" w:type="dxa"/>
            <w:tcBorders>
              <w:top w:val="nil"/>
              <w:left w:val="nil"/>
              <w:bottom w:val="single" w:sz="4" w:space="0" w:color="000000"/>
              <w:right w:val="single" w:sz="4" w:space="0" w:color="000000"/>
            </w:tcBorders>
            <w:tcMar>
              <w:top w:w="0" w:type="dxa"/>
              <w:left w:w="100" w:type="dxa"/>
              <w:bottom w:w="0" w:type="dxa"/>
              <w:right w:w="100" w:type="dxa"/>
            </w:tcMar>
          </w:tcPr>
          <w:p w14:paraId="5F736D02" w14:textId="77777777" w:rsidR="008F6C2B" w:rsidRDefault="00B20E39">
            <w:pPr>
              <w:rPr>
                <w:lang w:val="en-GB"/>
              </w:rPr>
            </w:pPr>
            <w:r>
              <w:rPr>
                <w:lang w:val="en-GB"/>
              </w:rPr>
              <w:t xml:space="preserve"> </w:t>
            </w:r>
          </w:p>
        </w:tc>
        <w:tc>
          <w:tcPr>
            <w:tcW w:w="2775" w:type="dxa"/>
            <w:tcBorders>
              <w:top w:val="nil"/>
              <w:left w:val="nil"/>
              <w:bottom w:val="single" w:sz="4" w:space="0" w:color="000000"/>
              <w:right w:val="single" w:sz="4" w:space="0" w:color="000000"/>
            </w:tcBorders>
            <w:tcMar>
              <w:top w:w="0" w:type="dxa"/>
              <w:left w:w="100" w:type="dxa"/>
              <w:bottom w:w="0" w:type="dxa"/>
              <w:right w:w="100" w:type="dxa"/>
            </w:tcMar>
          </w:tcPr>
          <w:p w14:paraId="6A29D046" w14:textId="77777777" w:rsidR="008F6C2B" w:rsidRDefault="00B20E39">
            <w:pPr>
              <w:rPr>
                <w:lang w:val="en-GB"/>
              </w:rPr>
            </w:pPr>
            <w:r>
              <w:rPr>
                <w:lang w:val="en-GB"/>
              </w:rPr>
              <w:t xml:space="preserve"> </w:t>
            </w:r>
          </w:p>
        </w:tc>
      </w:tr>
      <w:tr w:rsidR="008F6C2B" w14:paraId="3EF4EFDA" w14:textId="77777777">
        <w:trPr>
          <w:trHeight w:val="375"/>
          <w:jc w:val="center"/>
        </w:trPr>
        <w:tc>
          <w:tcPr>
            <w:tcW w:w="32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48F4057" w14:textId="77777777" w:rsidR="008F6C2B" w:rsidRDefault="00B20E39">
            <w:pPr>
              <w:rPr>
                <w:lang w:val="en-GB"/>
              </w:rPr>
            </w:pPr>
            <w:r>
              <w:rPr>
                <w:lang w:val="en-GB"/>
              </w:rPr>
              <w:t>Tax rate = 25%</w:t>
            </w:r>
          </w:p>
        </w:tc>
        <w:tc>
          <w:tcPr>
            <w:tcW w:w="1290" w:type="dxa"/>
            <w:tcBorders>
              <w:top w:val="nil"/>
              <w:left w:val="nil"/>
              <w:bottom w:val="single" w:sz="4" w:space="0" w:color="000000"/>
              <w:right w:val="single" w:sz="4" w:space="0" w:color="000000"/>
            </w:tcBorders>
            <w:tcMar>
              <w:top w:w="0" w:type="dxa"/>
              <w:left w:w="100" w:type="dxa"/>
              <w:bottom w:w="0" w:type="dxa"/>
              <w:right w:w="100" w:type="dxa"/>
            </w:tcMar>
          </w:tcPr>
          <w:p w14:paraId="16A41EA7" w14:textId="77777777" w:rsidR="008F6C2B" w:rsidRDefault="00B20E39">
            <w:pPr>
              <w:rPr>
                <w:lang w:val="en-GB"/>
              </w:rPr>
            </w:pPr>
            <w:r>
              <w:rPr>
                <w:lang w:val="en-GB"/>
              </w:rPr>
              <w:t xml:space="preserve"> </w:t>
            </w:r>
          </w:p>
        </w:tc>
        <w:tc>
          <w:tcPr>
            <w:tcW w:w="2070" w:type="dxa"/>
            <w:tcBorders>
              <w:top w:val="nil"/>
              <w:left w:val="nil"/>
              <w:bottom w:val="single" w:sz="4" w:space="0" w:color="000000"/>
              <w:right w:val="single" w:sz="4" w:space="0" w:color="000000"/>
            </w:tcBorders>
            <w:tcMar>
              <w:top w:w="0" w:type="dxa"/>
              <w:left w:w="100" w:type="dxa"/>
              <w:bottom w:w="0" w:type="dxa"/>
              <w:right w:w="100" w:type="dxa"/>
            </w:tcMar>
          </w:tcPr>
          <w:p w14:paraId="3138A65D" w14:textId="77777777" w:rsidR="008F6C2B" w:rsidRDefault="00B20E39">
            <w:pPr>
              <w:rPr>
                <w:lang w:val="en-GB"/>
              </w:rPr>
            </w:pPr>
            <w:r>
              <w:rPr>
                <w:lang w:val="en-GB"/>
              </w:rPr>
              <w:t xml:space="preserve"> </w:t>
            </w:r>
          </w:p>
        </w:tc>
        <w:tc>
          <w:tcPr>
            <w:tcW w:w="2775" w:type="dxa"/>
            <w:tcBorders>
              <w:top w:val="nil"/>
              <w:left w:val="nil"/>
              <w:bottom w:val="single" w:sz="4" w:space="0" w:color="000000"/>
              <w:right w:val="single" w:sz="4" w:space="0" w:color="000000"/>
            </w:tcBorders>
            <w:tcMar>
              <w:top w:w="0" w:type="dxa"/>
              <w:left w:w="100" w:type="dxa"/>
              <w:bottom w:w="0" w:type="dxa"/>
              <w:right w:w="100" w:type="dxa"/>
            </w:tcMar>
          </w:tcPr>
          <w:p w14:paraId="65531261" w14:textId="77777777" w:rsidR="008F6C2B" w:rsidRDefault="00B20E39">
            <w:pPr>
              <w:rPr>
                <w:lang w:val="en-GB"/>
              </w:rPr>
            </w:pPr>
            <w:r>
              <w:rPr>
                <w:lang w:val="en-GB"/>
              </w:rPr>
              <w:t xml:space="preserve"> </w:t>
            </w:r>
          </w:p>
        </w:tc>
      </w:tr>
      <w:tr w:rsidR="008F6C2B" w14:paraId="3295CC0F" w14:textId="77777777">
        <w:trPr>
          <w:trHeight w:val="840"/>
          <w:jc w:val="center"/>
        </w:trPr>
        <w:tc>
          <w:tcPr>
            <w:tcW w:w="3210" w:type="dxa"/>
            <w:tcBorders>
              <w:top w:val="nil"/>
              <w:left w:val="single" w:sz="4" w:space="0" w:color="000000"/>
              <w:bottom w:val="single" w:sz="4" w:space="0" w:color="000000"/>
              <w:right w:val="single" w:sz="4" w:space="0" w:color="000000"/>
            </w:tcBorders>
            <w:shd w:val="clear" w:color="auto" w:fill="D9EAD3"/>
            <w:tcMar>
              <w:top w:w="0" w:type="dxa"/>
              <w:left w:w="100" w:type="dxa"/>
              <w:bottom w:w="0" w:type="dxa"/>
              <w:right w:w="100" w:type="dxa"/>
            </w:tcMar>
          </w:tcPr>
          <w:p w14:paraId="55A24527" w14:textId="77777777" w:rsidR="008F6C2B" w:rsidRDefault="00B20E39">
            <w:pPr>
              <w:rPr>
                <w:b/>
                <w:bCs/>
                <w:lang w:val="en-GB"/>
              </w:rPr>
            </w:pPr>
            <w:r>
              <w:rPr>
                <w:b/>
                <w:bCs/>
                <w:lang w:val="en-GB"/>
              </w:rPr>
              <w:t>Option</w:t>
            </w:r>
          </w:p>
        </w:tc>
        <w:tc>
          <w:tcPr>
            <w:tcW w:w="1290" w:type="dxa"/>
            <w:tcBorders>
              <w:top w:val="nil"/>
              <w:left w:val="nil"/>
              <w:bottom w:val="single" w:sz="4" w:space="0" w:color="000000"/>
              <w:right w:val="single" w:sz="4" w:space="0" w:color="000000"/>
            </w:tcBorders>
            <w:shd w:val="clear" w:color="auto" w:fill="D9EAD3"/>
            <w:tcMar>
              <w:top w:w="0" w:type="dxa"/>
              <w:left w:w="100" w:type="dxa"/>
              <w:bottom w:w="0" w:type="dxa"/>
              <w:right w:w="100" w:type="dxa"/>
            </w:tcMar>
          </w:tcPr>
          <w:p w14:paraId="4D43C388" w14:textId="77777777" w:rsidR="008F6C2B" w:rsidRDefault="00B20E39">
            <w:pPr>
              <w:jc w:val="center"/>
              <w:rPr>
                <w:b/>
                <w:bCs/>
                <w:lang w:val="en-GB"/>
              </w:rPr>
            </w:pPr>
            <w:r>
              <w:rPr>
                <w:b/>
                <w:bCs/>
                <w:lang w:val="en-GB"/>
              </w:rPr>
              <w:t>Initial Cost (£000)</w:t>
            </w:r>
          </w:p>
        </w:tc>
        <w:tc>
          <w:tcPr>
            <w:tcW w:w="2070" w:type="dxa"/>
            <w:tcBorders>
              <w:top w:val="nil"/>
              <w:left w:val="nil"/>
              <w:bottom w:val="single" w:sz="4" w:space="0" w:color="000000"/>
              <w:right w:val="single" w:sz="4" w:space="0" w:color="000000"/>
            </w:tcBorders>
            <w:shd w:val="clear" w:color="auto" w:fill="D9EAD3"/>
            <w:tcMar>
              <w:top w:w="0" w:type="dxa"/>
              <w:left w:w="100" w:type="dxa"/>
              <w:bottom w:w="0" w:type="dxa"/>
              <w:right w:w="100" w:type="dxa"/>
            </w:tcMar>
          </w:tcPr>
          <w:p w14:paraId="3BB1147E" w14:textId="77777777" w:rsidR="008F6C2B" w:rsidRDefault="00B20E39">
            <w:pPr>
              <w:jc w:val="center"/>
              <w:rPr>
                <w:b/>
                <w:bCs/>
                <w:lang w:val="en-GB"/>
              </w:rPr>
            </w:pPr>
            <w:r>
              <w:rPr>
                <w:b/>
                <w:bCs/>
                <w:lang w:val="en-GB"/>
              </w:rPr>
              <w:t>Annual Capital Allowance (£000)</w:t>
            </w:r>
          </w:p>
        </w:tc>
        <w:tc>
          <w:tcPr>
            <w:tcW w:w="2775" w:type="dxa"/>
            <w:tcBorders>
              <w:top w:val="nil"/>
              <w:left w:val="nil"/>
              <w:bottom w:val="single" w:sz="4" w:space="0" w:color="000000"/>
              <w:right w:val="single" w:sz="4" w:space="0" w:color="000000"/>
            </w:tcBorders>
            <w:shd w:val="clear" w:color="auto" w:fill="D9EAD3"/>
            <w:tcMar>
              <w:top w:w="0" w:type="dxa"/>
              <w:left w:w="100" w:type="dxa"/>
              <w:bottom w:w="0" w:type="dxa"/>
              <w:right w:w="100" w:type="dxa"/>
            </w:tcMar>
          </w:tcPr>
          <w:p w14:paraId="136C08AF" w14:textId="77777777" w:rsidR="008F6C2B" w:rsidRDefault="00B20E39">
            <w:pPr>
              <w:jc w:val="center"/>
              <w:rPr>
                <w:b/>
                <w:bCs/>
                <w:lang w:val="en-GB"/>
              </w:rPr>
            </w:pPr>
            <w:r>
              <w:rPr>
                <w:b/>
                <w:bCs/>
                <w:lang w:val="en-GB"/>
              </w:rPr>
              <w:t>Tax Shield = (Capital Allowance*25%) (£000)</w:t>
            </w:r>
          </w:p>
        </w:tc>
      </w:tr>
      <w:tr w:rsidR="008F6C2B" w14:paraId="666E6144" w14:textId="77777777">
        <w:trPr>
          <w:trHeight w:val="570"/>
          <w:jc w:val="center"/>
        </w:trPr>
        <w:tc>
          <w:tcPr>
            <w:tcW w:w="32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7C234EA" w14:textId="77777777" w:rsidR="008F6C2B" w:rsidRDefault="00B20E39">
            <w:pPr>
              <w:rPr>
                <w:lang w:val="en-GB"/>
              </w:rPr>
            </w:pPr>
            <w:r>
              <w:rPr>
                <w:lang w:val="en-GB"/>
              </w:rPr>
              <w:t>A: Expand its flourishing retail outlet to include all products.</w:t>
            </w:r>
          </w:p>
        </w:tc>
        <w:tc>
          <w:tcPr>
            <w:tcW w:w="1290" w:type="dxa"/>
            <w:tcBorders>
              <w:top w:val="nil"/>
              <w:left w:val="nil"/>
              <w:bottom w:val="single" w:sz="4" w:space="0" w:color="000000"/>
              <w:right w:val="single" w:sz="4" w:space="0" w:color="000000"/>
            </w:tcBorders>
            <w:tcMar>
              <w:top w:w="0" w:type="dxa"/>
              <w:left w:w="100" w:type="dxa"/>
              <w:bottom w:w="0" w:type="dxa"/>
              <w:right w:w="100" w:type="dxa"/>
            </w:tcMar>
          </w:tcPr>
          <w:p w14:paraId="3074CA34" w14:textId="77777777" w:rsidR="008F6C2B" w:rsidRDefault="00B20E39">
            <w:pPr>
              <w:jc w:val="right"/>
              <w:rPr>
                <w:lang w:val="en-GB"/>
              </w:rPr>
            </w:pPr>
            <w:r>
              <w:rPr>
                <w:lang w:val="en-GB"/>
              </w:rPr>
              <w:t>600</w:t>
            </w:r>
          </w:p>
        </w:tc>
        <w:tc>
          <w:tcPr>
            <w:tcW w:w="2070" w:type="dxa"/>
            <w:tcBorders>
              <w:top w:val="nil"/>
              <w:left w:val="nil"/>
              <w:bottom w:val="single" w:sz="4" w:space="0" w:color="000000"/>
              <w:right w:val="single" w:sz="4" w:space="0" w:color="000000"/>
            </w:tcBorders>
            <w:tcMar>
              <w:top w:w="0" w:type="dxa"/>
              <w:left w:w="100" w:type="dxa"/>
              <w:bottom w:w="0" w:type="dxa"/>
              <w:right w:w="100" w:type="dxa"/>
            </w:tcMar>
          </w:tcPr>
          <w:p w14:paraId="0B7DF487" w14:textId="77777777" w:rsidR="008F6C2B" w:rsidRDefault="00B20E39">
            <w:pPr>
              <w:jc w:val="right"/>
              <w:rPr>
                <w:lang w:val="en-GB"/>
              </w:rPr>
            </w:pPr>
            <w:r>
              <w:rPr>
                <w:lang w:val="en-GB"/>
              </w:rPr>
              <w:t>120</w:t>
            </w:r>
          </w:p>
        </w:tc>
        <w:tc>
          <w:tcPr>
            <w:tcW w:w="2775" w:type="dxa"/>
            <w:tcBorders>
              <w:top w:val="nil"/>
              <w:left w:val="nil"/>
              <w:bottom w:val="single" w:sz="4" w:space="0" w:color="000000"/>
              <w:right w:val="single" w:sz="4" w:space="0" w:color="000000"/>
            </w:tcBorders>
            <w:tcMar>
              <w:top w:w="0" w:type="dxa"/>
              <w:left w:w="100" w:type="dxa"/>
              <w:bottom w:w="0" w:type="dxa"/>
              <w:right w:w="100" w:type="dxa"/>
            </w:tcMar>
          </w:tcPr>
          <w:p w14:paraId="7A1A8507" w14:textId="77777777" w:rsidR="008F6C2B" w:rsidRDefault="00B20E39">
            <w:pPr>
              <w:jc w:val="right"/>
              <w:rPr>
                <w:lang w:val="en-GB"/>
              </w:rPr>
            </w:pPr>
            <w:r>
              <w:rPr>
                <w:lang w:val="en-GB"/>
              </w:rPr>
              <w:t>30</w:t>
            </w:r>
          </w:p>
        </w:tc>
      </w:tr>
      <w:tr w:rsidR="008F6C2B" w14:paraId="3FF94B6F" w14:textId="77777777">
        <w:trPr>
          <w:trHeight w:val="375"/>
          <w:jc w:val="center"/>
        </w:trPr>
        <w:tc>
          <w:tcPr>
            <w:tcW w:w="32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39653FB" w14:textId="77777777" w:rsidR="008F6C2B" w:rsidRDefault="00B20E39">
            <w:pPr>
              <w:rPr>
                <w:lang w:val="en-GB"/>
              </w:rPr>
            </w:pPr>
            <w:r>
              <w:rPr>
                <w:lang w:val="en-GB"/>
              </w:rPr>
              <w:t>B: Develop into internet sales</w:t>
            </w:r>
          </w:p>
        </w:tc>
        <w:tc>
          <w:tcPr>
            <w:tcW w:w="1290" w:type="dxa"/>
            <w:tcBorders>
              <w:top w:val="nil"/>
              <w:left w:val="nil"/>
              <w:bottom w:val="single" w:sz="4" w:space="0" w:color="000000"/>
              <w:right w:val="single" w:sz="4" w:space="0" w:color="000000"/>
            </w:tcBorders>
            <w:tcMar>
              <w:top w:w="0" w:type="dxa"/>
              <w:left w:w="100" w:type="dxa"/>
              <w:bottom w:w="0" w:type="dxa"/>
              <w:right w:w="100" w:type="dxa"/>
            </w:tcMar>
          </w:tcPr>
          <w:p w14:paraId="29209BB4" w14:textId="77777777" w:rsidR="008F6C2B" w:rsidRDefault="00B20E39">
            <w:pPr>
              <w:jc w:val="right"/>
              <w:rPr>
                <w:lang w:val="en-GB"/>
              </w:rPr>
            </w:pPr>
            <w:r>
              <w:rPr>
                <w:lang w:val="en-GB"/>
              </w:rPr>
              <w:t>1000</w:t>
            </w:r>
          </w:p>
        </w:tc>
        <w:tc>
          <w:tcPr>
            <w:tcW w:w="2070" w:type="dxa"/>
            <w:tcBorders>
              <w:top w:val="nil"/>
              <w:left w:val="nil"/>
              <w:bottom w:val="single" w:sz="4" w:space="0" w:color="000000"/>
              <w:right w:val="single" w:sz="4" w:space="0" w:color="000000"/>
            </w:tcBorders>
            <w:tcMar>
              <w:top w:w="0" w:type="dxa"/>
              <w:left w:w="100" w:type="dxa"/>
              <w:bottom w:w="0" w:type="dxa"/>
              <w:right w:w="100" w:type="dxa"/>
            </w:tcMar>
          </w:tcPr>
          <w:p w14:paraId="630201DC" w14:textId="77777777" w:rsidR="008F6C2B" w:rsidRDefault="00B20E39">
            <w:pPr>
              <w:jc w:val="right"/>
              <w:rPr>
                <w:lang w:val="en-GB"/>
              </w:rPr>
            </w:pPr>
            <w:r>
              <w:rPr>
                <w:lang w:val="en-GB"/>
              </w:rPr>
              <w:t>200</w:t>
            </w:r>
          </w:p>
        </w:tc>
        <w:tc>
          <w:tcPr>
            <w:tcW w:w="2775" w:type="dxa"/>
            <w:tcBorders>
              <w:top w:val="nil"/>
              <w:left w:val="nil"/>
              <w:bottom w:val="single" w:sz="4" w:space="0" w:color="000000"/>
              <w:right w:val="single" w:sz="4" w:space="0" w:color="000000"/>
            </w:tcBorders>
            <w:tcMar>
              <w:top w:w="0" w:type="dxa"/>
              <w:left w:w="100" w:type="dxa"/>
              <w:bottom w:w="0" w:type="dxa"/>
              <w:right w:w="100" w:type="dxa"/>
            </w:tcMar>
          </w:tcPr>
          <w:p w14:paraId="5F0E3AF9" w14:textId="77777777" w:rsidR="008F6C2B" w:rsidRDefault="00B20E39">
            <w:pPr>
              <w:jc w:val="right"/>
              <w:rPr>
                <w:lang w:val="en-GB"/>
              </w:rPr>
            </w:pPr>
            <w:r>
              <w:rPr>
                <w:lang w:val="en-GB"/>
              </w:rPr>
              <w:t>50</w:t>
            </w:r>
          </w:p>
        </w:tc>
      </w:tr>
      <w:tr w:rsidR="008F6C2B" w14:paraId="07B96278" w14:textId="77777777">
        <w:trPr>
          <w:trHeight w:val="570"/>
          <w:jc w:val="center"/>
        </w:trPr>
        <w:tc>
          <w:tcPr>
            <w:tcW w:w="32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9CFA728" w14:textId="77777777" w:rsidR="008F6C2B" w:rsidRDefault="00B20E39">
            <w:pPr>
              <w:rPr>
                <w:lang w:val="en-GB"/>
              </w:rPr>
            </w:pPr>
            <w:r>
              <w:rPr>
                <w:lang w:val="en-GB"/>
              </w:rPr>
              <w:t>C: Produce wooden blinds and Roman blinds</w:t>
            </w:r>
          </w:p>
        </w:tc>
        <w:tc>
          <w:tcPr>
            <w:tcW w:w="1290" w:type="dxa"/>
            <w:tcBorders>
              <w:top w:val="nil"/>
              <w:left w:val="nil"/>
              <w:bottom w:val="single" w:sz="4" w:space="0" w:color="000000"/>
              <w:right w:val="single" w:sz="4" w:space="0" w:color="000000"/>
            </w:tcBorders>
            <w:tcMar>
              <w:top w:w="0" w:type="dxa"/>
              <w:left w:w="100" w:type="dxa"/>
              <w:bottom w:w="0" w:type="dxa"/>
              <w:right w:w="100" w:type="dxa"/>
            </w:tcMar>
          </w:tcPr>
          <w:p w14:paraId="0E4C8E77" w14:textId="77777777" w:rsidR="008F6C2B" w:rsidRDefault="00B20E39">
            <w:pPr>
              <w:jc w:val="right"/>
              <w:rPr>
                <w:lang w:val="en-GB"/>
              </w:rPr>
            </w:pPr>
            <w:r>
              <w:rPr>
                <w:lang w:val="en-GB"/>
              </w:rPr>
              <w:t>1600</w:t>
            </w:r>
          </w:p>
        </w:tc>
        <w:tc>
          <w:tcPr>
            <w:tcW w:w="2070" w:type="dxa"/>
            <w:tcBorders>
              <w:top w:val="nil"/>
              <w:left w:val="nil"/>
              <w:bottom w:val="single" w:sz="4" w:space="0" w:color="000000"/>
              <w:right w:val="single" w:sz="4" w:space="0" w:color="000000"/>
            </w:tcBorders>
            <w:tcMar>
              <w:top w:w="0" w:type="dxa"/>
              <w:left w:w="100" w:type="dxa"/>
              <w:bottom w:w="0" w:type="dxa"/>
              <w:right w:w="100" w:type="dxa"/>
            </w:tcMar>
          </w:tcPr>
          <w:p w14:paraId="2A02120C" w14:textId="77777777" w:rsidR="008F6C2B" w:rsidRDefault="00B20E39">
            <w:pPr>
              <w:jc w:val="right"/>
              <w:rPr>
                <w:lang w:val="en-GB"/>
              </w:rPr>
            </w:pPr>
            <w:r>
              <w:rPr>
                <w:lang w:val="en-GB"/>
              </w:rPr>
              <w:t>320</w:t>
            </w:r>
          </w:p>
        </w:tc>
        <w:tc>
          <w:tcPr>
            <w:tcW w:w="2775" w:type="dxa"/>
            <w:tcBorders>
              <w:top w:val="nil"/>
              <w:left w:val="nil"/>
              <w:bottom w:val="single" w:sz="4" w:space="0" w:color="000000"/>
              <w:right w:val="single" w:sz="4" w:space="0" w:color="000000"/>
            </w:tcBorders>
            <w:tcMar>
              <w:top w:w="0" w:type="dxa"/>
              <w:left w:w="100" w:type="dxa"/>
              <w:bottom w:w="0" w:type="dxa"/>
              <w:right w:w="100" w:type="dxa"/>
            </w:tcMar>
          </w:tcPr>
          <w:p w14:paraId="2C7B0D49" w14:textId="77777777" w:rsidR="008F6C2B" w:rsidRDefault="00B20E39">
            <w:pPr>
              <w:jc w:val="right"/>
              <w:rPr>
                <w:lang w:val="en-GB"/>
              </w:rPr>
            </w:pPr>
            <w:r>
              <w:rPr>
                <w:lang w:val="en-GB"/>
              </w:rPr>
              <w:t>80</w:t>
            </w:r>
          </w:p>
        </w:tc>
      </w:tr>
    </w:tbl>
    <w:p w14:paraId="6E034ADE" w14:textId="77777777" w:rsidR="008F6C2B" w:rsidRDefault="00B20E39">
      <w:pPr>
        <w:rPr>
          <w:b/>
          <w:bCs/>
          <w:i/>
          <w:iCs/>
          <w:u w:val="single"/>
          <w:lang w:val="en-GB"/>
        </w:rPr>
      </w:pPr>
      <w:r>
        <w:rPr>
          <w:b/>
          <w:bCs/>
          <w:i/>
          <w:iCs/>
          <w:u w:val="single"/>
          <w:lang w:val="en-GB"/>
        </w:rPr>
        <w:t>Step 2: After-Tax Cash Flow Formula</w:t>
      </w:r>
    </w:p>
    <w:p w14:paraId="0F5C061C" w14:textId="77777777" w:rsidR="008F6C2B" w:rsidRDefault="00B20E39">
      <w:pPr>
        <w:rPr>
          <w:lang w:val="en-GB"/>
        </w:rPr>
      </w:pPr>
      <w:r>
        <w:rPr>
          <w:lang w:val="en-GB"/>
        </w:rPr>
        <w:t>After-tax cash flow=(Cash flow×0.75)+Tax shield</w:t>
      </w:r>
    </w:p>
    <w:p w14:paraId="58632362" w14:textId="77777777" w:rsidR="008F6C2B" w:rsidRDefault="00B20E39">
      <w:pPr>
        <w:rPr>
          <w:lang w:val="en-GB"/>
        </w:rPr>
      </w:pPr>
      <w:r>
        <w:rPr>
          <w:lang w:val="en-GB"/>
        </w:rPr>
        <w:t>(75% because tax is 25%)</w:t>
      </w:r>
    </w:p>
    <w:p w14:paraId="6E513DD1" w14:textId="77777777" w:rsidR="008F6C2B" w:rsidRDefault="00B20E39">
      <w:pPr>
        <w:rPr>
          <w:b/>
          <w:bCs/>
          <w:i/>
          <w:iCs/>
          <w:u w:val="single"/>
          <w:lang w:val="en-GB"/>
        </w:rPr>
      </w:pPr>
      <w:r>
        <w:rPr>
          <w:b/>
          <w:bCs/>
          <w:i/>
          <w:iCs/>
          <w:u w:val="single"/>
          <w:lang w:val="en-GB"/>
        </w:rPr>
        <w:t>Step 3: After Tax Cash Flow and NPV</w:t>
      </w:r>
    </w:p>
    <w:tbl>
      <w:tblPr>
        <w:tblStyle w:val="Style15"/>
        <w:tblW w:w="5000" w:type="pct"/>
        <w:jc w:val="center"/>
        <w:tblInd w:w="0" w:type="dxa"/>
        <w:tblLook w:val="04A0" w:firstRow="1" w:lastRow="0" w:firstColumn="1" w:lastColumn="0" w:noHBand="0" w:noVBand="1"/>
      </w:tblPr>
      <w:tblGrid>
        <w:gridCol w:w="2786"/>
        <w:gridCol w:w="1423"/>
        <w:gridCol w:w="1993"/>
        <w:gridCol w:w="1618"/>
        <w:gridCol w:w="1530"/>
      </w:tblGrid>
      <w:tr w:rsidR="008F6C2B" w14:paraId="25E21880" w14:textId="77777777">
        <w:trPr>
          <w:trHeight w:val="315"/>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2E9"/>
            <w:tcMar>
              <w:top w:w="0" w:type="dxa"/>
              <w:left w:w="100" w:type="dxa"/>
              <w:bottom w:w="0" w:type="dxa"/>
              <w:right w:w="100" w:type="dxa"/>
            </w:tcMar>
          </w:tcPr>
          <w:p w14:paraId="3DBD6540" w14:textId="77777777" w:rsidR="008F6C2B" w:rsidRDefault="00B20E39">
            <w:pPr>
              <w:jc w:val="center"/>
              <w:rPr>
                <w:b/>
                <w:bCs/>
                <w:lang w:val="en-GB"/>
              </w:rPr>
            </w:pPr>
            <w:r>
              <w:rPr>
                <w:b/>
                <w:bCs/>
                <w:lang w:val="en-GB"/>
              </w:rPr>
              <w:t>A. Expand its flourishing retail outlet to include all products.</w:t>
            </w:r>
          </w:p>
        </w:tc>
      </w:tr>
      <w:tr w:rsidR="008F6C2B" w14:paraId="1D7A48ED" w14:textId="77777777">
        <w:trPr>
          <w:trHeight w:val="1395"/>
          <w:jc w:val="center"/>
        </w:trPr>
        <w:tc>
          <w:tcPr>
            <w:tcW w:w="1490" w:type="pct"/>
            <w:tcBorders>
              <w:top w:val="nil"/>
              <w:left w:val="single" w:sz="4" w:space="0" w:color="000000"/>
              <w:bottom w:val="single" w:sz="4" w:space="0" w:color="000000"/>
              <w:right w:val="single" w:sz="4" w:space="0" w:color="000000"/>
            </w:tcBorders>
            <w:shd w:val="clear" w:color="auto" w:fill="D9D2E9"/>
            <w:tcMar>
              <w:top w:w="0" w:type="dxa"/>
              <w:left w:w="100" w:type="dxa"/>
              <w:bottom w:w="0" w:type="dxa"/>
              <w:right w:w="100" w:type="dxa"/>
            </w:tcMar>
          </w:tcPr>
          <w:p w14:paraId="6DD2AE94" w14:textId="77777777" w:rsidR="008F6C2B" w:rsidRDefault="00B20E39">
            <w:pPr>
              <w:jc w:val="center"/>
              <w:rPr>
                <w:b/>
                <w:bCs/>
                <w:i/>
                <w:iCs/>
                <w:lang w:val="en-GB"/>
              </w:rPr>
            </w:pPr>
            <w:r>
              <w:rPr>
                <w:b/>
                <w:bCs/>
                <w:i/>
                <w:iCs/>
                <w:lang w:val="en-GB"/>
              </w:rPr>
              <w:t>Year</w:t>
            </w:r>
          </w:p>
        </w:tc>
        <w:tc>
          <w:tcPr>
            <w:tcW w:w="761" w:type="pct"/>
            <w:tcBorders>
              <w:top w:val="nil"/>
              <w:left w:val="nil"/>
              <w:bottom w:val="single" w:sz="4" w:space="0" w:color="000000"/>
              <w:right w:val="single" w:sz="4" w:space="0" w:color="000000"/>
            </w:tcBorders>
            <w:shd w:val="clear" w:color="auto" w:fill="D9D2E9"/>
            <w:tcMar>
              <w:top w:w="0" w:type="dxa"/>
              <w:left w:w="100" w:type="dxa"/>
              <w:bottom w:w="0" w:type="dxa"/>
              <w:right w:w="100" w:type="dxa"/>
            </w:tcMar>
          </w:tcPr>
          <w:p w14:paraId="468059ED" w14:textId="77777777" w:rsidR="008F6C2B" w:rsidRDefault="00B20E39">
            <w:pPr>
              <w:jc w:val="center"/>
              <w:rPr>
                <w:b/>
                <w:bCs/>
                <w:i/>
                <w:iCs/>
                <w:lang w:val="en-GB"/>
              </w:rPr>
            </w:pPr>
            <w:r>
              <w:rPr>
                <w:b/>
                <w:bCs/>
                <w:i/>
                <w:iCs/>
                <w:lang w:val="en-GB"/>
              </w:rPr>
              <w:t>Cash Flow (£'000)</w:t>
            </w:r>
          </w:p>
        </w:tc>
        <w:tc>
          <w:tcPr>
            <w:tcW w:w="1066" w:type="pct"/>
            <w:tcBorders>
              <w:top w:val="nil"/>
              <w:left w:val="nil"/>
              <w:bottom w:val="single" w:sz="4" w:space="0" w:color="000000"/>
              <w:right w:val="single" w:sz="4" w:space="0" w:color="000000"/>
            </w:tcBorders>
            <w:shd w:val="clear" w:color="auto" w:fill="D9D2E9"/>
            <w:tcMar>
              <w:top w:w="0" w:type="dxa"/>
              <w:left w:w="100" w:type="dxa"/>
              <w:bottom w:w="0" w:type="dxa"/>
              <w:right w:w="100" w:type="dxa"/>
            </w:tcMar>
          </w:tcPr>
          <w:p w14:paraId="4506C42C" w14:textId="77777777" w:rsidR="008F6C2B" w:rsidRDefault="00B20E39">
            <w:pPr>
              <w:jc w:val="center"/>
              <w:rPr>
                <w:b/>
                <w:bCs/>
                <w:i/>
                <w:iCs/>
                <w:lang w:val="en-GB"/>
              </w:rPr>
            </w:pPr>
            <w:r>
              <w:rPr>
                <w:b/>
                <w:bCs/>
                <w:i/>
                <w:iCs/>
                <w:lang w:val="en-GB"/>
              </w:rPr>
              <w:t>After Tax Cash flow</w:t>
            </w:r>
            <w:r>
              <w:rPr>
                <w:b/>
                <w:bCs/>
                <w:i/>
                <w:iCs/>
                <w:lang w:val="en-GB"/>
              </w:rPr>
              <w:br/>
              <w:t xml:space="preserve">   (Cash flow×0.75)+Tax shield)</w:t>
            </w:r>
          </w:p>
        </w:tc>
        <w:tc>
          <w:tcPr>
            <w:tcW w:w="865" w:type="pct"/>
            <w:tcBorders>
              <w:top w:val="nil"/>
              <w:left w:val="nil"/>
              <w:bottom w:val="single" w:sz="4" w:space="0" w:color="000000"/>
              <w:right w:val="single" w:sz="4" w:space="0" w:color="000000"/>
            </w:tcBorders>
            <w:shd w:val="clear" w:color="auto" w:fill="D9D2E9"/>
            <w:tcMar>
              <w:top w:w="0" w:type="dxa"/>
              <w:left w:w="100" w:type="dxa"/>
              <w:bottom w:w="0" w:type="dxa"/>
              <w:right w:w="100" w:type="dxa"/>
            </w:tcMar>
          </w:tcPr>
          <w:p w14:paraId="2FA0951E" w14:textId="77777777" w:rsidR="008F6C2B" w:rsidRDefault="00B20E39">
            <w:pPr>
              <w:jc w:val="center"/>
              <w:rPr>
                <w:b/>
                <w:bCs/>
                <w:i/>
                <w:iCs/>
                <w:lang w:val="en-GB"/>
              </w:rPr>
            </w:pPr>
            <w:r>
              <w:rPr>
                <w:b/>
                <w:bCs/>
                <w:i/>
                <w:iCs/>
                <w:lang w:val="en-GB"/>
              </w:rPr>
              <w:t>Discounting Factor (6%)</w:t>
            </w:r>
          </w:p>
        </w:tc>
        <w:tc>
          <w:tcPr>
            <w:tcW w:w="817" w:type="pct"/>
            <w:tcBorders>
              <w:top w:val="nil"/>
              <w:left w:val="nil"/>
              <w:bottom w:val="single" w:sz="4" w:space="0" w:color="000000"/>
              <w:right w:val="single" w:sz="4" w:space="0" w:color="000000"/>
            </w:tcBorders>
            <w:shd w:val="clear" w:color="auto" w:fill="D9D2E9"/>
            <w:tcMar>
              <w:top w:w="0" w:type="dxa"/>
              <w:left w:w="100" w:type="dxa"/>
              <w:bottom w:w="0" w:type="dxa"/>
              <w:right w:w="100" w:type="dxa"/>
            </w:tcMar>
          </w:tcPr>
          <w:p w14:paraId="3E855E2A" w14:textId="77777777" w:rsidR="008F6C2B" w:rsidRDefault="00B20E39">
            <w:pPr>
              <w:jc w:val="center"/>
              <w:rPr>
                <w:b/>
                <w:bCs/>
                <w:i/>
                <w:iCs/>
                <w:lang w:val="en-GB"/>
              </w:rPr>
            </w:pPr>
            <w:r>
              <w:rPr>
                <w:b/>
                <w:bCs/>
                <w:i/>
                <w:iCs/>
                <w:lang w:val="en-GB"/>
              </w:rPr>
              <w:t>PV of Cash Flow (£'000)</w:t>
            </w:r>
          </w:p>
        </w:tc>
      </w:tr>
      <w:tr w:rsidR="008F6C2B" w14:paraId="686BE948"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74C7380" w14:textId="77777777" w:rsidR="008F6C2B" w:rsidRDefault="00B20E39">
            <w:pPr>
              <w:jc w:val="right"/>
              <w:rPr>
                <w:lang w:val="en-GB"/>
              </w:rPr>
            </w:pPr>
            <w:r>
              <w:rPr>
                <w:lang w:val="en-GB"/>
              </w:rPr>
              <w:t>0</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4AF7F9AC" w14:textId="77777777" w:rsidR="008F6C2B" w:rsidRDefault="00B20E39">
            <w:pPr>
              <w:jc w:val="right"/>
              <w:rPr>
                <w:lang w:val="en-GB"/>
              </w:rPr>
            </w:pPr>
            <w:r>
              <w:rPr>
                <w:lang w:val="en-GB"/>
              </w:rPr>
              <w:t>600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26322536" w14:textId="77777777" w:rsidR="008F6C2B" w:rsidRDefault="00B20E39">
            <w:pPr>
              <w:jc w:val="right"/>
              <w:rPr>
                <w:lang w:val="en-GB"/>
              </w:rPr>
            </w:pPr>
            <w:r>
              <w:rPr>
                <w:lang w:val="en-GB"/>
              </w:rPr>
              <w:t>600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6CCA4768" w14:textId="77777777" w:rsidR="008F6C2B" w:rsidRDefault="00B20E39">
            <w:pPr>
              <w:jc w:val="right"/>
              <w:rPr>
                <w:lang w:val="en-GB"/>
              </w:rPr>
            </w:pPr>
            <w:r>
              <w:rPr>
                <w:lang w:val="en-GB"/>
              </w:rPr>
              <w:t>1</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272242DD" w14:textId="77777777" w:rsidR="008F6C2B" w:rsidRDefault="00B20E39">
            <w:pPr>
              <w:jc w:val="right"/>
              <w:rPr>
                <w:lang w:val="en-GB"/>
              </w:rPr>
            </w:pPr>
            <w:r>
              <w:rPr>
                <w:lang w:val="en-GB"/>
              </w:rPr>
              <w:t>600</w:t>
            </w:r>
          </w:p>
        </w:tc>
      </w:tr>
      <w:tr w:rsidR="008F6C2B" w14:paraId="22271B26"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EE15690" w14:textId="77777777" w:rsidR="008F6C2B" w:rsidRDefault="00B20E39">
            <w:pPr>
              <w:jc w:val="right"/>
              <w:rPr>
                <w:lang w:val="en-GB"/>
              </w:rPr>
            </w:pPr>
            <w:r>
              <w:rPr>
                <w:lang w:val="en-GB"/>
              </w:rPr>
              <w:t>1</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75C278E6" w14:textId="77777777" w:rsidR="008F6C2B" w:rsidRDefault="00B20E39">
            <w:pPr>
              <w:jc w:val="right"/>
              <w:rPr>
                <w:lang w:val="en-GB"/>
              </w:rPr>
            </w:pPr>
            <w:r>
              <w:rPr>
                <w:lang w:val="en-GB"/>
              </w:rPr>
              <w:t>200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40A4FE4D" w14:textId="77777777" w:rsidR="008F6C2B" w:rsidRDefault="00B20E39">
            <w:pPr>
              <w:jc w:val="right"/>
              <w:rPr>
                <w:lang w:val="en-GB"/>
              </w:rPr>
            </w:pPr>
            <w:r>
              <w:rPr>
                <w:lang w:val="en-GB"/>
              </w:rPr>
              <w:t>180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14BC9549" w14:textId="77777777" w:rsidR="008F6C2B" w:rsidRDefault="00B20E39">
            <w:pPr>
              <w:jc w:val="right"/>
              <w:rPr>
                <w:lang w:val="en-GB"/>
              </w:rPr>
            </w:pPr>
            <w:r>
              <w:rPr>
                <w:lang w:val="en-GB"/>
              </w:rPr>
              <w:t>0.943</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21B7C5AC" w14:textId="77777777" w:rsidR="008F6C2B" w:rsidRDefault="00B20E39">
            <w:pPr>
              <w:jc w:val="right"/>
              <w:rPr>
                <w:lang w:val="en-GB"/>
              </w:rPr>
            </w:pPr>
            <w:r>
              <w:rPr>
                <w:lang w:val="en-GB"/>
              </w:rPr>
              <w:t>170</w:t>
            </w:r>
          </w:p>
        </w:tc>
      </w:tr>
      <w:tr w:rsidR="008F6C2B" w14:paraId="4F92E7D8"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149351B" w14:textId="77777777" w:rsidR="008F6C2B" w:rsidRDefault="00B20E39">
            <w:pPr>
              <w:jc w:val="right"/>
              <w:rPr>
                <w:lang w:val="en-GB"/>
              </w:rPr>
            </w:pPr>
            <w:r>
              <w:rPr>
                <w:lang w:val="en-GB"/>
              </w:rPr>
              <w:t>2</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00871E69" w14:textId="77777777" w:rsidR="008F6C2B" w:rsidRDefault="00B20E39">
            <w:pPr>
              <w:jc w:val="right"/>
              <w:rPr>
                <w:lang w:val="en-GB"/>
              </w:rPr>
            </w:pPr>
            <w:r>
              <w:rPr>
                <w:lang w:val="en-GB"/>
              </w:rPr>
              <w:t>400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5AA64E33" w14:textId="77777777" w:rsidR="008F6C2B" w:rsidRDefault="00B20E39">
            <w:pPr>
              <w:jc w:val="right"/>
              <w:rPr>
                <w:lang w:val="en-GB"/>
              </w:rPr>
            </w:pPr>
            <w:r>
              <w:rPr>
                <w:lang w:val="en-GB"/>
              </w:rPr>
              <w:t>330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3912F33D" w14:textId="77777777" w:rsidR="008F6C2B" w:rsidRDefault="00B20E39">
            <w:pPr>
              <w:jc w:val="right"/>
              <w:rPr>
                <w:lang w:val="en-GB"/>
              </w:rPr>
            </w:pPr>
            <w:r>
              <w:rPr>
                <w:lang w:val="en-GB"/>
              </w:rPr>
              <w:t>0.890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270A4201" w14:textId="77777777" w:rsidR="008F6C2B" w:rsidRDefault="00B20E39">
            <w:pPr>
              <w:jc w:val="right"/>
              <w:rPr>
                <w:lang w:val="en-GB"/>
              </w:rPr>
            </w:pPr>
            <w:r>
              <w:rPr>
                <w:lang w:val="en-GB"/>
              </w:rPr>
              <w:t>294</w:t>
            </w:r>
          </w:p>
        </w:tc>
      </w:tr>
      <w:tr w:rsidR="008F6C2B" w14:paraId="6CE63B5F"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1D52E3F" w14:textId="77777777" w:rsidR="008F6C2B" w:rsidRDefault="00B20E39">
            <w:pPr>
              <w:jc w:val="right"/>
              <w:rPr>
                <w:lang w:val="en-GB"/>
              </w:rPr>
            </w:pPr>
            <w:r>
              <w:rPr>
                <w:lang w:val="en-GB"/>
              </w:rPr>
              <w:t>3</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7A5C0C7C" w14:textId="77777777" w:rsidR="008F6C2B" w:rsidRDefault="00B20E39">
            <w:pPr>
              <w:jc w:val="right"/>
              <w:rPr>
                <w:lang w:val="en-GB"/>
              </w:rPr>
            </w:pPr>
            <w:r>
              <w:rPr>
                <w:lang w:val="en-GB"/>
              </w:rPr>
              <w:t>500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3857FCF0" w14:textId="77777777" w:rsidR="008F6C2B" w:rsidRDefault="00B20E39">
            <w:pPr>
              <w:jc w:val="right"/>
              <w:rPr>
                <w:lang w:val="en-GB"/>
              </w:rPr>
            </w:pPr>
            <w:r>
              <w:rPr>
                <w:lang w:val="en-GB"/>
              </w:rPr>
              <w:t>405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28F61D3" w14:textId="77777777" w:rsidR="008F6C2B" w:rsidRDefault="00B20E39">
            <w:pPr>
              <w:jc w:val="right"/>
              <w:rPr>
                <w:lang w:val="en-GB"/>
              </w:rPr>
            </w:pPr>
            <w:r>
              <w:rPr>
                <w:lang w:val="en-GB"/>
              </w:rPr>
              <w:t>0.840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71A89EEF" w14:textId="77777777" w:rsidR="008F6C2B" w:rsidRDefault="00B20E39">
            <w:pPr>
              <w:jc w:val="right"/>
              <w:rPr>
                <w:lang w:val="en-GB"/>
              </w:rPr>
            </w:pPr>
            <w:r>
              <w:rPr>
                <w:lang w:val="en-GB"/>
              </w:rPr>
              <w:t>340</w:t>
            </w:r>
          </w:p>
        </w:tc>
      </w:tr>
      <w:tr w:rsidR="008F6C2B" w14:paraId="3761BB2A"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78091CA" w14:textId="77777777" w:rsidR="008F6C2B" w:rsidRDefault="00B20E39">
            <w:pPr>
              <w:jc w:val="right"/>
              <w:rPr>
                <w:lang w:val="en-GB"/>
              </w:rPr>
            </w:pPr>
            <w:r>
              <w:rPr>
                <w:lang w:val="en-GB"/>
              </w:rPr>
              <w:t>4</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7A65C9F9" w14:textId="77777777" w:rsidR="008F6C2B" w:rsidRDefault="00B20E39">
            <w:pPr>
              <w:jc w:val="right"/>
              <w:rPr>
                <w:lang w:val="en-GB"/>
              </w:rPr>
            </w:pPr>
            <w:r>
              <w:rPr>
                <w:lang w:val="en-GB"/>
              </w:rPr>
              <w:t>700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2E023C43" w14:textId="77777777" w:rsidR="008F6C2B" w:rsidRDefault="00B20E39">
            <w:pPr>
              <w:jc w:val="right"/>
              <w:rPr>
                <w:lang w:val="en-GB"/>
              </w:rPr>
            </w:pPr>
            <w:r>
              <w:rPr>
                <w:lang w:val="en-GB"/>
              </w:rPr>
              <w:t>555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6CE91E9" w14:textId="77777777" w:rsidR="008F6C2B" w:rsidRDefault="00B20E39">
            <w:pPr>
              <w:jc w:val="right"/>
              <w:rPr>
                <w:lang w:val="en-GB"/>
              </w:rPr>
            </w:pPr>
            <w:r>
              <w:rPr>
                <w:lang w:val="en-GB"/>
              </w:rPr>
              <w:t>0.792</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5DC05AA1" w14:textId="77777777" w:rsidR="008F6C2B" w:rsidRDefault="00B20E39">
            <w:pPr>
              <w:jc w:val="right"/>
              <w:rPr>
                <w:lang w:val="en-GB"/>
              </w:rPr>
            </w:pPr>
            <w:r>
              <w:rPr>
                <w:lang w:val="en-GB"/>
              </w:rPr>
              <w:t>440</w:t>
            </w:r>
          </w:p>
        </w:tc>
      </w:tr>
      <w:tr w:rsidR="008F6C2B" w14:paraId="3FF94164"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3B560A95" w14:textId="77777777" w:rsidR="008F6C2B" w:rsidRDefault="00B20E39">
            <w:pPr>
              <w:jc w:val="center"/>
              <w:rPr>
                <w:b/>
                <w:bCs/>
                <w:i/>
                <w:iCs/>
                <w:lang w:val="en-GB"/>
              </w:rPr>
            </w:pPr>
            <w:r>
              <w:rPr>
                <w:b/>
                <w:bCs/>
                <w:i/>
                <w:iCs/>
                <w:lang w:val="en-GB"/>
              </w:rPr>
              <w:t>Total PV</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6EE0C52D" w14:textId="77777777" w:rsidR="008F6C2B" w:rsidRDefault="00B20E39">
            <w:pPr>
              <w:jc w:val="center"/>
              <w:rPr>
                <w:b/>
                <w:bCs/>
                <w:i/>
                <w:iCs/>
                <w:lang w:val="en-GB"/>
              </w:rPr>
            </w:pPr>
            <w:r>
              <w:rPr>
                <w:b/>
                <w:bCs/>
                <w:i/>
                <w:iCs/>
                <w:lang w:val="en-GB"/>
              </w:rPr>
              <w:t>1243</w:t>
            </w:r>
          </w:p>
        </w:tc>
      </w:tr>
      <w:tr w:rsidR="008F6C2B" w14:paraId="1A11BB09" w14:textId="77777777">
        <w:trPr>
          <w:trHeight w:val="570"/>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584E5E56" w14:textId="77777777" w:rsidR="008F6C2B" w:rsidRDefault="00B20E39">
            <w:pPr>
              <w:jc w:val="center"/>
              <w:rPr>
                <w:b/>
                <w:bCs/>
                <w:i/>
                <w:iCs/>
                <w:lang w:val="en-GB"/>
              </w:rPr>
            </w:pPr>
            <w:r>
              <w:rPr>
                <w:b/>
                <w:bCs/>
                <w:i/>
                <w:iCs/>
                <w:lang w:val="en-GB"/>
              </w:rPr>
              <w:t>NPV (£'000) = Total PV- Initial Investment</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5185EE3F" w14:textId="77777777" w:rsidR="008F6C2B" w:rsidRDefault="00B20E39">
            <w:pPr>
              <w:jc w:val="center"/>
              <w:rPr>
                <w:b/>
                <w:bCs/>
                <w:i/>
                <w:iCs/>
                <w:lang w:val="en-GB"/>
              </w:rPr>
            </w:pPr>
            <w:r>
              <w:rPr>
                <w:b/>
                <w:bCs/>
                <w:i/>
                <w:iCs/>
                <w:lang w:val="en-GB"/>
              </w:rPr>
              <w:t>643</w:t>
            </w:r>
          </w:p>
        </w:tc>
      </w:tr>
      <w:tr w:rsidR="008F6C2B" w14:paraId="729EEEAB" w14:textId="77777777">
        <w:trPr>
          <w:trHeight w:val="285"/>
          <w:jc w:val="center"/>
        </w:trPr>
        <w:tc>
          <w:tcPr>
            <w:tcW w:w="1490" w:type="pct"/>
            <w:tcBorders>
              <w:top w:val="nil"/>
              <w:left w:val="nil"/>
              <w:bottom w:val="nil"/>
              <w:right w:val="nil"/>
            </w:tcBorders>
            <w:tcMar>
              <w:top w:w="0" w:type="dxa"/>
              <w:left w:w="100" w:type="dxa"/>
              <w:bottom w:w="0" w:type="dxa"/>
              <w:right w:w="100" w:type="dxa"/>
            </w:tcMar>
            <w:vAlign w:val="bottom"/>
          </w:tcPr>
          <w:p w14:paraId="3540FB12" w14:textId="77777777" w:rsidR="008F6C2B" w:rsidRDefault="00B20E39">
            <w:pPr>
              <w:rPr>
                <w:lang w:val="en-GB"/>
              </w:rPr>
            </w:pPr>
            <w:r>
              <w:rPr>
                <w:lang w:val="en-GB"/>
              </w:rPr>
              <w:t xml:space="preserve"> </w:t>
            </w:r>
          </w:p>
        </w:tc>
        <w:tc>
          <w:tcPr>
            <w:tcW w:w="761" w:type="pct"/>
            <w:tcBorders>
              <w:top w:val="nil"/>
              <w:left w:val="nil"/>
              <w:bottom w:val="nil"/>
              <w:right w:val="nil"/>
            </w:tcBorders>
            <w:tcMar>
              <w:top w:w="0" w:type="dxa"/>
              <w:left w:w="100" w:type="dxa"/>
              <w:bottom w:w="0" w:type="dxa"/>
              <w:right w:w="100" w:type="dxa"/>
            </w:tcMar>
            <w:vAlign w:val="bottom"/>
          </w:tcPr>
          <w:p w14:paraId="18ECC13A" w14:textId="77777777" w:rsidR="008F6C2B" w:rsidRDefault="00B20E39">
            <w:pPr>
              <w:rPr>
                <w:lang w:val="en-GB"/>
              </w:rPr>
            </w:pPr>
            <w:r>
              <w:rPr>
                <w:lang w:val="en-GB"/>
              </w:rPr>
              <w:t xml:space="preserve"> </w:t>
            </w:r>
          </w:p>
        </w:tc>
        <w:tc>
          <w:tcPr>
            <w:tcW w:w="1066" w:type="pct"/>
            <w:tcBorders>
              <w:top w:val="nil"/>
              <w:left w:val="nil"/>
              <w:bottom w:val="nil"/>
              <w:right w:val="nil"/>
            </w:tcBorders>
            <w:tcMar>
              <w:top w:w="0" w:type="dxa"/>
              <w:left w:w="100" w:type="dxa"/>
              <w:bottom w:w="0" w:type="dxa"/>
              <w:right w:w="100" w:type="dxa"/>
            </w:tcMar>
            <w:vAlign w:val="bottom"/>
          </w:tcPr>
          <w:p w14:paraId="4DBD7FD2" w14:textId="77777777" w:rsidR="008F6C2B" w:rsidRDefault="00B20E39">
            <w:pPr>
              <w:rPr>
                <w:lang w:val="en-GB"/>
              </w:rPr>
            </w:pPr>
            <w:r>
              <w:rPr>
                <w:lang w:val="en-GB"/>
              </w:rPr>
              <w:t xml:space="preserve"> </w:t>
            </w:r>
          </w:p>
        </w:tc>
        <w:tc>
          <w:tcPr>
            <w:tcW w:w="865" w:type="pct"/>
            <w:tcBorders>
              <w:top w:val="nil"/>
              <w:left w:val="nil"/>
              <w:bottom w:val="nil"/>
              <w:right w:val="nil"/>
            </w:tcBorders>
            <w:tcMar>
              <w:top w:w="0" w:type="dxa"/>
              <w:left w:w="100" w:type="dxa"/>
              <w:bottom w:w="0" w:type="dxa"/>
              <w:right w:w="100" w:type="dxa"/>
            </w:tcMar>
            <w:vAlign w:val="bottom"/>
          </w:tcPr>
          <w:p w14:paraId="79DD8C81" w14:textId="77777777" w:rsidR="008F6C2B" w:rsidRDefault="00B20E39">
            <w:pPr>
              <w:rPr>
                <w:lang w:val="en-GB"/>
              </w:rPr>
            </w:pPr>
            <w:r>
              <w:rPr>
                <w:lang w:val="en-GB"/>
              </w:rPr>
              <w:t xml:space="preserve"> </w:t>
            </w:r>
          </w:p>
        </w:tc>
        <w:tc>
          <w:tcPr>
            <w:tcW w:w="817" w:type="pct"/>
            <w:tcBorders>
              <w:top w:val="nil"/>
              <w:left w:val="nil"/>
              <w:bottom w:val="nil"/>
              <w:right w:val="nil"/>
            </w:tcBorders>
            <w:tcMar>
              <w:top w:w="0" w:type="dxa"/>
              <w:left w:w="100" w:type="dxa"/>
              <w:bottom w:w="0" w:type="dxa"/>
              <w:right w:w="100" w:type="dxa"/>
            </w:tcMar>
            <w:vAlign w:val="bottom"/>
          </w:tcPr>
          <w:p w14:paraId="43641C50" w14:textId="77777777" w:rsidR="008F6C2B" w:rsidRDefault="00B20E39">
            <w:pPr>
              <w:rPr>
                <w:lang w:val="en-GB"/>
              </w:rPr>
            </w:pPr>
            <w:r>
              <w:rPr>
                <w:lang w:val="en-GB"/>
              </w:rPr>
              <w:t xml:space="preserve"> </w:t>
            </w:r>
          </w:p>
        </w:tc>
      </w:tr>
      <w:tr w:rsidR="008F6C2B" w14:paraId="18E7B0C5" w14:textId="77777777">
        <w:trPr>
          <w:trHeight w:val="315"/>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E6B8AF"/>
            <w:tcMar>
              <w:top w:w="0" w:type="dxa"/>
              <w:left w:w="100" w:type="dxa"/>
              <w:bottom w:w="0" w:type="dxa"/>
              <w:right w:w="100" w:type="dxa"/>
            </w:tcMar>
          </w:tcPr>
          <w:p w14:paraId="56370C82" w14:textId="77777777" w:rsidR="008F6C2B" w:rsidRDefault="00B20E39">
            <w:pPr>
              <w:jc w:val="center"/>
              <w:rPr>
                <w:b/>
                <w:bCs/>
                <w:lang w:val="en-GB"/>
              </w:rPr>
            </w:pPr>
            <w:r>
              <w:rPr>
                <w:b/>
                <w:bCs/>
                <w:lang w:val="en-GB"/>
              </w:rPr>
              <w:t>B: Develop into internet sales</w:t>
            </w:r>
          </w:p>
        </w:tc>
      </w:tr>
      <w:tr w:rsidR="008F6C2B" w14:paraId="77D32249" w14:textId="77777777">
        <w:trPr>
          <w:trHeight w:val="1395"/>
          <w:jc w:val="center"/>
        </w:trPr>
        <w:tc>
          <w:tcPr>
            <w:tcW w:w="1490" w:type="pct"/>
            <w:tcBorders>
              <w:top w:val="nil"/>
              <w:left w:val="single" w:sz="4" w:space="0" w:color="000000"/>
              <w:bottom w:val="single" w:sz="4" w:space="0" w:color="000000"/>
              <w:right w:val="single" w:sz="4" w:space="0" w:color="000000"/>
            </w:tcBorders>
            <w:shd w:val="clear" w:color="auto" w:fill="E6B8AF"/>
            <w:tcMar>
              <w:top w:w="0" w:type="dxa"/>
              <w:left w:w="100" w:type="dxa"/>
              <w:bottom w:w="0" w:type="dxa"/>
              <w:right w:w="100" w:type="dxa"/>
            </w:tcMar>
          </w:tcPr>
          <w:p w14:paraId="0B752B5E" w14:textId="77777777" w:rsidR="008F6C2B" w:rsidRDefault="00B20E39">
            <w:pPr>
              <w:jc w:val="center"/>
              <w:rPr>
                <w:b/>
                <w:bCs/>
                <w:i/>
                <w:iCs/>
                <w:lang w:val="en-GB"/>
              </w:rPr>
            </w:pPr>
            <w:r>
              <w:rPr>
                <w:b/>
                <w:bCs/>
                <w:i/>
                <w:iCs/>
                <w:lang w:val="en-GB"/>
              </w:rPr>
              <w:t>Year</w:t>
            </w:r>
          </w:p>
        </w:tc>
        <w:tc>
          <w:tcPr>
            <w:tcW w:w="761" w:type="pct"/>
            <w:tcBorders>
              <w:top w:val="nil"/>
              <w:left w:val="nil"/>
              <w:bottom w:val="single" w:sz="4" w:space="0" w:color="000000"/>
              <w:right w:val="single" w:sz="4" w:space="0" w:color="000000"/>
            </w:tcBorders>
            <w:shd w:val="clear" w:color="auto" w:fill="E6B8AF"/>
            <w:tcMar>
              <w:top w:w="0" w:type="dxa"/>
              <w:left w:w="100" w:type="dxa"/>
              <w:bottom w:w="0" w:type="dxa"/>
              <w:right w:w="100" w:type="dxa"/>
            </w:tcMar>
          </w:tcPr>
          <w:p w14:paraId="290D78A9" w14:textId="77777777" w:rsidR="008F6C2B" w:rsidRDefault="00B20E39">
            <w:pPr>
              <w:jc w:val="center"/>
              <w:rPr>
                <w:b/>
                <w:bCs/>
                <w:i/>
                <w:iCs/>
                <w:lang w:val="en-GB"/>
              </w:rPr>
            </w:pPr>
            <w:r>
              <w:rPr>
                <w:b/>
                <w:bCs/>
                <w:i/>
                <w:iCs/>
                <w:lang w:val="en-GB"/>
              </w:rPr>
              <w:t>Cash Flow (£'000)</w:t>
            </w:r>
          </w:p>
        </w:tc>
        <w:tc>
          <w:tcPr>
            <w:tcW w:w="1066" w:type="pct"/>
            <w:tcBorders>
              <w:top w:val="nil"/>
              <w:left w:val="nil"/>
              <w:bottom w:val="single" w:sz="4" w:space="0" w:color="000000"/>
              <w:right w:val="single" w:sz="4" w:space="0" w:color="000000"/>
            </w:tcBorders>
            <w:shd w:val="clear" w:color="auto" w:fill="E6B8AF"/>
            <w:tcMar>
              <w:top w:w="0" w:type="dxa"/>
              <w:left w:w="100" w:type="dxa"/>
              <w:bottom w:w="0" w:type="dxa"/>
              <w:right w:w="100" w:type="dxa"/>
            </w:tcMar>
          </w:tcPr>
          <w:p w14:paraId="04DAB820" w14:textId="77777777" w:rsidR="008F6C2B" w:rsidRDefault="00B20E39">
            <w:pPr>
              <w:jc w:val="center"/>
              <w:rPr>
                <w:b/>
                <w:bCs/>
                <w:i/>
                <w:iCs/>
                <w:lang w:val="en-GB"/>
              </w:rPr>
            </w:pPr>
            <w:r>
              <w:rPr>
                <w:b/>
                <w:bCs/>
                <w:i/>
                <w:iCs/>
                <w:lang w:val="en-GB"/>
              </w:rPr>
              <w:t>After Tax Cash flow</w:t>
            </w:r>
            <w:r>
              <w:rPr>
                <w:b/>
                <w:bCs/>
                <w:i/>
                <w:iCs/>
                <w:lang w:val="en-GB"/>
              </w:rPr>
              <w:br/>
              <w:t xml:space="preserve">   (Cash flow×0.75)+Tax shield)</w:t>
            </w:r>
          </w:p>
        </w:tc>
        <w:tc>
          <w:tcPr>
            <w:tcW w:w="865" w:type="pct"/>
            <w:tcBorders>
              <w:top w:val="nil"/>
              <w:left w:val="nil"/>
              <w:bottom w:val="single" w:sz="4" w:space="0" w:color="000000"/>
              <w:right w:val="single" w:sz="4" w:space="0" w:color="000000"/>
            </w:tcBorders>
            <w:shd w:val="clear" w:color="auto" w:fill="E6B8AF"/>
            <w:tcMar>
              <w:top w:w="0" w:type="dxa"/>
              <w:left w:w="100" w:type="dxa"/>
              <w:bottom w:w="0" w:type="dxa"/>
              <w:right w:w="100" w:type="dxa"/>
            </w:tcMar>
          </w:tcPr>
          <w:p w14:paraId="55D6571A" w14:textId="77777777" w:rsidR="008F6C2B" w:rsidRDefault="00B20E39">
            <w:pPr>
              <w:jc w:val="center"/>
              <w:rPr>
                <w:b/>
                <w:bCs/>
                <w:i/>
                <w:iCs/>
                <w:lang w:val="en-GB"/>
              </w:rPr>
            </w:pPr>
            <w:r>
              <w:rPr>
                <w:b/>
                <w:bCs/>
                <w:i/>
                <w:iCs/>
                <w:lang w:val="en-GB"/>
              </w:rPr>
              <w:t>Discounting Factor (6%)</w:t>
            </w:r>
          </w:p>
        </w:tc>
        <w:tc>
          <w:tcPr>
            <w:tcW w:w="817" w:type="pct"/>
            <w:tcBorders>
              <w:top w:val="nil"/>
              <w:left w:val="nil"/>
              <w:bottom w:val="single" w:sz="4" w:space="0" w:color="000000"/>
              <w:right w:val="single" w:sz="4" w:space="0" w:color="000000"/>
            </w:tcBorders>
            <w:shd w:val="clear" w:color="auto" w:fill="E6B8AF"/>
            <w:tcMar>
              <w:top w:w="0" w:type="dxa"/>
              <w:left w:w="100" w:type="dxa"/>
              <w:bottom w:w="0" w:type="dxa"/>
              <w:right w:w="100" w:type="dxa"/>
            </w:tcMar>
          </w:tcPr>
          <w:p w14:paraId="1AD8521F" w14:textId="77777777" w:rsidR="008F6C2B" w:rsidRDefault="00B20E39">
            <w:pPr>
              <w:jc w:val="center"/>
              <w:rPr>
                <w:b/>
                <w:bCs/>
                <w:i/>
                <w:iCs/>
                <w:lang w:val="en-GB"/>
              </w:rPr>
            </w:pPr>
            <w:r>
              <w:rPr>
                <w:b/>
                <w:bCs/>
                <w:i/>
                <w:iCs/>
                <w:lang w:val="en-GB"/>
              </w:rPr>
              <w:t>PV of Cash Flow (£'000)</w:t>
            </w:r>
          </w:p>
        </w:tc>
      </w:tr>
      <w:tr w:rsidR="008F6C2B" w14:paraId="34ABCBFB"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9D73F1B" w14:textId="77777777" w:rsidR="008F6C2B" w:rsidRDefault="00B20E39">
            <w:pPr>
              <w:jc w:val="right"/>
              <w:rPr>
                <w:lang w:val="en-GB"/>
              </w:rPr>
            </w:pPr>
            <w:r>
              <w:rPr>
                <w:lang w:val="en-GB"/>
              </w:rPr>
              <w:t>0</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519CE0EC" w14:textId="77777777" w:rsidR="008F6C2B" w:rsidRDefault="00B20E39">
            <w:pPr>
              <w:jc w:val="right"/>
              <w:rPr>
                <w:lang w:val="en-GB"/>
              </w:rPr>
            </w:pPr>
            <w:r>
              <w:rPr>
                <w:lang w:val="en-GB"/>
              </w:rPr>
              <w:t>1600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0A6DB027" w14:textId="77777777" w:rsidR="008F6C2B" w:rsidRDefault="00B20E39">
            <w:pPr>
              <w:jc w:val="right"/>
              <w:rPr>
                <w:lang w:val="en-GB"/>
              </w:rPr>
            </w:pPr>
            <w:r>
              <w:rPr>
                <w:lang w:val="en-GB"/>
              </w:rPr>
              <w:t>1000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D0B89A8" w14:textId="77777777" w:rsidR="008F6C2B" w:rsidRDefault="00B20E39">
            <w:pPr>
              <w:jc w:val="right"/>
              <w:rPr>
                <w:lang w:val="en-GB"/>
              </w:rPr>
            </w:pPr>
            <w:r>
              <w:rPr>
                <w:lang w:val="en-GB"/>
              </w:rPr>
              <w:t>1</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2EACC26E" w14:textId="77777777" w:rsidR="008F6C2B" w:rsidRDefault="00B20E39">
            <w:pPr>
              <w:jc w:val="right"/>
              <w:rPr>
                <w:lang w:val="en-GB"/>
              </w:rPr>
            </w:pPr>
            <w:r>
              <w:rPr>
                <w:lang w:val="en-GB"/>
              </w:rPr>
              <w:t>1000</w:t>
            </w:r>
          </w:p>
        </w:tc>
      </w:tr>
      <w:tr w:rsidR="008F6C2B" w14:paraId="35CF9B64"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DBD23BE" w14:textId="77777777" w:rsidR="008F6C2B" w:rsidRDefault="00B20E39">
            <w:pPr>
              <w:jc w:val="right"/>
              <w:rPr>
                <w:lang w:val="en-GB"/>
              </w:rPr>
            </w:pPr>
            <w:r>
              <w:rPr>
                <w:lang w:val="en-GB"/>
              </w:rPr>
              <w:t>1</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1C10F569" w14:textId="77777777" w:rsidR="008F6C2B" w:rsidRDefault="00B20E39">
            <w:pPr>
              <w:jc w:val="right"/>
              <w:rPr>
                <w:lang w:val="en-GB"/>
              </w:rPr>
            </w:pPr>
            <w:r>
              <w:rPr>
                <w:lang w:val="en-GB"/>
              </w:rPr>
              <w:t>400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51A37843" w14:textId="77777777" w:rsidR="008F6C2B" w:rsidRDefault="00B20E39">
            <w:pPr>
              <w:jc w:val="right"/>
              <w:rPr>
                <w:lang w:val="en-GB"/>
              </w:rPr>
            </w:pPr>
            <w:r>
              <w:rPr>
                <w:lang w:val="en-GB"/>
              </w:rPr>
              <w:t>350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0749883F" w14:textId="77777777" w:rsidR="008F6C2B" w:rsidRDefault="00B20E39">
            <w:pPr>
              <w:jc w:val="right"/>
              <w:rPr>
                <w:lang w:val="en-GB"/>
              </w:rPr>
            </w:pPr>
            <w:r>
              <w:rPr>
                <w:lang w:val="en-GB"/>
              </w:rPr>
              <w:t>0.943</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2AFC8D90" w14:textId="77777777" w:rsidR="008F6C2B" w:rsidRDefault="00B20E39">
            <w:pPr>
              <w:jc w:val="right"/>
              <w:rPr>
                <w:lang w:val="en-GB"/>
              </w:rPr>
            </w:pPr>
            <w:r>
              <w:rPr>
                <w:lang w:val="en-GB"/>
              </w:rPr>
              <w:t>330</w:t>
            </w:r>
          </w:p>
        </w:tc>
      </w:tr>
      <w:tr w:rsidR="008F6C2B" w14:paraId="147332CF"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8890924" w14:textId="77777777" w:rsidR="008F6C2B" w:rsidRDefault="00B20E39">
            <w:pPr>
              <w:jc w:val="right"/>
              <w:rPr>
                <w:lang w:val="en-GB"/>
              </w:rPr>
            </w:pPr>
            <w:r>
              <w:rPr>
                <w:lang w:val="en-GB"/>
              </w:rPr>
              <w:t>2</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3C30A4A9" w14:textId="77777777" w:rsidR="008F6C2B" w:rsidRDefault="00B20E39">
            <w:pPr>
              <w:jc w:val="right"/>
              <w:rPr>
                <w:lang w:val="en-GB"/>
              </w:rPr>
            </w:pPr>
            <w:r>
              <w:rPr>
                <w:lang w:val="en-GB"/>
              </w:rPr>
              <w:t>450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3129C787" w14:textId="77777777" w:rsidR="008F6C2B" w:rsidRDefault="00B20E39">
            <w:pPr>
              <w:jc w:val="right"/>
              <w:rPr>
                <w:lang w:val="en-GB"/>
              </w:rPr>
            </w:pPr>
            <w:r>
              <w:rPr>
                <w:lang w:val="en-GB"/>
              </w:rPr>
              <w:t>387.5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AD8619B" w14:textId="77777777" w:rsidR="008F6C2B" w:rsidRDefault="00B20E39">
            <w:pPr>
              <w:jc w:val="right"/>
              <w:rPr>
                <w:lang w:val="en-GB"/>
              </w:rPr>
            </w:pPr>
            <w:r>
              <w:rPr>
                <w:lang w:val="en-GB"/>
              </w:rPr>
              <w:t>0.890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4A254FCC" w14:textId="77777777" w:rsidR="008F6C2B" w:rsidRDefault="00B20E39">
            <w:pPr>
              <w:jc w:val="right"/>
              <w:rPr>
                <w:lang w:val="en-GB"/>
              </w:rPr>
            </w:pPr>
            <w:r>
              <w:rPr>
                <w:lang w:val="en-GB"/>
              </w:rPr>
              <w:t>345</w:t>
            </w:r>
          </w:p>
        </w:tc>
      </w:tr>
      <w:tr w:rsidR="008F6C2B" w14:paraId="54F066E8"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270DFAE" w14:textId="77777777" w:rsidR="008F6C2B" w:rsidRDefault="00B20E39">
            <w:pPr>
              <w:jc w:val="right"/>
              <w:rPr>
                <w:lang w:val="en-GB"/>
              </w:rPr>
            </w:pPr>
            <w:r>
              <w:rPr>
                <w:lang w:val="en-GB"/>
              </w:rPr>
              <w:t>3</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5F41DDB1" w14:textId="77777777" w:rsidR="008F6C2B" w:rsidRDefault="00B20E39">
            <w:pPr>
              <w:jc w:val="right"/>
              <w:rPr>
                <w:lang w:val="en-GB"/>
              </w:rPr>
            </w:pPr>
            <w:r>
              <w:rPr>
                <w:lang w:val="en-GB"/>
              </w:rPr>
              <w:t>720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7CE2B413" w14:textId="77777777" w:rsidR="008F6C2B" w:rsidRDefault="00B20E39">
            <w:pPr>
              <w:jc w:val="right"/>
              <w:rPr>
                <w:lang w:val="en-GB"/>
              </w:rPr>
            </w:pPr>
            <w:r>
              <w:rPr>
                <w:lang w:val="en-GB"/>
              </w:rPr>
              <w:t>590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02348DF" w14:textId="77777777" w:rsidR="008F6C2B" w:rsidRDefault="00B20E39">
            <w:pPr>
              <w:jc w:val="right"/>
              <w:rPr>
                <w:lang w:val="en-GB"/>
              </w:rPr>
            </w:pPr>
            <w:r>
              <w:rPr>
                <w:lang w:val="en-GB"/>
              </w:rPr>
              <w:t>0.840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04AF522E" w14:textId="77777777" w:rsidR="008F6C2B" w:rsidRDefault="00B20E39">
            <w:pPr>
              <w:jc w:val="right"/>
              <w:rPr>
                <w:lang w:val="en-GB"/>
              </w:rPr>
            </w:pPr>
            <w:r>
              <w:rPr>
                <w:lang w:val="en-GB"/>
              </w:rPr>
              <w:t>495</w:t>
            </w:r>
          </w:p>
        </w:tc>
      </w:tr>
      <w:tr w:rsidR="008F6C2B" w14:paraId="541EE8AA"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5A8B4F7" w14:textId="77777777" w:rsidR="008F6C2B" w:rsidRDefault="00B20E39">
            <w:pPr>
              <w:jc w:val="right"/>
              <w:rPr>
                <w:lang w:val="en-GB"/>
              </w:rPr>
            </w:pPr>
            <w:r>
              <w:rPr>
                <w:lang w:val="en-GB"/>
              </w:rPr>
              <w:t>4</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543323AC" w14:textId="77777777" w:rsidR="008F6C2B" w:rsidRDefault="00B20E39">
            <w:pPr>
              <w:jc w:val="right"/>
              <w:rPr>
                <w:lang w:val="en-GB"/>
              </w:rPr>
            </w:pPr>
            <w:r>
              <w:rPr>
                <w:lang w:val="en-GB"/>
              </w:rPr>
              <w:t>980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48EC6350" w14:textId="77777777" w:rsidR="008F6C2B" w:rsidRDefault="00B20E39">
            <w:pPr>
              <w:jc w:val="right"/>
              <w:rPr>
                <w:lang w:val="en-GB"/>
              </w:rPr>
            </w:pPr>
            <w:r>
              <w:rPr>
                <w:lang w:val="en-GB"/>
              </w:rPr>
              <w:t>785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FAAC822" w14:textId="77777777" w:rsidR="008F6C2B" w:rsidRDefault="00B20E39">
            <w:pPr>
              <w:jc w:val="right"/>
              <w:rPr>
                <w:lang w:val="en-GB"/>
              </w:rPr>
            </w:pPr>
            <w:r>
              <w:rPr>
                <w:lang w:val="en-GB"/>
              </w:rPr>
              <w:t>0.792</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45CC928C" w14:textId="77777777" w:rsidR="008F6C2B" w:rsidRDefault="00B20E39">
            <w:pPr>
              <w:jc w:val="right"/>
              <w:rPr>
                <w:lang w:val="en-GB"/>
              </w:rPr>
            </w:pPr>
            <w:r>
              <w:rPr>
                <w:lang w:val="en-GB"/>
              </w:rPr>
              <w:t>622</w:t>
            </w:r>
          </w:p>
        </w:tc>
      </w:tr>
      <w:tr w:rsidR="008F6C2B" w14:paraId="40F21810"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40D09980" w14:textId="77777777" w:rsidR="008F6C2B" w:rsidRDefault="00B20E39">
            <w:pPr>
              <w:rPr>
                <w:b/>
                <w:bCs/>
                <w:lang w:val="en-GB"/>
              </w:rPr>
            </w:pPr>
            <w:r>
              <w:rPr>
                <w:b/>
                <w:bCs/>
                <w:lang w:val="en-GB"/>
              </w:rPr>
              <w:t>Total PV</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1D9D91E1" w14:textId="77777777" w:rsidR="008F6C2B" w:rsidRDefault="00B20E39">
            <w:pPr>
              <w:jc w:val="center"/>
              <w:rPr>
                <w:b/>
                <w:bCs/>
                <w:lang w:val="en-GB"/>
              </w:rPr>
            </w:pPr>
            <w:r>
              <w:rPr>
                <w:b/>
                <w:bCs/>
                <w:lang w:val="en-GB"/>
              </w:rPr>
              <w:t>1792</w:t>
            </w:r>
          </w:p>
        </w:tc>
      </w:tr>
      <w:tr w:rsidR="008F6C2B" w14:paraId="408F0C45" w14:textId="77777777">
        <w:trPr>
          <w:trHeight w:val="570"/>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229207EA" w14:textId="77777777" w:rsidR="008F6C2B" w:rsidRDefault="00B20E39">
            <w:pPr>
              <w:rPr>
                <w:b/>
                <w:bCs/>
                <w:lang w:val="en-GB"/>
              </w:rPr>
            </w:pPr>
            <w:r>
              <w:rPr>
                <w:b/>
                <w:bCs/>
                <w:lang w:val="en-GB"/>
              </w:rPr>
              <w:t>NPV (£'000) = Total PV- Initial Investment</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57465746" w14:textId="77777777" w:rsidR="008F6C2B" w:rsidRDefault="00B20E39">
            <w:pPr>
              <w:jc w:val="center"/>
              <w:rPr>
                <w:b/>
                <w:bCs/>
                <w:lang w:val="en-GB"/>
              </w:rPr>
            </w:pPr>
            <w:r>
              <w:rPr>
                <w:b/>
                <w:bCs/>
                <w:lang w:val="en-GB"/>
              </w:rPr>
              <w:t>792</w:t>
            </w:r>
          </w:p>
        </w:tc>
      </w:tr>
      <w:tr w:rsidR="008F6C2B" w14:paraId="4D9A3694" w14:textId="77777777">
        <w:trPr>
          <w:trHeight w:val="285"/>
          <w:jc w:val="center"/>
        </w:trPr>
        <w:tc>
          <w:tcPr>
            <w:tcW w:w="1490" w:type="pct"/>
            <w:tcBorders>
              <w:top w:val="nil"/>
              <w:left w:val="nil"/>
              <w:bottom w:val="nil"/>
              <w:right w:val="nil"/>
            </w:tcBorders>
            <w:tcMar>
              <w:top w:w="0" w:type="dxa"/>
              <w:left w:w="100" w:type="dxa"/>
              <w:bottom w:w="0" w:type="dxa"/>
              <w:right w:w="100" w:type="dxa"/>
            </w:tcMar>
            <w:vAlign w:val="bottom"/>
          </w:tcPr>
          <w:p w14:paraId="4AD685DD" w14:textId="77777777" w:rsidR="008F6C2B" w:rsidRDefault="00B20E39">
            <w:pPr>
              <w:rPr>
                <w:lang w:val="en-GB"/>
              </w:rPr>
            </w:pPr>
            <w:r>
              <w:rPr>
                <w:lang w:val="en-GB"/>
              </w:rPr>
              <w:t xml:space="preserve"> </w:t>
            </w:r>
          </w:p>
        </w:tc>
        <w:tc>
          <w:tcPr>
            <w:tcW w:w="761" w:type="pct"/>
            <w:tcBorders>
              <w:top w:val="nil"/>
              <w:left w:val="nil"/>
              <w:bottom w:val="nil"/>
              <w:right w:val="nil"/>
            </w:tcBorders>
            <w:tcMar>
              <w:top w:w="0" w:type="dxa"/>
              <w:left w:w="100" w:type="dxa"/>
              <w:bottom w:w="0" w:type="dxa"/>
              <w:right w:w="100" w:type="dxa"/>
            </w:tcMar>
            <w:vAlign w:val="bottom"/>
          </w:tcPr>
          <w:p w14:paraId="22DA3E1D" w14:textId="77777777" w:rsidR="008F6C2B" w:rsidRDefault="00B20E39">
            <w:pPr>
              <w:rPr>
                <w:lang w:val="en-GB"/>
              </w:rPr>
            </w:pPr>
            <w:r>
              <w:rPr>
                <w:lang w:val="en-GB"/>
              </w:rPr>
              <w:t xml:space="preserve"> </w:t>
            </w:r>
          </w:p>
        </w:tc>
        <w:tc>
          <w:tcPr>
            <w:tcW w:w="1066" w:type="pct"/>
            <w:tcBorders>
              <w:top w:val="nil"/>
              <w:left w:val="nil"/>
              <w:bottom w:val="nil"/>
              <w:right w:val="nil"/>
            </w:tcBorders>
            <w:tcMar>
              <w:top w:w="0" w:type="dxa"/>
              <w:left w:w="100" w:type="dxa"/>
              <w:bottom w:w="0" w:type="dxa"/>
              <w:right w:w="100" w:type="dxa"/>
            </w:tcMar>
            <w:vAlign w:val="bottom"/>
          </w:tcPr>
          <w:p w14:paraId="298D954F" w14:textId="77777777" w:rsidR="008F6C2B" w:rsidRDefault="00B20E39">
            <w:pPr>
              <w:rPr>
                <w:lang w:val="en-GB"/>
              </w:rPr>
            </w:pPr>
            <w:r>
              <w:rPr>
                <w:lang w:val="en-GB"/>
              </w:rPr>
              <w:t xml:space="preserve"> </w:t>
            </w:r>
          </w:p>
        </w:tc>
        <w:tc>
          <w:tcPr>
            <w:tcW w:w="865" w:type="pct"/>
            <w:tcBorders>
              <w:top w:val="nil"/>
              <w:left w:val="nil"/>
              <w:bottom w:val="nil"/>
              <w:right w:val="nil"/>
            </w:tcBorders>
            <w:tcMar>
              <w:top w:w="0" w:type="dxa"/>
              <w:left w:w="100" w:type="dxa"/>
              <w:bottom w:w="0" w:type="dxa"/>
              <w:right w:w="100" w:type="dxa"/>
            </w:tcMar>
            <w:vAlign w:val="bottom"/>
          </w:tcPr>
          <w:p w14:paraId="37A5C912" w14:textId="77777777" w:rsidR="008F6C2B" w:rsidRDefault="00B20E39">
            <w:pPr>
              <w:rPr>
                <w:lang w:val="en-GB"/>
              </w:rPr>
            </w:pPr>
            <w:r>
              <w:rPr>
                <w:lang w:val="en-GB"/>
              </w:rPr>
              <w:t xml:space="preserve"> </w:t>
            </w:r>
          </w:p>
        </w:tc>
        <w:tc>
          <w:tcPr>
            <w:tcW w:w="817" w:type="pct"/>
            <w:tcBorders>
              <w:top w:val="nil"/>
              <w:left w:val="nil"/>
              <w:bottom w:val="nil"/>
              <w:right w:val="nil"/>
            </w:tcBorders>
            <w:tcMar>
              <w:top w:w="0" w:type="dxa"/>
              <w:left w:w="100" w:type="dxa"/>
              <w:bottom w:w="0" w:type="dxa"/>
              <w:right w:w="100" w:type="dxa"/>
            </w:tcMar>
            <w:vAlign w:val="bottom"/>
          </w:tcPr>
          <w:p w14:paraId="6E1F9B6A" w14:textId="77777777" w:rsidR="008F6C2B" w:rsidRDefault="00B20E39">
            <w:pPr>
              <w:rPr>
                <w:lang w:val="en-GB"/>
              </w:rPr>
            </w:pPr>
            <w:r>
              <w:rPr>
                <w:lang w:val="en-GB"/>
              </w:rPr>
              <w:t xml:space="preserve"> </w:t>
            </w:r>
          </w:p>
        </w:tc>
      </w:tr>
      <w:tr w:rsidR="008F6C2B" w14:paraId="3F43D5AA" w14:textId="77777777">
        <w:trPr>
          <w:trHeight w:val="315"/>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302CBC62" w14:textId="77777777" w:rsidR="008F6C2B" w:rsidRDefault="00B20E39">
            <w:pPr>
              <w:jc w:val="center"/>
              <w:rPr>
                <w:b/>
                <w:bCs/>
                <w:lang w:val="en-GB"/>
              </w:rPr>
            </w:pPr>
            <w:r>
              <w:rPr>
                <w:b/>
                <w:bCs/>
                <w:lang w:val="en-GB"/>
              </w:rPr>
              <w:t>C. Produce wooden blinds and Roman blinds</w:t>
            </w:r>
          </w:p>
        </w:tc>
      </w:tr>
      <w:tr w:rsidR="008F6C2B" w14:paraId="57D1F0BE" w14:textId="77777777">
        <w:trPr>
          <w:trHeight w:val="1395"/>
          <w:jc w:val="center"/>
        </w:trPr>
        <w:tc>
          <w:tcPr>
            <w:tcW w:w="1490" w:type="pct"/>
            <w:tcBorders>
              <w:top w:val="nil"/>
              <w:left w:val="single" w:sz="4" w:space="0" w:color="000000"/>
              <w:bottom w:val="single" w:sz="4" w:space="0" w:color="000000"/>
              <w:right w:val="single" w:sz="4" w:space="0" w:color="000000"/>
            </w:tcBorders>
            <w:shd w:val="clear" w:color="auto" w:fill="CFE2F3"/>
            <w:tcMar>
              <w:top w:w="0" w:type="dxa"/>
              <w:left w:w="100" w:type="dxa"/>
              <w:bottom w:w="0" w:type="dxa"/>
              <w:right w:w="100" w:type="dxa"/>
            </w:tcMar>
          </w:tcPr>
          <w:p w14:paraId="2868C156" w14:textId="77777777" w:rsidR="008F6C2B" w:rsidRDefault="00B20E39">
            <w:pPr>
              <w:jc w:val="center"/>
              <w:rPr>
                <w:b/>
                <w:bCs/>
                <w:i/>
                <w:iCs/>
                <w:lang w:val="en-GB"/>
              </w:rPr>
            </w:pPr>
            <w:r>
              <w:rPr>
                <w:b/>
                <w:bCs/>
                <w:i/>
                <w:iCs/>
                <w:lang w:val="en-GB"/>
              </w:rPr>
              <w:t>Year</w:t>
            </w:r>
          </w:p>
        </w:tc>
        <w:tc>
          <w:tcPr>
            <w:tcW w:w="761" w:type="pct"/>
            <w:tcBorders>
              <w:top w:val="nil"/>
              <w:left w:val="nil"/>
              <w:bottom w:val="single" w:sz="4" w:space="0" w:color="000000"/>
              <w:right w:val="single" w:sz="4" w:space="0" w:color="000000"/>
            </w:tcBorders>
            <w:shd w:val="clear" w:color="auto" w:fill="CFE2F3"/>
            <w:tcMar>
              <w:top w:w="0" w:type="dxa"/>
              <w:left w:w="100" w:type="dxa"/>
              <w:bottom w:w="0" w:type="dxa"/>
              <w:right w:w="100" w:type="dxa"/>
            </w:tcMar>
          </w:tcPr>
          <w:p w14:paraId="55CDCD44" w14:textId="77777777" w:rsidR="008F6C2B" w:rsidRDefault="00B20E39">
            <w:pPr>
              <w:jc w:val="center"/>
              <w:rPr>
                <w:b/>
                <w:bCs/>
                <w:i/>
                <w:iCs/>
                <w:lang w:val="en-GB"/>
              </w:rPr>
            </w:pPr>
            <w:r>
              <w:rPr>
                <w:b/>
                <w:bCs/>
                <w:i/>
                <w:iCs/>
                <w:lang w:val="en-GB"/>
              </w:rPr>
              <w:t>Cash Flow (£'000)</w:t>
            </w:r>
          </w:p>
        </w:tc>
        <w:tc>
          <w:tcPr>
            <w:tcW w:w="1066" w:type="pct"/>
            <w:tcBorders>
              <w:top w:val="nil"/>
              <w:left w:val="nil"/>
              <w:bottom w:val="single" w:sz="4" w:space="0" w:color="000000"/>
              <w:right w:val="single" w:sz="4" w:space="0" w:color="000000"/>
            </w:tcBorders>
            <w:shd w:val="clear" w:color="auto" w:fill="CFE2F3"/>
            <w:tcMar>
              <w:top w:w="0" w:type="dxa"/>
              <w:left w:w="100" w:type="dxa"/>
              <w:bottom w:w="0" w:type="dxa"/>
              <w:right w:w="100" w:type="dxa"/>
            </w:tcMar>
          </w:tcPr>
          <w:p w14:paraId="53489F6A" w14:textId="77777777" w:rsidR="008F6C2B" w:rsidRDefault="00B20E39">
            <w:pPr>
              <w:jc w:val="center"/>
              <w:rPr>
                <w:b/>
                <w:bCs/>
                <w:i/>
                <w:iCs/>
                <w:lang w:val="en-GB"/>
              </w:rPr>
            </w:pPr>
            <w:r>
              <w:rPr>
                <w:b/>
                <w:bCs/>
                <w:i/>
                <w:iCs/>
                <w:lang w:val="en-GB"/>
              </w:rPr>
              <w:t>After Tax Cash flow</w:t>
            </w:r>
            <w:r>
              <w:rPr>
                <w:b/>
                <w:bCs/>
                <w:i/>
                <w:iCs/>
                <w:lang w:val="en-GB"/>
              </w:rPr>
              <w:br/>
              <w:t xml:space="preserve">   (Cash flow×0.75)+Tax shield)</w:t>
            </w:r>
          </w:p>
        </w:tc>
        <w:tc>
          <w:tcPr>
            <w:tcW w:w="865" w:type="pct"/>
            <w:tcBorders>
              <w:top w:val="nil"/>
              <w:left w:val="nil"/>
              <w:bottom w:val="single" w:sz="4" w:space="0" w:color="000000"/>
              <w:right w:val="single" w:sz="4" w:space="0" w:color="000000"/>
            </w:tcBorders>
            <w:shd w:val="clear" w:color="auto" w:fill="CFE2F3"/>
            <w:tcMar>
              <w:top w:w="0" w:type="dxa"/>
              <w:left w:w="100" w:type="dxa"/>
              <w:bottom w:w="0" w:type="dxa"/>
              <w:right w:w="100" w:type="dxa"/>
            </w:tcMar>
          </w:tcPr>
          <w:p w14:paraId="24188D10" w14:textId="77777777" w:rsidR="008F6C2B" w:rsidRDefault="00B20E39">
            <w:pPr>
              <w:jc w:val="center"/>
              <w:rPr>
                <w:b/>
                <w:bCs/>
                <w:i/>
                <w:iCs/>
                <w:lang w:val="en-GB"/>
              </w:rPr>
            </w:pPr>
            <w:r>
              <w:rPr>
                <w:b/>
                <w:bCs/>
                <w:i/>
                <w:iCs/>
                <w:lang w:val="en-GB"/>
              </w:rPr>
              <w:t>Discounting Factor (6%)</w:t>
            </w:r>
          </w:p>
        </w:tc>
        <w:tc>
          <w:tcPr>
            <w:tcW w:w="817" w:type="pct"/>
            <w:tcBorders>
              <w:top w:val="nil"/>
              <w:left w:val="nil"/>
              <w:bottom w:val="single" w:sz="4" w:space="0" w:color="000000"/>
              <w:right w:val="single" w:sz="4" w:space="0" w:color="000000"/>
            </w:tcBorders>
            <w:shd w:val="clear" w:color="auto" w:fill="CFE2F3"/>
            <w:tcMar>
              <w:top w:w="0" w:type="dxa"/>
              <w:left w:w="100" w:type="dxa"/>
              <w:bottom w:w="0" w:type="dxa"/>
              <w:right w:w="100" w:type="dxa"/>
            </w:tcMar>
          </w:tcPr>
          <w:p w14:paraId="5CE85356" w14:textId="77777777" w:rsidR="008F6C2B" w:rsidRDefault="00B20E39">
            <w:pPr>
              <w:jc w:val="center"/>
              <w:rPr>
                <w:b/>
                <w:bCs/>
                <w:i/>
                <w:iCs/>
                <w:lang w:val="en-GB"/>
              </w:rPr>
            </w:pPr>
            <w:r>
              <w:rPr>
                <w:b/>
                <w:bCs/>
                <w:i/>
                <w:iCs/>
                <w:lang w:val="en-GB"/>
              </w:rPr>
              <w:t>PV of Cash Flow (£'000)</w:t>
            </w:r>
          </w:p>
        </w:tc>
      </w:tr>
      <w:tr w:rsidR="008F6C2B" w14:paraId="443F3866"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C0D9572" w14:textId="77777777" w:rsidR="008F6C2B" w:rsidRDefault="00B20E39">
            <w:pPr>
              <w:jc w:val="right"/>
              <w:rPr>
                <w:lang w:val="en-GB"/>
              </w:rPr>
            </w:pPr>
            <w:r>
              <w:rPr>
                <w:lang w:val="en-GB"/>
              </w:rPr>
              <w:t>0</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202B09E3" w14:textId="77777777" w:rsidR="008F6C2B" w:rsidRDefault="00B20E39">
            <w:pPr>
              <w:jc w:val="right"/>
              <w:rPr>
                <w:lang w:val="en-GB"/>
              </w:rPr>
            </w:pPr>
            <w:r>
              <w:rPr>
                <w:lang w:val="en-GB"/>
              </w:rPr>
              <w:t>1600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2E270A47" w14:textId="77777777" w:rsidR="008F6C2B" w:rsidRDefault="00B20E39">
            <w:pPr>
              <w:jc w:val="right"/>
              <w:rPr>
                <w:lang w:val="en-GB"/>
              </w:rPr>
            </w:pPr>
            <w:r>
              <w:rPr>
                <w:lang w:val="en-GB"/>
              </w:rPr>
              <w:t>1000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AC22434" w14:textId="77777777" w:rsidR="008F6C2B" w:rsidRDefault="00B20E39">
            <w:pPr>
              <w:jc w:val="right"/>
              <w:rPr>
                <w:lang w:val="en-GB"/>
              </w:rPr>
            </w:pPr>
            <w:r>
              <w:rPr>
                <w:lang w:val="en-GB"/>
              </w:rPr>
              <w:t>1</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74F3B3A2" w14:textId="77777777" w:rsidR="008F6C2B" w:rsidRDefault="00B20E39">
            <w:pPr>
              <w:jc w:val="right"/>
              <w:rPr>
                <w:lang w:val="en-GB"/>
              </w:rPr>
            </w:pPr>
            <w:r>
              <w:rPr>
                <w:lang w:val="en-GB"/>
              </w:rPr>
              <w:t>1000</w:t>
            </w:r>
          </w:p>
        </w:tc>
      </w:tr>
      <w:tr w:rsidR="008F6C2B" w14:paraId="08461B0E"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8638622" w14:textId="77777777" w:rsidR="008F6C2B" w:rsidRDefault="00B20E39">
            <w:pPr>
              <w:jc w:val="right"/>
              <w:rPr>
                <w:lang w:val="en-GB"/>
              </w:rPr>
            </w:pPr>
            <w:r>
              <w:rPr>
                <w:lang w:val="en-GB"/>
              </w:rPr>
              <w:t>1</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2D1DA177" w14:textId="77777777" w:rsidR="008F6C2B" w:rsidRDefault="00B20E39">
            <w:pPr>
              <w:jc w:val="right"/>
              <w:rPr>
                <w:lang w:val="en-GB"/>
              </w:rPr>
            </w:pPr>
            <w:r>
              <w:rPr>
                <w:lang w:val="en-GB"/>
              </w:rPr>
              <w:t>450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64C82746" w14:textId="77777777" w:rsidR="008F6C2B" w:rsidRDefault="00B20E39">
            <w:pPr>
              <w:jc w:val="right"/>
              <w:rPr>
                <w:lang w:val="en-GB"/>
              </w:rPr>
            </w:pPr>
            <w:r>
              <w:rPr>
                <w:lang w:val="en-GB"/>
              </w:rPr>
              <w:t>417.5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6D97887C" w14:textId="77777777" w:rsidR="008F6C2B" w:rsidRDefault="00B20E39">
            <w:pPr>
              <w:jc w:val="right"/>
              <w:rPr>
                <w:lang w:val="en-GB"/>
              </w:rPr>
            </w:pPr>
            <w:r>
              <w:rPr>
                <w:lang w:val="en-GB"/>
              </w:rPr>
              <w:t>0.943</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695BF801" w14:textId="77777777" w:rsidR="008F6C2B" w:rsidRDefault="00B20E39">
            <w:pPr>
              <w:jc w:val="right"/>
              <w:rPr>
                <w:lang w:val="en-GB"/>
              </w:rPr>
            </w:pPr>
            <w:r>
              <w:rPr>
                <w:lang w:val="en-GB"/>
              </w:rPr>
              <w:t>394</w:t>
            </w:r>
          </w:p>
        </w:tc>
      </w:tr>
      <w:tr w:rsidR="008F6C2B" w14:paraId="366E2B32"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4888FA7" w14:textId="77777777" w:rsidR="008F6C2B" w:rsidRDefault="00B20E39">
            <w:pPr>
              <w:jc w:val="right"/>
              <w:rPr>
                <w:lang w:val="en-GB"/>
              </w:rPr>
            </w:pPr>
            <w:r>
              <w:rPr>
                <w:lang w:val="en-GB"/>
              </w:rPr>
              <w:t>2</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05FBA98D" w14:textId="77777777" w:rsidR="008F6C2B" w:rsidRDefault="00B20E39">
            <w:pPr>
              <w:jc w:val="right"/>
              <w:rPr>
                <w:lang w:val="en-GB"/>
              </w:rPr>
            </w:pPr>
            <w:r>
              <w:rPr>
                <w:lang w:val="en-GB"/>
              </w:rPr>
              <w:t>700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22A43C53" w14:textId="77777777" w:rsidR="008F6C2B" w:rsidRDefault="00B20E39">
            <w:pPr>
              <w:jc w:val="right"/>
              <w:rPr>
                <w:lang w:val="en-GB"/>
              </w:rPr>
            </w:pPr>
            <w:r>
              <w:rPr>
                <w:lang w:val="en-GB"/>
              </w:rPr>
              <w:t>605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11AAF52D" w14:textId="77777777" w:rsidR="008F6C2B" w:rsidRDefault="00B20E39">
            <w:pPr>
              <w:jc w:val="right"/>
              <w:rPr>
                <w:lang w:val="en-GB"/>
              </w:rPr>
            </w:pPr>
            <w:r>
              <w:rPr>
                <w:lang w:val="en-GB"/>
              </w:rPr>
              <w:t>0.890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668C7B97" w14:textId="77777777" w:rsidR="008F6C2B" w:rsidRDefault="00B20E39">
            <w:pPr>
              <w:jc w:val="right"/>
              <w:rPr>
                <w:lang w:val="en-GB"/>
              </w:rPr>
            </w:pPr>
            <w:r>
              <w:rPr>
                <w:lang w:val="en-GB"/>
              </w:rPr>
              <w:t>538</w:t>
            </w:r>
          </w:p>
        </w:tc>
      </w:tr>
      <w:tr w:rsidR="008F6C2B" w14:paraId="1D919D97"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B7BE0C0" w14:textId="77777777" w:rsidR="008F6C2B" w:rsidRDefault="00B20E39">
            <w:pPr>
              <w:jc w:val="right"/>
              <w:rPr>
                <w:lang w:val="en-GB"/>
              </w:rPr>
            </w:pPr>
            <w:r>
              <w:rPr>
                <w:lang w:val="en-GB"/>
              </w:rPr>
              <w:t>3</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1A69F973" w14:textId="77777777" w:rsidR="008F6C2B" w:rsidRDefault="00B20E39">
            <w:pPr>
              <w:jc w:val="right"/>
              <w:rPr>
                <w:lang w:val="en-GB"/>
              </w:rPr>
            </w:pPr>
            <w:r>
              <w:rPr>
                <w:lang w:val="en-GB"/>
              </w:rPr>
              <w:t>900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6E936021" w14:textId="77777777" w:rsidR="008F6C2B" w:rsidRDefault="00B20E39">
            <w:pPr>
              <w:jc w:val="right"/>
              <w:rPr>
                <w:lang w:val="en-GB"/>
              </w:rPr>
            </w:pPr>
            <w:r>
              <w:rPr>
                <w:lang w:val="en-GB"/>
              </w:rPr>
              <w:t>755</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26DBCA66" w14:textId="77777777" w:rsidR="008F6C2B" w:rsidRDefault="00B20E39">
            <w:pPr>
              <w:jc w:val="right"/>
              <w:rPr>
                <w:lang w:val="en-GB"/>
              </w:rPr>
            </w:pPr>
            <w:r>
              <w:rPr>
                <w:lang w:val="en-GB"/>
              </w:rPr>
              <w:t>0.840</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58F080FF" w14:textId="77777777" w:rsidR="008F6C2B" w:rsidRDefault="00B20E39">
            <w:pPr>
              <w:jc w:val="right"/>
              <w:rPr>
                <w:lang w:val="en-GB"/>
              </w:rPr>
            </w:pPr>
            <w:r>
              <w:rPr>
                <w:lang w:val="en-GB"/>
              </w:rPr>
              <w:t>634</w:t>
            </w:r>
          </w:p>
        </w:tc>
      </w:tr>
      <w:tr w:rsidR="008F6C2B" w14:paraId="3EFE9F31"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657735B" w14:textId="77777777" w:rsidR="008F6C2B" w:rsidRDefault="00B20E39">
            <w:pPr>
              <w:jc w:val="right"/>
              <w:rPr>
                <w:lang w:val="en-GB"/>
              </w:rPr>
            </w:pPr>
            <w:r>
              <w:rPr>
                <w:lang w:val="en-GB"/>
              </w:rPr>
              <w:t>4</w:t>
            </w:r>
          </w:p>
        </w:tc>
        <w:tc>
          <w:tcPr>
            <w:tcW w:w="761" w:type="pct"/>
            <w:tcBorders>
              <w:top w:val="nil"/>
              <w:left w:val="nil"/>
              <w:bottom w:val="single" w:sz="4" w:space="0" w:color="000000"/>
              <w:right w:val="single" w:sz="4" w:space="0" w:color="000000"/>
            </w:tcBorders>
            <w:tcMar>
              <w:top w:w="0" w:type="dxa"/>
              <w:left w:w="100" w:type="dxa"/>
              <w:bottom w:w="0" w:type="dxa"/>
              <w:right w:w="100" w:type="dxa"/>
            </w:tcMar>
          </w:tcPr>
          <w:p w14:paraId="13F17188" w14:textId="77777777" w:rsidR="008F6C2B" w:rsidRDefault="00B20E39">
            <w:pPr>
              <w:jc w:val="right"/>
              <w:rPr>
                <w:lang w:val="en-GB"/>
              </w:rPr>
            </w:pPr>
            <w:r>
              <w:rPr>
                <w:lang w:val="en-GB"/>
              </w:rPr>
              <w:t>1200</w:t>
            </w:r>
          </w:p>
        </w:tc>
        <w:tc>
          <w:tcPr>
            <w:tcW w:w="1066" w:type="pct"/>
            <w:tcBorders>
              <w:top w:val="nil"/>
              <w:left w:val="nil"/>
              <w:bottom w:val="single" w:sz="4" w:space="0" w:color="000000"/>
              <w:right w:val="single" w:sz="4" w:space="0" w:color="000000"/>
            </w:tcBorders>
            <w:tcMar>
              <w:top w:w="0" w:type="dxa"/>
              <w:left w:w="100" w:type="dxa"/>
              <w:bottom w:w="0" w:type="dxa"/>
              <w:right w:w="100" w:type="dxa"/>
            </w:tcMar>
          </w:tcPr>
          <w:p w14:paraId="309D3178" w14:textId="77777777" w:rsidR="008F6C2B" w:rsidRDefault="00B20E39">
            <w:pPr>
              <w:jc w:val="right"/>
              <w:rPr>
                <w:lang w:val="en-GB"/>
              </w:rPr>
            </w:pPr>
            <w:r>
              <w:rPr>
                <w:lang w:val="en-GB"/>
              </w:rPr>
              <w:t>980</w:t>
            </w:r>
          </w:p>
        </w:tc>
        <w:tc>
          <w:tcPr>
            <w:tcW w:w="865" w:type="pct"/>
            <w:tcBorders>
              <w:top w:val="nil"/>
              <w:left w:val="nil"/>
              <w:bottom w:val="single" w:sz="4" w:space="0" w:color="000000"/>
              <w:right w:val="single" w:sz="4" w:space="0" w:color="000000"/>
            </w:tcBorders>
            <w:tcMar>
              <w:top w:w="0" w:type="dxa"/>
              <w:left w:w="100" w:type="dxa"/>
              <w:bottom w:w="0" w:type="dxa"/>
              <w:right w:w="100" w:type="dxa"/>
            </w:tcMar>
          </w:tcPr>
          <w:p w14:paraId="197F91E0" w14:textId="77777777" w:rsidR="008F6C2B" w:rsidRDefault="00B20E39">
            <w:pPr>
              <w:jc w:val="right"/>
              <w:rPr>
                <w:lang w:val="en-GB"/>
              </w:rPr>
            </w:pPr>
            <w:r>
              <w:rPr>
                <w:lang w:val="en-GB"/>
              </w:rPr>
              <w:t>0.792</w:t>
            </w:r>
          </w:p>
        </w:tc>
        <w:tc>
          <w:tcPr>
            <w:tcW w:w="817" w:type="pct"/>
            <w:tcBorders>
              <w:top w:val="nil"/>
              <w:left w:val="nil"/>
              <w:bottom w:val="single" w:sz="4" w:space="0" w:color="000000"/>
              <w:right w:val="single" w:sz="4" w:space="0" w:color="000000"/>
            </w:tcBorders>
            <w:tcMar>
              <w:top w:w="0" w:type="dxa"/>
              <w:left w:w="100" w:type="dxa"/>
              <w:bottom w:w="0" w:type="dxa"/>
              <w:right w:w="100" w:type="dxa"/>
            </w:tcMar>
          </w:tcPr>
          <w:p w14:paraId="4E0C0A94" w14:textId="77777777" w:rsidR="008F6C2B" w:rsidRDefault="00B20E39">
            <w:pPr>
              <w:jc w:val="right"/>
              <w:rPr>
                <w:lang w:val="en-GB"/>
              </w:rPr>
            </w:pPr>
            <w:r>
              <w:rPr>
                <w:lang w:val="en-GB"/>
              </w:rPr>
              <w:t>776</w:t>
            </w:r>
          </w:p>
        </w:tc>
      </w:tr>
      <w:tr w:rsidR="008F6C2B" w14:paraId="49F91771" w14:textId="77777777">
        <w:trPr>
          <w:trHeight w:val="315"/>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492DE2F5" w14:textId="77777777" w:rsidR="008F6C2B" w:rsidRDefault="00B20E39">
            <w:pPr>
              <w:rPr>
                <w:b/>
                <w:bCs/>
                <w:lang w:val="en-GB"/>
              </w:rPr>
            </w:pPr>
            <w:r>
              <w:rPr>
                <w:b/>
                <w:bCs/>
                <w:lang w:val="en-GB"/>
              </w:rPr>
              <w:t>Total PV</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0068A7C6" w14:textId="77777777" w:rsidR="008F6C2B" w:rsidRDefault="00B20E39">
            <w:pPr>
              <w:jc w:val="center"/>
              <w:rPr>
                <w:b/>
                <w:bCs/>
                <w:lang w:val="en-GB"/>
              </w:rPr>
            </w:pPr>
            <w:r>
              <w:rPr>
                <w:b/>
                <w:bCs/>
                <w:lang w:val="en-GB"/>
              </w:rPr>
              <w:t>2342</w:t>
            </w:r>
          </w:p>
        </w:tc>
      </w:tr>
      <w:tr w:rsidR="008F6C2B" w14:paraId="0BEA1A29" w14:textId="77777777">
        <w:trPr>
          <w:trHeight w:val="570"/>
          <w:jc w:val="center"/>
        </w:trPr>
        <w:tc>
          <w:tcPr>
            <w:tcW w:w="1490" w:type="pct"/>
            <w:tcBorders>
              <w:top w:val="nil"/>
              <w:left w:val="single" w:sz="4" w:space="0" w:color="000000"/>
              <w:bottom w:val="single" w:sz="4" w:space="0" w:color="000000"/>
              <w:right w:val="single" w:sz="4" w:space="0" w:color="000000"/>
            </w:tcBorders>
            <w:tcMar>
              <w:top w:w="0" w:type="dxa"/>
              <w:left w:w="100" w:type="dxa"/>
              <w:bottom w:w="0" w:type="dxa"/>
              <w:right w:w="100" w:type="dxa"/>
            </w:tcMar>
            <w:vAlign w:val="bottom"/>
          </w:tcPr>
          <w:p w14:paraId="740532F3" w14:textId="77777777" w:rsidR="008F6C2B" w:rsidRDefault="00B20E39">
            <w:pPr>
              <w:rPr>
                <w:b/>
                <w:bCs/>
                <w:lang w:val="en-GB"/>
              </w:rPr>
            </w:pPr>
            <w:r>
              <w:rPr>
                <w:b/>
                <w:bCs/>
                <w:lang w:val="en-GB"/>
              </w:rPr>
              <w:t>NPV (£'000) = Total PV- Initial Investment</w:t>
            </w:r>
          </w:p>
        </w:tc>
        <w:tc>
          <w:tcPr>
            <w:tcW w:w="3510" w:type="pct"/>
            <w:gridSpan w:val="4"/>
            <w:tcBorders>
              <w:top w:val="nil"/>
              <w:left w:val="nil"/>
              <w:bottom w:val="single" w:sz="4" w:space="0" w:color="000000"/>
              <w:right w:val="single" w:sz="4" w:space="0" w:color="000000"/>
            </w:tcBorders>
            <w:tcMar>
              <w:top w:w="0" w:type="dxa"/>
              <w:left w:w="100" w:type="dxa"/>
              <w:bottom w:w="0" w:type="dxa"/>
              <w:right w:w="100" w:type="dxa"/>
            </w:tcMar>
            <w:vAlign w:val="bottom"/>
          </w:tcPr>
          <w:p w14:paraId="068087E5" w14:textId="77777777" w:rsidR="008F6C2B" w:rsidRDefault="00B20E39">
            <w:pPr>
              <w:jc w:val="center"/>
              <w:rPr>
                <w:b/>
                <w:bCs/>
                <w:lang w:val="en-GB"/>
              </w:rPr>
            </w:pPr>
            <w:r>
              <w:rPr>
                <w:b/>
                <w:bCs/>
                <w:lang w:val="en-GB"/>
              </w:rPr>
              <w:t>742</w:t>
            </w:r>
          </w:p>
        </w:tc>
      </w:tr>
    </w:tbl>
    <w:p w14:paraId="2EFA52B0" w14:textId="77777777" w:rsidR="008F6C2B" w:rsidRDefault="00B20E39">
      <w:pPr>
        <w:spacing w:before="240" w:after="240"/>
        <w:rPr>
          <w:lang w:val="en-GB"/>
        </w:rPr>
      </w:pPr>
      <w:r>
        <w:rPr>
          <w:lang w:val="en-GB"/>
        </w:rPr>
        <w:t xml:space="preserve"> </w:t>
      </w:r>
    </w:p>
    <w:p w14:paraId="544301D4" w14:textId="77777777" w:rsidR="008F6C2B" w:rsidRDefault="008F6C2B">
      <w:pPr>
        <w:rPr>
          <w:lang w:val="en-GB"/>
        </w:rPr>
      </w:pPr>
    </w:p>
    <w:sectPr w:rsidR="008F6C2B">
      <w:headerReference w:type="default" r:id="rId15"/>
      <w:footerReference w:type="default" r:id="rId16"/>
      <w:head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CB0D6" w14:textId="77777777" w:rsidR="008F6C2B" w:rsidRDefault="00B20E39">
      <w:pPr>
        <w:spacing w:line="240" w:lineRule="auto"/>
      </w:pPr>
      <w:r>
        <w:separator/>
      </w:r>
    </w:p>
  </w:endnote>
  <w:endnote w:type="continuationSeparator" w:id="0">
    <w:p w14:paraId="7E4160D3" w14:textId="77777777" w:rsidR="008F6C2B" w:rsidRDefault="00B20E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embedRegular r:id="rId1" w:fontKey="{D6F99BC7-283D-4A20-A826-3794E1DD3A01}"/>
  </w:font>
  <w:font w:name="Cardo">
    <w:altName w:val="Segoe Print"/>
    <w:charset w:val="00"/>
    <w:family w:val="auto"/>
    <w:pitch w:val="default"/>
  </w:font>
  <w:font w:name="Gungsuh">
    <w:altName w:val="Malgun Gothic"/>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00002FF" w:usb1="4000ACFF" w:usb2="00000001" w:usb3="00000000" w:csb0="0000019F" w:csb1="00000000"/>
    <w:embedRegular r:id="rId4" w:fontKey="{AD3FC7BD-79B1-4520-BAF0-A67584BF18B8}"/>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15BE" w14:textId="77777777" w:rsidR="008F6C2B" w:rsidRDefault="00B20E39">
    <w:pPr>
      <w:jc w:val="right"/>
      <w:rPr>
        <w:sz w:val="20"/>
        <w:szCs w:val="20"/>
      </w:rPr>
    </w:pPr>
    <w:r>
      <w:rPr>
        <w:sz w:val="20"/>
        <w:szCs w:val="20"/>
      </w:rPr>
      <w:fldChar w:fldCharType="begin"/>
    </w:r>
    <w:r>
      <w:rPr>
        <w:sz w:val="20"/>
        <w:szCs w:val="20"/>
      </w:rPr>
      <w:instrText>PAGE</w:instrText>
    </w:r>
    <w:r>
      <w:rPr>
        <w:sz w:val="20"/>
        <w:szCs w:val="20"/>
      </w:rPr>
      <w:fldChar w:fldCharType="separate"/>
    </w:r>
    <w:r>
      <w:rPr>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15368" w14:textId="77777777" w:rsidR="008F6C2B" w:rsidRDefault="00B20E39">
      <w:r>
        <w:separator/>
      </w:r>
    </w:p>
  </w:footnote>
  <w:footnote w:type="continuationSeparator" w:id="0">
    <w:p w14:paraId="70AE18F9" w14:textId="77777777" w:rsidR="008F6C2B" w:rsidRDefault="00B20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AA9A" w14:textId="77777777" w:rsidR="008F6C2B" w:rsidRDefault="00B20E39">
    <w:pPr>
      <w:pStyle w:val="Header"/>
      <w:jc w:val="right"/>
    </w:pPr>
    <w:r>
      <w:rPr>
        <w:noProof/>
        <w:lang w:val="en-US" w:eastAsia="en-US"/>
      </w:rPr>
      <w:drawing>
        <wp:inline distT="0" distB="0" distL="0" distR="0" wp14:anchorId="46E770FD" wp14:editId="37E686DB">
          <wp:extent cx="784860" cy="327660"/>
          <wp:effectExtent l="0" t="0" r="0" b="0"/>
          <wp:docPr id="50790209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02092" name="Picture 1" descr="University of Wales Trinity Saint David launches new digital healthcare  course - Digital Health and Care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7388" cy="33301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2740E" w14:textId="77777777" w:rsidR="008F6C2B" w:rsidRDefault="00B20E39">
    <w:pPr>
      <w:pStyle w:val="Header"/>
    </w:pPr>
    <w:r>
      <w:rPr>
        <w:lang w:val="en-IN" w:eastAsia="en-US"/>
      </w:rPr>
      <w:tab/>
    </w:r>
    <w:r>
      <w:rPr>
        <w:noProof/>
        <w:lang w:val="en-US" w:eastAsia="en-US"/>
      </w:rPr>
      <w:drawing>
        <wp:inline distT="0" distB="0" distL="0" distR="0" wp14:anchorId="21D05D72" wp14:editId="519DA8BE">
          <wp:extent cx="3627120" cy="1511935"/>
          <wp:effectExtent l="0" t="0" r="5080" b="12065"/>
          <wp:docPr id="35428369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83691" name="Picture 1" descr="University of Wales Trinity Saint David launches new digital healthcare  course - Digital Health and Care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627120" cy="15119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856EC"/>
    <w:multiLevelType w:val="multilevel"/>
    <w:tmpl w:val="0C485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17A28"/>
    <w:multiLevelType w:val="multilevel"/>
    <w:tmpl w:val="19917A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BB96532"/>
    <w:multiLevelType w:val="multilevel"/>
    <w:tmpl w:val="6BB96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9580215">
    <w:abstractNumId w:val="1"/>
  </w:num>
  <w:num w:numId="2" w16cid:durableId="391316152">
    <w:abstractNumId w:val="0"/>
  </w:num>
  <w:num w:numId="3" w16cid:durableId="1234511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5E3"/>
    <w:rsid w:val="000005AF"/>
    <w:rsid w:val="000508B6"/>
    <w:rsid w:val="00060EC2"/>
    <w:rsid w:val="000C456E"/>
    <w:rsid w:val="001F4AA2"/>
    <w:rsid w:val="002A55E3"/>
    <w:rsid w:val="002F3FB5"/>
    <w:rsid w:val="003117CB"/>
    <w:rsid w:val="003206CE"/>
    <w:rsid w:val="0032591F"/>
    <w:rsid w:val="00382C19"/>
    <w:rsid w:val="004807B2"/>
    <w:rsid w:val="004B3047"/>
    <w:rsid w:val="004D7A92"/>
    <w:rsid w:val="00526CC5"/>
    <w:rsid w:val="00550C42"/>
    <w:rsid w:val="00576D9B"/>
    <w:rsid w:val="005C496D"/>
    <w:rsid w:val="006065F4"/>
    <w:rsid w:val="007240B2"/>
    <w:rsid w:val="007F5B18"/>
    <w:rsid w:val="008F647D"/>
    <w:rsid w:val="008F6C2B"/>
    <w:rsid w:val="00AD580C"/>
    <w:rsid w:val="00B20E39"/>
    <w:rsid w:val="00D02934"/>
    <w:rsid w:val="00D458AB"/>
    <w:rsid w:val="00E610E6"/>
    <w:rsid w:val="00ED2904"/>
    <w:rsid w:val="00F27BC6"/>
    <w:rsid w:val="00FA07D7"/>
    <w:rsid w:val="00FB020B"/>
    <w:rsid w:val="41454141"/>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E41958A"/>
  <w15:docId w15:val="{F64E3163-F568-A84B-AB8B-832F3C5B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 w:eastAsia="en-US"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 w:eastAsia="en-IN" w:bidi="ar-SA"/>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table" w:customStyle="1" w:styleId="TableNormal0">
    <w:name w:val="TableNormal"/>
    <w:tblPr>
      <w:tblCellMar>
        <w:top w:w="100" w:type="dxa"/>
        <w:left w:w="100" w:type="dxa"/>
        <w:bottom w:w="100" w:type="dxa"/>
        <w:right w:w="100" w:type="dxa"/>
      </w:tblCellMar>
    </w:tblPr>
  </w:style>
  <w:style w:type="table" w:customStyle="1" w:styleId="Style12">
    <w:name w:val="_Style 12"/>
    <w:basedOn w:val="TableNormal0"/>
    <w:tblPr/>
  </w:style>
  <w:style w:type="table" w:customStyle="1" w:styleId="Style13">
    <w:name w:val="_Style 13"/>
    <w:basedOn w:val="TableNormal0"/>
    <w:tblPr/>
  </w:style>
  <w:style w:type="table" w:customStyle="1" w:styleId="Style14">
    <w:name w:val="_Style 14"/>
    <w:basedOn w:val="TableNormal0"/>
    <w:tblPr/>
  </w:style>
  <w:style w:type="table" w:customStyle="1" w:styleId="Style15">
    <w:name w:val="_Style 15"/>
    <w:basedOn w:val="TableNormal0"/>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nextplc.co.uk/" TargetMode="External"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7.png" /></Relationships>
</file>

<file path=word/_rels/fontTable.xml.rels><?xml version="1.0" encoding="UTF-8" standalone="yes"?>
<Relationships xmlns="http://schemas.openxmlformats.org/package/2006/relationships"><Relationship Id="rId1" Type="http://schemas.openxmlformats.org/officeDocument/2006/relationships/font" Target="fonts/font1.odttf" /><Relationship Id="rId4" Type="http://schemas.openxmlformats.org/officeDocument/2006/relationships/font" Target="fonts/font4.odttf" /></Relationships>
</file>

<file path=word/_rels/header1.xml.rels><?xml version="1.0" encoding="UTF-8" standalone="yes"?>
<Relationships xmlns="http://schemas.openxmlformats.org/package/2006/relationships"><Relationship Id="rId1" Type="http://schemas.openxmlformats.org/officeDocument/2006/relationships/image" Target="media/image8.png" /></Relationships>
</file>

<file path=word/_rels/header2.xml.rels><?xml version="1.0" encoding="UTF-8" standalone="yes"?>
<Relationships xmlns="http://schemas.openxmlformats.org/package/2006/relationships"><Relationship Id="rId1"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6446</Words>
  <Characters>36743</Characters>
  <Application>Microsoft Office Word</Application>
  <DocSecurity>0</DocSecurity>
  <Lines>306</Lines>
  <Paragraphs>86</Paragraphs>
  <ScaleCrop>false</ScaleCrop>
  <Company/>
  <LinksUpToDate>false</LinksUpToDate>
  <CharactersWithSpaces>43103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dc:creator>
  <cp:lastModifiedBy>Manna Barua</cp:lastModifiedBy>
  <cp:revision>2</cp:revision>
  <dcterms:created xsi:type="dcterms:W3CDTF">2026-01-12T10:48:00Z</dcterms:created>
  <dcterms:modified xsi:type="dcterms:W3CDTF">2026-01-12T10:48:00Z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098d7a15-399b-4632-9e6c-120660a65e0f</vt:lpwstr>
  </property>
  <property fmtid="{D5CDD505-2E9C-101B-9397-08002B2CF9AE}" pid="3" name="KSOProductBuildVer">
    <vt:lpwstr>1033-12.2.0.21931</vt:lpwstr>
  </property>
  <property fmtid="{D5CDD505-2E9C-101B-9397-08002B2CF9AE}" pid="4" name="ICV">
    <vt:lpwstr>1B2FD6E454634F859D02113812607C29_12</vt:lpwstr>
  </property>
</Properties>
</file>