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4771BD5C" w:rsidR="00DD5969" w:rsidRPr="00353860" w:rsidRDefault="00DD5969" w:rsidP="00DD5969">
      <w:pPr>
        <w:spacing w:before="212"/>
        <w:rPr>
          <w:rFonts w:ascii="Arial"/>
          <w:b/>
          <w:sz w:val="40"/>
          <w:szCs w:val="40"/>
          <w:highlight w:val="yellow"/>
          <w:lang w:val="fr-FR"/>
        </w:rPr>
      </w:pPr>
      <w:r w:rsidRPr="00353860">
        <w:rPr>
          <w:rFonts w:ascii="Arial"/>
          <w:b/>
          <w:bCs/>
          <w:sz w:val="48"/>
          <w:szCs w:val="48"/>
          <w:lang w:val="fr-FR"/>
        </w:rPr>
        <w:t xml:space="preserve">MODULE </w:t>
      </w:r>
      <w:proofErr w:type="gramStart"/>
      <w:r w:rsidRPr="00353860">
        <w:rPr>
          <w:rFonts w:ascii="Arial"/>
          <w:b/>
          <w:bCs/>
          <w:sz w:val="48"/>
          <w:szCs w:val="48"/>
          <w:lang w:val="fr-FR"/>
        </w:rPr>
        <w:t>CODE:</w:t>
      </w:r>
      <w:proofErr w:type="gramEnd"/>
      <w:r w:rsidR="095D05C6" w:rsidRPr="00353860">
        <w:rPr>
          <w:rFonts w:ascii="Arial"/>
          <w:b/>
          <w:bCs/>
          <w:sz w:val="48"/>
          <w:szCs w:val="48"/>
          <w:lang w:val="fr-FR"/>
        </w:rPr>
        <w:t xml:space="preserve"> </w:t>
      </w:r>
      <w:r w:rsidR="00F4194B">
        <w:rPr>
          <w:rFonts w:ascii="Arial"/>
          <w:b/>
          <w:bCs/>
          <w:sz w:val="40"/>
          <w:szCs w:val="40"/>
          <w:lang w:val="fr-FR"/>
        </w:rPr>
        <w:t>ECPT6014</w:t>
      </w:r>
      <w:r w:rsidR="00A6013A" w:rsidRPr="00353860">
        <w:rPr>
          <w:rFonts w:ascii="Arial"/>
          <w:b/>
          <w:bCs/>
          <w:sz w:val="40"/>
          <w:szCs w:val="40"/>
          <w:lang w:val="fr-FR"/>
        </w:rPr>
        <w:t xml:space="preserve"> </w:t>
      </w:r>
    </w:p>
    <w:p w14:paraId="5051A2D5" w14:textId="77777777" w:rsidR="00347EA1" w:rsidRPr="00353860" w:rsidRDefault="00347EA1" w:rsidP="00DD5969">
      <w:pPr>
        <w:spacing w:before="212"/>
        <w:rPr>
          <w:rFonts w:ascii="Arial"/>
          <w:b/>
          <w:sz w:val="48"/>
          <w:szCs w:val="48"/>
          <w:lang w:val="fr-FR"/>
        </w:rPr>
      </w:pPr>
    </w:p>
    <w:p w14:paraId="52D012F0" w14:textId="5C0A88D0" w:rsidR="00347EA1" w:rsidRPr="00FD6F07" w:rsidRDefault="00347EA1" w:rsidP="00307139">
      <w:pPr>
        <w:spacing w:before="212"/>
        <w:rPr>
          <w:rFonts w:ascii="Arial"/>
          <w:b/>
          <w:bCs/>
          <w:sz w:val="48"/>
          <w:szCs w:val="48"/>
        </w:rPr>
      </w:pPr>
      <w:r w:rsidRPr="00FD6F07">
        <w:rPr>
          <w:rFonts w:ascii="Arial"/>
          <w:b/>
          <w:sz w:val="48"/>
          <w:szCs w:val="48"/>
        </w:rPr>
        <w:t>ASSESSMENT COMPONENT:</w:t>
      </w:r>
      <w:r w:rsidR="77A4C21D" w:rsidRPr="00FD6F07">
        <w:rPr>
          <w:rFonts w:ascii="Arial"/>
          <w:b/>
          <w:bCs/>
          <w:sz w:val="48"/>
          <w:szCs w:val="48"/>
        </w:rPr>
        <w:t xml:space="preserve"> </w:t>
      </w:r>
      <w:r w:rsidR="00353860" w:rsidRPr="00FD6F07">
        <w:rPr>
          <w:rFonts w:ascii="Arial"/>
          <w:b/>
          <w:bCs/>
          <w:sz w:val="40"/>
          <w:szCs w:val="40"/>
        </w:rPr>
        <w:t>A</w:t>
      </w:r>
      <w:r w:rsidR="00FD6F07" w:rsidRPr="00FD6F07">
        <w:rPr>
          <w:rFonts w:ascii="Arial"/>
          <w:b/>
          <w:bCs/>
          <w:sz w:val="40"/>
          <w:szCs w:val="40"/>
        </w:rPr>
        <w:t>1</w:t>
      </w:r>
      <w:r w:rsidR="00353860" w:rsidRPr="00FD6F07">
        <w:rPr>
          <w:rFonts w:ascii="Arial"/>
          <w:b/>
          <w:bCs/>
          <w:sz w:val="40"/>
          <w:szCs w:val="40"/>
        </w:rPr>
        <w:t xml:space="preserve"> </w:t>
      </w:r>
      <w:r w:rsidR="00F4194B">
        <w:rPr>
          <w:rFonts w:ascii="Arial"/>
          <w:b/>
          <w:bCs/>
          <w:sz w:val="40"/>
          <w:szCs w:val="40"/>
        </w:rPr>
        <w:t>Microteach</w:t>
      </w:r>
      <w:r w:rsidR="00FD6F07">
        <w:rPr>
          <w:rFonts w:ascii="Arial"/>
          <w:b/>
          <w:bCs/>
          <w:sz w:val="40"/>
          <w:szCs w:val="40"/>
        </w:rPr>
        <w:t xml:space="preserve"> Session</w:t>
      </w:r>
    </w:p>
    <w:p w14:paraId="6AA1A7DC" w14:textId="77777777" w:rsidR="00DD5969" w:rsidRPr="00FD6F07" w:rsidRDefault="00DD5969" w:rsidP="00DD5969">
      <w:pPr>
        <w:spacing w:before="7"/>
        <w:jc w:val="center"/>
        <w:rPr>
          <w:rFonts w:ascii="Arial"/>
          <w:b/>
          <w:sz w:val="44"/>
        </w:rPr>
      </w:pPr>
    </w:p>
    <w:p w14:paraId="7681432B" w14:textId="410B5B91" w:rsidR="00DD5969" w:rsidRPr="00DD5969" w:rsidRDefault="00DD5969" w:rsidP="00DD5969">
      <w:pPr>
        <w:spacing w:before="3"/>
        <w:rPr>
          <w:rFonts w:ascii="Arial"/>
          <w:b/>
          <w:sz w:val="48"/>
          <w:szCs w:val="48"/>
        </w:rPr>
      </w:pPr>
      <w:r w:rsidRPr="00DD5969">
        <w:rPr>
          <w:rFonts w:ascii="Arial"/>
          <w:b/>
          <w:sz w:val="48"/>
          <w:szCs w:val="48"/>
        </w:rPr>
        <w:t>STUDENT NAME:</w:t>
      </w:r>
      <w:r w:rsidR="004734AC">
        <w:rPr>
          <w:rFonts w:ascii="Arial"/>
          <w:b/>
          <w:sz w:val="48"/>
          <w:szCs w:val="48"/>
        </w:rPr>
        <w:t xml:space="preserve"> Katie Morrin</w:t>
      </w:r>
    </w:p>
    <w:p w14:paraId="0D16D138" w14:textId="77777777" w:rsidR="00DD5969" w:rsidRPr="00DD5969" w:rsidRDefault="00DD5969" w:rsidP="00DD5969">
      <w:pPr>
        <w:spacing w:before="3"/>
        <w:rPr>
          <w:rFonts w:ascii="Arial"/>
          <w:b/>
          <w:sz w:val="48"/>
          <w:szCs w:val="48"/>
        </w:rPr>
      </w:pPr>
    </w:p>
    <w:p w14:paraId="18107AFF" w14:textId="7537F0C1"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4734AC">
        <w:rPr>
          <w:rFonts w:ascii="Arial"/>
          <w:b/>
          <w:sz w:val="48"/>
          <w:szCs w:val="48"/>
        </w:rPr>
        <w:t xml:space="preserve"> 1704525</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2AE1CF9A" w14:textId="77777777" w:rsidR="000C541C" w:rsidRDefault="000C541C" w:rsidP="00DD5969">
      <w:pPr>
        <w:rPr>
          <w:b/>
          <w:bCs/>
        </w:rPr>
      </w:pPr>
    </w:p>
    <w:p w14:paraId="17E73C35" w14:textId="77777777" w:rsidR="004734AC" w:rsidRDefault="004734AC" w:rsidP="00DD5969">
      <w:pPr>
        <w:rPr>
          <w:b/>
          <w:bCs/>
        </w:rPr>
      </w:pPr>
    </w:p>
    <w:p w14:paraId="42CBFCBE" w14:textId="77777777" w:rsidR="004734AC" w:rsidRDefault="004734AC" w:rsidP="00DD5969">
      <w:pPr>
        <w:rPr>
          <w:b/>
          <w:bCs/>
        </w:rPr>
      </w:pPr>
    </w:p>
    <w:p w14:paraId="2A5DD849" w14:textId="77777777" w:rsidR="004734AC" w:rsidRDefault="004734AC" w:rsidP="00DD5969">
      <w:pPr>
        <w:rPr>
          <w:b/>
          <w:bCs/>
        </w:rPr>
      </w:pPr>
    </w:p>
    <w:p w14:paraId="2E6E9A45" w14:textId="77777777" w:rsidR="004734AC" w:rsidRDefault="004734AC" w:rsidP="00DD5969">
      <w:pPr>
        <w:rPr>
          <w:b/>
          <w:bCs/>
        </w:rPr>
      </w:pPr>
    </w:p>
    <w:p w14:paraId="622E9F07" w14:textId="77777777" w:rsidR="004734AC" w:rsidRDefault="004734AC" w:rsidP="00DD5969">
      <w:pPr>
        <w:rPr>
          <w:b/>
          <w:bCs/>
        </w:rPr>
      </w:pPr>
    </w:p>
    <w:p w14:paraId="22CE2054" w14:textId="77777777" w:rsidR="004734AC" w:rsidRDefault="004734AC" w:rsidP="00DD5969">
      <w:pPr>
        <w:rPr>
          <w:b/>
          <w:bCs/>
        </w:rPr>
      </w:pPr>
    </w:p>
    <w:p w14:paraId="15F483D8" w14:textId="77777777" w:rsidR="004734AC" w:rsidRDefault="004734AC" w:rsidP="00DD5969">
      <w:pPr>
        <w:rPr>
          <w:b/>
          <w:bCs/>
        </w:rPr>
      </w:pPr>
    </w:p>
    <w:p w14:paraId="2C23C26E" w14:textId="77777777" w:rsidR="004734AC" w:rsidRDefault="004734AC" w:rsidP="00DD5969">
      <w:pPr>
        <w:rPr>
          <w:b/>
          <w:bCs/>
        </w:rPr>
      </w:pPr>
    </w:p>
    <w:p w14:paraId="187762E9" w14:textId="77777777" w:rsidR="004734AC" w:rsidRDefault="004734AC" w:rsidP="00DD5969">
      <w:pPr>
        <w:rPr>
          <w:b/>
          <w:bCs/>
        </w:rPr>
      </w:pPr>
    </w:p>
    <w:p w14:paraId="05F8B724" w14:textId="77777777" w:rsidR="004734AC" w:rsidRDefault="004734AC" w:rsidP="00DD5969">
      <w:pPr>
        <w:rPr>
          <w:b/>
          <w:bCs/>
        </w:rPr>
      </w:pPr>
    </w:p>
    <w:p w14:paraId="79EF3183" w14:textId="77777777" w:rsidR="004734AC" w:rsidRDefault="004734AC" w:rsidP="00DD5969">
      <w:pPr>
        <w:rPr>
          <w:b/>
          <w:bCs/>
        </w:rPr>
      </w:pPr>
    </w:p>
    <w:p w14:paraId="2F6AC491" w14:textId="77777777" w:rsidR="004734AC" w:rsidRDefault="004734AC" w:rsidP="00DD5969">
      <w:pPr>
        <w:rPr>
          <w:b/>
          <w:bCs/>
        </w:rPr>
      </w:pPr>
    </w:p>
    <w:p w14:paraId="5E730CB0" w14:textId="77777777" w:rsidR="004734AC" w:rsidRDefault="004734AC" w:rsidP="00DD5969">
      <w:pPr>
        <w:rPr>
          <w:b/>
          <w:bCs/>
        </w:rPr>
      </w:pPr>
    </w:p>
    <w:p w14:paraId="5B6EF2A8" w14:textId="77777777" w:rsidR="004734AC" w:rsidRDefault="004734AC" w:rsidP="00DD5969">
      <w:pPr>
        <w:rPr>
          <w:b/>
          <w:bCs/>
        </w:rPr>
      </w:pPr>
    </w:p>
    <w:p w14:paraId="5ED35F3B" w14:textId="77777777" w:rsidR="004734AC" w:rsidRDefault="004734AC" w:rsidP="00DD5969">
      <w:pPr>
        <w:rPr>
          <w:b/>
          <w:bCs/>
        </w:rPr>
      </w:pPr>
    </w:p>
    <w:p w14:paraId="1108BD0C" w14:textId="77777777" w:rsidR="004734AC" w:rsidRDefault="004734AC" w:rsidP="00DD5969">
      <w:pPr>
        <w:rPr>
          <w:b/>
          <w:bCs/>
        </w:rPr>
      </w:pPr>
    </w:p>
    <w:p w14:paraId="6D2EE5B9" w14:textId="77777777" w:rsidR="004734AC" w:rsidRDefault="004734AC" w:rsidP="00DD5969">
      <w:pPr>
        <w:rPr>
          <w:b/>
          <w:bCs/>
        </w:rPr>
      </w:pPr>
    </w:p>
    <w:p w14:paraId="340200C7" w14:textId="77777777" w:rsidR="004734AC" w:rsidRDefault="004734AC" w:rsidP="00DD5969">
      <w:pPr>
        <w:rPr>
          <w:b/>
          <w:bCs/>
        </w:rPr>
      </w:pPr>
    </w:p>
    <w:p w14:paraId="1D61D4E6" w14:textId="77777777" w:rsidR="004734AC" w:rsidRDefault="004734AC" w:rsidP="00DD5969">
      <w:pPr>
        <w:rPr>
          <w:b/>
          <w:bCs/>
        </w:rPr>
      </w:pPr>
    </w:p>
    <w:p w14:paraId="451AAFBD" w14:textId="77777777" w:rsidR="004734AC" w:rsidRPr="00574593" w:rsidRDefault="004734AC" w:rsidP="004734AC">
      <w:pPr>
        <w:jc w:val="center"/>
        <w:rPr>
          <w:b/>
          <w:bCs/>
          <w:sz w:val="28"/>
          <w:szCs w:val="28"/>
          <w:u w:val="single"/>
        </w:rPr>
      </w:pPr>
      <w:r>
        <w:rPr>
          <w:b/>
          <w:bCs/>
          <w:sz w:val="28"/>
          <w:szCs w:val="28"/>
          <w:u w:val="single"/>
        </w:rPr>
        <w:lastRenderedPageBreak/>
        <w:t>Reflection on Microteach – Assignment 1</w:t>
      </w:r>
    </w:p>
    <w:p w14:paraId="2BD4BCA8" w14:textId="77777777" w:rsidR="004734AC" w:rsidRDefault="004734AC" w:rsidP="004734AC">
      <w:r>
        <w:t xml:space="preserve">The use of writing in a reflective manner encourages people to think about experiences and thoughts, to help gain a better understanding of themselves, and has been applied in educational settings, </w:t>
      </w:r>
      <w:proofErr w:type="gramStart"/>
      <w:r>
        <w:t>in order to</w:t>
      </w:r>
      <w:proofErr w:type="gramEnd"/>
      <w:r>
        <w:t xml:space="preserve"> further learning and growth of individuals (Hassan, 2023). Gibbs reflective model provides guidelines that are well structured and are therefore used a lot in educational settings to allow teachers to achieve more effective reflective writing (Hashim </w:t>
      </w:r>
      <w:r>
        <w:rPr>
          <w:i/>
          <w:iCs/>
        </w:rPr>
        <w:t>et al</w:t>
      </w:r>
      <w:r>
        <w:t>, 2023), and therefore for this assignment, I am using Gibbs reflective cycle.</w:t>
      </w:r>
    </w:p>
    <w:p w14:paraId="1B563F17" w14:textId="77777777" w:rsidR="004734AC" w:rsidRDefault="004734AC" w:rsidP="004734AC">
      <w:r>
        <w:t xml:space="preserve">There are six distinct stages to Gibbs reflective model, which are the description of what happened, the feelings, an evaluation, followed by an analysis, conclusion and lastly the action plan (Ocampo </w:t>
      </w:r>
      <w:r>
        <w:rPr>
          <w:i/>
          <w:iCs/>
        </w:rPr>
        <w:t>et al</w:t>
      </w:r>
      <w:r>
        <w:t>., 2025).</w:t>
      </w:r>
    </w:p>
    <w:p w14:paraId="56BF28D3" w14:textId="77777777" w:rsidR="004734AC" w:rsidRDefault="004734AC" w:rsidP="004734AC"/>
    <w:p w14:paraId="7E8E0DD3" w14:textId="77777777" w:rsidR="004734AC" w:rsidRPr="00201020" w:rsidRDefault="004734AC" w:rsidP="004734AC">
      <w:pPr>
        <w:rPr>
          <w:u w:val="single"/>
        </w:rPr>
      </w:pPr>
      <w:r w:rsidRPr="00201020">
        <w:rPr>
          <w:u w:val="single"/>
        </w:rPr>
        <w:t>Description</w:t>
      </w:r>
    </w:p>
    <w:p w14:paraId="2AB55C6D" w14:textId="77777777" w:rsidR="004734AC" w:rsidRDefault="004734AC" w:rsidP="004734AC">
      <w:r>
        <w:t xml:space="preserve">Firstly, I decided I wanted to do a practical lesson with some theory because, as </w:t>
      </w:r>
      <w:proofErr w:type="spellStart"/>
      <w:r>
        <w:t>Fallace</w:t>
      </w:r>
      <w:proofErr w:type="spellEnd"/>
      <w:r>
        <w:t xml:space="preserve"> (2023) states, to ensure all students are included, teaching should be visual, auditory and kinaesthetic. Therefore, to plan the lesson, I wrote a lesson plan with what I wanted the students to achieve and then a PowerPoint to assist this, because as the basic teaching model suggests, there is four stages to the planning, the objectives, the checking of entry behaviour, meaning previous knowledge, the teaching techniques and finally the assessment (Reece &amp; Walker, 2007).  Then, on the day of the microteach, I introduced the topic of sowing seeds with some learning outcomes, because as stated by Avis </w:t>
      </w:r>
      <w:r>
        <w:rPr>
          <w:i/>
          <w:iCs/>
        </w:rPr>
        <w:t>et al</w:t>
      </w:r>
      <w:r>
        <w:t xml:space="preserve"> (2019), specific objectives are to the point and a verifiable sentence to what is expected from the learners. This followed into finding out the entry behaviour of students via a quick question and answer on the board, as acknowledged by Reece &amp; Walker (2007), it tells the lecturer previous knowledge of a topic, as well as learning abilities and motivations for the topic. I then went through a few slides discussing why we sow seeds indoors and the stages to sowing the seeds, and then we moved onto the practical task of sowing seeds. The practical task was to sow two different types of seeds into sustainable pots and allow students to experience what the theory was teaching them, whilst giving them a comfortable environment so they felt like they could ask questions about it. Curzon (2003) states that the basic needs of the students </w:t>
      </w:r>
      <w:proofErr w:type="gramStart"/>
      <w:r>
        <w:t>have to</w:t>
      </w:r>
      <w:proofErr w:type="gramEnd"/>
      <w:r>
        <w:t xml:space="preserve"> be fulfilled to ensure that they can learn effectively. </w:t>
      </w:r>
    </w:p>
    <w:p w14:paraId="0AA79658" w14:textId="77777777" w:rsidR="004734AC" w:rsidRDefault="004734AC" w:rsidP="004734AC"/>
    <w:p w14:paraId="5A3F7227" w14:textId="77777777" w:rsidR="004734AC" w:rsidRPr="00201020" w:rsidRDefault="004734AC" w:rsidP="004734AC">
      <w:pPr>
        <w:rPr>
          <w:u w:val="single"/>
        </w:rPr>
      </w:pPr>
      <w:r w:rsidRPr="00201020">
        <w:rPr>
          <w:u w:val="single"/>
        </w:rPr>
        <w:t>Feelings</w:t>
      </w:r>
    </w:p>
    <w:p w14:paraId="4F0B273F" w14:textId="77777777" w:rsidR="004734AC" w:rsidRDefault="004734AC" w:rsidP="004734AC">
      <w:r>
        <w:t xml:space="preserve">Leading up to teaching, I felt very nervous as I wasn’t sure how my timing would go and if I could ensure the students went away at the end of the lesson with the correct knowledge, because as discussed by Curzon (2003), throughout a lesson, the teachers </w:t>
      </w:r>
      <w:r>
        <w:lastRenderedPageBreak/>
        <w:t>goal communicate with students, motivate them and keep their attention on topic to ultimately achieve the lessons objective is. Throughout the lesson I felt very calm and under control, but I feel like that is in connection to the environment that was created in the classroom and students being involved. Hertzberg two factors theory suggests that there are two components that influences the motivation, including the hygiene factors, such as working conditions provided and the motivators, like the achievements (</w:t>
      </w:r>
      <w:r w:rsidRPr="00FD379E">
        <w:t xml:space="preserve">Furnham </w:t>
      </w:r>
      <w:r w:rsidRPr="00FD379E">
        <w:rPr>
          <w:i/>
          <w:iCs/>
        </w:rPr>
        <w:t>et al</w:t>
      </w:r>
      <w:r w:rsidRPr="00FD379E">
        <w:t>, 2009</w:t>
      </w:r>
      <w:r>
        <w:t xml:space="preserve">) which I believe were achieved in the lesson providing this environment, assisting with achieving the professional standard of showing commitment to students, their learning and well-being (Welsh Government, 2023). At the end of my lesson, I did get a bit overwhelmed as my timings had not gone as planned and therefore the lesson finished earlier than expected. </w:t>
      </w:r>
    </w:p>
    <w:p w14:paraId="79ED76FF" w14:textId="77777777" w:rsidR="004734AC" w:rsidRPr="00E63A81" w:rsidRDefault="004734AC" w:rsidP="004734AC"/>
    <w:p w14:paraId="25FB100C" w14:textId="77777777" w:rsidR="004734AC" w:rsidRPr="00201020" w:rsidRDefault="004734AC" w:rsidP="004734AC">
      <w:pPr>
        <w:rPr>
          <w:u w:val="single"/>
        </w:rPr>
      </w:pPr>
      <w:r w:rsidRPr="00201020">
        <w:rPr>
          <w:u w:val="single"/>
        </w:rPr>
        <w:t>Evaluation</w:t>
      </w:r>
    </w:p>
    <w:p w14:paraId="2BA35621" w14:textId="77777777" w:rsidR="004734AC" w:rsidRDefault="004734AC" w:rsidP="004734AC">
      <w:r>
        <w:t xml:space="preserve">The lesson itself went well, as I was able to carry out my whole lesson with students being very interested, and the exit cards task at the end confirmed that students had further knowledge of sowing seeds. Exit cards allow teachers to evaluate their teaching abilities immediately after the class, as well as assist in co-learning, as they allow students to inform the teacher of concerns or learning, which could improve the learning outcomes in the future </w:t>
      </w:r>
      <w:r w:rsidRPr="00E847AA">
        <w:t>(Patka, 2016). The</w:t>
      </w:r>
      <w:r>
        <w:t xml:space="preserve"> lesson also had stages to it that flowed starting with the information, then the practical task and lastly checking understanding of the lesson. As spoken about by Conklin (2005), Blooms classic work is shown as a hierarchy that has levels needing to be achieved and built onto, starting the knowledge, so the facts to remember, followed by comprehension, the understanding of what they know into their phrases and lastly the application, using both knowledge and comprehension to achieve the result. A</w:t>
      </w:r>
      <w:r w:rsidRPr="0014680F">
        <w:t>lthough</w:t>
      </w:r>
      <w:r>
        <w:t xml:space="preserve"> as stated in my feedback, I need to consider the questioning I use at the end of the lesson, to ensure open questions are used. In the lesson, I additionally used to bilingualism, starting the lesson with some Welsh and having Welsh titles, in line with the professional standards of giving equal opportunities and promoting inclusivity, whilst considering the importance of Welsh and using bilingual language (Welsh Government, 2023).</w:t>
      </w:r>
    </w:p>
    <w:p w14:paraId="342C0B8D" w14:textId="77777777" w:rsidR="004734AC" w:rsidRDefault="004734AC" w:rsidP="004734AC"/>
    <w:p w14:paraId="18C3F8B7" w14:textId="77777777" w:rsidR="004734AC" w:rsidRPr="00434227" w:rsidRDefault="004734AC" w:rsidP="004734AC">
      <w:pPr>
        <w:rPr>
          <w:u w:val="single"/>
        </w:rPr>
      </w:pPr>
      <w:r w:rsidRPr="00434227">
        <w:rPr>
          <w:u w:val="single"/>
        </w:rPr>
        <w:t>Analysis</w:t>
      </w:r>
    </w:p>
    <w:p w14:paraId="31294BD0" w14:textId="77777777" w:rsidR="004734AC" w:rsidRDefault="004734AC" w:rsidP="004734AC">
      <w:r>
        <w:t>When it comes to the amount of time a teacher spends having thoughts about the lesson to teach, the majority of it is likely to be the planning behind presenting the specific concept involved (</w:t>
      </w:r>
      <w:r w:rsidRPr="003E257F">
        <w:t>Eley, 2006</w:t>
      </w:r>
      <w:r>
        <w:t>), which I agree with as I wanted to ensure I could teach the correct knowledge to the students, and as stated in feedback from my tutor, the planning of the lesson and management of learning was apparent in the teaching.</w:t>
      </w:r>
    </w:p>
    <w:p w14:paraId="184E4168" w14:textId="77777777" w:rsidR="004734AC" w:rsidRDefault="004734AC" w:rsidP="004734AC">
      <w:r>
        <w:lastRenderedPageBreak/>
        <w:t xml:space="preserve">In teaching this lesson, it was important to ensure that all students were included and therefore the visual, auditory and kinaesthetic learning style was undertaken, with </w:t>
      </w:r>
      <w:proofErr w:type="spellStart"/>
      <w:r>
        <w:t>Fallace</w:t>
      </w:r>
      <w:proofErr w:type="spellEnd"/>
      <w:r>
        <w:t xml:space="preserve"> (2023) explaining that visual learners understand throughout viewing information like written text or images, auditory learners prefer learning by listening to topics being explained, and kinaesthetic learners learn through taking part in a task. The lesson I taught consisted of a power point to see visually, myself speaking about the information and a practical task. </w:t>
      </w:r>
    </w:p>
    <w:p w14:paraId="0D2FFA44" w14:textId="77777777" w:rsidR="004734AC" w:rsidRDefault="004734AC" w:rsidP="004734AC">
      <w:r>
        <w:t xml:space="preserve">In alignment with the professional standards within teaching, it is about creating an environment in which learners can be involved as themselves and within the group, whilst ensuring that learners receive feedback in a constructive manner to progress, while guiding the learners to take responsibility for their own learning and how they can develop (Welsh Government, 2023). Within the lesson, an environment was created so that students knew what was going on within the lesson, how long the lesson would be and with a friendly manner, it made the students and myself feel comfortable. In connection with Maslow’s hierarchy of needs, for an individual to achieve a goal, there are several levels of behavioural patterns that need achieving in order, consisting of physiological needs, needs for safety, belonging needs, the </w:t>
      </w:r>
      <w:proofErr w:type="spellStart"/>
      <w:r>
        <w:t>self esteem</w:t>
      </w:r>
      <w:proofErr w:type="spellEnd"/>
      <w:r>
        <w:t xml:space="preserve"> needs and then finally it will lead to self-actualization, which can be achieved by the cognitive growth of the individual (Curzon, 2003).</w:t>
      </w:r>
    </w:p>
    <w:p w14:paraId="04A0C11F" w14:textId="77777777" w:rsidR="004734AC" w:rsidRDefault="004734AC" w:rsidP="004734AC">
      <w:r>
        <w:t xml:space="preserve">At the end of the lesson, I was able to assess if the student’s knowledge had increased via three methods, through seeing what they had made in the practical task, returning to learning objectives to review them with students, and by completing the exit ticket. A practical task is evaluated by the student achieving precise objectives that are given (Curzon, 2003). I was present throughout the lesson and provided students with feedback throughout, whilst students showed enthusiasm throughout the lesson and at the end, expressing that they wanted to continue growing knowledge and sow more seeds. (Reece &amp; Walker, 2007) states that the type of feedback given, as well as the quality of it can impact the way students improve, with it being important for it to lead to the improvement in students on the subject. </w:t>
      </w:r>
    </w:p>
    <w:p w14:paraId="261D8181" w14:textId="77777777" w:rsidR="004734AC" w:rsidRDefault="004734AC" w:rsidP="004734AC"/>
    <w:p w14:paraId="54FDF107" w14:textId="77777777" w:rsidR="004734AC" w:rsidRPr="00434227" w:rsidRDefault="004734AC" w:rsidP="004734AC">
      <w:pPr>
        <w:rPr>
          <w:u w:val="single"/>
        </w:rPr>
      </w:pPr>
      <w:r w:rsidRPr="00434227">
        <w:rPr>
          <w:u w:val="single"/>
        </w:rPr>
        <w:t>Conclusion</w:t>
      </w:r>
    </w:p>
    <w:p w14:paraId="2D14781B" w14:textId="77777777" w:rsidR="004734AC" w:rsidRDefault="004734AC" w:rsidP="004734AC">
      <w:r>
        <w:t xml:space="preserve">The overall experience of teaching went well, with students showing lots of engagement with the information and practical task, showing myself that I had almost achieved an informative lesson based on a psychomotor skills lesson. Reece &amp; Walker (2007) identify five steps for the instruction and learning including the analysis of the skill, checking entry behaviour, training of the steps for the skill, a demonstration of the skill and finally practice the skill, with feedback being received. In reviewing these steps, for next time, I need to ensure I include a demonstration. </w:t>
      </w:r>
    </w:p>
    <w:p w14:paraId="05506021" w14:textId="77777777" w:rsidR="004734AC" w:rsidRDefault="004734AC" w:rsidP="004734AC"/>
    <w:p w14:paraId="77848DEE" w14:textId="77777777" w:rsidR="004734AC" w:rsidRPr="00434227" w:rsidRDefault="004734AC" w:rsidP="004734AC">
      <w:pPr>
        <w:rPr>
          <w:u w:val="single"/>
        </w:rPr>
      </w:pPr>
      <w:r w:rsidRPr="00434227">
        <w:rPr>
          <w:u w:val="single"/>
        </w:rPr>
        <w:t>Action plan</w:t>
      </w:r>
    </w:p>
    <w:p w14:paraId="3345C94A" w14:textId="77777777" w:rsidR="004734AC" w:rsidRDefault="004734AC" w:rsidP="004734AC">
      <w:r>
        <w:t>In lessons to follow, there are several points that aim to improve on, including ensuring that I write on the board in a larger font next time and to not use all capital letters on the power point. As spoken about by Welsh Government (2023), all learners need to be treated with fairness and equal, as well as advocating inclusivity. At the end of my lesson, I had time left where I did not have content for, and therefore for the next lesson, I will ensure I consider my lesson plan with better timings and add further content, like the demonstration of what to do. Although as stated by Reece &amp; Walker (2007), the intention of a lesson plan is to guide individuals through their lessons, but even when a lesson plan is detailed, it needs to be provisional and flexible as not every eventuality can be planned for.</w:t>
      </w:r>
    </w:p>
    <w:p w14:paraId="1747F008" w14:textId="77777777" w:rsidR="004734AC" w:rsidRDefault="004734AC" w:rsidP="004734AC">
      <w:r>
        <w:t xml:space="preserve">As mentioned by Hassan (2023), writing a reflective piece </w:t>
      </w:r>
      <w:proofErr w:type="gramStart"/>
      <w:r>
        <w:t>assists</w:t>
      </w:r>
      <w:proofErr w:type="gramEnd"/>
      <w:r>
        <w:t xml:space="preserve"> further learning and growth of individuals, which in the case of this lesson, has assisted me to outline points for further teaching. </w:t>
      </w:r>
    </w:p>
    <w:p w14:paraId="3DD015B5" w14:textId="77777777" w:rsidR="004734AC" w:rsidRDefault="004734AC" w:rsidP="004734AC"/>
    <w:sdt>
      <w:sdtPr>
        <w:id w:val="-42517767"/>
        <w:docPartObj>
          <w:docPartGallery w:val="Bibliographies"/>
          <w:docPartUnique/>
        </w:docPartObj>
      </w:sdtPr>
      <w:sdtEndPr>
        <w:rPr>
          <w:rFonts w:asciiTheme="minorHAnsi" w:eastAsiaTheme="minorEastAsia" w:hAnsiTheme="minorHAnsi" w:cstheme="minorBidi"/>
          <w:color w:val="auto"/>
          <w:sz w:val="24"/>
          <w:szCs w:val="24"/>
        </w:rPr>
      </w:sdtEndPr>
      <w:sdtContent>
        <w:p w14:paraId="72DDA06F" w14:textId="77777777" w:rsidR="004734AC" w:rsidRPr="00F9025E" w:rsidRDefault="004734AC" w:rsidP="004734AC">
          <w:pPr>
            <w:pStyle w:val="Heading1"/>
          </w:pPr>
          <w:r w:rsidRPr="00574593">
            <w:rPr>
              <w:rFonts w:asciiTheme="minorHAnsi" w:hAnsiTheme="minorHAnsi"/>
              <w:color w:val="auto"/>
              <w:sz w:val="28"/>
              <w:szCs w:val="28"/>
              <w:u w:val="single"/>
            </w:rPr>
            <w:t>References</w:t>
          </w:r>
        </w:p>
        <w:sdt>
          <w:sdtPr>
            <w:id w:val="-573587230"/>
            <w:bibliography/>
          </w:sdtPr>
          <w:sdtEndPr>
            <w:rPr>
              <w:rFonts w:eastAsiaTheme="minorEastAsia"/>
              <w:sz w:val="24"/>
              <w:szCs w:val="24"/>
              <w:lang w:eastAsia="zh-CN"/>
            </w:rPr>
          </w:sdtEndPr>
          <w:sdtContent>
            <w:p w14:paraId="3B60C0CE" w14:textId="77777777" w:rsidR="004734AC" w:rsidRDefault="004734AC" w:rsidP="004734AC">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Avis, J., Fisher, R. &amp; Thompson, R., 2019. </w:t>
              </w:r>
              <w:r>
                <w:rPr>
                  <w:i/>
                  <w:iCs/>
                  <w:noProof/>
                </w:rPr>
                <w:t xml:space="preserve">Teaching in Lifelong Learning 3e A Guide to Theory and Practice. </w:t>
              </w:r>
              <w:r>
                <w:rPr>
                  <w:noProof/>
                </w:rPr>
                <w:t>Third ed. London: Open Univeristy Press.</w:t>
              </w:r>
            </w:p>
            <w:p w14:paraId="09D169B1" w14:textId="77777777" w:rsidR="004734AC" w:rsidRDefault="004734AC" w:rsidP="004734AC">
              <w:pPr>
                <w:pStyle w:val="Bibliography"/>
                <w:rPr>
                  <w:noProof/>
                </w:rPr>
              </w:pPr>
              <w:r>
                <w:rPr>
                  <w:noProof/>
                </w:rPr>
                <w:t xml:space="preserve">Conklin, J., 2005. A taxonomy for Learning, Teaching, and Assessing: A Revision of Bloom's Taxonomy of Educational Objectives Complete Edition. </w:t>
              </w:r>
              <w:r>
                <w:rPr>
                  <w:i/>
                  <w:iCs/>
                  <w:noProof/>
                </w:rPr>
                <w:t xml:space="preserve">Educational Horizons, </w:t>
              </w:r>
              <w:r>
                <w:rPr>
                  <w:noProof/>
                </w:rPr>
                <w:t>83(3), pp. 154-159.</w:t>
              </w:r>
            </w:p>
            <w:p w14:paraId="41D07063" w14:textId="77777777" w:rsidR="004734AC" w:rsidRDefault="004734AC" w:rsidP="004734AC">
              <w:pPr>
                <w:pStyle w:val="Bibliography"/>
                <w:rPr>
                  <w:noProof/>
                </w:rPr>
              </w:pPr>
              <w:r>
                <w:rPr>
                  <w:noProof/>
                </w:rPr>
                <w:t xml:space="preserve">Curzon, L. B., 2007. </w:t>
              </w:r>
              <w:r>
                <w:rPr>
                  <w:i/>
                  <w:iCs/>
                  <w:noProof/>
                </w:rPr>
                <w:t xml:space="preserve">Teaching in Further Education. </w:t>
              </w:r>
              <w:r>
                <w:rPr>
                  <w:noProof/>
                </w:rPr>
                <w:t>Sixth ed. London: Continuum.</w:t>
              </w:r>
            </w:p>
            <w:p w14:paraId="74744B92" w14:textId="77777777" w:rsidR="004734AC" w:rsidRDefault="004734AC" w:rsidP="004734AC">
              <w:pPr>
                <w:pStyle w:val="Bibliography"/>
                <w:rPr>
                  <w:noProof/>
                </w:rPr>
              </w:pPr>
              <w:r>
                <w:rPr>
                  <w:noProof/>
                </w:rPr>
                <w:t xml:space="preserve">Eley, M. G., 2006. Teachers' Conceptions of Teaching, and the Making of Specific Decisions in Planning to Teach. </w:t>
              </w:r>
              <w:r>
                <w:rPr>
                  <w:i/>
                  <w:iCs/>
                  <w:noProof/>
                </w:rPr>
                <w:t xml:space="preserve">Higher Education, </w:t>
              </w:r>
              <w:r>
                <w:rPr>
                  <w:noProof/>
                </w:rPr>
                <w:t>Volume 51, pp. 191-214.</w:t>
              </w:r>
            </w:p>
            <w:p w14:paraId="2C84166D" w14:textId="77777777" w:rsidR="004734AC" w:rsidRDefault="004734AC" w:rsidP="004734AC">
              <w:pPr>
                <w:pStyle w:val="Bibliography"/>
                <w:rPr>
                  <w:noProof/>
                </w:rPr>
              </w:pPr>
              <w:r>
                <w:rPr>
                  <w:noProof/>
                </w:rPr>
                <w:t xml:space="preserve">Fallace, T., 2023. The Long Origins of the Visual, Auditory, and Kinesthetic Learning Style Typology, 1921-2001. </w:t>
              </w:r>
              <w:r>
                <w:rPr>
                  <w:i/>
                  <w:iCs/>
                  <w:noProof/>
                </w:rPr>
                <w:t xml:space="preserve">History of Psychology, </w:t>
              </w:r>
              <w:r>
                <w:rPr>
                  <w:noProof/>
                </w:rPr>
                <w:t>26(4), pp. 334-354.</w:t>
              </w:r>
            </w:p>
            <w:p w14:paraId="625D2D23" w14:textId="77777777" w:rsidR="004734AC" w:rsidRDefault="004734AC" w:rsidP="004734AC">
              <w:pPr>
                <w:pStyle w:val="Bibliography"/>
                <w:rPr>
                  <w:noProof/>
                </w:rPr>
              </w:pPr>
              <w:r>
                <w:rPr>
                  <w:noProof/>
                </w:rPr>
                <w:t xml:space="preserve">Furnham, A., Eracleous, A. &amp; Chamorro-Premuzic, T., 2009. Personality, motivation and job satisfaction: Hertzberg meets the Big Five. </w:t>
              </w:r>
              <w:r>
                <w:rPr>
                  <w:i/>
                  <w:iCs/>
                  <w:noProof/>
                </w:rPr>
                <w:t xml:space="preserve">Journal of Managerial Psychology, </w:t>
              </w:r>
              <w:r>
                <w:rPr>
                  <w:noProof/>
                </w:rPr>
                <w:t>24(8), pp. 765-779.</w:t>
              </w:r>
            </w:p>
            <w:p w14:paraId="2B9973E1" w14:textId="77777777" w:rsidR="004734AC" w:rsidRDefault="004734AC" w:rsidP="004734AC">
              <w:pPr>
                <w:pStyle w:val="Bibliography"/>
                <w:rPr>
                  <w:noProof/>
                </w:rPr>
              </w:pPr>
              <w:r>
                <w:rPr>
                  <w:noProof/>
                </w:rPr>
                <w:t xml:space="preserve">Hashim, S. N. A. et al., 2023. Exploring the Use of Gibbs' Reflective Model in Enhancing In-Service ESL Teachers' Reflective Writing. </w:t>
              </w:r>
              <w:r>
                <w:rPr>
                  <w:i/>
                  <w:iCs/>
                  <w:noProof/>
                </w:rPr>
                <w:t xml:space="preserve">Arab World English Journal, </w:t>
              </w:r>
              <w:r>
                <w:rPr>
                  <w:noProof/>
                </w:rPr>
                <w:t>14(2), pp. 236-253.</w:t>
              </w:r>
            </w:p>
            <w:p w14:paraId="38FF4240" w14:textId="77777777" w:rsidR="004734AC" w:rsidRDefault="004734AC" w:rsidP="004734AC">
              <w:pPr>
                <w:pStyle w:val="Bibliography"/>
                <w:rPr>
                  <w:noProof/>
                </w:rPr>
              </w:pPr>
              <w:r>
                <w:rPr>
                  <w:noProof/>
                </w:rPr>
                <w:t xml:space="preserve">Hassan, M. H. I., 2023. Using Gibbs' Reflective Model to Develop the Faculty of Science Students' EFL Reflective Writing and Met Linguistic Awareness. </w:t>
              </w:r>
              <w:r>
                <w:rPr>
                  <w:i/>
                  <w:iCs/>
                  <w:noProof/>
                </w:rPr>
                <w:t xml:space="preserve">DOAJ, </w:t>
              </w:r>
              <w:r>
                <w:rPr>
                  <w:noProof/>
                </w:rPr>
                <w:t>38(130), pp. 143-165.</w:t>
              </w:r>
            </w:p>
            <w:p w14:paraId="339D5DFA" w14:textId="77777777" w:rsidR="004734AC" w:rsidRDefault="004734AC" w:rsidP="004734AC">
              <w:pPr>
                <w:pStyle w:val="Bibliography"/>
                <w:rPr>
                  <w:noProof/>
                </w:rPr>
              </w:pPr>
              <w:r>
                <w:rPr>
                  <w:noProof/>
                </w:rPr>
                <w:t xml:space="preserve">Ocampo, F. A., McIntyre, B. G., Massey, D. &amp; Saunders, R., 2025. Nursing student reflections on a research internship: A reflective discussion following the Gibbs' reflective cycle. </w:t>
              </w:r>
              <w:r>
                <w:rPr>
                  <w:i/>
                  <w:iCs/>
                  <w:noProof/>
                </w:rPr>
                <w:t xml:space="preserve">Nurse Education Today, </w:t>
              </w:r>
              <w:r>
                <w:rPr>
                  <w:noProof/>
                </w:rPr>
                <w:t>Volume 145.</w:t>
              </w:r>
            </w:p>
            <w:p w14:paraId="372B19A9" w14:textId="77777777" w:rsidR="004734AC" w:rsidRDefault="004734AC" w:rsidP="004734AC">
              <w:pPr>
                <w:pStyle w:val="Bibliography"/>
                <w:rPr>
                  <w:noProof/>
                </w:rPr>
              </w:pPr>
              <w:r>
                <w:rPr>
                  <w:noProof/>
                </w:rPr>
                <w:lastRenderedPageBreak/>
                <w:t xml:space="preserve">Patka, M., Wallin-Ruschman, J., Wallace, T. &amp; Robbins, C., 2016. Exit cards: creating a dialogue for continuous evaluation. </w:t>
              </w:r>
              <w:r>
                <w:rPr>
                  <w:i/>
                  <w:iCs/>
                  <w:noProof/>
                </w:rPr>
                <w:t xml:space="preserve">Teaching in Higher Education, </w:t>
              </w:r>
              <w:r>
                <w:rPr>
                  <w:noProof/>
                </w:rPr>
                <w:t>21(6), pp. 659-668.</w:t>
              </w:r>
            </w:p>
            <w:p w14:paraId="0B843A12" w14:textId="77777777" w:rsidR="004734AC" w:rsidRDefault="004734AC" w:rsidP="004734AC">
              <w:pPr>
                <w:pStyle w:val="Bibliography"/>
                <w:rPr>
                  <w:noProof/>
                </w:rPr>
              </w:pPr>
              <w:r>
                <w:rPr>
                  <w:noProof/>
                </w:rPr>
                <w:t xml:space="preserve">Reece, I. &amp; Walker, S., 2007. </w:t>
              </w:r>
              <w:r>
                <w:rPr>
                  <w:i/>
                  <w:iCs/>
                  <w:noProof/>
                </w:rPr>
                <w:t xml:space="preserve">Teaching, Training &amp; Learning. </w:t>
              </w:r>
              <w:r>
                <w:rPr>
                  <w:noProof/>
                </w:rPr>
                <w:t>sixth revised ed. Tyne and Wear: Business Education Publisher Limited.</w:t>
              </w:r>
            </w:p>
            <w:p w14:paraId="6AB47790" w14:textId="77777777" w:rsidR="004734AC" w:rsidRDefault="004734AC" w:rsidP="004734AC">
              <w:pPr>
                <w:pStyle w:val="Bibliography"/>
                <w:rPr>
                  <w:noProof/>
                </w:rPr>
              </w:pPr>
              <w:r>
                <w:rPr>
                  <w:noProof/>
                </w:rPr>
                <w:t xml:space="preserve">Welsh Government, 2023. </w:t>
              </w:r>
              <w:r>
                <w:rPr>
                  <w:i/>
                  <w:iCs/>
                  <w:noProof/>
                </w:rPr>
                <w:t xml:space="preserve">Professional standards for further education teachers, work-based learning practictioners and learning practitioners in Wales, </w:t>
              </w:r>
              <w:r>
                <w:rPr>
                  <w:noProof/>
                </w:rPr>
                <w:t>Cardiff: Welsh Government.</w:t>
              </w:r>
            </w:p>
            <w:p w14:paraId="285BC3E7" w14:textId="77777777" w:rsidR="004734AC" w:rsidRDefault="004734AC" w:rsidP="004734AC">
              <w:r>
                <w:rPr>
                  <w:b/>
                  <w:bCs/>
                  <w:noProof/>
                </w:rPr>
                <w:fldChar w:fldCharType="end"/>
              </w:r>
            </w:p>
          </w:sdtContent>
        </w:sdt>
      </w:sdtContent>
    </w:sdt>
    <w:p w14:paraId="637740AB" w14:textId="77777777" w:rsidR="004734AC" w:rsidRDefault="004734AC" w:rsidP="004734AC"/>
    <w:p w14:paraId="74DD20F1" w14:textId="77777777" w:rsidR="004734AC" w:rsidRPr="00B103B9" w:rsidRDefault="004734AC" w:rsidP="00DD5969">
      <w:pPr>
        <w:rPr>
          <w:sz w:val="16"/>
          <w:szCs w:val="16"/>
        </w:rPr>
      </w:pPr>
    </w:p>
    <w:sectPr w:rsidR="004734AC" w:rsidRPr="00B10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76E9C" w14:textId="77777777" w:rsidR="00596C12" w:rsidRDefault="00596C12" w:rsidP="00011AB6">
      <w:pPr>
        <w:spacing w:after="0" w:line="240" w:lineRule="auto"/>
      </w:pPr>
      <w:r>
        <w:separator/>
      </w:r>
    </w:p>
  </w:endnote>
  <w:endnote w:type="continuationSeparator" w:id="0">
    <w:p w14:paraId="29B4B7A4" w14:textId="77777777" w:rsidR="00596C12" w:rsidRDefault="00596C12"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82BE7" w14:textId="77777777" w:rsidR="00596C12" w:rsidRDefault="00596C12" w:rsidP="00011AB6">
      <w:pPr>
        <w:spacing w:after="0" w:line="240" w:lineRule="auto"/>
      </w:pPr>
      <w:r>
        <w:separator/>
      </w:r>
    </w:p>
  </w:footnote>
  <w:footnote w:type="continuationSeparator" w:id="0">
    <w:p w14:paraId="782BEB75" w14:textId="77777777" w:rsidR="00596C12" w:rsidRDefault="00596C12" w:rsidP="00011A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51C6A"/>
    <w:rsid w:val="00061BBC"/>
    <w:rsid w:val="00063ADC"/>
    <w:rsid w:val="000A2E17"/>
    <w:rsid w:val="000A470F"/>
    <w:rsid w:val="000C144A"/>
    <w:rsid w:val="000C541C"/>
    <w:rsid w:val="000C68CB"/>
    <w:rsid w:val="000D5B34"/>
    <w:rsid w:val="0010406A"/>
    <w:rsid w:val="00110DEC"/>
    <w:rsid w:val="001118FB"/>
    <w:rsid w:val="00115538"/>
    <w:rsid w:val="00135DD1"/>
    <w:rsid w:val="00147924"/>
    <w:rsid w:val="00164156"/>
    <w:rsid w:val="001819DF"/>
    <w:rsid w:val="001A1AEA"/>
    <w:rsid w:val="001B086C"/>
    <w:rsid w:val="001C6E70"/>
    <w:rsid w:val="002424D0"/>
    <w:rsid w:val="00262DC1"/>
    <w:rsid w:val="002F243A"/>
    <w:rsid w:val="00301906"/>
    <w:rsid w:val="00302BB1"/>
    <w:rsid w:val="00307139"/>
    <w:rsid w:val="003103C8"/>
    <w:rsid w:val="00322D0C"/>
    <w:rsid w:val="003341DF"/>
    <w:rsid w:val="00347EA1"/>
    <w:rsid w:val="00353860"/>
    <w:rsid w:val="00382546"/>
    <w:rsid w:val="003A4B66"/>
    <w:rsid w:val="003A709B"/>
    <w:rsid w:val="003D223A"/>
    <w:rsid w:val="00417AB6"/>
    <w:rsid w:val="004734AC"/>
    <w:rsid w:val="004D474C"/>
    <w:rsid w:val="0053246E"/>
    <w:rsid w:val="00536CFB"/>
    <w:rsid w:val="00543F5E"/>
    <w:rsid w:val="00545AD7"/>
    <w:rsid w:val="00584970"/>
    <w:rsid w:val="00596C12"/>
    <w:rsid w:val="005A71D9"/>
    <w:rsid w:val="005B4971"/>
    <w:rsid w:val="005B783A"/>
    <w:rsid w:val="005F42D0"/>
    <w:rsid w:val="005F7C42"/>
    <w:rsid w:val="00607BF8"/>
    <w:rsid w:val="0062310A"/>
    <w:rsid w:val="00664B16"/>
    <w:rsid w:val="0066657F"/>
    <w:rsid w:val="00673F55"/>
    <w:rsid w:val="006B52C3"/>
    <w:rsid w:val="007203C3"/>
    <w:rsid w:val="00724112"/>
    <w:rsid w:val="007352C0"/>
    <w:rsid w:val="00743752"/>
    <w:rsid w:val="007D3AE1"/>
    <w:rsid w:val="007D777F"/>
    <w:rsid w:val="007E01E0"/>
    <w:rsid w:val="00803155"/>
    <w:rsid w:val="00814F92"/>
    <w:rsid w:val="00840BEE"/>
    <w:rsid w:val="00851EDB"/>
    <w:rsid w:val="00887A61"/>
    <w:rsid w:val="008D7180"/>
    <w:rsid w:val="008F1086"/>
    <w:rsid w:val="009060A0"/>
    <w:rsid w:val="0091355A"/>
    <w:rsid w:val="00917008"/>
    <w:rsid w:val="00935B8D"/>
    <w:rsid w:val="009B02E5"/>
    <w:rsid w:val="009B164A"/>
    <w:rsid w:val="00A23D6E"/>
    <w:rsid w:val="00A44666"/>
    <w:rsid w:val="00A476E3"/>
    <w:rsid w:val="00A6013A"/>
    <w:rsid w:val="00AD7313"/>
    <w:rsid w:val="00AE2AA9"/>
    <w:rsid w:val="00AE3307"/>
    <w:rsid w:val="00B028A8"/>
    <w:rsid w:val="00B053E6"/>
    <w:rsid w:val="00B103B9"/>
    <w:rsid w:val="00B42784"/>
    <w:rsid w:val="00B51B61"/>
    <w:rsid w:val="00B724BB"/>
    <w:rsid w:val="00BE2A35"/>
    <w:rsid w:val="00BE3554"/>
    <w:rsid w:val="00C129B8"/>
    <w:rsid w:val="00C24461"/>
    <w:rsid w:val="00C2550A"/>
    <w:rsid w:val="00C4699D"/>
    <w:rsid w:val="00CF32AC"/>
    <w:rsid w:val="00D0262E"/>
    <w:rsid w:val="00D24ADF"/>
    <w:rsid w:val="00D26517"/>
    <w:rsid w:val="00D33868"/>
    <w:rsid w:val="00DC55F3"/>
    <w:rsid w:val="00DD5969"/>
    <w:rsid w:val="00E10797"/>
    <w:rsid w:val="00E12EA7"/>
    <w:rsid w:val="00E14D67"/>
    <w:rsid w:val="00E243A8"/>
    <w:rsid w:val="00E6747C"/>
    <w:rsid w:val="00EA0B9A"/>
    <w:rsid w:val="00EA15D1"/>
    <w:rsid w:val="00EA6220"/>
    <w:rsid w:val="00EA7933"/>
    <w:rsid w:val="00EC1771"/>
    <w:rsid w:val="00EC3AD1"/>
    <w:rsid w:val="00F244F1"/>
    <w:rsid w:val="00F4194B"/>
    <w:rsid w:val="00F8089C"/>
    <w:rsid w:val="00F96C0B"/>
    <w:rsid w:val="00FC5EAB"/>
    <w:rsid w:val="00FD6F07"/>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styleId="Bibliography">
    <w:name w:val="Bibliography"/>
    <w:basedOn w:val="Normal"/>
    <w:next w:val="Normal"/>
    <w:uiPriority w:val="37"/>
    <w:unhideWhenUsed/>
    <w:rsid w:val="004734AC"/>
    <w:pPr>
      <w:spacing w:line="259" w:lineRule="auto"/>
    </w:pPr>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Pat16</b:Tag>
    <b:SourceType>JournalArticle</b:SourceType>
    <b:Guid>{E423C06F-BF0C-47D6-9778-E44954E11D66}</b:Guid>
    <b:Title>Exit cards: creating a dialogue for continuous evaluation</b:Title>
    <b:JournalName>Teaching in Higher Education</b:JournalName>
    <b:Year>2016</b:Year>
    <b:Pages>659-668</b:Pages>
    <b:Volume>21</b:Volume>
    <b:Issue>6</b:Issue>
    <b:Author>
      <b:Author>
        <b:NameList>
          <b:Person>
            <b:Last>Patka</b:Last>
            <b:First>Mazna</b:First>
          </b:Person>
          <b:Person>
            <b:Last>Wallin-Ruschman</b:Last>
            <b:First>Jennifer</b:First>
          </b:Person>
          <b:Person>
            <b:Last>Wallace</b:Last>
            <b:First>Tenille</b:First>
          </b:Person>
          <b:Person>
            <b:Last>Robbins</b:Last>
            <b:First>Candice</b:First>
          </b:Person>
        </b:NameList>
      </b:Author>
    </b:Author>
    <b:RefOrder>1</b:RefOrder>
  </b:Source>
  <b:Source>
    <b:Tag>Ele06</b:Tag>
    <b:SourceType>JournalArticle</b:SourceType>
    <b:Guid>{1AE823AC-0302-4482-8995-C82A50BF34E8}</b:Guid>
    <b:Title>Teachers' Conceptions of Teaching, and the Making of Specific Decisions in Planning to Teach</b:Title>
    <b:JournalName>Higher Education</b:JournalName>
    <b:Year>2006</b:Year>
    <b:Pages>191-214</b:Pages>
    <b:Volume>51</b:Volume>
    <b:Author>
      <b:Author>
        <b:NameList>
          <b:Person>
            <b:Last>Eley</b:Last>
            <b:Middle>G</b:Middle>
            <b:First>Malcolm</b:First>
          </b:Person>
        </b:NameList>
      </b:Author>
    </b:Author>
    <b:RefOrder>2</b:RefOrder>
  </b:Source>
  <b:Source>
    <b:Tag>Fur09</b:Tag>
    <b:SourceType>JournalArticle</b:SourceType>
    <b:Guid>{11232DBC-B36A-4B6C-8D80-B583A33F861B}</b:Guid>
    <b:Title>Personality, motivation and job satisfaction: Hertzberg meets the Big Five</b:Title>
    <b:JournalName>Journal of Managerial Psychology</b:JournalName>
    <b:Year>2009</b:Year>
    <b:Pages>765-779</b:Pages>
    <b:Volume>24</b:Volume>
    <b:Issue>8</b:Issue>
    <b:Author>
      <b:Author>
        <b:NameList>
          <b:Person>
            <b:Last>Furnham</b:Last>
            <b:First>Adrian</b:First>
          </b:Person>
          <b:Person>
            <b:Last>Eracleous</b:Last>
            <b:First>Andreas</b:First>
          </b:Person>
          <b:Person>
            <b:Last>Chamorro-Premuzic</b:Last>
            <b:First>Tomas</b:First>
          </b:Person>
        </b:NameList>
      </b:Author>
    </b:Author>
    <b:RefOrder>3</b:RefOrder>
  </b:Source>
  <b:Source>
    <b:Tag>Con05</b:Tag>
    <b:SourceType>JournalArticle</b:SourceType>
    <b:Guid>{1DC465A9-6D74-4CC1-A5CA-15E461D7DB02}</b:Guid>
    <b:Title>A taxonomy for Learning, Teaching, and Assessing: A Revision of Bloom's Taxonomy of Educational Objectives Complete Edition</b:Title>
    <b:JournalName>Educational Horizons</b:JournalName>
    <b:Year>2005</b:Year>
    <b:Pages>154-159</b:Pages>
    <b:Volume>83</b:Volume>
    <b:Issue>3</b:Issue>
    <b:Author>
      <b:Author>
        <b:NameList>
          <b:Person>
            <b:Last>Conklin</b:Last>
            <b:First>Jack</b:First>
          </b:Person>
        </b:NameList>
      </b:Author>
    </b:Author>
    <b:RefOrder>4</b:RefOrder>
  </b:Source>
  <b:Source>
    <b:Tag>Oca25</b:Tag>
    <b:SourceType>JournalArticle</b:SourceType>
    <b:Guid>{179E2674-2BC2-4D69-89CD-3AA517E87212}</b:Guid>
    <b:Title>Nursing student reflections on a research internship: A reflective discussion following the Gibbs' reflective cycle</b:Title>
    <b:JournalName>Nurse Education Today</b:JournalName>
    <b:Year>2025</b:Year>
    <b:Volume>145</b:Volume>
    <b:Author>
      <b:Author>
        <b:NameList>
          <b:Person>
            <b:Last>Ocampo</b:Last>
            <b:Middle>Antoinette</b:Middle>
            <b:First>Francine</b:First>
          </b:Person>
          <b:Person>
            <b:Last>McIntyre</b:Last>
            <b:Middle>Genevieve</b:Middle>
            <b:First>Brianne</b:First>
          </b:Person>
          <b:Person>
            <b:Last>Massey</b:Last>
            <b:First>Debbie</b:First>
          </b:Person>
          <b:Person>
            <b:Last>Saunders</b:Last>
            <b:First>Rosemary</b:First>
          </b:Person>
        </b:NameList>
      </b:Author>
    </b:Author>
    <b:RefOrder>5</b:RefOrder>
  </b:Source>
  <b:Source>
    <b:Tag>Wel23</b:Tag>
    <b:SourceType>Report</b:SourceType>
    <b:Guid>{1C917F48-92BD-4F95-A919-8417E79907AA}</b:Guid>
    <b:Title>Professional standards for further education teachers, work-based learning practictioners and learning practitioners in Wales</b:Title>
    <b:Year>2023</b:Year>
    <b:City>Cardiff</b:City>
    <b:Publisher>Welsh Government</b:Publisher>
    <b:Author>
      <b:Author>
        <b:Corporate>Welsh Government</b:Corporate>
      </b:Author>
    </b:Author>
    <b:RefOrder>6</b:RefOrder>
  </b:Source>
  <b:Source>
    <b:Tag>Avi19</b:Tag>
    <b:SourceType>Book</b:SourceType>
    <b:Guid>{75CC4154-21BB-4E22-9EB6-7F35D30318D7}</b:Guid>
    <b:Title>Teaching in Lifelong Learning 3e A Guide to Theory and Practice</b:Title>
    <b:Year>2019</b:Year>
    <b:City>London</b:City>
    <b:Publisher>Open Univeristy Press</b:Publisher>
    <b:Edition>Third</b:Edition>
    <b:Author>
      <b:Author>
        <b:NameList>
          <b:Person>
            <b:Last>Avis</b:Last>
            <b:First>James</b:First>
          </b:Person>
          <b:Person>
            <b:Last>Fisher</b:Last>
            <b:First>Roy</b:First>
          </b:Person>
          <b:Person>
            <b:Last>Thompson</b:Last>
            <b:First>Ron</b:First>
          </b:Person>
        </b:NameList>
      </b:Author>
    </b:Author>
    <b:RefOrder>7</b:RefOrder>
  </b:Source>
  <b:Source>
    <b:Tag>Cur07</b:Tag>
    <b:SourceType>Book</b:SourceType>
    <b:Guid>{07E58DD5-3750-4B68-973B-68EC14E4ED9A}</b:Guid>
    <b:Title>Teaching in Further Education</b:Title>
    <b:Year>2007</b:Year>
    <b:City>London</b:City>
    <b:Publisher>Continuum</b:Publisher>
    <b:Edition>Sixth</b:Edition>
    <b:Author>
      <b:Author>
        <b:NameList>
          <b:Person>
            <b:Last>Curzon</b:Last>
            <b:Middle>B</b:Middle>
            <b:First>L</b:First>
          </b:Person>
        </b:NameList>
      </b:Author>
    </b:Author>
    <b:RefOrder>8</b:RefOrder>
  </b:Source>
  <b:Source>
    <b:Tag>Fal23</b:Tag>
    <b:SourceType>JournalArticle</b:SourceType>
    <b:Guid>{CD63462B-AD96-4C68-AF1E-77EAC003281C}</b:Guid>
    <b:Title>The Long Origins of the Visual, Auditory, and Kinesthetic Learning Style Typology, 1921-2001</b:Title>
    <b:JournalName>History of Psychology</b:JournalName>
    <b:Year>2023</b:Year>
    <b:Pages>334-354</b:Pages>
    <b:Volume>26</b:Volume>
    <b:Issue>4</b:Issue>
    <b:Author>
      <b:Author>
        <b:NameList>
          <b:Person>
            <b:Last>Fallace</b:Last>
            <b:First>Thomas</b:First>
          </b:Person>
        </b:NameList>
      </b:Author>
    </b:Author>
    <b:RefOrder>9</b:RefOrder>
  </b:Source>
  <b:Source>
    <b:Tag>Has23</b:Tag>
    <b:SourceType>JournalArticle</b:SourceType>
    <b:Guid>{562988BE-5D0E-453C-98B6-C527DE0F5DD4}</b:Guid>
    <b:Author>
      <b:Author>
        <b:NameList>
          <b:Person>
            <b:Last>Hashim</b:Last>
            <b:Middle>Noor Aneeis</b:Middle>
            <b:First>Siti</b:First>
          </b:Person>
          <b:Person>
            <b:Last>Yaacob</b:Last>
            <b:First>Aizan</b:First>
          </b:Person>
          <b:Person>
            <b:Last>Suryani</b:Last>
            <b:First>Ina</b:First>
          </b:Person>
          <b:Person>
            <b:Last>Asraf</b:Last>
            <b:Middle>Mohd</b:Middle>
            <b:First>Ratnawati</b:First>
          </b:Person>
          <b:Person>
            <b:Last>Bahador</b:Last>
            <b:First>Zolkefli</b:First>
          </b:Person>
          <b:Person>
            <b:Last>Supian</b:Last>
            <b:First>Nadya</b:First>
          </b:Person>
        </b:NameList>
      </b:Author>
    </b:Author>
    <b:Title>Exploring the Use of Gibbs' Reflective Model in Enhancing In-Service ESL Teachers' Reflective Writing</b:Title>
    <b:JournalName>Arab World English Journal</b:JournalName>
    <b:Year>2023</b:Year>
    <b:Pages>236-253</b:Pages>
    <b:Volume>14</b:Volume>
    <b:Issue>2</b:Issue>
    <b:RefOrder>10</b:RefOrder>
  </b:Source>
  <b:Source>
    <b:Tag>Has231</b:Tag>
    <b:SourceType>JournalArticle</b:SourceType>
    <b:Guid>{AF7CA672-B606-46C1-9C26-BDA0EEE7F218}</b:Guid>
    <b:Title>Using Gibbs' Reflective Model to Develop the Faculty of Science Students' EFL Reflective Writing and Met Linguistic Awareness</b:Title>
    <b:JournalName>DOAJ</b:JournalName>
    <b:Year>2023</b:Year>
    <b:Pages>143-165</b:Pages>
    <b:Volume>38</b:Volume>
    <b:Issue>130</b:Issue>
    <b:Author>
      <b:Author>
        <b:NameList>
          <b:Person>
            <b:Last>Hassan</b:Last>
            <b:Middle>Hassan Ibrahim</b:Middle>
            <b:First>Mohamed</b:First>
          </b:Person>
        </b:NameList>
      </b:Author>
    </b:Author>
    <b:RefOrder>11</b:RefOrder>
  </b:Source>
  <b:Source>
    <b:Tag>Ree07</b:Tag>
    <b:SourceType>Book</b:SourceType>
    <b:Guid>{265E8725-51B1-453C-9875-652C33F86C1A}</b:Guid>
    <b:Title>Teaching, Training &amp; Learning</b:Title>
    <b:Year>2007</b:Year>
    <b:Author>
      <b:Author>
        <b:NameList>
          <b:Person>
            <b:Last>Reece</b:Last>
            <b:First>Ian</b:First>
          </b:Person>
          <b:Person>
            <b:Last>Walker</b:Last>
            <b:First>Stephen</b:First>
          </b:Person>
        </b:NameList>
      </b:Author>
    </b:Author>
    <b:City>Tyne and Wear</b:City>
    <b:Publisher>Business Education Publisher Limited</b:Publisher>
    <b:Edition>sixth revised</b:Edition>
    <b:RefOrder>12</b:RefOrder>
  </b:Source>
</b:Sources>
</file>

<file path=customXml/itemProps1.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2.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A6D1E0-465A-4B7A-9DE2-94A0616D5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1972</Words>
  <Characters>11241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Katie Morrin (1704525)</cp:lastModifiedBy>
  <cp:revision>2</cp:revision>
  <dcterms:created xsi:type="dcterms:W3CDTF">2026-10-07T12:35:00Z</dcterms:created>
  <dcterms:modified xsi:type="dcterms:W3CDTF">2026-10-07T12:35:00Z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