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2E180" w14:textId="77777777" w:rsidR="00C80093" w:rsidRDefault="00C80093" w:rsidP="00C80093">
      <w:pPr>
        <w:spacing w:line="360" w:lineRule="auto"/>
        <w:ind w:left="426"/>
        <w:jc w:val="both"/>
        <w:rPr>
          <w:rFonts w:asciiTheme="minorBidi" w:hAnsiTheme="minorBidi" w:cstheme="minorBidi"/>
          <w:b/>
          <w:sz w:val="22"/>
          <w:szCs w:val="22"/>
        </w:rPr>
      </w:pPr>
    </w:p>
    <w:p w14:paraId="5EE09BED" w14:textId="77777777" w:rsidR="00C80093" w:rsidRDefault="00C80093" w:rsidP="00C80093">
      <w:pPr>
        <w:spacing w:line="360" w:lineRule="auto"/>
        <w:ind w:left="426"/>
        <w:jc w:val="both"/>
        <w:rPr>
          <w:rFonts w:asciiTheme="minorBidi" w:hAnsiTheme="minorBidi" w:cstheme="minorBidi"/>
          <w:b/>
          <w:sz w:val="22"/>
          <w:szCs w:val="22"/>
        </w:rPr>
      </w:pPr>
    </w:p>
    <w:p w14:paraId="1F4805A3" w14:textId="77777777" w:rsidR="00C80093" w:rsidRDefault="00C80093" w:rsidP="00C80093">
      <w:pPr>
        <w:spacing w:line="360" w:lineRule="auto"/>
        <w:ind w:left="426"/>
        <w:jc w:val="both"/>
        <w:rPr>
          <w:rFonts w:asciiTheme="minorBidi" w:hAnsiTheme="minorBidi" w:cstheme="minorBidi"/>
          <w:b/>
          <w:sz w:val="22"/>
          <w:szCs w:val="22"/>
        </w:rPr>
      </w:pPr>
    </w:p>
    <w:p w14:paraId="7B59A7D6" w14:textId="4B21DFFA" w:rsidR="00C80093" w:rsidRDefault="00C80093" w:rsidP="00C80093">
      <w:pPr>
        <w:spacing w:line="360" w:lineRule="auto"/>
        <w:ind w:left="426"/>
        <w:jc w:val="both"/>
        <w:rPr>
          <w:rFonts w:asciiTheme="minorBidi" w:hAnsiTheme="minorBidi" w:cstheme="minorBidi"/>
          <w:b/>
          <w:sz w:val="22"/>
          <w:szCs w:val="22"/>
        </w:rPr>
      </w:pPr>
    </w:p>
    <w:p w14:paraId="55DE5CAD" w14:textId="77777777" w:rsidR="00C80093" w:rsidRDefault="00C80093" w:rsidP="00C80093">
      <w:pPr>
        <w:spacing w:line="360" w:lineRule="auto"/>
        <w:ind w:left="426"/>
        <w:jc w:val="both"/>
        <w:rPr>
          <w:rFonts w:asciiTheme="minorBidi" w:hAnsiTheme="minorBidi" w:cstheme="minorBidi"/>
          <w:b/>
          <w:sz w:val="22"/>
          <w:szCs w:val="22"/>
        </w:rPr>
      </w:pPr>
    </w:p>
    <w:p w14:paraId="74540DE6" w14:textId="77777777" w:rsidR="00C80093" w:rsidRDefault="00C80093" w:rsidP="00C80093">
      <w:pPr>
        <w:spacing w:line="360" w:lineRule="auto"/>
        <w:ind w:left="426"/>
        <w:jc w:val="both"/>
        <w:rPr>
          <w:rFonts w:asciiTheme="minorBidi" w:hAnsiTheme="minorBidi" w:cstheme="minorBidi"/>
          <w:b/>
          <w:sz w:val="22"/>
          <w:szCs w:val="22"/>
        </w:rPr>
      </w:pPr>
    </w:p>
    <w:p w14:paraId="1B5EEE9C" w14:textId="77777777" w:rsidR="00C80093" w:rsidRDefault="00C80093" w:rsidP="00C80093">
      <w:pPr>
        <w:spacing w:line="360" w:lineRule="auto"/>
        <w:ind w:left="426"/>
        <w:jc w:val="both"/>
        <w:rPr>
          <w:rFonts w:asciiTheme="minorBidi" w:hAnsiTheme="minorBidi" w:cstheme="minorBidi"/>
          <w:b/>
          <w:sz w:val="22"/>
          <w:szCs w:val="22"/>
        </w:rPr>
      </w:pPr>
    </w:p>
    <w:p w14:paraId="77E03FEA" w14:textId="77777777" w:rsidR="00C80093" w:rsidRDefault="00C80093" w:rsidP="00C80093">
      <w:pPr>
        <w:spacing w:line="360" w:lineRule="auto"/>
        <w:ind w:left="426"/>
        <w:jc w:val="both"/>
        <w:rPr>
          <w:rFonts w:asciiTheme="minorBidi" w:hAnsiTheme="minorBidi" w:cstheme="minorBidi"/>
          <w:b/>
          <w:sz w:val="22"/>
          <w:szCs w:val="22"/>
        </w:rPr>
      </w:pPr>
    </w:p>
    <w:p w14:paraId="49051710" w14:textId="77777777" w:rsidR="00C80093" w:rsidRDefault="00C80093" w:rsidP="00C80093">
      <w:pPr>
        <w:spacing w:line="360" w:lineRule="auto"/>
        <w:ind w:left="426"/>
        <w:jc w:val="both"/>
        <w:rPr>
          <w:rFonts w:asciiTheme="minorBidi" w:hAnsiTheme="minorBidi" w:cstheme="minorBidi"/>
          <w:b/>
          <w:sz w:val="22"/>
          <w:szCs w:val="22"/>
        </w:rPr>
      </w:pPr>
    </w:p>
    <w:p w14:paraId="0B8F987F" w14:textId="77777777" w:rsidR="00C80093" w:rsidRDefault="00C80093" w:rsidP="00C80093">
      <w:pPr>
        <w:spacing w:line="360" w:lineRule="auto"/>
        <w:ind w:left="426"/>
        <w:jc w:val="both"/>
        <w:rPr>
          <w:rFonts w:asciiTheme="minorBidi" w:hAnsiTheme="minorBidi" w:cstheme="minorBidi"/>
          <w:b/>
          <w:sz w:val="22"/>
          <w:szCs w:val="22"/>
        </w:rPr>
      </w:pPr>
    </w:p>
    <w:p w14:paraId="7137DF07" w14:textId="77777777" w:rsidR="00C80093" w:rsidRDefault="00C80093" w:rsidP="00C80093">
      <w:pPr>
        <w:spacing w:line="360" w:lineRule="auto"/>
        <w:ind w:left="426"/>
        <w:jc w:val="both"/>
        <w:rPr>
          <w:rFonts w:asciiTheme="minorBidi" w:hAnsiTheme="minorBidi" w:cstheme="minorBidi"/>
          <w:b/>
          <w:sz w:val="22"/>
          <w:szCs w:val="22"/>
        </w:rPr>
      </w:pPr>
    </w:p>
    <w:p w14:paraId="74443B11" w14:textId="77777777" w:rsidR="00C80093" w:rsidRDefault="00C80093" w:rsidP="00C80093">
      <w:pPr>
        <w:spacing w:line="360" w:lineRule="auto"/>
        <w:ind w:left="426"/>
        <w:jc w:val="both"/>
        <w:rPr>
          <w:rFonts w:asciiTheme="minorBidi" w:hAnsiTheme="minorBidi" w:cstheme="minorBidi"/>
          <w:b/>
          <w:sz w:val="22"/>
          <w:szCs w:val="22"/>
        </w:rPr>
      </w:pPr>
    </w:p>
    <w:p w14:paraId="2D465E79" w14:textId="77777777" w:rsidR="00C80093" w:rsidRDefault="00C80093" w:rsidP="00C80093">
      <w:pPr>
        <w:spacing w:before="120" w:after="120"/>
        <w:jc w:val="center"/>
        <w:rPr>
          <w:rFonts w:asciiTheme="minorBidi" w:hAnsiTheme="minorBidi" w:cstheme="minorBidi"/>
          <w:b/>
          <w:sz w:val="22"/>
          <w:szCs w:val="22"/>
        </w:rPr>
      </w:pPr>
    </w:p>
    <w:p w14:paraId="573A0303" w14:textId="1EDA06DF" w:rsidR="00C80093" w:rsidRDefault="00C80093" w:rsidP="00C80093">
      <w:pPr>
        <w:spacing w:before="120" w:after="120"/>
        <w:jc w:val="center"/>
        <w:rPr>
          <w:rFonts w:ascii="Arial" w:hAnsi="Arial" w:cs="Arial"/>
          <w:b/>
        </w:rPr>
      </w:pPr>
      <w:r w:rsidRPr="00537E20">
        <w:rPr>
          <w:rFonts w:ascii="Arial" w:hAnsi="Arial" w:cs="Arial"/>
          <w:b/>
        </w:rPr>
        <w:t>Certificate of Higher Education Skills for the Workplace (Health &amp; Social Care)</w:t>
      </w:r>
    </w:p>
    <w:p w14:paraId="67927E27" w14:textId="77777777" w:rsidR="00C80093" w:rsidRDefault="00C80093" w:rsidP="00C80093">
      <w:pPr>
        <w:spacing w:before="120" w:after="120"/>
        <w:jc w:val="center"/>
        <w:rPr>
          <w:rFonts w:ascii="Arial" w:hAnsi="Arial" w:cs="Arial"/>
          <w:b/>
        </w:rPr>
      </w:pPr>
      <w:r>
        <w:rPr>
          <w:rFonts w:ascii="Arial" w:hAnsi="Arial" w:cs="Arial"/>
          <w:b/>
        </w:rPr>
        <w:t>PORTFOLIO-TWO TASKS</w:t>
      </w:r>
    </w:p>
    <w:p w14:paraId="79FE85DE" w14:textId="77777777" w:rsidR="00C80093" w:rsidRDefault="00C80093" w:rsidP="00C80093">
      <w:pPr>
        <w:spacing w:before="120" w:after="120"/>
        <w:jc w:val="center"/>
        <w:rPr>
          <w:rFonts w:ascii="Arial" w:hAnsi="Arial" w:cs="Arial"/>
          <w:b/>
        </w:rPr>
      </w:pPr>
      <w:r>
        <w:rPr>
          <w:rFonts w:ascii="Arial" w:hAnsi="Arial" w:cs="Arial"/>
          <w:b/>
        </w:rPr>
        <w:t>Module: Introduction to Health and Social Care</w:t>
      </w:r>
    </w:p>
    <w:p w14:paraId="34627E79" w14:textId="77777777" w:rsidR="00C80093" w:rsidRDefault="00C80093" w:rsidP="00C80093">
      <w:pPr>
        <w:spacing w:before="120" w:after="120"/>
        <w:jc w:val="center"/>
        <w:rPr>
          <w:rFonts w:ascii="Arial" w:hAnsi="Arial" w:cs="Arial"/>
          <w:b/>
        </w:rPr>
      </w:pPr>
      <w:r>
        <w:rPr>
          <w:rFonts w:ascii="Arial" w:hAnsi="Arial" w:cs="Arial"/>
          <w:b/>
        </w:rPr>
        <w:t>Module code: LCHS4003</w:t>
      </w:r>
    </w:p>
    <w:p w14:paraId="419AC64B" w14:textId="77777777" w:rsidR="00C80093" w:rsidRDefault="00C80093" w:rsidP="00C80093">
      <w:pPr>
        <w:spacing w:before="120" w:after="120"/>
        <w:jc w:val="center"/>
        <w:rPr>
          <w:rFonts w:ascii="Arial" w:hAnsi="Arial" w:cs="Arial"/>
          <w:b/>
        </w:rPr>
      </w:pPr>
      <w:r>
        <w:rPr>
          <w:rFonts w:ascii="Arial" w:hAnsi="Arial" w:cs="Arial"/>
          <w:b/>
        </w:rPr>
        <w:t>Fahtima Iyaiz</w:t>
      </w:r>
    </w:p>
    <w:p w14:paraId="69B5F905" w14:textId="0355D7FC" w:rsidR="00C80093" w:rsidRDefault="00C80093" w:rsidP="00C80093">
      <w:pPr>
        <w:tabs>
          <w:tab w:val="center" w:pos="4693"/>
          <w:tab w:val="left" w:pos="6784"/>
        </w:tabs>
        <w:spacing w:before="120" w:after="120"/>
        <w:rPr>
          <w:rFonts w:ascii="Arial" w:hAnsi="Arial" w:cs="Arial"/>
          <w:b/>
        </w:rPr>
      </w:pPr>
      <w:r>
        <w:rPr>
          <w:rFonts w:ascii="Arial" w:hAnsi="Arial" w:cs="Arial"/>
          <w:b/>
        </w:rPr>
        <w:tab/>
      </w:r>
      <w:r w:rsidR="00C456E7">
        <w:rPr>
          <w:rFonts w:ascii="Arial" w:hAnsi="Arial" w:cs="Arial"/>
          <w:b/>
        </w:rPr>
        <w:t xml:space="preserve">                    </w:t>
      </w:r>
      <w:r>
        <w:rPr>
          <w:rFonts w:ascii="Arial" w:hAnsi="Arial" w:cs="Arial"/>
          <w:b/>
        </w:rPr>
        <w:t>Student number: 2319515</w:t>
      </w:r>
      <w:r>
        <w:rPr>
          <w:rFonts w:ascii="Arial" w:hAnsi="Arial" w:cs="Arial"/>
          <w:b/>
        </w:rPr>
        <w:tab/>
      </w:r>
    </w:p>
    <w:p w14:paraId="051F237D" w14:textId="77777777" w:rsidR="00C80093" w:rsidRDefault="00C80093" w:rsidP="00C80093"/>
    <w:p w14:paraId="16A130C1" w14:textId="77777777" w:rsidR="00C80093" w:rsidRDefault="00C80093" w:rsidP="00C80093"/>
    <w:p w14:paraId="40D81462" w14:textId="77777777" w:rsidR="00C80093" w:rsidRDefault="00C80093" w:rsidP="00C80093"/>
    <w:p w14:paraId="26D9A965" w14:textId="77777777" w:rsidR="00C80093" w:rsidRDefault="00C80093" w:rsidP="00C80093">
      <w:pPr>
        <w:spacing w:line="360" w:lineRule="auto"/>
        <w:ind w:left="426"/>
        <w:jc w:val="both"/>
        <w:rPr>
          <w:rFonts w:asciiTheme="minorBidi" w:hAnsiTheme="minorBidi" w:cstheme="minorBidi"/>
          <w:b/>
          <w:sz w:val="22"/>
          <w:szCs w:val="22"/>
        </w:rPr>
      </w:pPr>
    </w:p>
    <w:p w14:paraId="60200C79" w14:textId="77777777" w:rsidR="00C80093" w:rsidRDefault="00C80093" w:rsidP="00C80093">
      <w:pPr>
        <w:spacing w:line="360" w:lineRule="auto"/>
        <w:ind w:left="426"/>
        <w:jc w:val="both"/>
        <w:rPr>
          <w:rFonts w:asciiTheme="minorBidi" w:hAnsiTheme="minorBidi" w:cstheme="minorBidi"/>
          <w:b/>
          <w:sz w:val="22"/>
          <w:szCs w:val="22"/>
        </w:rPr>
      </w:pPr>
    </w:p>
    <w:p w14:paraId="25971491" w14:textId="77777777" w:rsidR="00C80093" w:rsidRDefault="00C80093" w:rsidP="00C80093">
      <w:pPr>
        <w:spacing w:line="360" w:lineRule="auto"/>
        <w:ind w:left="426"/>
        <w:jc w:val="both"/>
        <w:rPr>
          <w:rFonts w:asciiTheme="minorBidi" w:hAnsiTheme="minorBidi" w:cstheme="minorBidi"/>
          <w:b/>
          <w:sz w:val="22"/>
          <w:szCs w:val="22"/>
        </w:rPr>
      </w:pPr>
    </w:p>
    <w:p w14:paraId="0F2E129B" w14:textId="77777777" w:rsidR="00C80093" w:rsidRDefault="00C80093" w:rsidP="00C80093">
      <w:pPr>
        <w:spacing w:line="360" w:lineRule="auto"/>
        <w:ind w:left="426"/>
        <w:jc w:val="both"/>
        <w:rPr>
          <w:rFonts w:asciiTheme="minorBidi" w:hAnsiTheme="minorBidi" w:cstheme="minorBidi"/>
          <w:b/>
          <w:sz w:val="22"/>
          <w:szCs w:val="22"/>
        </w:rPr>
      </w:pPr>
    </w:p>
    <w:p w14:paraId="2B0CB279" w14:textId="77777777" w:rsidR="00C80093" w:rsidRDefault="00C80093" w:rsidP="00C80093">
      <w:pPr>
        <w:spacing w:line="360" w:lineRule="auto"/>
        <w:ind w:left="426"/>
        <w:jc w:val="both"/>
        <w:rPr>
          <w:rFonts w:asciiTheme="minorBidi" w:hAnsiTheme="minorBidi" w:cstheme="minorBidi"/>
          <w:b/>
          <w:sz w:val="22"/>
          <w:szCs w:val="22"/>
        </w:rPr>
      </w:pPr>
    </w:p>
    <w:p w14:paraId="094F91F1" w14:textId="77777777" w:rsidR="00C80093" w:rsidRDefault="00C80093" w:rsidP="00C80093">
      <w:pPr>
        <w:spacing w:line="360" w:lineRule="auto"/>
        <w:ind w:left="426"/>
        <w:jc w:val="both"/>
        <w:rPr>
          <w:rFonts w:asciiTheme="minorBidi" w:hAnsiTheme="minorBidi" w:cstheme="minorBidi"/>
          <w:b/>
          <w:sz w:val="22"/>
          <w:szCs w:val="22"/>
        </w:rPr>
      </w:pPr>
    </w:p>
    <w:p w14:paraId="752DBD0B" w14:textId="77777777" w:rsidR="00C80093" w:rsidRDefault="00C80093" w:rsidP="00C80093">
      <w:pPr>
        <w:spacing w:line="360" w:lineRule="auto"/>
        <w:ind w:left="426"/>
        <w:jc w:val="both"/>
        <w:rPr>
          <w:rFonts w:asciiTheme="minorBidi" w:hAnsiTheme="minorBidi" w:cstheme="minorBidi"/>
          <w:b/>
          <w:sz w:val="22"/>
          <w:szCs w:val="22"/>
        </w:rPr>
      </w:pPr>
    </w:p>
    <w:p w14:paraId="624402E1" w14:textId="77777777" w:rsidR="00C80093" w:rsidRDefault="00C80093" w:rsidP="00C80093">
      <w:pPr>
        <w:spacing w:line="360" w:lineRule="auto"/>
        <w:ind w:left="426"/>
        <w:jc w:val="both"/>
        <w:rPr>
          <w:rFonts w:asciiTheme="minorBidi" w:hAnsiTheme="minorBidi" w:cstheme="minorBidi"/>
          <w:b/>
          <w:sz w:val="22"/>
          <w:szCs w:val="22"/>
        </w:rPr>
      </w:pPr>
    </w:p>
    <w:p w14:paraId="41FCE136" w14:textId="77777777" w:rsidR="00C80093" w:rsidRDefault="00C80093" w:rsidP="00C80093">
      <w:pPr>
        <w:spacing w:line="360" w:lineRule="auto"/>
        <w:ind w:left="426"/>
        <w:jc w:val="both"/>
        <w:rPr>
          <w:rFonts w:asciiTheme="minorBidi" w:hAnsiTheme="minorBidi" w:cstheme="minorBidi"/>
          <w:b/>
          <w:sz w:val="22"/>
          <w:szCs w:val="22"/>
        </w:rPr>
      </w:pPr>
    </w:p>
    <w:p w14:paraId="6C802350" w14:textId="77777777" w:rsidR="00C80093" w:rsidRDefault="00C80093" w:rsidP="00C80093">
      <w:pPr>
        <w:spacing w:line="360" w:lineRule="auto"/>
        <w:ind w:left="426"/>
        <w:jc w:val="both"/>
        <w:rPr>
          <w:rFonts w:asciiTheme="minorBidi" w:hAnsiTheme="minorBidi" w:cstheme="minorBidi"/>
          <w:b/>
          <w:sz w:val="22"/>
          <w:szCs w:val="22"/>
        </w:rPr>
      </w:pPr>
    </w:p>
    <w:p w14:paraId="0F84ADF4" w14:textId="77777777" w:rsidR="00C80093" w:rsidRDefault="00C80093" w:rsidP="00C80093">
      <w:pPr>
        <w:spacing w:line="360" w:lineRule="auto"/>
        <w:ind w:left="426"/>
        <w:jc w:val="both"/>
        <w:rPr>
          <w:rFonts w:asciiTheme="minorBidi" w:hAnsiTheme="minorBidi" w:cstheme="minorBidi"/>
          <w:b/>
          <w:sz w:val="22"/>
          <w:szCs w:val="22"/>
        </w:rPr>
      </w:pPr>
    </w:p>
    <w:p w14:paraId="04411F10" w14:textId="77777777" w:rsidR="00C80093" w:rsidRDefault="00C80093" w:rsidP="00C80093">
      <w:pPr>
        <w:spacing w:line="360" w:lineRule="auto"/>
        <w:ind w:left="426"/>
        <w:jc w:val="both"/>
        <w:rPr>
          <w:rFonts w:asciiTheme="minorBidi" w:hAnsiTheme="minorBidi" w:cstheme="minorBidi"/>
          <w:b/>
          <w:sz w:val="22"/>
          <w:szCs w:val="22"/>
        </w:rPr>
      </w:pPr>
    </w:p>
    <w:p w14:paraId="392056A0" w14:textId="77777777" w:rsidR="00C80093" w:rsidRDefault="00C80093" w:rsidP="00C80093">
      <w:pPr>
        <w:spacing w:line="360" w:lineRule="auto"/>
        <w:ind w:left="426"/>
        <w:jc w:val="both"/>
        <w:rPr>
          <w:rFonts w:asciiTheme="minorBidi" w:hAnsiTheme="minorBidi" w:cstheme="minorBidi"/>
          <w:b/>
          <w:sz w:val="22"/>
          <w:szCs w:val="22"/>
        </w:rPr>
      </w:pPr>
    </w:p>
    <w:p w14:paraId="5116D5CD" w14:textId="77777777" w:rsidR="00C80093" w:rsidRDefault="00C80093" w:rsidP="00C80093">
      <w:pPr>
        <w:spacing w:line="360" w:lineRule="auto"/>
        <w:ind w:left="426"/>
        <w:jc w:val="both"/>
        <w:rPr>
          <w:rFonts w:asciiTheme="minorBidi" w:hAnsiTheme="minorBidi" w:cstheme="minorBidi"/>
          <w:b/>
          <w:sz w:val="22"/>
          <w:szCs w:val="22"/>
        </w:rPr>
      </w:pPr>
    </w:p>
    <w:p w14:paraId="635C8F02" w14:textId="77777777" w:rsidR="00C80093" w:rsidRDefault="00C80093" w:rsidP="00C80093">
      <w:pPr>
        <w:spacing w:line="360" w:lineRule="auto"/>
        <w:ind w:left="426"/>
        <w:jc w:val="both"/>
        <w:rPr>
          <w:rFonts w:asciiTheme="minorBidi" w:hAnsiTheme="minorBidi" w:cstheme="minorBidi"/>
          <w:b/>
          <w:sz w:val="22"/>
          <w:szCs w:val="22"/>
        </w:rPr>
      </w:pPr>
    </w:p>
    <w:p w14:paraId="0148BA28" w14:textId="77777777" w:rsidR="00C456E7" w:rsidRDefault="00C456E7" w:rsidP="00C80093">
      <w:pPr>
        <w:spacing w:line="360" w:lineRule="auto"/>
        <w:ind w:left="426"/>
        <w:jc w:val="both"/>
        <w:rPr>
          <w:rFonts w:asciiTheme="minorBidi" w:hAnsiTheme="minorBidi" w:cstheme="minorBidi"/>
          <w:b/>
          <w:sz w:val="22"/>
          <w:szCs w:val="22"/>
        </w:rPr>
      </w:pPr>
    </w:p>
    <w:p w14:paraId="3125AD19" w14:textId="77777777" w:rsidR="00C456E7" w:rsidRDefault="00C456E7" w:rsidP="00C80093">
      <w:pPr>
        <w:spacing w:line="360" w:lineRule="auto"/>
        <w:ind w:left="426"/>
        <w:jc w:val="both"/>
        <w:rPr>
          <w:rFonts w:asciiTheme="minorBidi" w:hAnsiTheme="minorBidi" w:cstheme="minorBidi"/>
          <w:b/>
          <w:sz w:val="22"/>
          <w:szCs w:val="22"/>
        </w:rPr>
      </w:pPr>
    </w:p>
    <w:p w14:paraId="6068C42A" w14:textId="77777777" w:rsidR="00C456E7" w:rsidRDefault="00C456E7" w:rsidP="00C80093">
      <w:pPr>
        <w:spacing w:line="360" w:lineRule="auto"/>
        <w:ind w:left="426"/>
        <w:jc w:val="both"/>
        <w:rPr>
          <w:rFonts w:asciiTheme="minorBidi" w:hAnsiTheme="minorBidi" w:cstheme="minorBidi"/>
          <w:b/>
          <w:sz w:val="22"/>
          <w:szCs w:val="22"/>
        </w:rPr>
      </w:pPr>
    </w:p>
    <w:p w14:paraId="11F7090C" w14:textId="77777777" w:rsidR="00C456E7" w:rsidRDefault="00C456E7" w:rsidP="00C80093">
      <w:pPr>
        <w:spacing w:line="360" w:lineRule="auto"/>
        <w:ind w:left="426"/>
        <w:jc w:val="both"/>
        <w:rPr>
          <w:rFonts w:asciiTheme="minorBidi" w:hAnsiTheme="minorBidi" w:cstheme="minorBidi"/>
          <w:b/>
          <w:sz w:val="22"/>
          <w:szCs w:val="22"/>
        </w:rPr>
      </w:pPr>
    </w:p>
    <w:p w14:paraId="61D4CBAB" w14:textId="111E89FE" w:rsidR="00B41E41" w:rsidRPr="00C456E7" w:rsidRDefault="00C456E7" w:rsidP="00C456E7">
      <w:pPr>
        <w:spacing w:line="360" w:lineRule="auto"/>
        <w:ind w:left="113"/>
        <w:jc w:val="both"/>
        <w:rPr>
          <w:rFonts w:asciiTheme="minorBidi" w:hAnsiTheme="minorBidi" w:cstheme="minorBidi"/>
          <w:b/>
          <w:sz w:val="22"/>
          <w:szCs w:val="22"/>
        </w:rPr>
      </w:pPr>
      <w:r w:rsidRPr="00C456E7">
        <w:rPr>
          <w:rFonts w:asciiTheme="minorBidi" w:hAnsiTheme="minorBidi" w:cstheme="minorBidi"/>
          <w:color w:val="000000" w:themeColor="text1"/>
          <w:sz w:val="22"/>
          <w:szCs w:val="22"/>
        </w:rPr>
        <w:lastRenderedPageBreak/>
        <w:drawing>
          <wp:inline distT="0" distB="0" distL="0" distR="0" wp14:anchorId="13B6C024" wp14:editId="64F5F2DA">
            <wp:extent cx="6547757" cy="9665081"/>
            <wp:effectExtent l="0" t="0" r="5715" b="0"/>
            <wp:docPr id="1730140677" name="Picture 1" descr="A screenshot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140677" name="Picture 1" descr="A screenshot of a medical information&#10;&#10;AI-generated content may be incorrect."/>
                    <pic:cNvPicPr/>
                  </pic:nvPicPr>
                  <pic:blipFill>
                    <a:blip r:embed="rId8"/>
                    <a:stretch>
                      <a:fillRect/>
                    </a:stretch>
                  </pic:blipFill>
                  <pic:spPr>
                    <a:xfrm>
                      <a:off x="0" y="0"/>
                      <a:ext cx="6627413" cy="9782661"/>
                    </a:xfrm>
                    <a:prstGeom prst="rect">
                      <a:avLst/>
                    </a:prstGeom>
                  </pic:spPr>
                </pic:pic>
              </a:graphicData>
            </a:graphic>
          </wp:inline>
        </w:drawing>
      </w:r>
      <w:bookmarkStart w:id="0" w:name="OLE_LINK14"/>
      <w:r>
        <w:rPr>
          <w:rFonts w:ascii="Arial" w:eastAsiaTheme="minorHAnsi" w:hAnsi="Arial" w:cs="Arial"/>
          <w:color w:val="000000" w:themeColor="text1"/>
          <w:position w:val="6"/>
          <w:sz w:val="22"/>
          <w:szCs w:val="22"/>
          <w:lang w:eastAsia="en-US"/>
        </w:rPr>
        <w:lastRenderedPageBreak/>
        <w:t>T</w:t>
      </w:r>
      <w:r w:rsidR="00B4725F" w:rsidRPr="00C456E7">
        <w:rPr>
          <w:rFonts w:ascii="Arial" w:eastAsiaTheme="minorHAnsi" w:hAnsi="Arial" w:cs="Arial"/>
          <w:color w:val="000000" w:themeColor="text1"/>
          <w:position w:val="6"/>
          <w:sz w:val="22"/>
          <w:szCs w:val="22"/>
          <w:lang w:eastAsia="en-US"/>
        </w:rPr>
        <w:t>ask 02</w:t>
      </w:r>
    </w:p>
    <w:p w14:paraId="69659C63" w14:textId="77777777" w:rsidR="00B4725F" w:rsidRDefault="00B4725F"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236" w:hanging="237"/>
        <w:rPr>
          <w:rFonts w:ascii="Arial" w:eastAsiaTheme="minorHAnsi" w:hAnsi="Arial" w:cs="Arial"/>
          <w:color w:val="000000" w:themeColor="text1"/>
          <w:position w:val="6"/>
          <w:sz w:val="22"/>
          <w:szCs w:val="22"/>
          <w:lang w:eastAsia="en-US"/>
        </w:rPr>
      </w:pPr>
    </w:p>
    <w:p w14:paraId="67A3CACC" w14:textId="744B1EA7" w:rsidR="00B41E41" w:rsidRDefault="00382363" w:rsidP="00B472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1"/>
        <w:rPr>
          <w:rFonts w:ascii="Helvetica" w:eastAsiaTheme="minorHAnsi" w:hAnsi="Helvetica" w:cs="Helvetica"/>
          <w:sz w:val="24"/>
          <w:szCs w:val="24"/>
          <w:lang w:eastAsia="en-US"/>
          <w14:ligatures w14:val="standardContextual"/>
        </w:rPr>
      </w:pPr>
      <w:r w:rsidRPr="00382363">
        <w:rPr>
          <w:rFonts w:ascii="Arial" w:eastAsiaTheme="minorHAnsi" w:hAnsi="Arial" w:cs="Arial"/>
          <w:color w:val="000000" w:themeColor="text1"/>
          <w:position w:val="6"/>
          <w:sz w:val="22"/>
          <w:szCs w:val="22"/>
          <w:lang w:eastAsia="en-US"/>
        </w:rPr>
        <w:t>Established in 1948, the National Health Service (NHS) finds its roots in earlier societal,</w:t>
      </w:r>
      <w:r w:rsidR="00B4725F">
        <w:rPr>
          <w:rFonts w:ascii="Arial" w:eastAsiaTheme="minorHAnsi" w:hAnsi="Arial" w:cs="Arial"/>
          <w:color w:val="000000" w:themeColor="text1"/>
          <w:position w:val="6"/>
          <w:sz w:val="22"/>
          <w:szCs w:val="22"/>
          <w:lang w:eastAsia="en-US"/>
        </w:rPr>
        <w:t xml:space="preserve"> </w:t>
      </w:r>
      <w:r w:rsidRPr="00382363">
        <w:rPr>
          <w:rFonts w:ascii="Arial" w:eastAsiaTheme="minorHAnsi" w:hAnsi="Arial" w:cs="Arial"/>
          <w:color w:val="000000" w:themeColor="text1"/>
          <w:position w:val="6"/>
          <w:sz w:val="22"/>
          <w:szCs w:val="22"/>
          <w:lang w:eastAsia="en-US"/>
        </w:rPr>
        <w:t xml:space="preserve">political, and economic dynamics within the United Kingdom. Prior to its creation, healthcare services were disjointed and primarily reliant on individuals' financial means, voluntary medical institutions, altruistic contributions, and modest government programs. The beginning of the twentieth century was marked by increasing alarm regarding public health, especially among the </w:t>
      </w:r>
      <w:r w:rsidRPr="00382363">
        <w:rPr>
          <w:rFonts w:ascii="Arial" w:eastAsiaTheme="minorHAnsi" w:hAnsi="Arial" w:cs="Arial"/>
          <w:color w:val="000000" w:themeColor="text1"/>
          <w:position w:val="6"/>
          <w:sz w:val="22"/>
          <w:szCs w:val="22"/>
          <w:lang w:eastAsia="en-US"/>
        </w:rPr>
        <w:t>labouring</w:t>
      </w:r>
      <w:r w:rsidRPr="00382363">
        <w:rPr>
          <w:rFonts w:ascii="Arial" w:eastAsiaTheme="minorHAnsi" w:hAnsi="Arial" w:cs="Arial"/>
          <w:color w:val="000000" w:themeColor="text1"/>
          <w:position w:val="6"/>
          <w:sz w:val="22"/>
          <w:szCs w:val="22"/>
          <w:lang w:eastAsia="en-US"/>
        </w:rPr>
        <w:t xml:space="preserve"> population, whose inadequate health status compromised industrial output, military preparedness, and societal harmony.</w:t>
      </w:r>
      <w:r w:rsidR="00B41E41" w:rsidRPr="00B41E41">
        <w:rPr>
          <w:rFonts w:ascii="Arial" w:eastAsiaTheme="minorHAnsi" w:hAnsi="Arial" w:cs="Arial"/>
          <w:color w:val="151515"/>
          <w:position w:val="6"/>
          <w:sz w:val="22"/>
          <w:szCs w:val="22"/>
          <w:lang w:eastAsia="en-US"/>
          <w14:ligatures w14:val="standardContextual"/>
        </w:rPr>
        <w:t xml:space="preserve"> </w:t>
      </w:r>
      <w:r w:rsidR="00B41E41" w:rsidRPr="00B4725F">
        <w:rPr>
          <w:rFonts w:ascii="Arial" w:eastAsiaTheme="minorHAnsi" w:hAnsi="Arial" w:cs="Arial"/>
          <w:i/>
          <w:iCs/>
          <w:color w:val="151515"/>
          <w:position w:val="6"/>
          <w:sz w:val="22"/>
          <w:szCs w:val="22"/>
          <w:lang w:eastAsia="en-US"/>
          <w14:ligatures w14:val="standardContextual"/>
        </w:rPr>
        <w:t>(Gorsky, 2008; Baggott, 2019)</w:t>
      </w:r>
    </w:p>
    <w:p w14:paraId="25320F66" w14:textId="11A7E63A" w:rsidR="00C80093" w:rsidRPr="00382363" w:rsidRDefault="00C8009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sz w:val="22"/>
          <w:szCs w:val="22"/>
          <w:lang w:eastAsia="en-US"/>
          <w14:ligatures w14:val="standardContextual"/>
        </w:rPr>
      </w:pPr>
    </w:p>
    <w:bookmarkEnd w:id="0"/>
    <w:p w14:paraId="42EB0917" w14:textId="77777777" w:rsidR="00B4725F" w:rsidRDefault="00382363" w:rsidP="00B472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1"/>
        <w:rPr>
          <w:rFonts w:ascii="Helvetica" w:eastAsiaTheme="minorHAnsi" w:hAnsi="Helvetica" w:cs="Helvetica"/>
          <w:sz w:val="24"/>
          <w:szCs w:val="24"/>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t>The pivotal legislation was enacted in 1911 through the National Insurance Act, which mandated obligatory health coverage for specific worker groups, financed through contributions from employees, employers, and governmental sources. Nonetheless, this legislation encompassed only a segment of the population and predominantly addressed primary medical services, excluding hospital care and various demographics such as dependents and unemployed individuals. The inter-war period underscored persistent disparities in healthcare, evidenced by elevated infant mortality rates, prevalent poverty, and inconsistent accessibility to hospital facilities</w:t>
      </w:r>
      <w:r w:rsidRPr="00382363">
        <w:rPr>
          <w:rFonts w:ascii="Arial" w:eastAsiaTheme="minorHAnsi" w:hAnsi="Arial" w:cs="Arial"/>
          <w:color w:val="000000" w:themeColor="text1"/>
          <w:position w:val="6"/>
          <w:sz w:val="22"/>
          <w:szCs w:val="22"/>
          <w:lang w:eastAsia="en-US"/>
          <w14:ligatures w14:val="standardContextual"/>
        </w:rPr>
        <w:t xml:space="preserve">. </w:t>
      </w:r>
      <w:r w:rsidR="00B4725F" w:rsidRPr="00B4725F">
        <w:rPr>
          <w:rFonts w:ascii="Arial" w:eastAsiaTheme="minorHAnsi" w:hAnsi="Arial" w:cs="Arial"/>
          <w:color w:val="151515"/>
          <w:position w:val="6"/>
          <w:sz w:val="22"/>
          <w:szCs w:val="22"/>
          <w:lang w:eastAsia="en-US"/>
          <w14:ligatures w14:val="standardContextual"/>
        </w:rPr>
        <w:t>(Baggott, 2019; Gorsky, 2008)</w:t>
      </w:r>
    </w:p>
    <w:p w14:paraId="205EE164" w14:textId="77777777"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t>The conflict universally influenced global history, reshaping political boundaries, economic systems, and cultural practices worldwide, marking a significant turning point. Its profound consequences prompted nations to reevaluate their policies, fostering new alliances and challenging traditional structures. The war's aftermath saw extensive reconstruction efforts and the emergence of international organizations aimed at ensuring peace and stability, reflecting its pivotal role in shaping modern society.</w:t>
      </w:r>
    </w:p>
    <w:p w14:paraId="0BB47CAE" w14:textId="2EABB28F" w:rsidR="00B4725F" w:rsidRDefault="00382363" w:rsidP="00B472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1"/>
        <w:rPr>
          <w:rFonts w:ascii="Helvetica" w:eastAsiaTheme="minorHAnsi" w:hAnsi="Helvetica" w:cs="Helvetica"/>
          <w:sz w:val="24"/>
          <w:szCs w:val="24"/>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t>Aneurin Bevan, who served as Minister of Health during the post-war Labour administration, played a pivotal role in transforming these concepts into tangible policy. The 1946 National Health Service Act established the foundation for the NHS, grounded in three fundamental principles: universality (accessible to every resident), comprehensiveness (encompassing a broad spectrum of services, including general practice, hospital, and community care), and gratuity at the point of entry (financed through nationwide taxation rather than direct fees). These tenets embodied larger commitments to social citizenship, equal opportunity, and shared responsibility in response to the sacrifices made during wartime.</w:t>
      </w:r>
      <w:r w:rsidR="00B4725F" w:rsidRPr="00B4725F">
        <w:rPr>
          <w:rFonts w:ascii="Inter-Regular" w:eastAsiaTheme="minorHAnsi" w:hAnsi="Inter-Regular" w:cs="Inter-Regular"/>
          <w:color w:val="151515"/>
          <w:position w:val="6"/>
          <w:sz w:val="28"/>
          <w:szCs w:val="28"/>
          <w:lang w:eastAsia="en-US"/>
          <w14:ligatures w14:val="standardContextual"/>
        </w:rPr>
        <w:t xml:space="preserve"> </w:t>
      </w:r>
      <w:r w:rsidR="00B4725F" w:rsidRPr="00B4725F">
        <w:rPr>
          <w:rFonts w:ascii="Arial" w:eastAsiaTheme="minorHAnsi" w:hAnsi="Arial" w:cs="Arial"/>
          <w:color w:val="151515"/>
          <w:position w:val="6"/>
          <w:sz w:val="22"/>
          <w:szCs w:val="22"/>
          <w:lang w:eastAsia="en-US"/>
          <w14:ligatures w14:val="standardContextual"/>
        </w:rPr>
        <w:t>(Gorsky, 2008; Baggott, 2019; NHS England, 2023)</w:t>
      </w:r>
    </w:p>
    <w:p w14:paraId="52EE20D3" w14:textId="261FD7EF"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p>
    <w:p w14:paraId="463BAC45" w14:textId="6C762F3F"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lastRenderedPageBreak/>
        <w:t xml:space="preserve">The National Health Service initially merged formerly autonomous charitable and municipal medical </w:t>
      </w:r>
      <w:proofErr w:type="spellStart"/>
      <w:r w:rsidRPr="00382363">
        <w:rPr>
          <w:rFonts w:ascii="Arial" w:eastAsiaTheme="minorHAnsi" w:hAnsi="Arial" w:cs="Arial"/>
          <w:color w:val="000000" w:themeColor="text1"/>
          <w:position w:val="6"/>
          <w:sz w:val="22"/>
          <w:szCs w:val="22"/>
          <w:lang w:eastAsia="en-US"/>
          <w14:ligatures w14:val="standardContextual"/>
        </w:rPr>
        <w:t>centers</w:t>
      </w:r>
      <w:proofErr w:type="spellEnd"/>
      <w:r w:rsidRPr="00382363">
        <w:rPr>
          <w:rFonts w:ascii="Arial" w:eastAsiaTheme="minorHAnsi" w:hAnsi="Arial" w:cs="Arial"/>
          <w:color w:val="000000" w:themeColor="text1"/>
          <w:position w:val="6"/>
          <w:sz w:val="22"/>
          <w:szCs w:val="22"/>
          <w:lang w:eastAsia="en-US"/>
          <w14:ligatures w14:val="standardContextual"/>
        </w:rPr>
        <w:t xml:space="preserve"> under government control, while primary care physicians (GPs) continued operating as independent agents of the state. Over subsequent years, the organization evolved into a national emblem representing social unity. Nonetheless, disagreements soon arose due to increasing patient volumes, technological innovations, and resource constraints, </w:t>
      </w:r>
      <w:proofErr w:type="spellStart"/>
      <w:r w:rsidRPr="00382363">
        <w:rPr>
          <w:rFonts w:ascii="Arial" w:eastAsiaTheme="minorHAnsi" w:hAnsi="Arial" w:cs="Arial"/>
          <w:color w:val="000000" w:themeColor="text1"/>
          <w:position w:val="6"/>
          <w:sz w:val="22"/>
          <w:szCs w:val="22"/>
          <w:lang w:eastAsia="en-US"/>
          <w14:ligatures w14:val="standardContextual"/>
        </w:rPr>
        <w:t>fueling</w:t>
      </w:r>
      <w:proofErr w:type="spellEnd"/>
      <w:r w:rsidRPr="00382363">
        <w:rPr>
          <w:rFonts w:ascii="Arial" w:eastAsiaTheme="minorHAnsi" w:hAnsi="Arial" w:cs="Arial"/>
          <w:color w:val="000000" w:themeColor="text1"/>
          <w:position w:val="6"/>
          <w:sz w:val="22"/>
          <w:szCs w:val="22"/>
          <w:lang w:eastAsia="en-US"/>
          <w14:ligatures w14:val="standardContextual"/>
        </w:rPr>
        <w:t xml:space="preserve"> an ongoing discussion concerning expenditure, effectiveness, and fairness.</w:t>
      </w:r>
      <w:r w:rsidR="00B4725F">
        <w:rPr>
          <w:rFonts w:ascii="Inter-Regular" w:eastAsiaTheme="minorHAnsi" w:hAnsi="Inter-Regular" w:cs="Inter-Regular"/>
          <w:color w:val="151515"/>
          <w:position w:val="6"/>
          <w:sz w:val="28"/>
          <w:szCs w:val="28"/>
          <w:lang w:eastAsia="en-US"/>
          <w14:ligatures w14:val="standardContextual"/>
        </w:rPr>
        <w:t xml:space="preserve"> </w:t>
      </w:r>
      <w:r w:rsidR="00B4725F" w:rsidRPr="00B4725F">
        <w:rPr>
          <w:rFonts w:ascii="Arial" w:eastAsiaTheme="minorHAnsi" w:hAnsi="Arial" w:cs="Arial"/>
          <w:color w:val="151515"/>
          <w:position w:val="6"/>
          <w:sz w:val="22"/>
          <w:szCs w:val="22"/>
          <w:lang w:eastAsia="en-US"/>
          <w14:ligatures w14:val="standardContextual"/>
        </w:rPr>
        <w:t>(The King’s Fund, 2022; NHS England, 2022)</w:t>
      </w:r>
    </w:p>
    <w:p w14:paraId="73F1E808" w14:textId="5846DDA7" w:rsidR="00B4725F" w:rsidRDefault="00382363" w:rsidP="00B472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1"/>
        <w:rPr>
          <w:rFonts w:ascii="Helvetica" w:eastAsiaTheme="minorHAnsi" w:hAnsi="Helvetica" w:cs="Helvetica"/>
          <w:sz w:val="24"/>
          <w:szCs w:val="24"/>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t>The National Health Service continues to be anchored in its original principles; however, its organi</w:t>
      </w:r>
      <w:r w:rsidRPr="00382363">
        <w:rPr>
          <w:rFonts w:ascii="Arial" w:eastAsiaTheme="minorHAnsi" w:hAnsi="Arial" w:cs="Arial"/>
          <w:color w:val="000000" w:themeColor="text1"/>
          <w:position w:val="6"/>
          <w:sz w:val="22"/>
          <w:szCs w:val="22"/>
          <w:lang w:eastAsia="en-US"/>
          <w14:ligatures w14:val="standardContextual"/>
        </w:rPr>
        <w:t>s</w:t>
      </w:r>
      <w:r w:rsidRPr="00382363">
        <w:rPr>
          <w:rFonts w:ascii="Arial" w:eastAsiaTheme="minorHAnsi" w:hAnsi="Arial" w:cs="Arial"/>
          <w:color w:val="000000" w:themeColor="text1"/>
          <w:position w:val="6"/>
          <w:sz w:val="22"/>
          <w:szCs w:val="22"/>
          <w:lang w:eastAsia="en-US"/>
          <w14:ligatures w14:val="standardContextual"/>
        </w:rPr>
        <w:t>ational structure and operational methods have undergone numerous reforms. Within England, it is segmented into various tiers, including the Department of Health and Social Care, NHS England, integrated care partnerships (ICPs), hospital trusts, and primary healthcare entities. Decentrali</w:t>
      </w:r>
      <w:r w:rsidRPr="00382363">
        <w:rPr>
          <w:rFonts w:ascii="Arial" w:eastAsiaTheme="minorHAnsi" w:hAnsi="Arial" w:cs="Arial"/>
          <w:color w:val="000000" w:themeColor="text1"/>
          <w:position w:val="6"/>
          <w:sz w:val="22"/>
          <w:szCs w:val="22"/>
          <w:lang w:eastAsia="en-US"/>
          <w14:ligatures w14:val="standardContextual"/>
        </w:rPr>
        <w:t>s</w:t>
      </w:r>
      <w:r w:rsidRPr="00382363">
        <w:rPr>
          <w:rFonts w:ascii="Arial" w:eastAsiaTheme="minorHAnsi" w:hAnsi="Arial" w:cs="Arial"/>
          <w:color w:val="000000" w:themeColor="text1"/>
          <w:position w:val="6"/>
          <w:sz w:val="22"/>
          <w:szCs w:val="22"/>
          <w:lang w:eastAsia="en-US"/>
          <w14:ligatures w14:val="standardContextual"/>
        </w:rPr>
        <w:t>ation has resulted in unique NHS frameworks in Scotland, Wales, and Northern Ireland, each characteri</w:t>
      </w:r>
      <w:r w:rsidRPr="00382363">
        <w:rPr>
          <w:rFonts w:ascii="Arial" w:eastAsiaTheme="minorHAnsi" w:hAnsi="Arial" w:cs="Arial"/>
          <w:color w:val="000000" w:themeColor="text1"/>
          <w:position w:val="6"/>
          <w:sz w:val="22"/>
          <w:szCs w:val="22"/>
          <w:lang w:eastAsia="en-US"/>
          <w14:ligatures w14:val="standardContextual"/>
        </w:rPr>
        <w:t>s</w:t>
      </w:r>
      <w:r w:rsidRPr="00382363">
        <w:rPr>
          <w:rFonts w:ascii="Arial" w:eastAsiaTheme="minorHAnsi" w:hAnsi="Arial" w:cs="Arial"/>
          <w:color w:val="000000" w:themeColor="text1"/>
          <w:position w:val="6"/>
          <w:sz w:val="22"/>
          <w:szCs w:val="22"/>
          <w:lang w:eastAsia="en-US"/>
          <w14:ligatures w14:val="standardContextual"/>
        </w:rPr>
        <w:t>ed by distinct policies and administrative arrangements.</w:t>
      </w:r>
      <w:r w:rsidR="00B4725F" w:rsidRPr="00B4725F">
        <w:rPr>
          <w:rFonts w:ascii="Inter-Regular" w:eastAsiaTheme="minorHAnsi" w:hAnsi="Inter-Regular" w:cs="Inter-Regular"/>
          <w:color w:val="151515"/>
          <w:position w:val="6"/>
          <w:sz w:val="28"/>
          <w:szCs w:val="28"/>
          <w:lang w:eastAsia="en-US"/>
          <w14:ligatures w14:val="standardContextual"/>
        </w:rPr>
        <w:t xml:space="preserve"> </w:t>
      </w:r>
      <w:r w:rsidR="00B4725F" w:rsidRPr="00B4725F">
        <w:rPr>
          <w:rFonts w:ascii="Arial" w:eastAsiaTheme="minorHAnsi" w:hAnsi="Arial" w:cs="Arial"/>
          <w:color w:val="151515"/>
          <w:position w:val="6"/>
          <w:sz w:val="22"/>
          <w:szCs w:val="22"/>
          <w:lang w:eastAsia="en-US"/>
          <w14:ligatures w14:val="standardContextual"/>
        </w:rPr>
        <w:t>(The King’s Fund, 2022; NHS England, 2023; Pollock and Roderick, 2019)</w:t>
      </w:r>
    </w:p>
    <w:p w14:paraId="33FBA585" w14:textId="225F68E7"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p>
    <w:p w14:paraId="4890AB2A" w14:textId="77777777"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r w:rsidRPr="00382363">
        <w:rPr>
          <w:rFonts w:ascii="Arial" w:eastAsiaTheme="minorHAnsi" w:hAnsi="Arial" w:cs="Arial"/>
          <w:color w:val="000000" w:themeColor="text1"/>
          <w:position w:val="6"/>
          <w:sz w:val="22"/>
          <w:szCs w:val="22"/>
          <w:lang w:eastAsia="en-US"/>
          <w14:ligatures w14:val="standardContextual"/>
        </w:rPr>
        <w:t xml:space="preserve">The current National Health Service faces ongoing difficulties. Shifts in demographic patterns, including an aging population and an increasing prevalence of chronic illnesses, have led to heightened demand for services. Concurrently, limited financial resources and shortages in qualified personnel have resulted in extended waiting periods, heightened stress on emergency care units, and challenges in maintaining high standards of service. Since the 1990s, reforms have introduced market-oriented mechanisms, such as dividing purchasers and providers, fostering competition, and increasing reliance on private sector entities, all aimed at enhancing efficiency and expanding patient </w:t>
      </w:r>
      <w:proofErr w:type="spellStart"/>
      <w:r w:rsidRPr="00382363">
        <w:rPr>
          <w:rFonts w:ascii="Arial" w:eastAsiaTheme="minorHAnsi" w:hAnsi="Arial" w:cs="Arial"/>
          <w:color w:val="000000" w:themeColor="text1"/>
          <w:position w:val="6"/>
          <w:sz w:val="22"/>
          <w:szCs w:val="22"/>
          <w:lang w:eastAsia="en-US"/>
          <w14:ligatures w14:val="standardContextual"/>
        </w:rPr>
        <w:t>options.</w:t>
      </w:r>
    </w:p>
    <w:p w14:paraId="1EDC88C6" w14:textId="77777777" w:rsidR="00382363" w:rsidRPr="0038236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14:ligatures w14:val="standardContextual"/>
        </w:rPr>
      </w:pPr>
      <w:proofErr w:type="spellEnd"/>
      <w:r w:rsidRPr="00382363">
        <w:rPr>
          <w:rFonts w:ascii="Arial" w:eastAsiaTheme="minorHAnsi" w:hAnsi="Arial" w:cs="Arial"/>
          <w:color w:val="000000" w:themeColor="text1"/>
          <w:position w:val="6"/>
          <w:sz w:val="22"/>
          <w:szCs w:val="22"/>
          <w:lang w:eastAsia="en-US"/>
          <w14:ligatures w14:val="standardContextual"/>
        </w:rPr>
        <w:t>Proponents maintain that these reforms have fostered increased innovation, improved responsiveness, and more efficient utilization of resources. Conversely, detractors argue that such market-driven strategies lead to the fragmentation of care, heightened administrative overheads, and the erosion of the collaborative principles that underpin the NHS. Additionally, there are significant concerns regarding the gradual privatization of services, with apprehensions that outsourcing and private investment could compromise the foundational principle of equitable care based on necessity rather than financial capability.</w:t>
      </w:r>
      <w:proofErr w:type="spellStart"/>
    </w:p>
    <w:p w14:paraId="2BFC6539" w14:textId="60E2A9E9" w:rsidR="00C80093" w:rsidRDefault="00382363"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proofErr w:type="spellEnd"/>
      <w:r w:rsidRPr="00382363">
        <w:rPr>
          <w:rFonts w:ascii="Arial" w:eastAsiaTheme="minorHAnsi" w:hAnsi="Arial" w:cs="Arial"/>
          <w:color w:val="000000" w:themeColor="text1"/>
          <w:position w:val="6"/>
          <w:sz w:val="22"/>
          <w:szCs w:val="22"/>
          <w:lang w:eastAsia="en-US"/>
        </w:rPr>
        <w:t>In recent times, there has been a policy shift towards greater integration and cooperation, primarily through Integrated Care Systems designed to unify health and social services, emphasize preventative measures, and address disparities in health outcomes. However, social care continues to be means-tested and operates separately from the NHS, resulting in service gaps for elderly and disabled individuals and exerting additional pressure on healthcare facilities.</w:t>
      </w:r>
    </w:p>
    <w:p w14:paraId="46A19F0B" w14:textId="3C9725F2" w:rsidR="00B41E41" w:rsidRDefault="00B41E41" w:rsidP="00C80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p>
    <w:p w14:paraId="093E1FF2" w14:textId="15106C95" w:rsidR="00B41E41" w:rsidRPr="00B4725F" w:rsidRDefault="00382363" w:rsidP="00382363">
      <w:pPr>
        <w:rPr>
          <w:rFonts w:ascii="Arial" w:hAnsi="Arial" w:cs="Arial"/>
          <w:color w:val="000000" w:themeColor="text1"/>
          <w:sz w:val="22"/>
          <w:szCs w:val="22"/>
        </w:rPr>
      </w:pPr>
      <w:r w:rsidRPr="00B4725F">
        <w:rPr>
          <w:rFonts w:ascii="Arial" w:hAnsi="Arial" w:cs="Arial"/>
          <w:color w:val="000000" w:themeColor="text1"/>
          <w:sz w:val="22"/>
          <w:szCs w:val="22"/>
        </w:rPr>
        <w:t xml:space="preserve">The National Health Service persistently upholds its foundational principles of universality </w:t>
      </w:r>
    </w:p>
    <w:p w14:paraId="1CE4D9AC" w14:textId="0D9787B7" w:rsidR="00382363" w:rsidRPr="00B4725F" w:rsidRDefault="00382363" w:rsidP="00382363">
      <w:pPr>
        <w:rPr>
          <w:rFonts w:ascii="Arial" w:hAnsi="Arial" w:cs="Arial"/>
          <w:color w:val="000000" w:themeColor="text1"/>
          <w:sz w:val="22"/>
          <w:szCs w:val="22"/>
        </w:rPr>
      </w:pPr>
      <w:r w:rsidRPr="00B4725F">
        <w:rPr>
          <w:rFonts w:ascii="Arial" w:hAnsi="Arial" w:cs="Arial"/>
          <w:color w:val="000000" w:themeColor="text1"/>
          <w:sz w:val="22"/>
          <w:szCs w:val="22"/>
        </w:rPr>
        <w:t>and accessible care at the point of service, yet its present configuration embodies a nuanced balance among government-funded healthcare, administrative reforms, and market-driven forces. Its prospective trajectory hinges on addressing the contradictions between fairness and productivity, central authority and regional independence, as well as immediate treatment and preventive strategies, all while ensuring long-term financial sustainability and adequate staffing levels.</w:t>
      </w:r>
    </w:p>
    <w:p w14:paraId="2340E71D" w14:textId="127F673D" w:rsidR="00FD0B45" w:rsidRDefault="00FD0B45" w:rsidP="00C80093">
      <w:pPr>
        <w:rPr>
          <w:rFonts w:ascii="Arial" w:hAnsi="Arial" w:cs="Arial"/>
          <w:color w:val="000000" w:themeColor="text1"/>
          <w:sz w:val="22"/>
          <w:szCs w:val="22"/>
        </w:rPr>
      </w:pPr>
    </w:p>
    <w:p w14:paraId="4A678939" w14:textId="77777777" w:rsidR="00B41E41" w:rsidRDefault="00B41E41" w:rsidP="00C80093">
      <w:pPr>
        <w:rPr>
          <w:rFonts w:ascii="Arial" w:hAnsi="Arial" w:cs="Arial"/>
          <w:color w:val="000000" w:themeColor="text1"/>
          <w:sz w:val="22"/>
          <w:szCs w:val="22"/>
        </w:rPr>
      </w:pPr>
    </w:p>
    <w:p w14:paraId="77DFF8FD" w14:textId="77777777" w:rsidR="00B4725F" w:rsidRDefault="00B4725F" w:rsidP="00C80093">
      <w:pPr>
        <w:rPr>
          <w:rFonts w:ascii="Arial" w:hAnsi="Arial" w:cs="Arial"/>
          <w:color w:val="000000" w:themeColor="text1"/>
          <w:sz w:val="22"/>
          <w:szCs w:val="22"/>
        </w:rPr>
      </w:pPr>
    </w:p>
    <w:p w14:paraId="52495C0D" w14:textId="67D80770" w:rsidR="00B41E41" w:rsidRDefault="00B41E41" w:rsidP="00C456E7">
      <w:pPr>
        <w:rPr>
          <w:rFonts w:ascii="Arial" w:hAnsi="Arial" w:cs="Arial"/>
          <w:color w:val="000000" w:themeColor="text1"/>
          <w:sz w:val="22"/>
          <w:szCs w:val="22"/>
        </w:rPr>
      </w:pPr>
      <w:r>
        <w:rPr>
          <w:rFonts w:ascii="Arial" w:hAnsi="Arial" w:cs="Arial"/>
          <w:color w:val="000000" w:themeColor="text1"/>
          <w:sz w:val="22"/>
          <w:szCs w:val="22"/>
        </w:rPr>
        <w:t>References</w:t>
      </w:r>
    </w:p>
    <w:p w14:paraId="1ECCAB43" w14:textId="77777777" w:rsidR="00B41E41" w:rsidRDefault="00B41E41" w:rsidP="00C80093">
      <w:pPr>
        <w:rPr>
          <w:rFonts w:ascii="Arial" w:hAnsi="Arial" w:cs="Arial"/>
          <w:color w:val="000000" w:themeColor="text1"/>
          <w:sz w:val="22"/>
          <w:szCs w:val="22"/>
        </w:rPr>
      </w:pPr>
    </w:p>
    <w:p w14:paraId="1278BE7B" w14:textId="77777777" w:rsidR="00B41E41" w:rsidRPr="00B4725F" w:rsidRDefault="00B41E41"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274" w:hanging="275"/>
        <w:rPr>
          <w:rFonts w:ascii="Helvetica" w:eastAsiaTheme="minorHAnsi" w:hAnsi="Helvetica" w:cs="Helvetica"/>
          <w:sz w:val="22"/>
          <w:szCs w:val="22"/>
          <w:lang w:eastAsia="en-US"/>
          <w14:ligatures w14:val="standardContextual"/>
        </w:rPr>
      </w:pPr>
      <w:r w:rsidRPr="00B4725F">
        <w:rPr>
          <w:rFonts w:ascii="Inter-Regular" w:eastAsiaTheme="minorHAnsi" w:hAnsi="Inter-Regular" w:cs="Inter-Regular"/>
          <w:color w:val="151515"/>
          <w:position w:val="6"/>
          <w:sz w:val="22"/>
          <w:szCs w:val="22"/>
          <w:lang w:eastAsia="en-US"/>
          <w14:ligatures w14:val="standardContextual"/>
        </w:rPr>
        <w:t xml:space="preserve">1. </w:t>
      </w:r>
      <w:r w:rsidRPr="00B4725F">
        <w:rPr>
          <w:rFonts w:ascii="Inter-Regular" w:eastAsiaTheme="minorHAnsi" w:hAnsi="Inter-Regular" w:cs="Inter-Regular"/>
          <w:b/>
          <w:bCs/>
          <w:color w:val="151515"/>
          <w:position w:val="6"/>
          <w:sz w:val="22"/>
          <w:szCs w:val="22"/>
          <w:lang w:eastAsia="en-US"/>
          <w14:ligatures w14:val="standardContextual"/>
        </w:rPr>
        <w:t>Book on health policy and NHS principles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Baggott, R. (2019) </w:t>
      </w:r>
      <w:r w:rsidRPr="00B4725F">
        <w:rPr>
          <w:rFonts w:ascii="Inter-Regular" w:eastAsiaTheme="minorHAnsi" w:hAnsi="Inter-Regular" w:cs="Inter-Regular"/>
          <w:i/>
          <w:iCs/>
          <w:color w:val="151515"/>
          <w:position w:val="6"/>
          <w:sz w:val="22"/>
          <w:szCs w:val="22"/>
          <w:lang w:eastAsia="en-US"/>
          <w14:ligatures w14:val="standardContextual"/>
        </w:rPr>
        <w:t>Understanding Health Policy</w:t>
      </w:r>
      <w:r w:rsidRPr="00B4725F">
        <w:rPr>
          <w:rFonts w:ascii="Inter-Regular" w:eastAsiaTheme="minorHAnsi" w:hAnsi="Inter-Regular" w:cs="Inter-Regular"/>
          <w:color w:val="151515"/>
          <w:position w:val="6"/>
          <w:sz w:val="22"/>
          <w:szCs w:val="22"/>
          <w:lang w:eastAsia="en-US"/>
          <w14:ligatures w14:val="standardContextual"/>
        </w:rPr>
        <w:t xml:space="preserve">. 3rd </w:t>
      </w:r>
      <w:proofErr w:type="spellStart"/>
      <w:r w:rsidRPr="00B4725F">
        <w:rPr>
          <w:rFonts w:ascii="Inter-Regular" w:eastAsiaTheme="minorHAnsi" w:hAnsi="Inter-Regular" w:cs="Inter-Regular"/>
          <w:color w:val="151515"/>
          <w:position w:val="6"/>
          <w:sz w:val="22"/>
          <w:szCs w:val="22"/>
          <w:lang w:eastAsia="en-US"/>
          <w14:ligatures w14:val="standardContextual"/>
        </w:rPr>
        <w:t>edn</w:t>
      </w:r>
      <w:proofErr w:type="spellEnd"/>
      <w:r w:rsidRPr="00B4725F">
        <w:rPr>
          <w:rFonts w:ascii="Inter-Regular" w:eastAsiaTheme="minorHAnsi" w:hAnsi="Inter-Regular" w:cs="Inter-Regular"/>
          <w:color w:val="151515"/>
          <w:position w:val="6"/>
          <w:sz w:val="22"/>
          <w:szCs w:val="22"/>
          <w:lang w:eastAsia="en-US"/>
          <w14:ligatures w14:val="standardContextual"/>
        </w:rPr>
        <w:t>. Bristol: Policy Press.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https://policy.bristoluniversitypress.co.uk/understanding-health-policy (Accessed: 1 April 2026).</w:t>
      </w:r>
    </w:p>
    <w:p w14:paraId="3D3042FC" w14:textId="77777777" w:rsidR="00B41E41" w:rsidRPr="00B4725F" w:rsidRDefault="00B41E41"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5" w:hanging="326"/>
        <w:rPr>
          <w:rFonts w:ascii="Helvetica" w:eastAsiaTheme="minorHAnsi" w:hAnsi="Helvetica" w:cs="Helvetica"/>
          <w:sz w:val="22"/>
          <w:szCs w:val="22"/>
          <w:lang w:eastAsia="en-US"/>
          <w14:ligatures w14:val="standardContextual"/>
        </w:rPr>
      </w:pPr>
      <w:r w:rsidRPr="00B4725F">
        <w:rPr>
          <w:rFonts w:ascii="Inter-Regular" w:eastAsiaTheme="minorHAnsi" w:hAnsi="Inter-Regular" w:cs="Inter-Regular"/>
          <w:color w:val="151515"/>
          <w:position w:val="6"/>
          <w:sz w:val="22"/>
          <w:szCs w:val="22"/>
          <w:lang w:eastAsia="en-US"/>
          <w14:ligatures w14:val="standardContextual"/>
        </w:rPr>
        <w:t xml:space="preserve">2. </w:t>
      </w:r>
      <w:r w:rsidRPr="00B4725F">
        <w:rPr>
          <w:rFonts w:ascii="Inter-Regular" w:eastAsiaTheme="minorHAnsi" w:hAnsi="Inter-Regular" w:cs="Inter-Regular"/>
          <w:b/>
          <w:bCs/>
          <w:color w:val="151515"/>
          <w:position w:val="6"/>
          <w:sz w:val="22"/>
          <w:szCs w:val="22"/>
          <w:lang w:eastAsia="en-US"/>
          <w14:ligatures w14:val="standardContextual"/>
        </w:rPr>
        <w:t>Historiography and development of the NHS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Gorsky, M. (2008) ‘The British National Health Service 1948–2008: A review of the historiography’, </w:t>
      </w:r>
      <w:r w:rsidRPr="00B4725F">
        <w:rPr>
          <w:rFonts w:ascii="Inter-Regular" w:eastAsiaTheme="minorHAnsi" w:hAnsi="Inter-Regular" w:cs="Inter-Regular"/>
          <w:i/>
          <w:iCs/>
          <w:color w:val="151515"/>
          <w:position w:val="6"/>
          <w:sz w:val="22"/>
          <w:szCs w:val="22"/>
          <w:lang w:eastAsia="en-US"/>
          <w14:ligatures w14:val="standardContextual"/>
        </w:rPr>
        <w:t>Social History of Medicine</w:t>
      </w:r>
      <w:r w:rsidRPr="00B4725F">
        <w:rPr>
          <w:rFonts w:ascii="Inter-Regular" w:eastAsiaTheme="minorHAnsi" w:hAnsi="Inter-Regular" w:cs="Inter-Regular"/>
          <w:color w:val="151515"/>
          <w:position w:val="6"/>
          <w:sz w:val="22"/>
          <w:szCs w:val="22"/>
          <w:lang w:eastAsia="en-US"/>
          <w14:ligatures w14:val="standardContextual"/>
        </w:rPr>
        <w:t>, 21(3), pp. 437–460.</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https://doi.org/10.1093/shm/hkn064 (Accessed: 1 April 2026).</w:t>
      </w:r>
    </w:p>
    <w:p w14:paraId="7F869044" w14:textId="77777777" w:rsidR="00B41E41" w:rsidRPr="00B4725F" w:rsidRDefault="00B41E41"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7" w:hanging="328"/>
        <w:rPr>
          <w:rFonts w:ascii="Helvetica" w:eastAsiaTheme="minorHAnsi" w:hAnsi="Helvetica" w:cs="Helvetica"/>
          <w:sz w:val="22"/>
          <w:szCs w:val="22"/>
          <w:lang w:eastAsia="en-US"/>
          <w14:ligatures w14:val="standardContextual"/>
        </w:rPr>
      </w:pPr>
      <w:r w:rsidRPr="00B4725F">
        <w:rPr>
          <w:rFonts w:ascii="Inter-Regular" w:eastAsiaTheme="minorHAnsi" w:hAnsi="Inter-Regular" w:cs="Inter-Regular"/>
          <w:color w:val="151515"/>
          <w:position w:val="6"/>
          <w:sz w:val="22"/>
          <w:szCs w:val="22"/>
          <w:lang w:eastAsia="en-US"/>
          <w14:ligatures w14:val="standardContextual"/>
        </w:rPr>
        <w:t xml:space="preserve">3. </w:t>
      </w:r>
      <w:r w:rsidRPr="00B4725F">
        <w:rPr>
          <w:rFonts w:ascii="Inter-Regular" w:eastAsiaTheme="minorHAnsi" w:hAnsi="Inter-Regular" w:cs="Inter-Regular"/>
          <w:b/>
          <w:bCs/>
          <w:color w:val="151515"/>
          <w:position w:val="6"/>
          <w:sz w:val="22"/>
          <w:szCs w:val="22"/>
          <w:lang w:eastAsia="en-US"/>
          <w14:ligatures w14:val="standardContextual"/>
        </w:rPr>
        <w:t>Official NHS principles and evolution (policy)</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NHS England (2023) </w:t>
      </w:r>
      <w:r w:rsidRPr="00B4725F">
        <w:rPr>
          <w:rFonts w:ascii="Inter-Regular" w:eastAsiaTheme="minorHAnsi" w:hAnsi="Inter-Regular" w:cs="Inter-Regular"/>
          <w:i/>
          <w:iCs/>
          <w:color w:val="151515"/>
          <w:position w:val="6"/>
          <w:sz w:val="22"/>
          <w:szCs w:val="22"/>
          <w:lang w:eastAsia="en-US"/>
          <w14:ligatures w14:val="standardContextual"/>
        </w:rPr>
        <w:t>The NHS Long Term Plan: About the NHS</w:t>
      </w:r>
      <w:r w:rsidRPr="00B4725F">
        <w:rPr>
          <w:rFonts w:ascii="Inter-Regular" w:eastAsiaTheme="minorHAnsi" w:hAnsi="Inter-Regular" w:cs="Inter-Regular"/>
          <w:color w:val="151515"/>
          <w:position w:val="6"/>
          <w:sz w:val="22"/>
          <w:szCs w:val="22"/>
          <w:lang w:eastAsia="en-US"/>
          <w14:ligatures w14:val="standardContextual"/>
        </w:rPr>
        <w:t>.</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https://www.longtermplan.nhs.uk/online-version/chapter-1-a-new-service-model-for-the-21st-century/the-nhs-long-term-plan/ (Accessed: 1 April 2026).</w:t>
      </w:r>
    </w:p>
    <w:p w14:paraId="68596EEC" w14:textId="77777777" w:rsidR="00B41E41" w:rsidRPr="00B4725F" w:rsidRDefault="00B41E41"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6" w:hanging="327"/>
        <w:rPr>
          <w:rFonts w:ascii="Helvetica" w:eastAsiaTheme="minorHAnsi" w:hAnsi="Helvetica" w:cs="Helvetica"/>
          <w:sz w:val="22"/>
          <w:szCs w:val="22"/>
          <w:lang w:eastAsia="en-US"/>
          <w14:ligatures w14:val="standardContextual"/>
        </w:rPr>
      </w:pPr>
      <w:r w:rsidRPr="00B4725F">
        <w:rPr>
          <w:rFonts w:ascii="Inter-Regular" w:eastAsiaTheme="minorHAnsi" w:hAnsi="Inter-Regular" w:cs="Inter-Regular"/>
          <w:color w:val="151515"/>
          <w:position w:val="6"/>
          <w:sz w:val="22"/>
          <w:szCs w:val="22"/>
          <w:lang w:eastAsia="en-US"/>
          <w14:ligatures w14:val="standardContextual"/>
        </w:rPr>
        <w:t xml:space="preserve">4. </w:t>
      </w:r>
      <w:r w:rsidRPr="00B4725F">
        <w:rPr>
          <w:rFonts w:ascii="Inter-Regular" w:eastAsiaTheme="minorHAnsi" w:hAnsi="Inter-Regular" w:cs="Inter-Regular"/>
          <w:b/>
          <w:bCs/>
          <w:color w:val="151515"/>
          <w:position w:val="6"/>
          <w:sz w:val="22"/>
          <w:szCs w:val="22"/>
          <w:lang w:eastAsia="en-US"/>
          <w14:ligatures w14:val="standardContextual"/>
        </w:rPr>
        <w:t>Current NHS structure explained</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The King’s Fund (2022) </w:t>
      </w:r>
      <w:r w:rsidRPr="00B4725F">
        <w:rPr>
          <w:rFonts w:ascii="Inter-Regular" w:eastAsiaTheme="minorHAnsi" w:hAnsi="Inter-Regular" w:cs="Inter-Regular"/>
          <w:i/>
          <w:iCs/>
          <w:color w:val="151515"/>
          <w:position w:val="6"/>
          <w:sz w:val="22"/>
          <w:szCs w:val="22"/>
          <w:lang w:eastAsia="en-US"/>
          <w14:ligatures w14:val="standardContextual"/>
        </w:rPr>
        <w:t>The NHS in England: The structure and how it works</w:t>
      </w:r>
      <w:r w:rsidRPr="00B4725F">
        <w:rPr>
          <w:rFonts w:ascii="Inter-Regular" w:eastAsiaTheme="minorHAnsi" w:hAnsi="Inter-Regular" w:cs="Inter-Regular"/>
          <w:color w:val="151515"/>
          <w:position w:val="6"/>
          <w:sz w:val="22"/>
          <w:szCs w:val="22"/>
          <w:lang w:eastAsia="en-US"/>
          <w14:ligatures w14:val="standardContextual"/>
        </w:rPr>
        <w:t>.</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https://www.kingsfund.org.uk/publications/nhs-structure-explained (Accessed: 1 April 2026).</w:t>
      </w:r>
    </w:p>
    <w:p w14:paraId="4A013511" w14:textId="77777777" w:rsidR="00B41E41" w:rsidRPr="00B4725F" w:rsidRDefault="00B41E41" w:rsidP="00B41E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18" w:hanging="319"/>
        <w:rPr>
          <w:rFonts w:ascii="Helvetica" w:eastAsiaTheme="minorHAnsi" w:hAnsi="Helvetica" w:cs="Helvetica"/>
          <w:sz w:val="22"/>
          <w:szCs w:val="22"/>
          <w:lang w:eastAsia="en-US"/>
          <w14:ligatures w14:val="standardContextual"/>
        </w:rPr>
      </w:pPr>
      <w:r w:rsidRPr="00B4725F">
        <w:rPr>
          <w:rFonts w:ascii="Inter-Regular" w:eastAsiaTheme="minorHAnsi" w:hAnsi="Inter-Regular" w:cs="Inter-Regular"/>
          <w:color w:val="151515"/>
          <w:position w:val="6"/>
          <w:sz w:val="22"/>
          <w:szCs w:val="22"/>
          <w:lang w:eastAsia="en-US"/>
          <w14:ligatures w14:val="standardContextual"/>
        </w:rPr>
        <w:t xml:space="preserve">5. </w:t>
      </w:r>
      <w:r w:rsidRPr="00B4725F">
        <w:rPr>
          <w:rFonts w:ascii="Inter-Regular" w:eastAsiaTheme="minorHAnsi" w:hAnsi="Inter-Regular" w:cs="Inter-Regular"/>
          <w:b/>
          <w:bCs/>
          <w:color w:val="151515"/>
          <w:position w:val="6"/>
          <w:sz w:val="22"/>
          <w:szCs w:val="22"/>
          <w:lang w:eastAsia="en-US"/>
          <w14:ligatures w14:val="standardContextual"/>
        </w:rPr>
        <w:t>Integrated Care Systems and current reforms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NHS England (2022) </w:t>
      </w:r>
      <w:r w:rsidRPr="00B4725F">
        <w:rPr>
          <w:rFonts w:ascii="Inter-Regular" w:eastAsiaTheme="minorHAnsi" w:hAnsi="Inter-Regular" w:cs="Inter-Regular"/>
          <w:i/>
          <w:iCs/>
          <w:color w:val="151515"/>
          <w:position w:val="6"/>
          <w:sz w:val="22"/>
          <w:szCs w:val="22"/>
          <w:lang w:eastAsia="en-US"/>
          <w14:ligatures w14:val="standardContextual"/>
        </w:rPr>
        <w:t>What are integrated care systems?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https://www.england.nhs.uk/integratedcare/what-is-integrated-care/ (Accessed: 1 April 2026).</w:t>
      </w:r>
    </w:p>
    <w:p w14:paraId="32EC32E3" w14:textId="2B5DA525" w:rsidR="00B41E41" w:rsidRPr="00B4725F" w:rsidRDefault="00B41E41" w:rsidP="00B41E41">
      <w:pPr>
        <w:rPr>
          <w:rFonts w:ascii="Arial" w:hAnsi="Arial" w:cs="Arial"/>
          <w:color w:val="000000" w:themeColor="text1"/>
          <w:sz w:val="22"/>
          <w:szCs w:val="22"/>
        </w:rPr>
      </w:pPr>
      <w:r w:rsidRPr="00B4725F">
        <w:rPr>
          <w:rFonts w:ascii="Inter-Regular" w:eastAsiaTheme="minorHAnsi" w:hAnsi="Inter-Regular" w:cs="Inter-Regular"/>
          <w:color w:val="151515"/>
          <w:position w:val="6"/>
          <w:sz w:val="22"/>
          <w:szCs w:val="22"/>
          <w:lang w:eastAsia="en-US"/>
          <w14:ligatures w14:val="standardContextual"/>
        </w:rPr>
        <w:t xml:space="preserve">6. </w:t>
      </w:r>
      <w:r w:rsidRPr="00B4725F">
        <w:rPr>
          <w:rFonts w:ascii="Inter-Regular" w:eastAsiaTheme="minorHAnsi" w:hAnsi="Inter-Regular" w:cs="Inter-Regular"/>
          <w:b/>
          <w:bCs/>
          <w:color w:val="151515"/>
          <w:position w:val="6"/>
          <w:sz w:val="22"/>
          <w:szCs w:val="22"/>
          <w:lang w:eastAsia="en-US"/>
          <w14:ligatures w14:val="standardContextual"/>
        </w:rPr>
        <w:t>Market mechanisms and privatisation concerns</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 xml:space="preserve">Pollock, A.M. and Roderick, P. (2019) ‘Why we should be concerned about Accountable Care Organisations in England’s NHS’, </w:t>
      </w:r>
      <w:r w:rsidRPr="00B4725F">
        <w:rPr>
          <w:rFonts w:ascii="Inter-Regular" w:eastAsiaTheme="minorHAnsi" w:hAnsi="Inter-Regular" w:cs="Inter-Regular"/>
          <w:i/>
          <w:iCs/>
          <w:color w:val="151515"/>
          <w:position w:val="6"/>
          <w:sz w:val="22"/>
          <w:szCs w:val="22"/>
          <w:lang w:eastAsia="en-US"/>
          <w14:ligatures w14:val="standardContextual"/>
        </w:rPr>
        <w:t>BMJ</w:t>
      </w:r>
      <w:r w:rsidRPr="00B4725F">
        <w:rPr>
          <w:rFonts w:ascii="Inter-Regular" w:eastAsiaTheme="minorHAnsi" w:hAnsi="Inter-Regular" w:cs="Inter-Regular"/>
          <w:color w:val="151515"/>
          <w:position w:val="6"/>
          <w:sz w:val="22"/>
          <w:szCs w:val="22"/>
          <w:lang w:eastAsia="en-US"/>
          <w14:ligatures w14:val="standardContextual"/>
        </w:rPr>
        <w:t>, 360, k343.</w:t>
      </w:r>
      <w:r w:rsidRPr="00B4725F">
        <w:rPr>
          <w:rFonts w:ascii="MS Gothic" w:eastAsia="MS Gothic" w:hAnsi="MS Gothic" w:cs="MS Gothic" w:hint="eastAsia"/>
          <w:color w:val="151515"/>
          <w:position w:val="6"/>
          <w:sz w:val="22"/>
          <w:szCs w:val="22"/>
          <w:lang w:eastAsia="en-US"/>
          <w14:ligatures w14:val="standardContextual"/>
        </w:rPr>
        <w:t> </w:t>
      </w:r>
      <w:r w:rsidRPr="00B4725F">
        <w:rPr>
          <w:rFonts w:ascii="Inter-Regular" w:eastAsiaTheme="minorHAnsi" w:hAnsi="Inter-Regular" w:cs="Inter-Regular"/>
          <w:color w:val="151515"/>
          <w:position w:val="6"/>
          <w:sz w:val="22"/>
          <w:szCs w:val="22"/>
          <w:lang w:eastAsia="en-US"/>
          <w14:ligatures w14:val="standardContextual"/>
        </w:rPr>
        <w:t>Available at: https://www.bmj.com/content/360/bmj.k343 (Accessed: 1 April 2026).</w:t>
      </w:r>
    </w:p>
    <w:sectPr w:rsidR="00B41E41" w:rsidRPr="00B4725F" w:rsidSect="00C456E7">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006F3" w14:textId="77777777" w:rsidR="00496E97" w:rsidRDefault="00496E97" w:rsidP="00C80093">
      <w:r>
        <w:separator/>
      </w:r>
    </w:p>
  </w:endnote>
  <w:endnote w:type="continuationSeparator" w:id="0">
    <w:p w14:paraId="55776BA9" w14:textId="77777777" w:rsidR="00496E97" w:rsidRDefault="00496E97" w:rsidP="00C80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Inter-Regular">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B757D" w14:textId="77777777" w:rsidR="00C80093" w:rsidRDefault="00C800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D372A" w14:textId="77777777" w:rsidR="00C80093" w:rsidRDefault="00C800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A4160" w14:textId="77777777" w:rsidR="00C80093" w:rsidRDefault="00C80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0B639" w14:textId="77777777" w:rsidR="00496E97" w:rsidRDefault="00496E97" w:rsidP="00C80093">
      <w:r>
        <w:separator/>
      </w:r>
    </w:p>
  </w:footnote>
  <w:footnote w:type="continuationSeparator" w:id="0">
    <w:p w14:paraId="287764FC" w14:textId="77777777" w:rsidR="00496E97" w:rsidRDefault="00496E97" w:rsidP="00C800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17081" w14:textId="77777777" w:rsidR="00C80093" w:rsidRDefault="00C800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64696" w14:textId="77777777" w:rsidR="00C80093" w:rsidRDefault="00C800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1CF38" w14:textId="77777777" w:rsidR="00C80093" w:rsidRDefault="00C80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601438">
    <w:abstractNumId w:val="2"/>
  </w:num>
  <w:num w:numId="2" w16cid:durableId="716399410">
    <w:abstractNumId w:val="1"/>
  </w:num>
  <w:num w:numId="3" w16cid:durableId="1262831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093"/>
    <w:rsid w:val="00110872"/>
    <w:rsid w:val="001175DE"/>
    <w:rsid w:val="001476A2"/>
    <w:rsid w:val="00382363"/>
    <w:rsid w:val="0041196F"/>
    <w:rsid w:val="00496E97"/>
    <w:rsid w:val="00522BA3"/>
    <w:rsid w:val="006F7D39"/>
    <w:rsid w:val="00915D94"/>
    <w:rsid w:val="00B41E41"/>
    <w:rsid w:val="00B4725F"/>
    <w:rsid w:val="00C456E7"/>
    <w:rsid w:val="00C60DC0"/>
    <w:rsid w:val="00C80093"/>
    <w:rsid w:val="00F10BF8"/>
    <w:rsid w:val="00FD0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66A60A"/>
  <w15:chartTrackingRefBased/>
  <w15:docId w15:val="{39522FF5-BC5D-4645-91AB-FD5A9EB05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D9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80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0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0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0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0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00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0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0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0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0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0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0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0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0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093"/>
    <w:rPr>
      <w:rFonts w:eastAsiaTheme="majorEastAsia" w:cstheme="majorBidi"/>
      <w:color w:val="272727" w:themeColor="text1" w:themeTint="D8"/>
    </w:rPr>
  </w:style>
  <w:style w:type="paragraph" w:styleId="Title">
    <w:name w:val="Title"/>
    <w:basedOn w:val="Normal"/>
    <w:next w:val="Normal"/>
    <w:link w:val="TitleChar"/>
    <w:uiPriority w:val="10"/>
    <w:qFormat/>
    <w:rsid w:val="00C800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093"/>
    <w:pPr>
      <w:spacing w:before="160"/>
      <w:jc w:val="center"/>
    </w:pPr>
    <w:rPr>
      <w:i/>
      <w:iCs/>
      <w:color w:val="404040" w:themeColor="text1" w:themeTint="BF"/>
    </w:rPr>
  </w:style>
  <w:style w:type="character" w:customStyle="1" w:styleId="QuoteChar">
    <w:name w:val="Quote Char"/>
    <w:basedOn w:val="DefaultParagraphFont"/>
    <w:link w:val="Quote"/>
    <w:uiPriority w:val="29"/>
    <w:rsid w:val="00C80093"/>
    <w:rPr>
      <w:i/>
      <w:iCs/>
      <w:color w:val="404040" w:themeColor="text1" w:themeTint="BF"/>
    </w:rPr>
  </w:style>
  <w:style w:type="paragraph" w:styleId="ListParagraph">
    <w:name w:val="List Paragraph"/>
    <w:basedOn w:val="Normal"/>
    <w:link w:val="ListParagraphChar"/>
    <w:uiPriority w:val="34"/>
    <w:qFormat/>
    <w:rsid w:val="00C80093"/>
    <w:pPr>
      <w:ind w:left="720"/>
      <w:contextualSpacing/>
    </w:pPr>
  </w:style>
  <w:style w:type="character" w:styleId="IntenseEmphasis">
    <w:name w:val="Intense Emphasis"/>
    <w:basedOn w:val="DefaultParagraphFont"/>
    <w:uiPriority w:val="21"/>
    <w:qFormat/>
    <w:rsid w:val="00C80093"/>
    <w:rPr>
      <w:i/>
      <w:iCs/>
      <w:color w:val="0F4761" w:themeColor="accent1" w:themeShade="BF"/>
    </w:rPr>
  </w:style>
  <w:style w:type="paragraph" w:styleId="IntenseQuote">
    <w:name w:val="Intense Quote"/>
    <w:basedOn w:val="Normal"/>
    <w:next w:val="Normal"/>
    <w:link w:val="IntenseQuoteChar"/>
    <w:uiPriority w:val="30"/>
    <w:qFormat/>
    <w:rsid w:val="00C80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0093"/>
    <w:rPr>
      <w:i/>
      <w:iCs/>
      <w:color w:val="0F4761" w:themeColor="accent1" w:themeShade="BF"/>
    </w:rPr>
  </w:style>
  <w:style w:type="character" w:styleId="IntenseReference">
    <w:name w:val="Intense Reference"/>
    <w:basedOn w:val="DefaultParagraphFont"/>
    <w:uiPriority w:val="32"/>
    <w:qFormat/>
    <w:rsid w:val="00C80093"/>
    <w:rPr>
      <w:b/>
      <w:bCs/>
      <w:smallCaps/>
      <w:color w:val="0F4761" w:themeColor="accent1" w:themeShade="BF"/>
      <w:spacing w:val="5"/>
    </w:rPr>
  </w:style>
  <w:style w:type="table" w:styleId="TableGrid">
    <w:name w:val="Table Grid"/>
    <w:basedOn w:val="TableNormal"/>
    <w:uiPriority w:val="39"/>
    <w:rsid w:val="00C8009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C80093"/>
  </w:style>
  <w:style w:type="paragraph" w:customStyle="1" w:styleId="paragraph">
    <w:name w:val="paragraph"/>
    <w:basedOn w:val="Normal"/>
    <w:rsid w:val="00C80093"/>
    <w:pPr>
      <w:spacing w:before="100" w:beforeAutospacing="1" w:after="100" w:afterAutospacing="1"/>
    </w:pPr>
    <w:rPr>
      <w:sz w:val="24"/>
      <w:szCs w:val="24"/>
      <w:lang w:eastAsia="zh-CN"/>
    </w:rPr>
  </w:style>
  <w:style w:type="character" w:customStyle="1" w:styleId="normaltextrun">
    <w:name w:val="normaltextrun"/>
    <w:basedOn w:val="DefaultParagraphFont"/>
    <w:rsid w:val="00C80093"/>
  </w:style>
  <w:style w:type="character" w:customStyle="1" w:styleId="eop">
    <w:name w:val="eop"/>
    <w:basedOn w:val="DefaultParagraphFont"/>
    <w:rsid w:val="00C80093"/>
  </w:style>
  <w:style w:type="character" w:customStyle="1" w:styleId="ui-provider">
    <w:name w:val="ui-provider"/>
    <w:basedOn w:val="DefaultParagraphFont"/>
    <w:rsid w:val="00C80093"/>
  </w:style>
  <w:style w:type="character" w:customStyle="1" w:styleId="apple-converted-space">
    <w:name w:val="apple-converted-space"/>
    <w:basedOn w:val="DefaultParagraphFont"/>
    <w:rsid w:val="00C80093"/>
  </w:style>
  <w:style w:type="character" w:styleId="Strong">
    <w:name w:val="Strong"/>
    <w:basedOn w:val="DefaultParagraphFont"/>
    <w:uiPriority w:val="22"/>
    <w:qFormat/>
    <w:rsid w:val="00C80093"/>
    <w:rPr>
      <w:b/>
      <w:bCs/>
    </w:rPr>
  </w:style>
  <w:style w:type="paragraph" w:styleId="Header">
    <w:name w:val="header"/>
    <w:basedOn w:val="Normal"/>
    <w:link w:val="HeaderChar"/>
    <w:uiPriority w:val="99"/>
    <w:unhideWhenUsed/>
    <w:rsid w:val="00C80093"/>
    <w:pPr>
      <w:tabs>
        <w:tab w:val="center" w:pos="4513"/>
        <w:tab w:val="right" w:pos="9026"/>
      </w:tabs>
    </w:pPr>
  </w:style>
  <w:style w:type="character" w:customStyle="1" w:styleId="HeaderChar">
    <w:name w:val="Header Char"/>
    <w:basedOn w:val="DefaultParagraphFont"/>
    <w:link w:val="Header"/>
    <w:uiPriority w:val="99"/>
    <w:rsid w:val="00C8009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80093"/>
    <w:pPr>
      <w:tabs>
        <w:tab w:val="center" w:pos="4513"/>
        <w:tab w:val="right" w:pos="9026"/>
      </w:tabs>
    </w:pPr>
  </w:style>
  <w:style w:type="character" w:customStyle="1" w:styleId="FooterChar">
    <w:name w:val="Footer Char"/>
    <w:basedOn w:val="DefaultParagraphFont"/>
    <w:link w:val="Footer"/>
    <w:uiPriority w:val="99"/>
    <w:rsid w:val="00C8009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EDF8E-65F3-1948-B1F5-4182500FF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5</Pages>
  <Words>1176</Words>
  <Characters>6708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Fahtima Iyaiz (2319515)</dc:creator>
  <cp:keywords/>
  <dc:description/>
  <cp:lastModifiedBy>Fahtima Iyaiz (2319515)</cp:lastModifiedBy>
  <cp:revision>2</cp:revision>
  <dcterms:created xsi:type="dcterms:W3CDTF">2026-03-13T18:00:00Z</dcterms:created>
  <dcterms:modified xsi:type="dcterms:W3CDTF">2026-04-01T22:48:00Z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47326BB6-FDB7-47B7-81A2-96247B67E2D6</vt:lpwstr>
  </property>
</Properties>
</file>