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8AE9A" w14:textId="268F7329" w:rsidR="001C575A" w:rsidRPr="00990B53" w:rsidRDefault="001C575A" w:rsidP="00990B53">
      <w:pPr>
        <w:spacing w:line="360" w:lineRule="auto"/>
        <w:rPr>
          <w:rFonts w:ascii="Times New Roman" w:hAnsi="Times New Roman" w:cs="Times New Roman"/>
        </w:rPr>
      </w:pPr>
    </w:p>
    <w:p w14:paraId="6841C20F" w14:textId="3DBEB54E" w:rsidR="00990B53" w:rsidRPr="00990B53" w:rsidRDefault="00990B53" w:rsidP="00990B53">
      <w:pPr>
        <w:spacing w:line="360" w:lineRule="auto"/>
        <w:rPr>
          <w:rFonts w:ascii="Times New Roman" w:hAnsi="Times New Roman" w:cs="Times New Roman"/>
        </w:rPr>
      </w:pPr>
    </w:p>
    <w:p w14:paraId="583E54D7" w14:textId="4C8D71D7" w:rsidR="00990B53" w:rsidRPr="00990B53" w:rsidRDefault="00990B53" w:rsidP="00990B53">
      <w:pPr>
        <w:spacing w:line="360" w:lineRule="auto"/>
        <w:rPr>
          <w:rFonts w:ascii="Times New Roman" w:hAnsi="Times New Roman" w:cs="Times New Roman"/>
        </w:rPr>
      </w:pPr>
    </w:p>
    <w:p w14:paraId="69552490" w14:textId="026891E4" w:rsidR="00990B53" w:rsidRPr="00990B53" w:rsidRDefault="00990B53" w:rsidP="00990B53">
      <w:pPr>
        <w:spacing w:line="360" w:lineRule="auto"/>
        <w:rPr>
          <w:rFonts w:ascii="Times New Roman" w:hAnsi="Times New Roman" w:cs="Times New Roman"/>
        </w:rPr>
      </w:pPr>
    </w:p>
    <w:p w14:paraId="00B188B0" w14:textId="35D5658A" w:rsidR="00990B53" w:rsidRPr="00990B53" w:rsidRDefault="00990B53" w:rsidP="00990B53">
      <w:pPr>
        <w:spacing w:line="360" w:lineRule="auto"/>
        <w:rPr>
          <w:rFonts w:ascii="Times New Roman" w:hAnsi="Times New Roman" w:cs="Times New Roman"/>
        </w:rPr>
      </w:pPr>
    </w:p>
    <w:p w14:paraId="56A51FF0" w14:textId="17C72BDB" w:rsidR="00990B53" w:rsidRPr="00990B53" w:rsidRDefault="00990B53" w:rsidP="00990B53">
      <w:pPr>
        <w:spacing w:line="360" w:lineRule="auto"/>
        <w:rPr>
          <w:rFonts w:ascii="Times New Roman" w:hAnsi="Times New Roman" w:cs="Times New Roman"/>
        </w:rPr>
      </w:pPr>
    </w:p>
    <w:p w14:paraId="4EEA3917" w14:textId="0A9CFA9B" w:rsidR="00990B53" w:rsidRPr="00990B53" w:rsidRDefault="00990B53" w:rsidP="00990B53">
      <w:pPr>
        <w:spacing w:line="360" w:lineRule="auto"/>
        <w:rPr>
          <w:rFonts w:ascii="Times New Roman" w:hAnsi="Times New Roman" w:cs="Times New Roman"/>
        </w:rPr>
      </w:pPr>
    </w:p>
    <w:p w14:paraId="4346B837" w14:textId="77777777" w:rsidR="00990B53" w:rsidRPr="00990B53" w:rsidRDefault="00990B53" w:rsidP="00990B53">
      <w:pPr>
        <w:spacing w:line="360" w:lineRule="auto"/>
        <w:rPr>
          <w:rFonts w:ascii="Times New Roman" w:hAnsi="Times New Roman" w:cs="Times New Roman"/>
        </w:rPr>
      </w:pPr>
    </w:p>
    <w:p w14:paraId="254C281A" w14:textId="75AB45A2" w:rsidR="00990B53" w:rsidRPr="00990B53" w:rsidRDefault="00990B53" w:rsidP="00990B53">
      <w:pPr>
        <w:spacing w:line="360" w:lineRule="auto"/>
        <w:rPr>
          <w:rFonts w:ascii="Times New Roman" w:hAnsi="Times New Roman" w:cs="Times New Roman"/>
        </w:rPr>
      </w:pPr>
    </w:p>
    <w:p w14:paraId="27AE99FF" w14:textId="77777777" w:rsidR="00990B53" w:rsidRPr="00990B53" w:rsidRDefault="00990B53" w:rsidP="00990B53">
      <w:pPr>
        <w:spacing w:line="360" w:lineRule="auto"/>
        <w:jc w:val="center"/>
        <w:rPr>
          <w:rFonts w:ascii="Times New Roman" w:hAnsi="Times New Roman" w:cs="Times New Roman"/>
          <w:b/>
          <w:bCs/>
          <w:sz w:val="24"/>
          <w:szCs w:val="24"/>
        </w:rPr>
      </w:pPr>
      <w:r w:rsidRPr="00990B53">
        <w:rPr>
          <w:rFonts w:ascii="Times New Roman" w:hAnsi="Times New Roman" w:cs="Times New Roman"/>
          <w:b/>
          <w:bCs/>
          <w:sz w:val="24"/>
          <w:szCs w:val="24"/>
        </w:rPr>
        <w:t>REFLECTIVE ASSIGNMENT</w:t>
      </w:r>
    </w:p>
    <w:p w14:paraId="469B5009" w14:textId="4F5A5098" w:rsidR="00990B53" w:rsidRPr="00990B53" w:rsidRDefault="00990B53" w:rsidP="00990B53">
      <w:pPr>
        <w:spacing w:line="360" w:lineRule="auto"/>
        <w:rPr>
          <w:rFonts w:ascii="Times New Roman" w:hAnsi="Times New Roman" w:cs="Times New Roman"/>
        </w:rPr>
      </w:pPr>
    </w:p>
    <w:p w14:paraId="6EA55E2D" w14:textId="77777777" w:rsidR="00990B53" w:rsidRPr="00990B53" w:rsidRDefault="00990B53" w:rsidP="00990B53">
      <w:pPr>
        <w:spacing w:line="360" w:lineRule="auto"/>
        <w:ind w:firstLine="720"/>
        <w:contextualSpacing/>
        <w:rPr>
          <w:rFonts w:ascii="Times New Roman" w:hAnsi="Times New Roman" w:cs="Times New Roman"/>
          <w:sz w:val="24"/>
          <w:szCs w:val="24"/>
        </w:rPr>
      </w:pPr>
    </w:p>
    <w:p w14:paraId="591ACFA5" w14:textId="77777777" w:rsidR="00990B53" w:rsidRPr="00990B53" w:rsidRDefault="00990B53" w:rsidP="00990B53">
      <w:pPr>
        <w:spacing w:line="360" w:lineRule="auto"/>
        <w:contextualSpacing/>
        <w:jc w:val="center"/>
        <w:rPr>
          <w:rFonts w:ascii="Times New Roman" w:hAnsi="Times New Roman" w:cs="Times New Roman"/>
          <w:sz w:val="24"/>
          <w:szCs w:val="24"/>
        </w:rPr>
      </w:pPr>
      <w:r w:rsidRPr="00990B53">
        <w:rPr>
          <w:rFonts w:ascii="Times New Roman" w:hAnsi="Times New Roman" w:cs="Times New Roman"/>
          <w:sz w:val="24"/>
          <w:szCs w:val="24"/>
        </w:rPr>
        <w:t xml:space="preserve">Student’s Name: Doru-Sorin </w:t>
      </w:r>
      <w:proofErr w:type="spellStart"/>
      <w:r w:rsidRPr="00990B53">
        <w:rPr>
          <w:rFonts w:ascii="Times New Roman" w:hAnsi="Times New Roman" w:cs="Times New Roman"/>
          <w:sz w:val="24"/>
          <w:szCs w:val="24"/>
        </w:rPr>
        <w:t>Stavru</w:t>
      </w:r>
      <w:proofErr w:type="spellEnd"/>
    </w:p>
    <w:p w14:paraId="749CCAF9" w14:textId="77777777" w:rsidR="00990B53" w:rsidRPr="00990B53" w:rsidRDefault="00990B53" w:rsidP="00990B53">
      <w:pPr>
        <w:spacing w:line="360" w:lineRule="auto"/>
        <w:contextualSpacing/>
        <w:jc w:val="center"/>
        <w:rPr>
          <w:rFonts w:ascii="Times New Roman" w:hAnsi="Times New Roman" w:cs="Times New Roman"/>
          <w:sz w:val="24"/>
          <w:szCs w:val="24"/>
        </w:rPr>
      </w:pPr>
      <w:r w:rsidRPr="00990B53">
        <w:rPr>
          <w:rFonts w:ascii="Times New Roman" w:hAnsi="Times New Roman" w:cs="Times New Roman"/>
          <w:sz w:val="24"/>
          <w:szCs w:val="24"/>
        </w:rPr>
        <w:t>Student’s Number: 1922008</w:t>
      </w:r>
    </w:p>
    <w:p w14:paraId="3E23B116" w14:textId="703F5A63" w:rsidR="00990B53" w:rsidRPr="00990B53" w:rsidRDefault="00990B53" w:rsidP="00990B53">
      <w:pPr>
        <w:spacing w:line="360" w:lineRule="auto"/>
        <w:contextualSpacing/>
        <w:jc w:val="center"/>
        <w:rPr>
          <w:rFonts w:ascii="Times New Roman" w:hAnsi="Times New Roman" w:cs="Times New Roman"/>
          <w:sz w:val="24"/>
          <w:szCs w:val="24"/>
        </w:rPr>
      </w:pPr>
      <w:r w:rsidRPr="00990B53">
        <w:rPr>
          <w:rFonts w:ascii="Times New Roman" w:hAnsi="Times New Roman" w:cs="Times New Roman"/>
          <w:sz w:val="24"/>
          <w:szCs w:val="24"/>
        </w:rPr>
        <w:t xml:space="preserve">Module Title: </w:t>
      </w:r>
      <w:r w:rsidRPr="00990B53">
        <w:rPr>
          <w:rFonts w:ascii="Times New Roman" w:hAnsi="Times New Roman" w:cs="Times New Roman"/>
          <w:sz w:val="24"/>
          <w:szCs w:val="24"/>
        </w:rPr>
        <w:t>Community Engagement</w:t>
      </w:r>
    </w:p>
    <w:p w14:paraId="56D2C390" w14:textId="705692D1" w:rsidR="00990B53" w:rsidRPr="00990B53" w:rsidRDefault="00990B53" w:rsidP="00990B53">
      <w:pPr>
        <w:spacing w:line="360" w:lineRule="auto"/>
        <w:rPr>
          <w:rFonts w:ascii="Times New Roman" w:hAnsi="Times New Roman" w:cs="Times New Roman"/>
        </w:rPr>
      </w:pPr>
    </w:p>
    <w:p w14:paraId="444B4B32" w14:textId="17908CF7" w:rsidR="00990B53" w:rsidRPr="00990B53" w:rsidRDefault="00990B53" w:rsidP="00990B53">
      <w:pPr>
        <w:spacing w:line="360" w:lineRule="auto"/>
        <w:rPr>
          <w:rFonts w:ascii="Times New Roman" w:hAnsi="Times New Roman" w:cs="Times New Roman"/>
        </w:rPr>
      </w:pPr>
    </w:p>
    <w:p w14:paraId="1F7CA45E" w14:textId="345C8201" w:rsidR="00990B53" w:rsidRPr="00990B53" w:rsidRDefault="00990B53" w:rsidP="00990B53">
      <w:pPr>
        <w:spacing w:line="360" w:lineRule="auto"/>
        <w:rPr>
          <w:rFonts w:ascii="Times New Roman" w:hAnsi="Times New Roman" w:cs="Times New Roman"/>
        </w:rPr>
      </w:pPr>
    </w:p>
    <w:p w14:paraId="5BF42153" w14:textId="3FAF5980" w:rsidR="00990B53" w:rsidRPr="00990B53" w:rsidRDefault="00990B53" w:rsidP="00990B53">
      <w:pPr>
        <w:spacing w:line="360" w:lineRule="auto"/>
        <w:rPr>
          <w:rFonts w:ascii="Times New Roman" w:hAnsi="Times New Roman" w:cs="Times New Roman"/>
        </w:rPr>
      </w:pPr>
    </w:p>
    <w:p w14:paraId="45095000" w14:textId="114EFB4D" w:rsidR="00990B53" w:rsidRPr="00990B53" w:rsidRDefault="00990B53" w:rsidP="00990B53">
      <w:pPr>
        <w:spacing w:line="360" w:lineRule="auto"/>
        <w:rPr>
          <w:rFonts w:ascii="Times New Roman" w:hAnsi="Times New Roman" w:cs="Times New Roman"/>
        </w:rPr>
      </w:pPr>
    </w:p>
    <w:p w14:paraId="1E0B70A6" w14:textId="37ED4235" w:rsidR="00990B53" w:rsidRPr="00990B53" w:rsidRDefault="00990B53" w:rsidP="00990B53">
      <w:pPr>
        <w:spacing w:line="360" w:lineRule="auto"/>
        <w:rPr>
          <w:rFonts w:ascii="Times New Roman" w:hAnsi="Times New Roman" w:cs="Times New Roman"/>
        </w:rPr>
      </w:pPr>
    </w:p>
    <w:p w14:paraId="2411C40C" w14:textId="589ABD33" w:rsidR="00990B53" w:rsidRPr="00990B53" w:rsidRDefault="00990B53" w:rsidP="00990B53">
      <w:pPr>
        <w:spacing w:line="360" w:lineRule="auto"/>
        <w:rPr>
          <w:rFonts w:ascii="Times New Roman" w:hAnsi="Times New Roman" w:cs="Times New Roman"/>
        </w:rPr>
      </w:pPr>
    </w:p>
    <w:p w14:paraId="43593A40" w14:textId="511C723B" w:rsidR="00990B53" w:rsidRPr="00990B53" w:rsidRDefault="00990B53" w:rsidP="00990B53">
      <w:pPr>
        <w:spacing w:line="360" w:lineRule="auto"/>
        <w:rPr>
          <w:rFonts w:ascii="Times New Roman" w:hAnsi="Times New Roman" w:cs="Times New Roman"/>
        </w:rPr>
      </w:pPr>
    </w:p>
    <w:p w14:paraId="4B571820" w14:textId="67456388" w:rsidR="00990B53" w:rsidRPr="00990B53" w:rsidRDefault="00990B53" w:rsidP="00990B53">
      <w:pPr>
        <w:spacing w:line="360" w:lineRule="auto"/>
        <w:rPr>
          <w:rFonts w:ascii="Times New Roman" w:hAnsi="Times New Roman" w:cs="Times New Roman"/>
        </w:rPr>
      </w:pPr>
    </w:p>
    <w:p w14:paraId="6C08456D" w14:textId="145C4B74" w:rsidR="00990B53" w:rsidRPr="00990B53" w:rsidRDefault="00990B53" w:rsidP="00990B53">
      <w:pPr>
        <w:spacing w:line="360" w:lineRule="auto"/>
        <w:rPr>
          <w:rFonts w:ascii="Times New Roman" w:hAnsi="Times New Roman" w:cs="Times New Roman"/>
        </w:rPr>
      </w:pPr>
    </w:p>
    <w:p w14:paraId="1696036E"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lastRenderedPageBreak/>
        <w:t>Introduction</w:t>
      </w:r>
    </w:p>
    <w:p w14:paraId="140E4BAF" w14:textId="17AE0AD3"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Our society is generally faced with a myriad of environmental and social risks such as climate change that has brought about global warming. Such instances require collective effort from the corporate world and the community members to bring about change. A company acting on its own will can barely achieve the </w:t>
      </w:r>
      <w:r w:rsidRPr="00990B53">
        <w:rPr>
          <w:rFonts w:ascii="Times New Roman" w:hAnsi="Times New Roman" w:cs="Times New Roman"/>
          <w:sz w:val="24"/>
          <w:szCs w:val="24"/>
        </w:rPr>
        <w:t>wellbeing</w:t>
      </w:r>
      <w:r w:rsidRPr="00990B53">
        <w:rPr>
          <w:rFonts w:ascii="Times New Roman" w:hAnsi="Times New Roman" w:cs="Times New Roman"/>
          <w:sz w:val="24"/>
          <w:szCs w:val="24"/>
        </w:rPr>
        <w:t xml:space="preserve"> of the entire society. Resources are therefore pulled together to brainstorm, analyze the </w:t>
      </w:r>
      <w:r w:rsidRPr="00990B53">
        <w:rPr>
          <w:rFonts w:ascii="Times New Roman" w:hAnsi="Times New Roman" w:cs="Times New Roman"/>
          <w:sz w:val="24"/>
          <w:szCs w:val="24"/>
        </w:rPr>
        <w:t>situation,</w:t>
      </w:r>
      <w:r w:rsidRPr="00990B53">
        <w:rPr>
          <w:rFonts w:ascii="Times New Roman" w:hAnsi="Times New Roman" w:cs="Times New Roman"/>
          <w:sz w:val="24"/>
          <w:szCs w:val="24"/>
        </w:rPr>
        <w:t xml:space="preserve"> and come up with amicable ways of resolving the problem. Business organizations therefore target to focus on issues emanating from the society they operate in resulting </w:t>
      </w:r>
      <w:r w:rsidRPr="00990B53">
        <w:rPr>
          <w:rFonts w:ascii="Times New Roman" w:hAnsi="Times New Roman" w:cs="Times New Roman"/>
          <w:sz w:val="24"/>
          <w:szCs w:val="24"/>
        </w:rPr>
        <w:t>into</w:t>
      </w:r>
      <w:r w:rsidRPr="00990B53">
        <w:rPr>
          <w:rFonts w:ascii="Times New Roman" w:hAnsi="Times New Roman" w:cs="Times New Roman"/>
          <w:sz w:val="24"/>
          <w:szCs w:val="24"/>
        </w:rPr>
        <w:t xml:space="preserve"> community engagement. This can also be viewed as being part of Corporate Social Responsibility (CSR) as its core aim is to partner with the members of the community in bringing about development in the said society.</w:t>
      </w:r>
    </w:p>
    <w:p w14:paraId="037A3F50"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Background</w:t>
      </w:r>
    </w:p>
    <w:p w14:paraId="03DB7F29"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In this writing, I endeavor to digress whether community engagement is effective, how community engagement is realized and the theories and frameworks in which it operates. Stakeholder involvement as a method of community engagement will also be analyzed accordingly. I will then finally render my opinion on the different models of community engagement used by the community. I will also delve into the challenges encountered and various recommendations that can enhance community engagement in the nearer future.</w:t>
      </w:r>
    </w:p>
    <w:p w14:paraId="4B80D9E8" w14:textId="700CEC24"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Use of Ultra Low Emission Zone (ULEZ) has largely impacted on environmental conservation by significantly reducing air pollution and greatly improving the health of the residents in London. It has become an enforceable law that vehicles using the Central region should meet the criteria of </w:t>
      </w:r>
      <w:r w:rsidRPr="00990B53">
        <w:rPr>
          <w:rFonts w:ascii="Times New Roman" w:hAnsi="Times New Roman" w:cs="Times New Roman"/>
          <w:sz w:val="24"/>
          <w:szCs w:val="24"/>
        </w:rPr>
        <w:t>ultra-low</w:t>
      </w:r>
      <w:r w:rsidRPr="00990B53">
        <w:rPr>
          <w:rFonts w:ascii="Times New Roman" w:hAnsi="Times New Roman" w:cs="Times New Roman"/>
          <w:sz w:val="24"/>
          <w:szCs w:val="24"/>
        </w:rPr>
        <w:t xml:space="preserve"> emission and this move has worked tremendously in bringing about change in the region. This is facilitated by use of cameras that monitor the entry and exit of vehicles within the demarcated Central London area. This act by the mayor of London has reduced the harsh effects of air pollution in the said geographical area and laid a good foundation for community engagement.</w:t>
      </w:r>
    </w:p>
    <w:p w14:paraId="144DC3F8"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Methods</w:t>
      </w:r>
    </w:p>
    <w:p w14:paraId="0663B626"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In this context, community engagement is not a single project. It involved both the State and its residents in order to achieve the desired outcome. Community engagement approaches such as leadership groups, neighborhood committees and community workshops are what constitute community engagement. These approaches are effective in communicating the interests of the residents in relation to the project. These structures in the community set up have been reliable </w:t>
      </w:r>
      <w:r w:rsidRPr="00990B53">
        <w:rPr>
          <w:rFonts w:ascii="Times New Roman" w:hAnsi="Times New Roman" w:cs="Times New Roman"/>
          <w:sz w:val="24"/>
          <w:szCs w:val="24"/>
        </w:rPr>
        <w:lastRenderedPageBreak/>
        <w:t>in authenticating and engaging in the ULEZ project. This shows that power has been decentralized from the Mayor right to the common resident in the community in the knowledge and transformation of Ultra Low Emission.</w:t>
      </w:r>
    </w:p>
    <w:p w14:paraId="3A4F73FF"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The public was essential in the practicality of this project (Newman, 2021). A need was first realized; tackling of the air pollution issue that highly affected the citizens of London. It disadvantaged them by causing health havocs as the air inhaled on a daily was highly pollutant, putting them at risk of facing an earlier death. The need by the State to deal with this and the equal need by the residents to work and interact in a good atmosphere fostered this union in community engagement as the outcome was synchronized (Newman et al., 2019). The citizens stand to benefit health wise whilst promoting environmental conservation and influencing a positive outlook in climatic changes. Working towards this same goal eventually led to community gains and was a commendable act of good and responsible citizenship. </w:t>
      </w:r>
    </w:p>
    <w:p w14:paraId="1521CD37"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The common urge to make a difference in the community necessitated the change the individual residents wanted (Brunton et al., 2017). This motivated them to work in tandem with the mayor in securing and enhancing Central London. The community was a timely engaged in matters such as local development of low emission environmentally friendly vehicles which created a partnership between the government and the citizens. They spearheaded the design and delivery of the vehicle models that were standard and fit for use. The awareness of this project, largely achieved through social media platforms fostered this impeccable collaboration between the State and the community in enhancing this project (Taylor, 2017).  This also gave ample time to the community members to conceptualize the ideas, have a mind shift that will spark the need to embrace and implement the changes. </w:t>
      </w:r>
    </w:p>
    <w:p w14:paraId="4CCA66B6"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Results</w:t>
      </w:r>
    </w:p>
    <w:p w14:paraId="0BD322A5"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The government policy to address the issue of massive pollution in the region would not have been highly effective were it not for the mediating factors that promoted community engagement. The attitude towards this project is one such key factor. The goodwill of the people and voluntary willingness to partake of this project made it easier for the Government to carry it out to completion. There was the element of solidarity and unity among the citizens that propelled positive outcomes of the project. The type of discourse proposed by the State was a matter that was relevant and suitable for the community members as it revolved around the challenges they encountered in their day-to- day lives. When pitching the idea to the residents, it was then </w:t>
      </w:r>
      <w:proofErr w:type="gramStart"/>
      <w:r w:rsidRPr="00990B53">
        <w:rPr>
          <w:rFonts w:ascii="Times New Roman" w:hAnsi="Times New Roman" w:cs="Times New Roman"/>
          <w:sz w:val="24"/>
          <w:szCs w:val="24"/>
        </w:rPr>
        <w:t>we’ll</w:t>
      </w:r>
      <w:proofErr w:type="gramEnd"/>
      <w:r w:rsidRPr="00990B53">
        <w:rPr>
          <w:rFonts w:ascii="Times New Roman" w:hAnsi="Times New Roman" w:cs="Times New Roman"/>
          <w:sz w:val="24"/>
          <w:szCs w:val="24"/>
        </w:rPr>
        <w:t xml:space="preserve"> received and in conformity to their needs. </w:t>
      </w:r>
    </w:p>
    <w:p w14:paraId="3DE4D534"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lastRenderedPageBreak/>
        <w:t xml:space="preserve">The sustainability of the ULEZ project could be gauged by various factors. The level of enthusiasm by the community members cannot go unnoticed. The residents were thrilled to enforce the measures and there was barely any skepticism about the introduction of ULEZ to enhance their livelihood as a community (Simonsen-Rehn et al., 2016). This positive reception and goodwill by the people only served to ease the process put in place to have ULEZ up and functioning. Empowerment of the people fostered a good working relationship. Knowledge and information were made available to the residents outlining the need and purpose of this project, how it would work and how they stood to benefit as a result of its proper running (Brunton et al., 2017). This method of civic engagement led to accountability and transparency of the procedure to be carried out. Trust, a vital virtue, also developed towards the mayor's proposals. </w:t>
      </w:r>
    </w:p>
    <w:p w14:paraId="0ED40DC0"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Findings</w:t>
      </w:r>
    </w:p>
    <w:p w14:paraId="78203AC4" w14:textId="250B1535"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The conditions having been set and proved to be advantageous to the process, the actions now had to be undertaken. This basically involved certain process and evaluations. First, there is collective decision making. Input by the residents who were affected by this process was necessary to weigh its efficacy. Positive reactions by the residents showed immense support to the proposed project. Citizens could weigh in on the matter and their input taken into consideration to shape the outcome that was satisfactory for both sides (Ritchie et al., 2013). Communication factored in promoted the interpersonal skills of the employees such as teamwork and confidence. The human interaction made it possible for the community members needs to be heard and </w:t>
      </w:r>
      <w:r w:rsidRPr="00990B53">
        <w:rPr>
          <w:rFonts w:ascii="Times New Roman" w:hAnsi="Times New Roman" w:cs="Times New Roman"/>
          <w:sz w:val="24"/>
          <w:szCs w:val="24"/>
        </w:rPr>
        <w:t>considered</w:t>
      </w:r>
      <w:r w:rsidRPr="00990B53">
        <w:rPr>
          <w:rFonts w:ascii="Times New Roman" w:hAnsi="Times New Roman" w:cs="Times New Roman"/>
          <w:sz w:val="24"/>
          <w:szCs w:val="24"/>
        </w:rPr>
        <w:t xml:space="preserve"> when making further decisions.</w:t>
      </w:r>
    </w:p>
    <w:p w14:paraId="077B5E01" w14:textId="5D2E6DF3"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Training and administration support was also necessary to know how to go about the project. It was necessary for the citizens to know </w:t>
      </w:r>
      <w:r w:rsidRPr="00990B53">
        <w:rPr>
          <w:rFonts w:ascii="Times New Roman" w:hAnsi="Times New Roman" w:cs="Times New Roman"/>
          <w:sz w:val="24"/>
          <w:szCs w:val="24"/>
        </w:rPr>
        <w:t>firsthand</w:t>
      </w:r>
      <w:r w:rsidRPr="00990B53">
        <w:rPr>
          <w:rFonts w:ascii="Times New Roman" w:hAnsi="Times New Roman" w:cs="Times New Roman"/>
          <w:sz w:val="24"/>
          <w:szCs w:val="24"/>
        </w:rPr>
        <w:t xml:space="preserve"> what was expected of them with regards ULEZ and the manner in which that was to be achieved. This included such things are modifications or alterations of their vehicles to serve the intended purpose. Duration of the process was an essential factor in making sure the goal was time bound. Setting of a specific period creates confidence in the residents that the mayor would deliver in time (Miles &amp; Huberman, 2016). This also served accountability purposes in case the project had not been implemented in due date. Furthermore, scheduling of the processes is made </w:t>
      </w:r>
      <w:r w:rsidRPr="00990B53">
        <w:rPr>
          <w:rFonts w:ascii="Times New Roman" w:hAnsi="Times New Roman" w:cs="Times New Roman"/>
          <w:sz w:val="24"/>
          <w:szCs w:val="24"/>
        </w:rPr>
        <w:t>easier,</w:t>
      </w:r>
      <w:r w:rsidRPr="00990B53">
        <w:rPr>
          <w:rFonts w:ascii="Times New Roman" w:hAnsi="Times New Roman" w:cs="Times New Roman"/>
          <w:sz w:val="24"/>
          <w:szCs w:val="24"/>
        </w:rPr>
        <w:t xml:space="preserve"> and progress can easily be tracked. Community engagement ensures that the government is up to speed with the project at an indicated timeline. </w:t>
      </w:r>
    </w:p>
    <w:p w14:paraId="22D1F5F3" w14:textId="15C47DE2"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lastRenderedPageBreak/>
        <w:t>Feasibility of the project is also put to get in community engagement. Pros and cons are considered among other factors such as intentions and the desired outcome. This gives an overview on whether the project proposal will suffice or not (</w:t>
      </w:r>
      <w:proofErr w:type="spellStart"/>
      <w:r w:rsidRPr="00990B53">
        <w:rPr>
          <w:rFonts w:ascii="Times New Roman" w:hAnsi="Times New Roman" w:cs="Times New Roman"/>
          <w:sz w:val="24"/>
          <w:szCs w:val="24"/>
        </w:rPr>
        <w:t>Darbas</w:t>
      </w:r>
      <w:proofErr w:type="spellEnd"/>
      <w:r w:rsidRPr="00990B53">
        <w:rPr>
          <w:rFonts w:ascii="Times New Roman" w:hAnsi="Times New Roman" w:cs="Times New Roman"/>
          <w:sz w:val="24"/>
          <w:szCs w:val="24"/>
        </w:rPr>
        <w:t xml:space="preserve">, Smith &amp; Hall, 2017). Informed decision can be made upon considering all factors that are considered for it to prevail; both internal and external. Cost to be incurred and resources needed needs funding and proper budgeting. Cost analysis helps prepare the budget and ensures that there is no misappropriation of the funds set aside to carry out the project (Barnes, Sullivan &amp; </w:t>
      </w:r>
      <w:proofErr w:type="spellStart"/>
      <w:r w:rsidRPr="00990B53">
        <w:rPr>
          <w:rFonts w:ascii="Times New Roman" w:hAnsi="Times New Roman" w:cs="Times New Roman"/>
          <w:sz w:val="24"/>
          <w:szCs w:val="24"/>
        </w:rPr>
        <w:t>Matka</w:t>
      </w:r>
      <w:proofErr w:type="spellEnd"/>
      <w:r w:rsidRPr="00990B53">
        <w:rPr>
          <w:rFonts w:ascii="Times New Roman" w:hAnsi="Times New Roman" w:cs="Times New Roman"/>
          <w:sz w:val="24"/>
          <w:szCs w:val="24"/>
        </w:rPr>
        <w:t xml:space="preserve">, 2018). Labor, </w:t>
      </w:r>
      <w:r w:rsidRPr="00990B53">
        <w:rPr>
          <w:rFonts w:ascii="Times New Roman" w:hAnsi="Times New Roman" w:cs="Times New Roman"/>
          <w:sz w:val="24"/>
          <w:szCs w:val="24"/>
        </w:rPr>
        <w:t>maintenance,</w:t>
      </w:r>
      <w:r w:rsidRPr="00990B53">
        <w:rPr>
          <w:rFonts w:ascii="Times New Roman" w:hAnsi="Times New Roman" w:cs="Times New Roman"/>
          <w:sz w:val="24"/>
          <w:szCs w:val="24"/>
        </w:rPr>
        <w:t xml:space="preserve"> and raw materials needed were carefully calculated to determine the overall costs that would be incurred by the State in the project. Upon putting the structures in to place, it was also essential to monitor how long it would take for the results to be visible. It is not enough that the ULEZ project be put in place but also equally important that the intended purpose of curbing pollution be attained.</w:t>
      </w:r>
    </w:p>
    <w:p w14:paraId="6BD53DD9"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Social media as a tool for community has made the spread of information quite easier. Use of tools such as twitter, articles and blog posts have aided in creating awareness of the project among the people. This has also allowed for input by various people and experts in further enhancing the project. This channel has also provided information to do with the project, ensuring residents are well equipped with the knowledge on how to maneuver through the use of ULEZ. There is also the undeniable aspect of ease of reach to the citizens and thus communications and new developments regarding the project can be updated (Bandura &amp; McClelland, 2017). Social media has undoubtedly made ease of communication and helped connect the various stakeholders that have an interest in the project. </w:t>
      </w:r>
    </w:p>
    <w:p w14:paraId="6EB28E1D" w14:textId="13363F78"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There have been immense benefits arising from the ULEZ project. The active engagement of the residents has fostered a good relationship between them and the State. Collective effort makes acceptance and overall implementation less strenuous. There is increased innovation as a result of engaging the citizens in this process. The ULEZ concept has created avenues for further enhancement of this environmentally friendly mechanism. Practicality of the initiative has been realized as it is now in operation. The reception and efficacy have paved way for the ULEZ initiative to be expanded in the North and South of London. This partnership between the government and the community has indeed yielded positive results that help shape future community engagement projects.</w:t>
      </w:r>
    </w:p>
    <w:p w14:paraId="5302D81C"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Recommendations</w:t>
      </w:r>
    </w:p>
    <w:p w14:paraId="2F298177"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lastRenderedPageBreak/>
        <w:t xml:space="preserve">Based on the above findings, I would recommend that community engagement initiatives be tailored to the population needs and interests. ULEZ was perfectly custom made to deal with the air pollution issue that the residents in London faced. This was a clear indication that the State was acting in solving the immediate problems of the community it operated in. Community engagement will therefore suffice given that the initiated ULEZ project solves the problems of the residents. Community engagement approaches should also be put through keen evaluation before being adopted (Birchall &amp; Simmons, 2020). This involves an analysis of the risk’s vis a vis the benefits of the initiatives. There should be clear direction on what is to be done, when it ought to be done, how it is being carried out and why it is being suggested in the first place. This maps out all factors to be considered and checks the list as to whether the proposed community engagement is a viable option or not. </w:t>
      </w:r>
    </w:p>
    <w:p w14:paraId="66587D28" w14:textId="00B3302C"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 xml:space="preserve">There must also be a window to consideration and mitigation of any possible arising adverse or harsh effects. The project should be to the merit and not detriment of the community. All possible foreseeable dangers should be fished out and measures undertaken to ease the emerging problem. Laws can also be put in place to give directions on what is to be done if a problem arises along the way (Greenhalgh et al. 2015). In addition to that, the inclusion of diverse stakeholders should not be at the expense of consensus building. The interests of the community are the main focus and not individualistic preferences. That should be put into account when commencing a community engagement initiative. Lastly, the community engagement initiative should actually create room for active participation of the residents. That is what essentially makes it a community engagement program. A project that is dubbed as a "community engagement " initiative but fails to incorporate the community aspect is null and void as it does not meet the basic requirements. </w:t>
      </w:r>
    </w:p>
    <w:p w14:paraId="6BC659F2" w14:textId="77777777" w:rsidR="00990B53" w:rsidRPr="00990B53" w:rsidRDefault="00990B53" w:rsidP="00990B53">
      <w:pPr>
        <w:spacing w:line="360" w:lineRule="auto"/>
        <w:jc w:val="both"/>
        <w:rPr>
          <w:rFonts w:ascii="Times New Roman" w:hAnsi="Times New Roman" w:cs="Times New Roman"/>
          <w:b/>
          <w:bCs/>
          <w:sz w:val="24"/>
          <w:szCs w:val="24"/>
        </w:rPr>
      </w:pPr>
      <w:r w:rsidRPr="00990B53">
        <w:rPr>
          <w:rFonts w:ascii="Times New Roman" w:hAnsi="Times New Roman" w:cs="Times New Roman"/>
          <w:b/>
          <w:bCs/>
          <w:sz w:val="24"/>
          <w:szCs w:val="24"/>
        </w:rPr>
        <w:t>Conclusion</w:t>
      </w:r>
    </w:p>
    <w:p w14:paraId="337580C4"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t>Underlying health conditions that are as a result of pollution have significantly reduced leading to a healthier and vibrant community. Residents have adapted and easily transitioned to the use of ULEZ this adhering to the set guidelines when operation in the low emission zones. Community engagement is an appropriate channel in the realization of development projects.</w:t>
      </w:r>
    </w:p>
    <w:p w14:paraId="5AC42E5B" w14:textId="77777777" w:rsidR="00990B53" w:rsidRDefault="00990B53" w:rsidP="00990B53">
      <w:pPr>
        <w:spacing w:line="360" w:lineRule="auto"/>
        <w:rPr>
          <w:rFonts w:ascii="Times New Roman" w:hAnsi="Times New Roman" w:cs="Times New Roman"/>
          <w:b/>
          <w:bCs/>
          <w:sz w:val="24"/>
          <w:szCs w:val="24"/>
        </w:rPr>
      </w:pPr>
    </w:p>
    <w:p w14:paraId="51D4E974" w14:textId="3ACC1B96" w:rsidR="00990B53" w:rsidRDefault="00990B53" w:rsidP="00990B53">
      <w:pPr>
        <w:spacing w:line="360" w:lineRule="auto"/>
        <w:rPr>
          <w:rFonts w:ascii="Times New Roman" w:hAnsi="Times New Roman" w:cs="Times New Roman"/>
          <w:b/>
          <w:bCs/>
          <w:sz w:val="24"/>
          <w:szCs w:val="24"/>
        </w:rPr>
      </w:pPr>
    </w:p>
    <w:p w14:paraId="434B22BB" w14:textId="77777777" w:rsidR="00990B53" w:rsidRDefault="00990B53" w:rsidP="00990B53">
      <w:pPr>
        <w:spacing w:line="360" w:lineRule="auto"/>
        <w:rPr>
          <w:rFonts w:ascii="Times New Roman" w:hAnsi="Times New Roman" w:cs="Times New Roman"/>
          <w:b/>
          <w:bCs/>
          <w:sz w:val="24"/>
          <w:szCs w:val="24"/>
        </w:rPr>
      </w:pPr>
    </w:p>
    <w:p w14:paraId="5B06979D" w14:textId="33334B1A" w:rsidR="00990B53" w:rsidRPr="00990B53" w:rsidRDefault="00990B53" w:rsidP="00990B53">
      <w:pPr>
        <w:spacing w:line="360" w:lineRule="auto"/>
        <w:rPr>
          <w:rFonts w:ascii="Times New Roman" w:hAnsi="Times New Roman" w:cs="Times New Roman"/>
          <w:b/>
          <w:bCs/>
          <w:sz w:val="24"/>
          <w:szCs w:val="24"/>
        </w:rPr>
      </w:pPr>
      <w:r w:rsidRPr="00990B53">
        <w:rPr>
          <w:rFonts w:ascii="Times New Roman" w:hAnsi="Times New Roman" w:cs="Times New Roman"/>
          <w:b/>
          <w:bCs/>
          <w:sz w:val="24"/>
          <w:szCs w:val="24"/>
        </w:rPr>
        <w:lastRenderedPageBreak/>
        <w:t>Reference List</w:t>
      </w:r>
    </w:p>
    <w:p w14:paraId="26F3544D"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 xml:space="preserve">Greenhalgh, T., Robert, G., Macfarlane, F., Bate, P., </w:t>
      </w:r>
      <w:proofErr w:type="spellStart"/>
      <w:r w:rsidRPr="00990B53">
        <w:rPr>
          <w:rFonts w:ascii="Times New Roman" w:hAnsi="Times New Roman" w:cs="Times New Roman"/>
          <w:sz w:val="24"/>
          <w:szCs w:val="24"/>
        </w:rPr>
        <w:t>Kyriakidou</w:t>
      </w:r>
      <w:proofErr w:type="spellEnd"/>
      <w:r w:rsidRPr="00990B53">
        <w:rPr>
          <w:rFonts w:ascii="Times New Roman" w:hAnsi="Times New Roman" w:cs="Times New Roman"/>
          <w:sz w:val="24"/>
          <w:szCs w:val="24"/>
        </w:rPr>
        <w:t>, O., &amp; Peacock, R. (2015). Storylines of research in diffusion of innovation: a meta-narrative approach to systematic review. </w:t>
      </w:r>
      <w:r w:rsidRPr="00990B53">
        <w:rPr>
          <w:rFonts w:ascii="Times New Roman" w:hAnsi="Times New Roman" w:cs="Times New Roman"/>
          <w:i/>
          <w:iCs/>
          <w:sz w:val="24"/>
          <w:szCs w:val="24"/>
        </w:rPr>
        <w:t>Social science &amp; medicine</w:t>
      </w:r>
      <w:r w:rsidRPr="00990B53">
        <w:rPr>
          <w:rFonts w:ascii="Times New Roman" w:hAnsi="Times New Roman" w:cs="Times New Roman"/>
          <w:sz w:val="24"/>
          <w:szCs w:val="24"/>
        </w:rPr>
        <w:t>, </w:t>
      </w:r>
      <w:r w:rsidRPr="00990B53">
        <w:rPr>
          <w:rFonts w:ascii="Times New Roman" w:hAnsi="Times New Roman" w:cs="Times New Roman"/>
          <w:i/>
          <w:iCs/>
          <w:sz w:val="24"/>
          <w:szCs w:val="24"/>
        </w:rPr>
        <w:t>61</w:t>
      </w:r>
      <w:r w:rsidRPr="00990B53">
        <w:rPr>
          <w:rFonts w:ascii="Times New Roman" w:hAnsi="Times New Roman" w:cs="Times New Roman"/>
          <w:sz w:val="24"/>
          <w:szCs w:val="24"/>
        </w:rPr>
        <w:t>(2), 417-430.</w:t>
      </w:r>
    </w:p>
    <w:p w14:paraId="5FF5E7E3"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Bandura, A., &amp; McClelland, D. C. (2017). Social learning theory (Vol. 1). Prentice Hall: Englewood cliffs.</w:t>
      </w:r>
    </w:p>
    <w:p w14:paraId="77CDC81A"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 xml:space="preserve">Barnes, M., Sullivan, H. C., &amp; </w:t>
      </w:r>
      <w:proofErr w:type="spellStart"/>
      <w:r w:rsidRPr="00990B53">
        <w:rPr>
          <w:rFonts w:ascii="Times New Roman" w:hAnsi="Times New Roman" w:cs="Times New Roman"/>
          <w:sz w:val="24"/>
          <w:szCs w:val="24"/>
        </w:rPr>
        <w:t>Matka</w:t>
      </w:r>
      <w:proofErr w:type="spellEnd"/>
      <w:r w:rsidRPr="00990B53">
        <w:rPr>
          <w:rFonts w:ascii="Times New Roman" w:hAnsi="Times New Roman" w:cs="Times New Roman"/>
          <w:sz w:val="24"/>
          <w:szCs w:val="24"/>
        </w:rPr>
        <w:t>, E. (2018). </w:t>
      </w:r>
      <w:r w:rsidRPr="00990B53">
        <w:rPr>
          <w:rFonts w:ascii="Times New Roman" w:hAnsi="Times New Roman" w:cs="Times New Roman"/>
          <w:i/>
          <w:iCs/>
          <w:sz w:val="24"/>
          <w:szCs w:val="24"/>
        </w:rPr>
        <w:t>The development of collaborative capacity in health action zones: a final report from the national evaluation</w:t>
      </w:r>
      <w:r w:rsidRPr="00990B53">
        <w:rPr>
          <w:rFonts w:ascii="Times New Roman" w:hAnsi="Times New Roman" w:cs="Times New Roman"/>
          <w:sz w:val="24"/>
          <w:szCs w:val="24"/>
        </w:rPr>
        <w:t>. University of Birmingham.</w:t>
      </w:r>
    </w:p>
    <w:p w14:paraId="2C828914"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Birchall, J., &amp; Simmons, R. (2020). User power: The participation of users in public services.</w:t>
      </w:r>
    </w:p>
    <w:p w14:paraId="26D19304"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Brunton, G., Thomas, J., O’Mara-Eves, A., Jamal, F., Oliver, S., &amp; Kavanagh, J. (2017). Narratives of community engagement: a systematic review-derived conceptual framework for public interventions. </w:t>
      </w:r>
      <w:r w:rsidRPr="00990B53">
        <w:rPr>
          <w:rFonts w:ascii="Times New Roman" w:hAnsi="Times New Roman" w:cs="Times New Roman"/>
          <w:i/>
          <w:iCs/>
          <w:sz w:val="24"/>
          <w:szCs w:val="24"/>
        </w:rPr>
        <w:t>BMC CSR</w:t>
      </w:r>
      <w:r w:rsidRPr="00990B53">
        <w:rPr>
          <w:rFonts w:ascii="Times New Roman" w:hAnsi="Times New Roman" w:cs="Times New Roman"/>
          <w:sz w:val="24"/>
          <w:szCs w:val="24"/>
        </w:rPr>
        <w:t>, </w:t>
      </w:r>
      <w:r w:rsidRPr="00990B53">
        <w:rPr>
          <w:rFonts w:ascii="Times New Roman" w:hAnsi="Times New Roman" w:cs="Times New Roman"/>
          <w:i/>
          <w:iCs/>
          <w:sz w:val="24"/>
          <w:szCs w:val="24"/>
        </w:rPr>
        <w:t>17</w:t>
      </w:r>
      <w:r w:rsidRPr="00990B53">
        <w:rPr>
          <w:rFonts w:ascii="Times New Roman" w:hAnsi="Times New Roman" w:cs="Times New Roman"/>
          <w:sz w:val="24"/>
          <w:szCs w:val="24"/>
        </w:rPr>
        <w:t>(1), 1-15.</w:t>
      </w:r>
    </w:p>
    <w:p w14:paraId="5101D69F" w14:textId="77777777" w:rsidR="00990B53" w:rsidRPr="00990B53" w:rsidRDefault="00990B53" w:rsidP="00990B53">
      <w:pPr>
        <w:spacing w:line="360" w:lineRule="auto"/>
        <w:ind w:left="1134" w:hanging="774"/>
        <w:jc w:val="both"/>
        <w:rPr>
          <w:rFonts w:ascii="Times New Roman" w:hAnsi="Times New Roman" w:cs="Times New Roman"/>
          <w:sz w:val="24"/>
          <w:szCs w:val="24"/>
        </w:rPr>
      </w:pPr>
      <w:proofErr w:type="spellStart"/>
      <w:r w:rsidRPr="00990B53">
        <w:rPr>
          <w:rFonts w:ascii="Times New Roman" w:hAnsi="Times New Roman" w:cs="Times New Roman"/>
          <w:sz w:val="24"/>
          <w:szCs w:val="24"/>
        </w:rPr>
        <w:t>Darbas</w:t>
      </w:r>
      <w:proofErr w:type="spellEnd"/>
      <w:r w:rsidRPr="00990B53">
        <w:rPr>
          <w:rFonts w:ascii="Times New Roman" w:hAnsi="Times New Roman" w:cs="Times New Roman"/>
          <w:sz w:val="24"/>
          <w:szCs w:val="24"/>
        </w:rPr>
        <w:t>, T., Smith, T., &amp; Hall, C. (2017). Case studies of community engagement: enhancing community engagement for NRM in the SEQ western catchment. </w:t>
      </w:r>
      <w:r w:rsidRPr="00990B53">
        <w:rPr>
          <w:rFonts w:ascii="Times New Roman" w:hAnsi="Times New Roman" w:cs="Times New Roman"/>
          <w:i/>
          <w:iCs/>
          <w:sz w:val="24"/>
          <w:szCs w:val="24"/>
        </w:rPr>
        <w:t>Queensland: CSIRO</w:t>
      </w:r>
      <w:r w:rsidRPr="00990B53">
        <w:rPr>
          <w:rFonts w:ascii="Times New Roman" w:hAnsi="Times New Roman" w:cs="Times New Roman"/>
          <w:sz w:val="24"/>
          <w:szCs w:val="24"/>
        </w:rPr>
        <w:t>.</w:t>
      </w:r>
    </w:p>
    <w:p w14:paraId="4E936741"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Miles, M. B., &amp; Huberman, A. M. (2016). </w:t>
      </w:r>
      <w:r w:rsidRPr="00990B53">
        <w:rPr>
          <w:rFonts w:ascii="Times New Roman" w:hAnsi="Times New Roman" w:cs="Times New Roman"/>
          <w:i/>
          <w:iCs/>
          <w:sz w:val="24"/>
          <w:szCs w:val="24"/>
        </w:rPr>
        <w:t>Qualitative data analysis: An expanded sourcebook</w:t>
      </w:r>
      <w:r w:rsidRPr="00990B53">
        <w:rPr>
          <w:rFonts w:ascii="Times New Roman" w:hAnsi="Times New Roman" w:cs="Times New Roman"/>
          <w:sz w:val="24"/>
          <w:szCs w:val="24"/>
        </w:rPr>
        <w:t>. sage.</w:t>
      </w:r>
    </w:p>
    <w:p w14:paraId="07ED0C1F"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Newman, J., Barnes, M., Sullivan, H., &amp; Knops, A. (2019). Public participation and collaborative governance. </w:t>
      </w:r>
      <w:r w:rsidRPr="00990B53">
        <w:rPr>
          <w:rFonts w:ascii="Times New Roman" w:hAnsi="Times New Roman" w:cs="Times New Roman"/>
          <w:i/>
          <w:iCs/>
          <w:sz w:val="24"/>
          <w:szCs w:val="24"/>
        </w:rPr>
        <w:t>Journal of social policy</w:t>
      </w:r>
      <w:r w:rsidRPr="00990B53">
        <w:rPr>
          <w:rFonts w:ascii="Times New Roman" w:hAnsi="Times New Roman" w:cs="Times New Roman"/>
          <w:sz w:val="24"/>
          <w:szCs w:val="24"/>
        </w:rPr>
        <w:t>, </w:t>
      </w:r>
      <w:r w:rsidRPr="00990B53">
        <w:rPr>
          <w:rFonts w:ascii="Times New Roman" w:hAnsi="Times New Roman" w:cs="Times New Roman"/>
          <w:i/>
          <w:iCs/>
          <w:sz w:val="24"/>
          <w:szCs w:val="24"/>
        </w:rPr>
        <w:t>33</w:t>
      </w:r>
      <w:r w:rsidRPr="00990B53">
        <w:rPr>
          <w:rFonts w:ascii="Times New Roman" w:hAnsi="Times New Roman" w:cs="Times New Roman"/>
          <w:sz w:val="24"/>
          <w:szCs w:val="24"/>
        </w:rPr>
        <w:t>(2), 203-223.</w:t>
      </w:r>
    </w:p>
    <w:p w14:paraId="2BF6BD22"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 xml:space="preserve">Ritchie, J., Lewis, J., Nicholls, C. M., &amp; </w:t>
      </w:r>
      <w:proofErr w:type="spellStart"/>
      <w:r w:rsidRPr="00990B53">
        <w:rPr>
          <w:rFonts w:ascii="Times New Roman" w:hAnsi="Times New Roman" w:cs="Times New Roman"/>
          <w:sz w:val="24"/>
          <w:szCs w:val="24"/>
        </w:rPr>
        <w:t>Ormston</w:t>
      </w:r>
      <w:proofErr w:type="spellEnd"/>
      <w:r w:rsidRPr="00990B53">
        <w:rPr>
          <w:rFonts w:ascii="Times New Roman" w:hAnsi="Times New Roman" w:cs="Times New Roman"/>
          <w:sz w:val="24"/>
          <w:szCs w:val="24"/>
        </w:rPr>
        <w:t>, R. (Eds.). (2013). </w:t>
      </w:r>
      <w:r w:rsidRPr="00990B53">
        <w:rPr>
          <w:rFonts w:ascii="Times New Roman" w:hAnsi="Times New Roman" w:cs="Times New Roman"/>
          <w:i/>
          <w:iCs/>
          <w:sz w:val="24"/>
          <w:szCs w:val="24"/>
        </w:rPr>
        <w:t>Qualitative research practice: A guide for social science students and researchers</w:t>
      </w:r>
      <w:r w:rsidRPr="00990B53">
        <w:rPr>
          <w:rFonts w:ascii="Times New Roman" w:hAnsi="Times New Roman" w:cs="Times New Roman"/>
          <w:sz w:val="24"/>
          <w:szCs w:val="24"/>
        </w:rPr>
        <w:t>. sage.</w:t>
      </w:r>
    </w:p>
    <w:p w14:paraId="33C279D9" w14:textId="77777777" w:rsidR="00990B53" w:rsidRPr="00990B53" w:rsidRDefault="00990B53" w:rsidP="00990B53">
      <w:pPr>
        <w:spacing w:line="360" w:lineRule="auto"/>
        <w:ind w:left="1134" w:hanging="774"/>
        <w:jc w:val="both"/>
        <w:rPr>
          <w:rFonts w:ascii="Times New Roman" w:hAnsi="Times New Roman" w:cs="Times New Roman"/>
          <w:sz w:val="24"/>
          <w:szCs w:val="24"/>
        </w:rPr>
      </w:pPr>
      <w:r w:rsidRPr="00990B53">
        <w:rPr>
          <w:rFonts w:ascii="Times New Roman" w:hAnsi="Times New Roman" w:cs="Times New Roman"/>
          <w:sz w:val="24"/>
          <w:szCs w:val="24"/>
        </w:rPr>
        <w:t xml:space="preserve">Simonsen-Rehn, N., </w:t>
      </w:r>
      <w:proofErr w:type="spellStart"/>
      <w:r w:rsidRPr="00990B53">
        <w:rPr>
          <w:rFonts w:ascii="Times New Roman" w:hAnsi="Times New Roman" w:cs="Times New Roman"/>
          <w:sz w:val="24"/>
          <w:szCs w:val="24"/>
        </w:rPr>
        <w:t>Øvretveit</w:t>
      </w:r>
      <w:proofErr w:type="spellEnd"/>
      <w:r w:rsidRPr="00990B53">
        <w:rPr>
          <w:rFonts w:ascii="Times New Roman" w:hAnsi="Times New Roman" w:cs="Times New Roman"/>
          <w:sz w:val="24"/>
          <w:szCs w:val="24"/>
        </w:rPr>
        <w:t xml:space="preserve">, J., </w:t>
      </w:r>
      <w:proofErr w:type="spellStart"/>
      <w:r w:rsidRPr="00990B53">
        <w:rPr>
          <w:rFonts w:ascii="Times New Roman" w:hAnsi="Times New Roman" w:cs="Times New Roman"/>
          <w:sz w:val="24"/>
          <w:szCs w:val="24"/>
        </w:rPr>
        <w:t>Laamanen</w:t>
      </w:r>
      <w:proofErr w:type="spellEnd"/>
      <w:r w:rsidRPr="00990B53">
        <w:rPr>
          <w:rFonts w:ascii="Times New Roman" w:hAnsi="Times New Roman" w:cs="Times New Roman"/>
          <w:sz w:val="24"/>
          <w:szCs w:val="24"/>
        </w:rPr>
        <w:t xml:space="preserve">, R., </w:t>
      </w:r>
      <w:proofErr w:type="spellStart"/>
      <w:r w:rsidRPr="00990B53">
        <w:rPr>
          <w:rFonts w:ascii="Times New Roman" w:hAnsi="Times New Roman" w:cs="Times New Roman"/>
          <w:sz w:val="24"/>
          <w:szCs w:val="24"/>
        </w:rPr>
        <w:t>Suominen</w:t>
      </w:r>
      <w:proofErr w:type="spellEnd"/>
      <w:r w:rsidRPr="00990B53">
        <w:rPr>
          <w:rFonts w:ascii="Times New Roman" w:hAnsi="Times New Roman" w:cs="Times New Roman"/>
          <w:sz w:val="24"/>
          <w:szCs w:val="24"/>
        </w:rPr>
        <w:t xml:space="preserve">, S., </w:t>
      </w:r>
      <w:proofErr w:type="spellStart"/>
      <w:r w:rsidRPr="00990B53">
        <w:rPr>
          <w:rFonts w:ascii="Times New Roman" w:hAnsi="Times New Roman" w:cs="Times New Roman"/>
          <w:sz w:val="24"/>
          <w:szCs w:val="24"/>
        </w:rPr>
        <w:t>Sundell</w:t>
      </w:r>
      <w:proofErr w:type="spellEnd"/>
      <w:r w:rsidRPr="00990B53">
        <w:rPr>
          <w:rFonts w:ascii="Times New Roman" w:hAnsi="Times New Roman" w:cs="Times New Roman"/>
          <w:sz w:val="24"/>
          <w:szCs w:val="24"/>
        </w:rPr>
        <w:t xml:space="preserve">, J., &amp; </w:t>
      </w:r>
      <w:proofErr w:type="spellStart"/>
      <w:r w:rsidRPr="00990B53">
        <w:rPr>
          <w:rFonts w:ascii="Times New Roman" w:hAnsi="Times New Roman" w:cs="Times New Roman"/>
          <w:sz w:val="24"/>
          <w:szCs w:val="24"/>
        </w:rPr>
        <w:t>Brommels</w:t>
      </w:r>
      <w:proofErr w:type="spellEnd"/>
      <w:r w:rsidRPr="00990B53">
        <w:rPr>
          <w:rFonts w:ascii="Times New Roman" w:hAnsi="Times New Roman" w:cs="Times New Roman"/>
          <w:sz w:val="24"/>
          <w:szCs w:val="24"/>
        </w:rPr>
        <w:t>, M. (2016). Determinants of health promotion action: comparative analysis of local voluntary associations in four municipalities in Finland. </w:t>
      </w:r>
      <w:r w:rsidRPr="00990B53">
        <w:rPr>
          <w:rFonts w:ascii="Times New Roman" w:hAnsi="Times New Roman" w:cs="Times New Roman"/>
          <w:i/>
          <w:iCs/>
          <w:sz w:val="24"/>
          <w:szCs w:val="24"/>
        </w:rPr>
        <w:t>Health promotion international</w:t>
      </w:r>
      <w:r w:rsidRPr="00990B53">
        <w:rPr>
          <w:rFonts w:ascii="Times New Roman" w:hAnsi="Times New Roman" w:cs="Times New Roman"/>
          <w:sz w:val="24"/>
          <w:szCs w:val="24"/>
        </w:rPr>
        <w:t>, </w:t>
      </w:r>
      <w:r w:rsidRPr="00990B53">
        <w:rPr>
          <w:rFonts w:ascii="Times New Roman" w:hAnsi="Times New Roman" w:cs="Times New Roman"/>
          <w:i/>
          <w:iCs/>
          <w:sz w:val="24"/>
          <w:szCs w:val="24"/>
        </w:rPr>
        <w:t>21</w:t>
      </w:r>
      <w:r w:rsidRPr="00990B53">
        <w:rPr>
          <w:rFonts w:ascii="Times New Roman" w:hAnsi="Times New Roman" w:cs="Times New Roman"/>
          <w:sz w:val="24"/>
          <w:szCs w:val="24"/>
        </w:rPr>
        <w:t>(4), 274-283.</w:t>
      </w:r>
    </w:p>
    <w:p w14:paraId="46C95206" w14:textId="77777777" w:rsidR="00990B53" w:rsidRPr="00990B53" w:rsidRDefault="00990B53" w:rsidP="00990B53">
      <w:pPr>
        <w:spacing w:line="360" w:lineRule="auto"/>
        <w:jc w:val="both"/>
        <w:rPr>
          <w:rFonts w:ascii="Times New Roman" w:hAnsi="Times New Roman" w:cs="Times New Roman"/>
          <w:sz w:val="24"/>
          <w:szCs w:val="24"/>
        </w:rPr>
      </w:pPr>
      <w:r w:rsidRPr="00990B53">
        <w:rPr>
          <w:rFonts w:ascii="Times New Roman" w:hAnsi="Times New Roman" w:cs="Times New Roman"/>
          <w:sz w:val="24"/>
          <w:szCs w:val="24"/>
        </w:rPr>
        <w:lastRenderedPageBreak/>
        <w:t xml:space="preserve">Taylor, M. (2017). Community participation in the real world: opportunities and pitfalls in new </w:t>
      </w:r>
      <w:r w:rsidRPr="00990B53">
        <w:rPr>
          <w:rFonts w:ascii="Times New Roman" w:hAnsi="Times New Roman" w:cs="Times New Roman"/>
          <w:sz w:val="24"/>
          <w:szCs w:val="24"/>
        </w:rPr>
        <w:tab/>
        <w:t>governance spaces. </w:t>
      </w:r>
      <w:r w:rsidRPr="00990B53">
        <w:rPr>
          <w:rFonts w:ascii="Times New Roman" w:hAnsi="Times New Roman" w:cs="Times New Roman"/>
          <w:i/>
          <w:iCs/>
          <w:sz w:val="24"/>
          <w:szCs w:val="24"/>
        </w:rPr>
        <w:t>Urban studies</w:t>
      </w:r>
      <w:r w:rsidRPr="00990B53">
        <w:rPr>
          <w:rFonts w:ascii="Times New Roman" w:hAnsi="Times New Roman" w:cs="Times New Roman"/>
          <w:sz w:val="24"/>
          <w:szCs w:val="24"/>
        </w:rPr>
        <w:t>, </w:t>
      </w:r>
      <w:r w:rsidRPr="00990B53">
        <w:rPr>
          <w:rFonts w:ascii="Times New Roman" w:hAnsi="Times New Roman" w:cs="Times New Roman"/>
          <w:i/>
          <w:iCs/>
          <w:sz w:val="24"/>
          <w:szCs w:val="24"/>
        </w:rPr>
        <w:t>44</w:t>
      </w:r>
      <w:r w:rsidRPr="00990B53">
        <w:rPr>
          <w:rFonts w:ascii="Times New Roman" w:hAnsi="Times New Roman" w:cs="Times New Roman"/>
          <w:sz w:val="24"/>
          <w:szCs w:val="24"/>
        </w:rPr>
        <w:t>(2), 297-317.</w:t>
      </w:r>
    </w:p>
    <w:p w14:paraId="09D9FB74" w14:textId="77777777" w:rsidR="00990B53" w:rsidRPr="00990B53" w:rsidRDefault="00990B53" w:rsidP="00990B53">
      <w:pPr>
        <w:spacing w:line="360" w:lineRule="auto"/>
        <w:rPr>
          <w:rFonts w:ascii="Times New Roman" w:hAnsi="Times New Roman" w:cs="Times New Roman"/>
        </w:rPr>
      </w:pPr>
    </w:p>
    <w:sectPr w:rsidR="00990B53" w:rsidRPr="00990B5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9335A" w14:textId="77777777" w:rsidR="000276C0" w:rsidRDefault="000276C0" w:rsidP="00990B53">
      <w:pPr>
        <w:spacing w:after="0" w:line="240" w:lineRule="auto"/>
      </w:pPr>
      <w:r>
        <w:separator/>
      </w:r>
    </w:p>
  </w:endnote>
  <w:endnote w:type="continuationSeparator" w:id="0">
    <w:p w14:paraId="153D8674" w14:textId="77777777" w:rsidR="000276C0" w:rsidRDefault="000276C0" w:rsidP="0099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833492"/>
      <w:docPartObj>
        <w:docPartGallery w:val="Page Numbers (Bottom of Page)"/>
        <w:docPartUnique/>
      </w:docPartObj>
    </w:sdtPr>
    <w:sdtEndPr>
      <w:rPr>
        <w:noProof/>
      </w:rPr>
    </w:sdtEndPr>
    <w:sdtContent>
      <w:p w14:paraId="3920A132" w14:textId="03282524" w:rsidR="00990B53" w:rsidRDefault="00990B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6CCF92" w14:textId="77777777" w:rsidR="00990B53" w:rsidRDefault="00990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1A973" w14:textId="77777777" w:rsidR="000276C0" w:rsidRDefault="000276C0" w:rsidP="00990B53">
      <w:pPr>
        <w:spacing w:after="0" w:line="240" w:lineRule="auto"/>
      </w:pPr>
      <w:r>
        <w:separator/>
      </w:r>
    </w:p>
  </w:footnote>
  <w:footnote w:type="continuationSeparator" w:id="0">
    <w:p w14:paraId="1137ACF0" w14:textId="77777777" w:rsidR="000276C0" w:rsidRDefault="000276C0" w:rsidP="00990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0346D" w14:textId="5B284B17" w:rsidR="00990B53" w:rsidRDefault="00990B53">
    <w:pPr>
      <w:pStyle w:val="Header"/>
    </w:pPr>
    <w:r>
      <w:rPr>
        <w:rFonts w:ascii="Times New Roman" w:hAnsi="Times New Roman" w:cs="Times New Roman"/>
        <w:sz w:val="24"/>
        <w:szCs w:val="24"/>
      </w:rPr>
      <w:t>1922008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B53"/>
    <w:rsid w:val="000276C0"/>
    <w:rsid w:val="001C575A"/>
    <w:rsid w:val="00990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42D96"/>
  <w15:chartTrackingRefBased/>
  <w15:docId w15:val="{9CC940E7-84FB-4DB4-95CC-96B41C5E2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B53"/>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B53"/>
    <w:rPr>
      <w:lang w:val="en-US"/>
    </w:rPr>
  </w:style>
  <w:style w:type="paragraph" w:styleId="Footer">
    <w:name w:val="footer"/>
    <w:basedOn w:val="Normal"/>
    <w:link w:val="FooterChar"/>
    <w:uiPriority w:val="99"/>
    <w:unhideWhenUsed/>
    <w:rsid w:val="00990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B53"/>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846657">
      <w:bodyDiv w:val="1"/>
      <w:marLeft w:val="0"/>
      <w:marRight w:val="0"/>
      <w:marTop w:val="0"/>
      <w:marBottom w:val="0"/>
      <w:divBdr>
        <w:top w:val="none" w:sz="0" w:space="0" w:color="auto"/>
        <w:left w:val="none" w:sz="0" w:space="0" w:color="auto"/>
        <w:bottom w:val="none" w:sz="0" w:space="0" w:color="auto"/>
        <w:right w:val="none" w:sz="0" w:space="0" w:color="auto"/>
      </w:divBdr>
    </w:div>
    <w:div w:id="117927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DBC12-4A68-4179-9757-682EAE5BC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2220</Words>
  <Characters>12655</Characters>
  <Application>Microsoft Office Word</Application>
  <DocSecurity>0</DocSecurity>
  <Lines>105</Lines>
  <Paragraphs>29</Paragraphs>
  <ScaleCrop>false</ScaleCrop>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1</cp:revision>
  <dcterms:created xsi:type="dcterms:W3CDTF">2021-05-10T20:49:00Z</dcterms:created>
  <dcterms:modified xsi:type="dcterms:W3CDTF">2021-05-10T20:55:00Z</dcterms:modified>
</cp:coreProperties>
</file>