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4FF57" w14:textId="77777777" w:rsidR="00293F12" w:rsidRDefault="00293F12" w:rsidP="00293F12">
      <w:pPr>
        <w:spacing w:line="360" w:lineRule="auto"/>
        <w:jc w:val="both"/>
        <w:rPr>
          <w:rFonts w:ascii="Arial" w:hAnsi="Arial" w:cs="Arial"/>
          <w:b/>
          <w:bCs/>
        </w:rPr>
      </w:pPr>
    </w:p>
    <w:p w14:paraId="6CCF5F81" w14:textId="77777777" w:rsidR="00D94D26" w:rsidRDefault="00DC36A1" w:rsidP="00293F12">
      <w:pPr>
        <w:spacing w:line="360" w:lineRule="auto"/>
        <w:jc w:val="both"/>
      </w:pPr>
      <w:r>
        <w:rPr>
          <w:noProof/>
        </w:rPr>
        <w:drawing>
          <wp:inline distT="0" distB="0" distL="0" distR="0" wp14:anchorId="237B6C64" wp14:editId="2A1427C1">
            <wp:extent cx="2166677" cy="965200"/>
            <wp:effectExtent l="0" t="0" r="5080" b="6350"/>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22688" cy="990152"/>
                    </a:xfrm>
                    <a:prstGeom prst="rect">
                      <a:avLst/>
                    </a:prstGeom>
                    <a:noFill/>
                    <a:ln>
                      <a:noFill/>
                    </a:ln>
                  </pic:spPr>
                </pic:pic>
              </a:graphicData>
            </a:graphic>
          </wp:inline>
        </w:drawing>
      </w:r>
      <w:r>
        <w:t xml:space="preserve">               </w:t>
      </w:r>
    </w:p>
    <w:p w14:paraId="77FE7908" w14:textId="77777777" w:rsidR="00D94D26" w:rsidRDefault="00D94D26" w:rsidP="00293F12">
      <w:pPr>
        <w:spacing w:line="360" w:lineRule="auto"/>
        <w:jc w:val="both"/>
        <w:rPr>
          <w:b/>
          <w:bCs/>
        </w:rPr>
      </w:pPr>
      <w:r w:rsidRPr="00D94D26">
        <w:rPr>
          <w:b/>
          <w:bCs/>
        </w:rPr>
        <w:t xml:space="preserve">                                       </w:t>
      </w:r>
      <w:r w:rsidR="00DC36A1" w:rsidRPr="00D94D26">
        <w:rPr>
          <w:b/>
          <w:bCs/>
        </w:rPr>
        <w:t xml:space="preserve">  </w:t>
      </w:r>
    </w:p>
    <w:p w14:paraId="52FD5347" w14:textId="4EBED28D" w:rsidR="00DC36A1" w:rsidRPr="00DC36A1" w:rsidRDefault="00D94D26" w:rsidP="00293F12">
      <w:pPr>
        <w:spacing w:line="360" w:lineRule="auto"/>
        <w:jc w:val="both"/>
        <w:rPr>
          <w:rFonts w:ascii="Arial" w:hAnsi="Arial" w:cs="Arial"/>
        </w:rPr>
      </w:pPr>
      <w:r>
        <w:rPr>
          <w:rFonts w:ascii="Arial" w:hAnsi="Arial" w:cs="Arial"/>
          <w:b/>
          <w:bCs/>
        </w:rPr>
        <w:t xml:space="preserve">                                </w:t>
      </w:r>
      <w:r w:rsidR="00DC36A1" w:rsidRPr="00D94D26">
        <w:rPr>
          <w:rFonts w:ascii="Arial" w:hAnsi="Arial" w:cs="Arial"/>
          <w:b/>
          <w:bCs/>
        </w:rPr>
        <w:t>Name</w:t>
      </w:r>
      <w:r w:rsidR="00E8510C" w:rsidRPr="00D94D26">
        <w:rPr>
          <w:rFonts w:ascii="Arial" w:hAnsi="Arial" w:cs="Arial"/>
          <w:b/>
          <w:bCs/>
        </w:rPr>
        <w:t>:</w:t>
      </w:r>
      <w:r w:rsidR="00E8510C" w:rsidRPr="00DC36A1">
        <w:rPr>
          <w:rFonts w:ascii="Arial" w:hAnsi="Arial" w:cs="Arial"/>
        </w:rPr>
        <w:t xml:space="preserve"> Natalia</w:t>
      </w:r>
      <w:r w:rsidR="00DC36A1" w:rsidRPr="00DC36A1">
        <w:rPr>
          <w:rFonts w:ascii="Arial" w:hAnsi="Arial" w:cs="Arial"/>
        </w:rPr>
        <w:t xml:space="preserve"> Kwasna</w:t>
      </w:r>
    </w:p>
    <w:p w14:paraId="0EC425DC" w14:textId="0329C1AA" w:rsidR="00DC36A1" w:rsidRPr="00DC36A1" w:rsidRDefault="00DC36A1" w:rsidP="00293F12">
      <w:pPr>
        <w:spacing w:line="360" w:lineRule="auto"/>
        <w:jc w:val="both"/>
        <w:rPr>
          <w:rFonts w:ascii="Arial" w:hAnsi="Arial" w:cs="Arial"/>
        </w:rPr>
      </w:pPr>
      <w:r w:rsidRPr="00DC36A1">
        <w:rPr>
          <w:rFonts w:ascii="Arial" w:hAnsi="Arial" w:cs="Arial"/>
        </w:rPr>
        <w:t xml:space="preserve">                               </w:t>
      </w:r>
      <w:r w:rsidR="00D94D26">
        <w:rPr>
          <w:rFonts w:ascii="Arial" w:hAnsi="Arial" w:cs="Arial"/>
        </w:rPr>
        <w:t xml:space="preserve"> </w:t>
      </w:r>
      <w:r w:rsidRPr="00D94D26">
        <w:rPr>
          <w:rFonts w:ascii="Arial" w:hAnsi="Arial" w:cs="Arial"/>
          <w:b/>
          <w:bCs/>
        </w:rPr>
        <w:t>Student’s ID number:</w:t>
      </w:r>
      <w:r w:rsidR="00D94D26">
        <w:rPr>
          <w:rFonts w:ascii="Arial" w:hAnsi="Arial" w:cs="Arial"/>
        </w:rPr>
        <w:t xml:space="preserve"> </w:t>
      </w:r>
      <w:r w:rsidRPr="00DC36A1">
        <w:rPr>
          <w:rFonts w:ascii="Arial" w:hAnsi="Arial" w:cs="Arial"/>
        </w:rPr>
        <w:t xml:space="preserve">2420393 </w:t>
      </w:r>
    </w:p>
    <w:p w14:paraId="43A6AF64" w14:textId="1EE1F99C" w:rsidR="00DC36A1" w:rsidRPr="00DC36A1" w:rsidRDefault="00DC36A1" w:rsidP="00293F12">
      <w:pPr>
        <w:spacing w:line="360" w:lineRule="auto"/>
        <w:jc w:val="both"/>
        <w:rPr>
          <w:rFonts w:ascii="Arial" w:hAnsi="Arial" w:cs="Arial"/>
        </w:rPr>
      </w:pPr>
      <w:r w:rsidRPr="00D94D26">
        <w:rPr>
          <w:rFonts w:ascii="Arial" w:hAnsi="Arial" w:cs="Arial"/>
          <w:b/>
          <w:bCs/>
        </w:rPr>
        <w:t xml:space="preserve">                            </w:t>
      </w:r>
      <w:r w:rsidR="00D94D26" w:rsidRPr="00D94D26">
        <w:rPr>
          <w:rFonts w:ascii="Arial" w:hAnsi="Arial" w:cs="Arial"/>
          <w:b/>
          <w:bCs/>
        </w:rPr>
        <w:t xml:space="preserve"> </w:t>
      </w:r>
      <w:r w:rsidRPr="00D94D26">
        <w:rPr>
          <w:rFonts w:ascii="Arial" w:hAnsi="Arial" w:cs="Arial"/>
          <w:b/>
          <w:bCs/>
        </w:rPr>
        <w:t xml:space="preserve">   Module Code</w:t>
      </w:r>
      <w:r w:rsidR="00E8510C" w:rsidRPr="00DC36A1">
        <w:rPr>
          <w:rFonts w:ascii="Arial" w:hAnsi="Arial" w:cs="Arial"/>
        </w:rPr>
        <w:t xml:space="preserve">: </w:t>
      </w:r>
      <w:r w:rsidR="00E8510C">
        <w:rPr>
          <w:rFonts w:ascii="Arial" w:hAnsi="Arial" w:cs="Arial"/>
        </w:rPr>
        <w:t>LCHS4010</w:t>
      </w:r>
    </w:p>
    <w:p w14:paraId="55177C02" w14:textId="3C3F8132" w:rsidR="00DC36A1" w:rsidRPr="00DC36A1" w:rsidRDefault="00DC36A1" w:rsidP="00293F12">
      <w:pPr>
        <w:spacing w:line="360" w:lineRule="auto"/>
        <w:jc w:val="both"/>
        <w:rPr>
          <w:rFonts w:ascii="Arial" w:hAnsi="Arial" w:cs="Arial"/>
        </w:rPr>
      </w:pPr>
      <w:r w:rsidRPr="00DC36A1">
        <w:rPr>
          <w:rFonts w:ascii="Arial" w:hAnsi="Arial" w:cs="Arial"/>
        </w:rPr>
        <w:t xml:space="preserve">                               </w:t>
      </w:r>
      <w:r w:rsidR="00D94D26">
        <w:rPr>
          <w:rFonts w:ascii="Arial" w:hAnsi="Arial" w:cs="Arial"/>
        </w:rPr>
        <w:t xml:space="preserve"> </w:t>
      </w:r>
      <w:r w:rsidRPr="00D94D26">
        <w:rPr>
          <w:rFonts w:ascii="Arial" w:hAnsi="Arial" w:cs="Arial"/>
          <w:b/>
          <w:bCs/>
        </w:rPr>
        <w:t>Module name</w:t>
      </w:r>
      <w:r w:rsidR="00E8510C" w:rsidRPr="00D94D26">
        <w:rPr>
          <w:rFonts w:ascii="Arial" w:hAnsi="Arial" w:cs="Arial"/>
          <w:b/>
          <w:bCs/>
        </w:rPr>
        <w:t>:</w:t>
      </w:r>
      <w:r w:rsidR="00E8510C" w:rsidRPr="00DC36A1">
        <w:rPr>
          <w:rFonts w:ascii="Arial" w:hAnsi="Arial" w:cs="Arial"/>
        </w:rPr>
        <w:t xml:space="preserve"> Psychology</w:t>
      </w:r>
      <w:r w:rsidRPr="00DC36A1">
        <w:rPr>
          <w:rFonts w:ascii="Arial" w:hAnsi="Arial" w:cs="Arial"/>
        </w:rPr>
        <w:t xml:space="preserve"> in Health </w:t>
      </w:r>
      <w:r w:rsidR="00E8510C" w:rsidRPr="00DC36A1">
        <w:rPr>
          <w:rFonts w:ascii="Arial" w:hAnsi="Arial" w:cs="Arial"/>
        </w:rPr>
        <w:t xml:space="preserve">and </w:t>
      </w:r>
      <w:r w:rsidR="00E8510C">
        <w:rPr>
          <w:rFonts w:ascii="Arial" w:hAnsi="Arial" w:cs="Arial"/>
        </w:rPr>
        <w:t>Social</w:t>
      </w:r>
      <w:r w:rsidR="00D94D26">
        <w:rPr>
          <w:rFonts w:ascii="Arial" w:hAnsi="Arial" w:cs="Arial"/>
        </w:rPr>
        <w:t xml:space="preserve"> Care                   </w:t>
      </w:r>
    </w:p>
    <w:p w14:paraId="2632CD03" w14:textId="7B715909" w:rsidR="00293F12" w:rsidRDefault="00DC36A1" w:rsidP="00293F12">
      <w:pPr>
        <w:spacing w:line="360" w:lineRule="auto"/>
        <w:jc w:val="both"/>
        <w:rPr>
          <w:rFonts w:ascii="Arial" w:hAnsi="Arial" w:cs="Arial"/>
          <w:b/>
          <w:bCs/>
        </w:rPr>
      </w:pPr>
      <w:r w:rsidRPr="00DC36A1">
        <w:rPr>
          <w:rFonts w:ascii="Arial" w:hAnsi="Arial" w:cs="Arial"/>
        </w:rPr>
        <w:t xml:space="preserve">                              </w:t>
      </w:r>
      <w:r w:rsidR="00D94D26">
        <w:rPr>
          <w:rFonts w:ascii="Arial" w:hAnsi="Arial" w:cs="Arial"/>
        </w:rPr>
        <w:t xml:space="preserve"> </w:t>
      </w:r>
      <w:r w:rsidRPr="00DC36A1">
        <w:rPr>
          <w:rFonts w:ascii="Arial" w:hAnsi="Arial" w:cs="Arial"/>
        </w:rPr>
        <w:t xml:space="preserve"> </w:t>
      </w:r>
      <w:r w:rsidRPr="00D94D26">
        <w:rPr>
          <w:rFonts w:ascii="Arial" w:hAnsi="Arial" w:cs="Arial"/>
          <w:b/>
          <w:bCs/>
        </w:rPr>
        <w:t>Lecturer</w:t>
      </w:r>
      <w:proofErr w:type="gramStart"/>
      <w:r w:rsidRPr="00D94D26">
        <w:rPr>
          <w:rFonts w:ascii="Arial" w:hAnsi="Arial" w:cs="Arial"/>
          <w:b/>
          <w:bCs/>
        </w:rPr>
        <w:t>:</w:t>
      </w:r>
      <w:r w:rsidRPr="00DC36A1">
        <w:rPr>
          <w:rFonts w:ascii="Arial" w:hAnsi="Arial" w:cs="Arial"/>
        </w:rPr>
        <w:t xml:space="preserve">  Shaila</w:t>
      </w:r>
      <w:proofErr w:type="gramEnd"/>
      <w:r w:rsidRPr="00DC36A1">
        <w:rPr>
          <w:rFonts w:ascii="Arial" w:hAnsi="Arial" w:cs="Arial"/>
        </w:rPr>
        <w:t xml:space="preserve"> Hussain</w:t>
      </w:r>
    </w:p>
    <w:p w14:paraId="59BCF650" w14:textId="77777777" w:rsidR="00293F12" w:rsidRDefault="00293F12" w:rsidP="00293F12">
      <w:pPr>
        <w:spacing w:line="360" w:lineRule="auto"/>
        <w:jc w:val="both"/>
        <w:rPr>
          <w:rFonts w:ascii="Arial" w:hAnsi="Arial" w:cs="Arial"/>
          <w:b/>
          <w:bCs/>
        </w:rPr>
      </w:pPr>
    </w:p>
    <w:p w14:paraId="277DCADB" w14:textId="77777777" w:rsidR="00293F12" w:rsidRDefault="00293F12" w:rsidP="00293F12">
      <w:pPr>
        <w:spacing w:line="360" w:lineRule="auto"/>
        <w:jc w:val="both"/>
        <w:rPr>
          <w:rFonts w:ascii="Arial" w:hAnsi="Arial" w:cs="Arial"/>
          <w:b/>
          <w:bCs/>
        </w:rPr>
      </w:pPr>
    </w:p>
    <w:p w14:paraId="0FA6225E" w14:textId="6245DF91" w:rsidR="001E5A8B" w:rsidRPr="00CF6C40" w:rsidRDefault="008C2F65" w:rsidP="00293F12">
      <w:pPr>
        <w:spacing w:line="360" w:lineRule="auto"/>
        <w:jc w:val="both"/>
        <w:rPr>
          <w:rFonts w:ascii="Arial" w:hAnsi="Arial" w:cs="Arial"/>
          <w:b/>
          <w:bCs/>
        </w:rPr>
      </w:pPr>
      <w:r w:rsidRPr="00CF6C40">
        <w:rPr>
          <w:rFonts w:ascii="Arial" w:hAnsi="Arial" w:cs="Arial"/>
          <w:b/>
          <w:bCs/>
        </w:rPr>
        <w:t>Developmental Psychology for Healthcare Professionals: Understanding Growth in Adolescence</w:t>
      </w:r>
    </w:p>
    <w:p w14:paraId="73813C93" w14:textId="77777777" w:rsidR="001E5A8B" w:rsidRPr="00CF6C40" w:rsidRDefault="001E5A8B" w:rsidP="00293F12">
      <w:pPr>
        <w:spacing w:line="360" w:lineRule="auto"/>
        <w:jc w:val="both"/>
        <w:rPr>
          <w:rFonts w:ascii="Arial" w:hAnsi="Arial" w:cs="Arial"/>
        </w:rPr>
      </w:pPr>
    </w:p>
    <w:p w14:paraId="3FFDB7BB" w14:textId="77777777" w:rsidR="001E5A8B" w:rsidRPr="00CF6C40" w:rsidRDefault="008C2F65" w:rsidP="00293F12">
      <w:pPr>
        <w:spacing w:line="360" w:lineRule="auto"/>
        <w:jc w:val="both"/>
        <w:rPr>
          <w:rFonts w:ascii="Arial" w:hAnsi="Arial" w:cs="Arial"/>
          <w:b/>
          <w:bCs/>
        </w:rPr>
      </w:pPr>
      <w:r w:rsidRPr="00CF6C40">
        <w:rPr>
          <w:rFonts w:ascii="Arial" w:hAnsi="Arial" w:cs="Arial"/>
          <w:b/>
          <w:bCs/>
        </w:rPr>
        <w:t>Introduction</w:t>
      </w:r>
    </w:p>
    <w:p w14:paraId="037E632B" w14:textId="4B70E164" w:rsidR="001E5A8B" w:rsidRPr="00CF6C40" w:rsidRDefault="00EA09E1" w:rsidP="00293F12">
      <w:pPr>
        <w:spacing w:line="360" w:lineRule="auto"/>
        <w:jc w:val="both"/>
        <w:rPr>
          <w:rFonts w:ascii="Arial" w:hAnsi="Arial" w:cs="Arial"/>
        </w:rPr>
      </w:pPr>
      <w:r w:rsidRPr="00CF6C40">
        <w:rPr>
          <w:rFonts w:ascii="Arial" w:hAnsi="Arial" w:cs="Arial"/>
          <w:color w:val="1C1C1C"/>
          <w:shd w:val="clear" w:color="auto" w:fill="FFFFFF"/>
        </w:rPr>
        <w:t xml:space="preserve">This booklet is designed to </w:t>
      </w:r>
      <w:r w:rsidR="00D94D26">
        <w:rPr>
          <w:rFonts w:ascii="Arial" w:hAnsi="Arial" w:cs="Arial"/>
          <w:color w:val="1C1C1C"/>
          <w:shd w:val="clear" w:color="auto" w:fill="FFFFFF"/>
        </w:rPr>
        <w:t>help new healthcare professionals build a foundational understanding of developmental psychology, with a specific focus</w:t>
      </w:r>
      <w:r w:rsidRPr="00CF6C40">
        <w:rPr>
          <w:rFonts w:ascii="Arial" w:hAnsi="Arial" w:cs="Arial"/>
          <w:color w:val="1C1C1C"/>
          <w:shd w:val="clear" w:color="auto" w:fill="FFFFFF"/>
        </w:rPr>
        <w:t xml:space="preserve"> on adolescents. Adolescence, typically defined as </w:t>
      </w:r>
      <w:r w:rsidR="009F5062">
        <w:rPr>
          <w:rFonts w:ascii="Arial" w:hAnsi="Arial" w:cs="Arial"/>
          <w:color w:val="1C1C1C"/>
          <w:shd w:val="clear" w:color="auto" w:fill="FFFFFF"/>
        </w:rPr>
        <w:t xml:space="preserve">ages 10-19, is a transitional stage </w:t>
      </w:r>
      <w:proofErr w:type="spellStart"/>
      <w:r w:rsidR="009F5062">
        <w:rPr>
          <w:rFonts w:ascii="Arial" w:hAnsi="Arial" w:cs="Arial"/>
          <w:color w:val="1C1C1C"/>
          <w:shd w:val="clear" w:color="auto" w:fill="FFFFFF"/>
        </w:rPr>
        <w:t>characterised</w:t>
      </w:r>
      <w:proofErr w:type="spellEnd"/>
      <w:r w:rsidRPr="00CF6C40">
        <w:rPr>
          <w:rFonts w:ascii="Arial" w:hAnsi="Arial" w:cs="Arial"/>
          <w:color w:val="1C1C1C"/>
          <w:shd w:val="clear" w:color="auto" w:fill="FFFFFF"/>
        </w:rPr>
        <w:t xml:space="preserve"> by significant physical, emotional, cognitive, and social changes (WHO, 2020). During this period, young people start to form their identities, develop more advanced reasoning skills, and navigate increasingly complex social situations. For healthcare professionals working in health and social care settings, it is essential to have a strong grasp of adolescent development. Adolescents may have physical health needs, mental health issues, or social challenges that require sensitive and developmentally appropriate interventions. This booklet explores the </w:t>
      </w:r>
      <w:r w:rsidR="00240BB5">
        <w:rPr>
          <w:rFonts w:ascii="Arial" w:hAnsi="Arial" w:cs="Arial"/>
          <w:color w:val="1C1C1C"/>
          <w:shd w:val="clear" w:color="auto" w:fill="FFFFFF"/>
        </w:rPr>
        <w:t>interplay between nature and nurture, provides</w:t>
      </w:r>
      <w:r w:rsidRPr="00CF6C40">
        <w:rPr>
          <w:rFonts w:ascii="Arial" w:hAnsi="Arial" w:cs="Arial"/>
          <w:color w:val="1C1C1C"/>
          <w:shd w:val="clear" w:color="auto" w:fill="FFFFFF"/>
        </w:rPr>
        <w:t xml:space="preserve"> an overview of </w:t>
      </w:r>
      <w:r w:rsidRPr="00CF6C40">
        <w:rPr>
          <w:rFonts w:ascii="Arial" w:hAnsi="Arial" w:cs="Arial"/>
          <w:color w:val="1C1C1C"/>
          <w:shd w:val="clear" w:color="auto" w:fill="FFFFFF"/>
        </w:rPr>
        <w:lastRenderedPageBreak/>
        <w:t>two key theories, and critically evaluates their strengths and limitations. It also provides real-world examples to demonstrate how these theories can be applied in practice.</w:t>
      </w:r>
    </w:p>
    <w:p w14:paraId="22AF211F" w14:textId="77777777" w:rsidR="001E5A8B" w:rsidRPr="00CF6C40" w:rsidRDefault="001E5A8B" w:rsidP="00293F12">
      <w:pPr>
        <w:spacing w:line="360" w:lineRule="auto"/>
        <w:jc w:val="both"/>
        <w:rPr>
          <w:rFonts w:ascii="Arial" w:hAnsi="Arial" w:cs="Arial"/>
        </w:rPr>
      </w:pPr>
    </w:p>
    <w:p w14:paraId="33965417" w14:textId="77777777" w:rsidR="001E5A8B" w:rsidRPr="00CF6C40" w:rsidRDefault="008C2F65" w:rsidP="00293F12">
      <w:pPr>
        <w:spacing w:line="360" w:lineRule="auto"/>
        <w:jc w:val="both"/>
        <w:rPr>
          <w:rFonts w:ascii="Arial" w:hAnsi="Arial" w:cs="Arial"/>
          <w:b/>
          <w:bCs/>
        </w:rPr>
      </w:pPr>
      <w:r w:rsidRPr="00CF6C40">
        <w:rPr>
          <w:rFonts w:ascii="Arial" w:hAnsi="Arial" w:cs="Arial"/>
          <w:b/>
          <w:bCs/>
        </w:rPr>
        <w:t>Nature and Nurture in Adolescent Development</w:t>
      </w:r>
    </w:p>
    <w:p w14:paraId="2924C82E" w14:textId="77777777" w:rsidR="001E5A8B" w:rsidRPr="00CF6C40" w:rsidRDefault="008C2F65" w:rsidP="00293F12">
      <w:pPr>
        <w:spacing w:line="360" w:lineRule="auto"/>
        <w:jc w:val="both"/>
        <w:rPr>
          <w:rFonts w:ascii="Arial" w:hAnsi="Arial" w:cs="Arial"/>
        </w:rPr>
      </w:pPr>
      <w:r w:rsidRPr="00CF6C40">
        <w:rPr>
          <w:rFonts w:ascii="Arial" w:hAnsi="Arial" w:cs="Arial"/>
        </w:rPr>
        <w:t>The debate between nature and nurture focuses on the extent to which biological factors (genetics, neurological development, hormones) and environmental influences (family, culture, peers, education) shape development. In contemporary psychology, it is widely accepted that development results from the dynamic interplay between both factors (Lerner, 2018). Adolescence offers a clear example of this interaction.</w:t>
      </w:r>
    </w:p>
    <w:p w14:paraId="03204DAE" w14:textId="77777777" w:rsidR="001E5A8B" w:rsidRPr="00CF6C40" w:rsidRDefault="001E5A8B" w:rsidP="00293F12">
      <w:pPr>
        <w:spacing w:line="360" w:lineRule="auto"/>
        <w:jc w:val="both"/>
        <w:rPr>
          <w:rFonts w:ascii="Arial" w:hAnsi="Arial" w:cs="Arial"/>
        </w:rPr>
      </w:pPr>
    </w:p>
    <w:p w14:paraId="0950ABD6" w14:textId="73005F47" w:rsidR="001E5A8B" w:rsidRPr="00CF6C40" w:rsidRDefault="008C2F65" w:rsidP="00293F12">
      <w:pPr>
        <w:spacing w:line="360" w:lineRule="auto"/>
        <w:jc w:val="both"/>
        <w:rPr>
          <w:rFonts w:ascii="Arial" w:hAnsi="Arial" w:cs="Arial"/>
        </w:rPr>
      </w:pPr>
      <w:r w:rsidRPr="00CF6C40">
        <w:rPr>
          <w:rFonts w:ascii="Arial" w:hAnsi="Arial" w:cs="Arial"/>
        </w:rPr>
        <w:t>Biologically, adolescents undergo significant hormonal changes triggered by puberty. These hormonal shifts contribute to physical maturation, emotional intensity, and behavioural changes (Steinberg, 2014). The brain also continues to develop, particularly the prefrontal cortex, which is responsible for executive functions such as planning, decision</w:t>
      </w:r>
      <w:r w:rsidRPr="00CF6C40">
        <w:rPr>
          <w:rFonts w:ascii="Cambria Math" w:hAnsi="Cambria Math" w:cs="Cambria Math"/>
        </w:rPr>
        <w:t>‐</w:t>
      </w:r>
      <w:r w:rsidRPr="00CF6C40">
        <w:rPr>
          <w:rFonts w:ascii="Arial" w:hAnsi="Arial" w:cs="Arial"/>
        </w:rPr>
        <w:t>making, and impulse control (Santrock, 2019). Because the prefrontal cortex matures more slowly than the limbic system</w:t>
      </w:r>
      <w:r w:rsidR="00D94D26">
        <w:rPr>
          <w:rFonts w:ascii="Arial" w:hAnsi="Arial" w:cs="Arial"/>
        </w:rPr>
        <w:t xml:space="preserve">, which is associated with emotion and reward, </w:t>
      </w:r>
      <w:r w:rsidRPr="00CF6C40">
        <w:rPr>
          <w:rFonts w:ascii="Arial" w:hAnsi="Arial" w:cs="Arial"/>
        </w:rPr>
        <w:t>adolescents may display increased risk-taking and emotional reactivity.</w:t>
      </w:r>
    </w:p>
    <w:p w14:paraId="76DCD6E1" w14:textId="77777777" w:rsidR="001E5A8B" w:rsidRPr="00CF6C40" w:rsidRDefault="001E5A8B" w:rsidP="00293F12">
      <w:pPr>
        <w:spacing w:line="360" w:lineRule="auto"/>
        <w:jc w:val="both"/>
        <w:rPr>
          <w:rFonts w:ascii="Arial" w:hAnsi="Arial" w:cs="Arial"/>
        </w:rPr>
      </w:pPr>
    </w:p>
    <w:p w14:paraId="112C7808" w14:textId="633F4CB2" w:rsidR="001E5A8B" w:rsidRPr="00CF6C40" w:rsidRDefault="008C2F65" w:rsidP="00293F12">
      <w:pPr>
        <w:spacing w:line="360" w:lineRule="auto"/>
        <w:jc w:val="both"/>
        <w:rPr>
          <w:rFonts w:ascii="Arial" w:hAnsi="Arial" w:cs="Arial"/>
        </w:rPr>
      </w:pPr>
      <w:r w:rsidRPr="00CF6C40">
        <w:rPr>
          <w:rFonts w:ascii="Arial" w:hAnsi="Arial" w:cs="Arial"/>
        </w:rPr>
        <w:t xml:space="preserve">Environmentally, adolescents are influenced by relationships with family, peers, </w:t>
      </w:r>
      <w:r w:rsidR="00E66E86">
        <w:rPr>
          <w:rFonts w:ascii="Arial" w:hAnsi="Arial" w:cs="Arial"/>
        </w:rPr>
        <w:t>and educators, as well as by their cultural and socioeconomic contexts</w:t>
      </w:r>
      <w:r w:rsidRPr="00CF6C40">
        <w:rPr>
          <w:rFonts w:ascii="Arial" w:hAnsi="Arial" w:cs="Arial"/>
        </w:rPr>
        <w:t xml:space="preserve">. Supportive relationships and stable environments have been shown to promote resilience, emotional regulation, and healthy social development (Kroger, 2017). Conversely, exposure to family conflict, poverty, discrimination, or trauma can increase vulnerability to mental health difficulties. </w:t>
      </w:r>
      <w:r w:rsidR="00D94D26">
        <w:rPr>
          <w:rFonts w:ascii="Arial" w:hAnsi="Arial" w:cs="Arial"/>
        </w:rPr>
        <w:t>Significantly</w:t>
      </w:r>
      <w:r w:rsidRPr="00CF6C40">
        <w:rPr>
          <w:rFonts w:ascii="Arial" w:hAnsi="Arial" w:cs="Arial"/>
        </w:rPr>
        <w:t>, environmental factors can moderate biological predispositions. For example, a young person who is genetically predisposed to anxiety m</w:t>
      </w:r>
      <w:r w:rsidRPr="00CF6C40">
        <w:rPr>
          <w:rFonts w:ascii="Arial" w:hAnsi="Arial" w:cs="Arial"/>
        </w:rPr>
        <w:t>ay only develop symptoms if they experience high levels of stress or inadequate support (Lerner, 2018).</w:t>
      </w:r>
    </w:p>
    <w:p w14:paraId="720590A9" w14:textId="77777777" w:rsidR="001E5A8B" w:rsidRPr="00CF6C40" w:rsidRDefault="001E5A8B" w:rsidP="00293F12">
      <w:pPr>
        <w:spacing w:line="360" w:lineRule="auto"/>
        <w:jc w:val="both"/>
        <w:rPr>
          <w:rFonts w:ascii="Arial" w:hAnsi="Arial" w:cs="Arial"/>
        </w:rPr>
      </w:pPr>
    </w:p>
    <w:p w14:paraId="5A8BA7B7" w14:textId="77777777" w:rsidR="001E5A8B" w:rsidRPr="00CF6C40" w:rsidRDefault="008C2F65" w:rsidP="00293F12">
      <w:pPr>
        <w:spacing w:line="360" w:lineRule="auto"/>
        <w:jc w:val="both"/>
        <w:rPr>
          <w:rFonts w:ascii="Arial" w:hAnsi="Arial" w:cs="Arial"/>
        </w:rPr>
      </w:pPr>
      <w:r w:rsidRPr="00CF6C40">
        <w:rPr>
          <w:rFonts w:ascii="Arial" w:hAnsi="Arial" w:cs="Arial"/>
        </w:rPr>
        <w:lastRenderedPageBreak/>
        <w:t>This interaction highlights that neither biological nor environmental factors act alone. Instead, adolescent development is best understood as a complex, ongoing, and bidirectional process in which both nature and nurture continuously influence one another.</w:t>
      </w:r>
    </w:p>
    <w:p w14:paraId="3AAE0F4B" w14:textId="77777777" w:rsidR="001E5A8B" w:rsidRPr="00CF6C40" w:rsidRDefault="001E5A8B" w:rsidP="00293F12">
      <w:pPr>
        <w:spacing w:line="360" w:lineRule="auto"/>
        <w:jc w:val="both"/>
        <w:rPr>
          <w:rFonts w:ascii="Arial" w:hAnsi="Arial" w:cs="Arial"/>
        </w:rPr>
      </w:pPr>
    </w:p>
    <w:p w14:paraId="428D74BB" w14:textId="77777777" w:rsidR="001E5A8B" w:rsidRPr="00CF6C40" w:rsidRDefault="008C2F65" w:rsidP="00293F12">
      <w:pPr>
        <w:spacing w:line="360" w:lineRule="auto"/>
        <w:jc w:val="both"/>
        <w:rPr>
          <w:rFonts w:ascii="Arial" w:hAnsi="Arial" w:cs="Arial"/>
          <w:b/>
          <w:bCs/>
        </w:rPr>
      </w:pPr>
      <w:r w:rsidRPr="00CF6C40">
        <w:rPr>
          <w:rFonts w:ascii="Arial" w:hAnsi="Arial" w:cs="Arial"/>
          <w:b/>
          <w:bCs/>
        </w:rPr>
        <w:t>Two Developmental Theories Relevant to Adolescence</w:t>
      </w:r>
    </w:p>
    <w:p w14:paraId="47C40486" w14:textId="77777777" w:rsidR="001E5A8B" w:rsidRPr="00CF6C40" w:rsidRDefault="001E5A8B" w:rsidP="00293F12">
      <w:pPr>
        <w:spacing w:line="360" w:lineRule="auto"/>
        <w:jc w:val="both"/>
        <w:rPr>
          <w:rFonts w:ascii="Arial" w:hAnsi="Arial" w:cs="Arial"/>
        </w:rPr>
      </w:pPr>
    </w:p>
    <w:p w14:paraId="45EE534F" w14:textId="77777777" w:rsidR="001E5A8B" w:rsidRPr="00CF6C40" w:rsidRDefault="008C2F65" w:rsidP="00293F12">
      <w:pPr>
        <w:spacing w:line="360" w:lineRule="auto"/>
        <w:jc w:val="both"/>
        <w:rPr>
          <w:rFonts w:ascii="Arial" w:hAnsi="Arial" w:cs="Arial"/>
        </w:rPr>
      </w:pPr>
      <w:r w:rsidRPr="00CF6C40">
        <w:rPr>
          <w:rFonts w:ascii="Arial" w:hAnsi="Arial" w:cs="Arial"/>
        </w:rPr>
        <w:t>1. Erikson’s Psychosocial Theory: Identity vs Role Confusion</w:t>
      </w:r>
    </w:p>
    <w:p w14:paraId="62FED43D" w14:textId="5A379CA3" w:rsidR="001E5A8B" w:rsidRPr="00CF6C40" w:rsidRDefault="008C2F65" w:rsidP="00293F12">
      <w:pPr>
        <w:spacing w:line="360" w:lineRule="auto"/>
        <w:jc w:val="both"/>
        <w:rPr>
          <w:rFonts w:ascii="Arial" w:hAnsi="Arial" w:cs="Arial"/>
        </w:rPr>
      </w:pPr>
      <w:r w:rsidRPr="00CF6C40">
        <w:rPr>
          <w:rFonts w:ascii="Arial" w:hAnsi="Arial" w:cs="Arial"/>
        </w:rPr>
        <w:t xml:space="preserve">Erik Erikson’s psychosocial theory outlines eight stages of development, each characterised by a central psychological conflict. For adolescents, the key conflict is Identity vs Role Confusion (Erikson, 1968). This stage centres on the young person’s attempts to explore personal beliefs, values, and future aspirations </w:t>
      </w:r>
      <w:r w:rsidR="00D94D26">
        <w:rPr>
          <w:rFonts w:ascii="Arial" w:hAnsi="Arial" w:cs="Arial"/>
        </w:rPr>
        <w:t>to</w:t>
      </w:r>
      <w:r w:rsidRPr="00CF6C40">
        <w:rPr>
          <w:rFonts w:ascii="Arial" w:hAnsi="Arial" w:cs="Arial"/>
        </w:rPr>
        <w:t xml:space="preserve"> form a stable sense of identity. Adolescents experiment with different roles, relationships, cultural expectations, and social groupings. The outcomes of these explorations influence their confidence, self-esteem, and long-term </w:t>
      </w:r>
      <w:r w:rsidR="00240BB5">
        <w:rPr>
          <w:rFonts w:ascii="Arial" w:hAnsi="Arial" w:cs="Arial"/>
        </w:rPr>
        <w:t>well-being</w:t>
      </w:r>
      <w:r w:rsidRPr="00CF6C40">
        <w:rPr>
          <w:rFonts w:ascii="Arial" w:hAnsi="Arial" w:cs="Arial"/>
        </w:rPr>
        <w:t xml:space="preserve"> (Kroger, 2017).</w:t>
      </w:r>
    </w:p>
    <w:p w14:paraId="6521207E" w14:textId="77777777" w:rsidR="001E5A8B" w:rsidRPr="00CF6C40" w:rsidRDefault="001E5A8B" w:rsidP="00293F12">
      <w:pPr>
        <w:spacing w:line="360" w:lineRule="auto"/>
        <w:jc w:val="both"/>
        <w:rPr>
          <w:rFonts w:ascii="Arial" w:hAnsi="Arial" w:cs="Arial"/>
        </w:rPr>
      </w:pPr>
    </w:p>
    <w:p w14:paraId="42E87709" w14:textId="66FE9E39" w:rsidR="001E5A8B" w:rsidRPr="00CF6C40" w:rsidRDefault="008C2F65" w:rsidP="00293F12">
      <w:pPr>
        <w:spacing w:line="360" w:lineRule="auto"/>
        <w:jc w:val="both"/>
        <w:rPr>
          <w:rFonts w:ascii="Arial" w:hAnsi="Arial" w:cs="Arial"/>
        </w:rPr>
      </w:pPr>
      <w:r w:rsidRPr="00CF6C40">
        <w:rPr>
          <w:rFonts w:ascii="Arial" w:hAnsi="Arial" w:cs="Arial"/>
        </w:rPr>
        <w:t>According to Erikson, successful resolution results in the development of fidelity—a sense of belonging, purpose, and commitment. Failure to develop a coherent identity can lead to confusion, insecurity, and difficulties making life decisions. Identity development is not solely an individual process; it is shaped significantly by social interactions and cultural norms. Adolescents who receive emotional support, opportunities for exploration, and validation from caregivers are more likely to feel secure in t</w:t>
      </w:r>
      <w:r w:rsidRPr="00CF6C40">
        <w:rPr>
          <w:rFonts w:ascii="Arial" w:hAnsi="Arial" w:cs="Arial"/>
        </w:rPr>
        <w:t xml:space="preserve">heir identity formation. Those who face strict expectations, </w:t>
      </w:r>
      <w:r w:rsidR="00D94D26">
        <w:rPr>
          <w:rFonts w:ascii="Arial" w:hAnsi="Arial" w:cs="Arial"/>
        </w:rPr>
        <w:t xml:space="preserve">a </w:t>
      </w:r>
      <w:r w:rsidRPr="00CF6C40">
        <w:rPr>
          <w:rFonts w:ascii="Arial" w:hAnsi="Arial" w:cs="Arial"/>
        </w:rPr>
        <w:t>lack of support, or conflicting cultural expectations may struggle with identity confusion (Erikson, 1968).</w:t>
      </w:r>
    </w:p>
    <w:p w14:paraId="6B2B785F" w14:textId="77777777" w:rsidR="001E5A8B" w:rsidRPr="00CF6C40" w:rsidRDefault="001E5A8B" w:rsidP="00293F12">
      <w:pPr>
        <w:spacing w:line="360" w:lineRule="auto"/>
        <w:jc w:val="both"/>
        <w:rPr>
          <w:rFonts w:ascii="Arial" w:hAnsi="Arial" w:cs="Arial"/>
        </w:rPr>
      </w:pPr>
    </w:p>
    <w:p w14:paraId="7DB5C81F" w14:textId="77777777" w:rsidR="001E5A8B" w:rsidRPr="00CF6C40" w:rsidRDefault="008C2F65" w:rsidP="00293F12">
      <w:pPr>
        <w:spacing w:line="360" w:lineRule="auto"/>
        <w:jc w:val="both"/>
        <w:rPr>
          <w:rFonts w:ascii="Arial" w:hAnsi="Arial" w:cs="Arial"/>
        </w:rPr>
      </w:pPr>
      <w:r w:rsidRPr="00CF6C40">
        <w:rPr>
          <w:rFonts w:ascii="Arial" w:hAnsi="Arial" w:cs="Arial"/>
        </w:rPr>
        <w:t>2. Piaget’s Cognitive Development Theory: Formal Operational Stage</w:t>
      </w:r>
    </w:p>
    <w:p w14:paraId="41CB57F4" w14:textId="58A395B3" w:rsidR="001E5A8B" w:rsidRPr="00CF6C40" w:rsidRDefault="008C2F65" w:rsidP="00293F12">
      <w:pPr>
        <w:spacing w:line="360" w:lineRule="auto"/>
        <w:jc w:val="both"/>
        <w:rPr>
          <w:rFonts w:ascii="Arial" w:hAnsi="Arial" w:cs="Arial"/>
        </w:rPr>
      </w:pPr>
      <w:r w:rsidRPr="00CF6C40">
        <w:rPr>
          <w:rFonts w:ascii="Arial" w:hAnsi="Arial" w:cs="Arial"/>
        </w:rPr>
        <w:t xml:space="preserve">Jean Piaget’s </w:t>
      </w:r>
      <w:r w:rsidR="00240BB5">
        <w:rPr>
          <w:rFonts w:ascii="Arial" w:hAnsi="Arial" w:cs="Arial"/>
        </w:rPr>
        <w:t>theory of cognitive development outlines how children’s thinking evolves through</w:t>
      </w:r>
      <w:r w:rsidRPr="00CF6C40">
        <w:rPr>
          <w:rFonts w:ascii="Arial" w:hAnsi="Arial" w:cs="Arial"/>
        </w:rPr>
        <w:t xml:space="preserve"> distinct stages. Adolescence corresponds to the Formal Operational Stage, typically beginning around age 11 (Piaget, 1972). During this stage, young people develop the ability to think abstractly, engage in hypothetical reasoning, and apply logical </w:t>
      </w:r>
      <w:r w:rsidRPr="00CF6C40">
        <w:rPr>
          <w:rFonts w:ascii="Arial" w:hAnsi="Arial" w:cs="Arial"/>
        </w:rPr>
        <w:lastRenderedPageBreak/>
        <w:t>processes to complex problems. They begin to understand perspectives beyond their own and consider moral, political, and philosophical concepts.</w:t>
      </w:r>
    </w:p>
    <w:p w14:paraId="30FA0DDF" w14:textId="77777777" w:rsidR="001E5A8B" w:rsidRPr="00CF6C40" w:rsidRDefault="001E5A8B" w:rsidP="00293F12">
      <w:pPr>
        <w:spacing w:line="360" w:lineRule="auto"/>
        <w:jc w:val="both"/>
        <w:rPr>
          <w:rFonts w:ascii="Arial" w:hAnsi="Arial" w:cs="Arial"/>
        </w:rPr>
      </w:pPr>
    </w:p>
    <w:p w14:paraId="03F302E0" w14:textId="48233F60" w:rsidR="001E5A8B" w:rsidRPr="00CF6C40" w:rsidRDefault="008C2F65" w:rsidP="00293F12">
      <w:pPr>
        <w:spacing w:line="360" w:lineRule="auto"/>
        <w:jc w:val="both"/>
        <w:rPr>
          <w:rFonts w:ascii="Arial" w:hAnsi="Arial" w:cs="Arial"/>
        </w:rPr>
      </w:pPr>
      <w:r w:rsidRPr="00CF6C40">
        <w:rPr>
          <w:rFonts w:ascii="Arial" w:hAnsi="Arial" w:cs="Arial"/>
        </w:rPr>
        <w:t xml:space="preserve">This stage also influences everyday behaviour. Adolescents become </w:t>
      </w:r>
      <w:r w:rsidR="00D94D26">
        <w:rPr>
          <w:rFonts w:ascii="Arial" w:hAnsi="Arial" w:cs="Arial"/>
        </w:rPr>
        <w:t>better at</w:t>
      </w:r>
      <w:r w:rsidRPr="00CF6C40">
        <w:rPr>
          <w:rFonts w:ascii="Arial" w:hAnsi="Arial" w:cs="Arial"/>
        </w:rPr>
        <w:t xml:space="preserve"> evaluating long-term consequences, yet because cognitive maturity varies widely, some young people may not consistently apply advanced reasoning skills. </w:t>
      </w:r>
      <w:r w:rsidR="00D94D26">
        <w:rPr>
          <w:rFonts w:ascii="Arial" w:hAnsi="Arial" w:cs="Arial"/>
        </w:rPr>
        <w:t>Mental</w:t>
      </w:r>
      <w:r w:rsidRPr="00CF6C40">
        <w:rPr>
          <w:rFonts w:ascii="Arial" w:hAnsi="Arial" w:cs="Arial"/>
        </w:rPr>
        <w:t xml:space="preserve"> development is influenced by factors such as education, culture, and socio-economic status. Vygotsky (1978) emphasised that social interaction plays a critical role in cognitive development, suggesting that adolescents’ reasoning abilities grow through guided learning and collaborative problem-solving.</w:t>
      </w:r>
    </w:p>
    <w:p w14:paraId="1CC1FD34" w14:textId="77777777" w:rsidR="001E5A8B" w:rsidRPr="00CF6C40" w:rsidRDefault="001E5A8B" w:rsidP="00293F12">
      <w:pPr>
        <w:spacing w:line="360" w:lineRule="auto"/>
        <w:jc w:val="both"/>
        <w:rPr>
          <w:rFonts w:ascii="Arial" w:hAnsi="Arial" w:cs="Arial"/>
        </w:rPr>
      </w:pPr>
    </w:p>
    <w:p w14:paraId="591B85B6" w14:textId="77777777" w:rsidR="001E5A8B" w:rsidRPr="00CF6C40" w:rsidRDefault="008C2F65" w:rsidP="00293F12">
      <w:pPr>
        <w:spacing w:line="360" w:lineRule="auto"/>
        <w:jc w:val="both"/>
        <w:rPr>
          <w:rFonts w:ascii="Arial" w:hAnsi="Arial" w:cs="Arial"/>
        </w:rPr>
      </w:pPr>
      <w:r w:rsidRPr="00CF6C40">
        <w:rPr>
          <w:rFonts w:ascii="Arial" w:hAnsi="Arial" w:cs="Arial"/>
        </w:rPr>
        <w:t>Piaget’s theory remains a foundational framework for understanding how adolescents learn, make decisions, and interpret information. However, it is important to recognise that development does not follow a uniform timetable, and environmental experiences strongly influence cognitive growth.</w:t>
      </w:r>
    </w:p>
    <w:p w14:paraId="0FE57E72" w14:textId="77777777" w:rsidR="001E5A8B" w:rsidRPr="00CF6C40" w:rsidRDefault="001E5A8B" w:rsidP="00293F12">
      <w:pPr>
        <w:spacing w:line="360" w:lineRule="auto"/>
        <w:jc w:val="both"/>
        <w:rPr>
          <w:rFonts w:ascii="Arial" w:hAnsi="Arial" w:cs="Arial"/>
        </w:rPr>
      </w:pPr>
    </w:p>
    <w:p w14:paraId="7230A165" w14:textId="77777777" w:rsidR="001E5A8B" w:rsidRPr="00CF6C40" w:rsidRDefault="008C2F65" w:rsidP="00293F12">
      <w:pPr>
        <w:spacing w:line="360" w:lineRule="auto"/>
        <w:jc w:val="both"/>
        <w:rPr>
          <w:rFonts w:ascii="Arial" w:hAnsi="Arial" w:cs="Arial"/>
          <w:b/>
          <w:bCs/>
        </w:rPr>
      </w:pPr>
      <w:r w:rsidRPr="00CF6C40">
        <w:rPr>
          <w:rFonts w:ascii="Arial" w:hAnsi="Arial" w:cs="Arial"/>
          <w:b/>
          <w:bCs/>
        </w:rPr>
        <w:t>Application of Theories in Health and Social Care</w:t>
      </w:r>
    </w:p>
    <w:p w14:paraId="4EAC928E" w14:textId="77777777" w:rsidR="001E5A8B" w:rsidRPr="00CF6C40" w:rsidRDefault="001E5A8B" w:rsidP="00293F12">
      <w:pPr>
        <w:spacing w:line="360" w:lineRule="auto"/>
        <w:jc w:val="both"/>
        <w:rPr>
          <w:rFonts w:ascii="Arial" w:hAnsi="Arial" w:cs="Arial"/>
        </w:rPr>
      </w:pPr>
    </w:p>
    <w:p w14:paraId="4D7F3CF5" w14:textId="77777777" w:rsidR="001E5A8B" w:rsidRPr="00CF6C40" w:rsidRDefault="008C2F65" w:rsidP="00293F12">
      <w:pPr>
        <w:spacing w:line="360" w:lineRule="auto"/>
        <w:jc w:val="both"/>
        <w:rPr>
          <w:rFonts w:ascii="Arial" w:hAnsi="Arial" w:cs="Arial"/>
        </w:rPr>
      </w:pPr>
      <w:r w:rsidRPr="00CF6C40">
        <w:rPr>
          <w:rFonts w:ascii="Arial" w:hAnsi="Arial" w:cs="Arial"/>
        </w:rPr>
        <w:t>Using Erikson’s Theory in Practice</w:t>
      </w:r>
    </w:p>
    <w:p w14:paraId="25526802" w14:textId="3FE1A968" w:rsidR="001E5A8B" w:rsidRPr="00CF6C40" w:rsidRDefault="008C2F65" w:rsidP="00293F12">
      <w:pPr>
        <w:spacing w:line="360" w:lineRule="auto"/>
        <w:jc w:val="both"/>
        <w:rPr>
          <w:rFonts w:ascii="Arial" w:hAnsi="Arial" w:cs="Arial"/>
        </w:rPr>
      </w:pPr>
      <w:r w:rsidRPr="00CF6C40">
        <w:rPr>
          <w:rFonts w:ascii="Arial" w:hAnsi="Arial" w:cs="Arial"/>
        </w:rPr>
        <w:t xml:space="preserve">Erikson’s theory provides valuable insights for healthcare professionals working with adolescents experiencing emotional, social, or behavioural challenges. For example, identity-related stress is </w:t>
      </w:r>
      <w:r w:rsidR="00D94D26">
        <w:rPr>
          <w:rFonts w:ascii="Arial" w:hAnsi="Arial" w:cs="Arial"/>
        </w:rPr>
        <w:t>common</w:t>
      </w:r>
      <w:r w:rsidRPr="00CF6C40">
        <w:rPr>
          <w:rFonts w:ascii="Arial" w:hAnsi="Arial" w:cs="Arial"/>
        </w:rPr>
        <w:t xml:space="preserve"> among young people facing cultural conflict, family expectations, or peer pressure. Practitioners can support adolescents by creating a safe</w:t>
      </w:r>
      <w:r w:rsidR="00D94D26">
        <w:rPr>
          <w:rFonts w:ascii="Arial" w:hAnsi="Arial" w:cs="Arial"/>
        </w:rPr>
        <w:t>, non-judgmental space to explore personal values, cultural identity, sexual orientation, and</w:t>
      </w:r>
      <w:r w:rsidRPr="00CF6C40">
        <w:rPr>
          <w:rFonts w:ascii="Arial" w:hAnsi="Arial" w:cs="Arial"/>
        </w:rPr>
        <w:t xml:space="preserve"> long-term aspirations (Kroger, 2017).</w:t>
      </w:r>
    </w:p>
    <w:p w14:paraId="656CE8DE" w14:textId="77777777" w:rsidR="001E5A8B" w:rsidRPr="00CF6C40" w:rsidRDefault="001E5A8B" w:rsidP="00293F12">
      <w:pPr>
        <w:spacing w:line="360" w:lineRule="auto"/>
        <w:jc w:val="both"/>
        <w:rPr>
          <w:rFonts w:ascii="Arial" w:hAnsi="Arial" w:cs="Arial"/>
        </w:rPr>
      </w:pPr>
    </w:p>
    <w:p w14:paraId="1E2E8C2E" w14:textId="77777777" w:rsidR="001E5A8B" w:rsidRPr="00CF6C40" w:rsidRDefault="008C2F65" w:rsidP="00293F12">
      <w:pPr>
        <w:spacing w:line="360" w:lineRule="auto"/>
        <w:jc w:val="both"/>
        <w:rPr>
          <w:rFonts w:ascii="Arial" w:hAnsi="Arial" w:cs="Arial"/>
        </w:rPr>
      </w:pPr>
      <w:r w:rsidRPr="00CF6C40">
        <w:rPr>
          <w:rFonts w:ascii="Arial" w:hAnsi="Arial" w:cs="Arial"/>
        </w:rPr>
        <w:t xml:space="preserve">Professionals can also assist families by promoting open communication and helping caregivers understand the importance of autonomy and identity exploration. Interventions </w:t>
      </w:r>
      <w:r w:rsidRPr="00CF6C40">
        <w:rPr>
          <w:rFonts w:ascii="Arial" w:hAnsi="Arial" w:cs="Arial"/>
        </w:rPr>
        <w:lastRenderedPageBreak/>
        <w:t>such as counselling, youth groups, and mentorship programmes can further support identity development.</w:t>
      </w:r>
    </w:p>
    <w:p w14:paraId="7AC47A07" w14:textId="77777777" w:rsidR="001E5A8B" w:rsidRPr="00CF6C40" w:rsidRDefault="001E5A8B" w:rsidP="00293F12">
      <w:pPr>
        <w:spacing w:line="360" w:lineRule="auto"/>
        <w:jc w:val="both"/>
        <w:rPr>
          <w:rFonts w:ascii="Arial" w:hAnsi="Arial" w:cs="Arial"/>
        </w:rPr>
      </w:pPr>
    </w:p>
    <w:p w14:paraId="5E8A5D05" w14:textId="77777777" w:rsidR="001E5A8B" w:rsidRPr="00CF6C40" w:rsidRDefault="008C2F65" w:rsidP="00293F12">
      <w:pPr>
        <w:spacing w:line="360" w:lineRule="auto"/>
        <w:jc w:val="both"/>
        <w:rPr>
          <w:rFonts w:ascii="Arial" w:hAnsi="Arial" w:cs="Arial"/>
        </w:rPr>
      </w:pPr>
      <w:r w:rsidRPr="00CF6C40">
        <w:rPr>
          <w:rFonts w:ascii="Arial" w:hAnsi="Arial" w:cs="Arial"/>
        </w:rPr>
        <w:t xml:space="preserve">Case Example: A 15-year-old boy referred to a community mental health </w:t>
      </w:r>
      <w:proofErr w:type="gramStart"/>
      <w:r w:rsidRPr="00CF6C40">
        <w:rPr>
          <w:rFonts w:ascii="Arial" w:hAnsi="Arial" w:cs="Arial"/>
        </w:rPr>
        <w:t>service is</w:t>
      </w:r>
      <w:proofErr w:type="gramEnd"/>
      <w:r w:rsidRPr="00CF6C40">
        <w:rPr>
          <w:rFonts w:ascii="Arial" w:hAnsi="Arial" w:cs="Arial"/>
        </w:rPr>
        <w:t xml:space="preserve"> experiencing low mood, conflict with parents, and difficulty fitting in at school. Assessment reveals he is struggling with identity uncertainty, exacerbated by pressure to follow a career path chosen by his family. Using Erikson’s theory, healthcare professionals identify his difficulties as part of the Identity vs Role Confusion stage. Through therapeutic support, he explores his interests and values, and practitioners facilitate discussions with his family to promote understanding. As a result</w:t>
      </w:r>
      <w:r w:rsidRPr="00CF6C40">
        <w:rPr>
          <w:rFonts w:ascii="Arial" w:hAnsi="Arial" w:cs="Arial"/>
        </w:rPr>
        <w:t>, he develops greater confidence and experiences reduced emotional distress.</w:t>
      </w:r>
    </w:p>
    <w:p w14:paraId="7D1F7A08" w14:textId="77777777" w:rsidR="001E5A8B" w:rsidRPr="00CF6C40" w:rsidRDefault="001E5A8B" w:rsidP="00293F12">
      <w:pPr>
        <w:spacing w:line="360" w:lineRule="auto"/>
        <w:jc w:val="both"/>
        <w:rPr>
          <w:rFonts w:ascii="Arial" w:hAnsi="Arial" w:cs="Arial"/>
        </w:rPr>
      </w:pPr>
    </w:p>
    <w:p w14:paraId="3B99705B" w14:textId="77777777" w:rsidR="001E5A8B" w:rsidRPr="00CF6C40" w:rsidRDefault="008C2F65" w:rsidP="00293F12">
      <w:pPr>
        <w:spacing w:line="360" w:lineRule="auto"/>
        <w:jc w:val="both"/>
        <w:rPr>
          <w:rFonts w:ascii="Arial" w:hAnsi="Arial" w:cs="Arial"/>
        </w:rPr>
      </w:pPr>
      <w:r w:rsidRPr="00CF6C40">
        <w:rPr>
          <w:rFonts w:ascii="Arial" w:hAnsi="Arial" w:cs="Arial"/>
        </w:rPr>
        <w:t>Using Piaget’s Theory in Practice</w:t>
      </w:r>
    </w:p>
    <w:p w14:paraId="087818D2" w14:textId="77777777" w:rsidR="001E5A8B" w:rsidRPr="00CF6C40" w:rsidRDefault="008C2F65" w:rsidP="00293F12">
      <w:pPr>
        <w:spacing w:line="360" w:lineRule="auto"/>
        <w:jc w:val="both"/>
        <w:rPr>
          <w:rFonts w:ascii="Arial" w:hAnsi="Arial" w:cs="Arial"/>
        </w:rPr>
      </w:pPr>
      <w:r w:rsidRPr="00CF6C40">
        <w:rPr>
          <w:rFonts w:ascii="Arial" w:hAnsi="Arial" w:cs="Arial"/>
        </w:rPr>
        <w:t>Piaget’s theory helps practitioners understand why adolescents may act impulsively or seem inconsistent in their reasoning. Although they may have the capacity for abstract thinking, they are still developing the ability to apply it to real-life situations (Santrock, 2019). Healthcare professionals can tailor communication by using clear, concrete explanations and presenting information in ways that match adolescents’ cognitive abilities.</w:t>
      </w:r>
    </w:p>
    <w:p w14:paraId="025CE7E4" w14:textId="77777777" w:rsidR="001E5A8B" w:rsidRPr="00CF6C40" w:rsidRDefault="001E5A8B" w:rsidP="00293F12">
      <w:pPr>
        <w:spacing w:line="360" w:lineRule="auto"/>
        <w:jc w:val="both"/>
        <w:rPr>
          <w:rFonts w:ascii="Arial" w:hAnsi="Arial" w:cs="Arial"/>
        </w:rPr>
      </w:pPr>
    </w:p>
    <w:p w14:paraId="4138C0C3" w14:textId="1A0E357E" w:rsidR="001E5A8B" w:rsidRPr="00CF6C40" w:rsidRDefault="008C2F65" w:rsidP="00293F12">
      <w:pPr>
        <w:spacing w:line="360" w:lineRule="auto"/>
        <w:jc w:val="both"/>
        <w:rPr>
          <w:rFonts w:ascii="Arial" w:hAnsi="Arial" w:cs="Arial"/>
        </w:rPr>
      </w:pPr>
      <w:r w:rsidRPr="00CF6C40">
        <w:rPr>
          <w:rFonts w:ascii="Arial" w:hAnsi="Arial" w:cs="Arial"/>
        </w:rPr>
        <w:t>In health education</w:t>
      </w:r>
      <w:r w:rsidR="00C11B9A">
        <w:rPr>
          <w:rFonts w:ascii="Arial" w:hAnsi="Arial" w:cs="Arial"/>
        </w:rPr>
        <w:t xml:space="preserve">, such as sexual health, substance misuse prevention, or nutrition, </w:t>
      </w:r>
      <w:r w:rsidRPr="00CF6C40">
        <w:rPr>
          <w:rFonts w:ascii="Arial" w:hAnsi="Arial" w:cs="Arial"/>
        </w:rPr>
        <w:t>professionals can incorporate interactive and hypothetical scenarios to support abstract reasoning and decision-making skills. Recognising that some adolescents may not yet have reached the formal operational stage prevents unrealistic expectations and supports more effective engagement.</w:t>
      </w:r>
    </w:p>
    <w:p w14:paraId="3947D5C1" w14:textId="77777777" w:rsidR="001E5A8B" w:rsidRPr="00CF6C40" w:rsidRDefault="001E5A8B" w:rsidP="00293F12">
      <w:pPr>
        <w:spacing w:line="360" w:lineRule="auto"/>
        <w:jc w:val="both"/>
        <w:rPr>
          <w:rFonts w:ascii="Arial" w:hAnsi="Arial" w:cs="Arial"/>
        </w:rPr>
      </w:pPr>
    </w:p>
    <w:p w14:paraId="13E02096" w14:textId="0489D916" w:rsidR="001E5A8B" w:rsidRPr="00CF6C40" w:rsidRDefault="008C2F65" w:rsidP="00293F12">
      <w:pPr>
        <w:spacing w:line="360" w:lineRule="auto"/>
        <w:jc w:val="both"/>
        <w:rPr>
          <w:rFonts w:ascii="Arial" w:hAnsi="Arial" w:cs="Arial"/>
        </w:rPr>
      </w:pPr>
      <w:r w:rsidRPr="00CF6C40">
        <w:rPr>
          <w:rFonts w:ascii="Arial" w:hAnsi="Arial" w:cs="Arial"/>
        </w:rPr>
        <w:t xml:space="preserve">Case Example: A nurse delivering a workshop on sexual health notices that many adolescents understand </w:t>
      </w:r>
      <w:r w:rsidR="00D94D26" w:rsidRPr="00CF6C40">
        <w:rPr>
          <w:rFonts w:ascii="Arial" w:hAnsi="Arial" w:cs="Arial"/>
        </w:rPr>
        <w:t>information</w:t>
      </w:r>
      <w:r w:rsidRPr="00CF6C40">
        <w:rPr>
          <w:rFonts w:ascii="Arial" w:hAnsi="Arial" w:cs="Arial"/>
        </w:rPr>
        <w:t xml:space="preserve"> but struggle to apply it when discussing real-life scenarios. Using Piaget’s principles, the nurse incorporates role-play, group discussions, </w:t>
      </w:r>
      <w:r w:rsidRPr="00CF6C40">
        <w:rPr>
          <w:rFonts w:ascii="Arial" w:hAnsi="Arial" w:cs="Arial"/>
        </w:rPr>
        <w:lastRenderedPageBreak/>
        <w:t>and hypothetical case examples to support critical thinking. This approach enables young people to apply information more effectively and increases their confidence in making informed decisions.</w:t>
      </w:r>
    </w:p>
    <w:p w14:paraId="184EDB4F" w14:textId="77777777" w:rsidR="001E5A8B" w:rsidRPr="00CF6C40" w:rsidRDefault="001E5A8B" w:rsidP="00293F12">
      <w:pPr>
        <w:spacing w:line="360" w:lineRule="auto"/>
        <w:jc w:val="both"/>
        <w:rPr>
          <w:rFonts w:ascii="Arial" w:hAnsi="Arial" w:cs="Arial"/>
        </w:rPr>
      </w:pPr>
    </w:p>
    <w:p w14:paraId="24401DBF" w14:textId="77777777" w:rsidR="001E5A8B" w:rsidRPr="00CF6C40" w:rsidRDefault="008C2F65" w:rsidP="00293F12">
      <w:pPr>
        <w:spacing w:line="360" w:lineRule="auto"/>
        <w:jc w:val="both"/>
        <w:rPr>
          <w:rFonts w:ascii="Arial" w:hAnsi="Arial" w:cs="Arial"/>
          <w:b/>
          <w:bCs/>
        </w:rPr>
      </w:pPr>
      <w:r w:rsidRPr="00CF6C40">
        <w:rPr>
          <w:rFonts w:ascii="Arial" w:hAnsi="Arial" w:cs="Arial"/>
          <w:b/>
          <w:bCs/>
        </w:rPr>
        <w:t>Critical Evaluation of Theories</w:t>
      </w:r>
    </w:p>
    <w:p w14:paraId="4AC1FD21" w14:textId="77777777" w:rsidR="001E5A8B" w:rsidRPr="00CF6C40" w:rsidRDefault="001E5A8B" w:rsidP="00293F12">
      <w:pPr>
        <w:spacing w:line="360" w:lineRule="auto"/>
        <w:jc w:val="both"/>
        <w:rPr>
          <w:rFonts w:ascii="Arial" w:hAnsi="Arial" w:cs="Arial"/>
        </w:rPr>
      </w:pPr>
    </w:p>
    <w:p w14:paraId="0F18C58A" w14:textId="77777777" w:rsidR="001E5A8B" w:rsidRPr="00CF6C40" w:rsidRDefault="008C2F65" w:rsidP="00293F12">
      <w:pPr>
        <w:spacing w:line="360" w:lineRule="auto"/>
        <w:jc w:val="both"/>
        <w:rPr>
          <w:rFonts w:ascii="Arial" w:hAnsi="Arial" w:cs="Arial"/>
        </w:rPr>
      </w:pPr>
      <w:r w:rsidRPr="00CF6C40">
        <w:rPr>
          <w:rFonts w:ascii="Arial" w:hAnsi="Arial" w:cs="Arial"/>
        </w:rPr>
        <w:t>Strengths and Limitations of Erikson’s Theory</w:t>
      </w:r>
    </w:p>
    <w:p w14:paraId="445EFDD9" w14:textId="0C24B22D" w:rsidR="001E5A8B" w:rsidRPr="00CF6C40" w:rsidRDefault="008C2F65" w:rsidP="00293F12">
      <w:pPr>
        <w:spacing w:line="360" w:lineRule="auto"/>
        <w:jc w:val="both"/>
        <w:rPr>
          <w:rFonts w:ascii="Arial" w:hAnsi="Arial" w:cs="Arial"/>
        </w:rPr>
      </w:pPr>
      <w:r w:rsidRPr="00CF6C40">
        <w:rPr>
          <w:rFonts w:ascii="Arial" w:hAnsi="Arial" w:cs="Arial"/>
        </w:rPr>
        <w:t>Erikson’s theory remains influential due to its holistic consideration of emotional, social, and cultural factors in development (Kroger, 2017). For healthcare professionals, the focus on identity development provides a relevant framework for understanding adolescent mental health, social relationships, and behaviour. However, the theory has been criticised for being culturally biased and assuming universal stages that may not apply across diverse backgrounds (Lerner, 2018). Identity development is now unde</w:t>
      </w:r>
      <w:r w:rsidRPr="00CF6C40">
        <w:rPr>
          <w:rFonts w:ascii="Arial" w:hAnsi="Arial" w:cs="Arial"/>
        </w:rPr>
        <w:t xml:space="preserve">rstood to be a fluid, lifelong process rather than limited to adolescence. Despite these limitations, Erikson’s framework </w:t>
      </w:r>
      <w:r w:rsidR="00D94D26">
        <w:rPr>
          <w:rFonts w:ascii="Arial" w:hAnsi="Arial" w:cs="Arial"/>
        </w:rPr>
        <w:t>remains</w:t>
      </w:r>
      <w:r w:rsidRPr="00CF6C40">
        <w:rPr>
          <w:rFonts w:ascii="Arial" w:hAnsi="Arial" w:cs="Arial"/>
        </w:rPr>
        <w:t xml:space="preserve"> valuable in clinical practice.</w:t>
      </w:r>
    </w:p>
    <w:p w14:paraId="0B3D48F3" w14:textId="77777777" w:rsidR="001E5A8B" w:rsidRPr="00CF6C40" w:rsidRDefault="001E5A8B" w:rsidP="00293F12">
      <w:pPr>
        <w:spacing w:line="360" w:lineRule="auto"/>
        <w:jc w:val="both"/>
        <w:rPr>
          <w:rFonts w:ascii="Arial" w:hAnsi="Arial" w:cs="Arial"/>
        </w:rPr>
      </w:pPr>
    </w:p>
    <w:p w14:paraId="492440F5" w14:textId="77777777" w:rsidR="001E5A8B" w:rsidRPr="00CF6C40" w:rsidRDefault="008C2F65" w:rsidP="00293F12">
      <w:pPr>
        <w:spacing w:line="360" w:lineRule="auto"/>
        <w:jc w:val="both"/>
        <w:rPr>
          <w:rFonts w:ascii="Arial" w:hAnsi="Arial" w:cs="Arial"/>
        </w:rPr>
      </w:pPr>
      <w:r w:rsidRPr="00CF6C40">
        <w:rPr>
          <w:rFonts w:ascii="Arial" w:hAnsi="Arial" w:cs="Arial"/>
        </w:rPr>
        <w:t>Strengths and Limitations of Piaget’s Theory</w:t>
      </w:r>
    </w:p>
    <w:p w14:paraId="0EDCD711" w14:textId="06BE3912" w:rsidR="001E5A8B" w:rsidRPr="00CF6C40" w:rsidRDefault="008C2F65" w:rsidP="00293F12">
      <w:pPr>
        <w:spacing w:line="360" w:lineRule="auto"/>
        <w:jc w:val="both"/>
        <w:rPr>
          <w:rFonts w:ascii="Arial" w:hAnsi="Arial" w:cs="Arial"/>
        </w:rPr>
      </w:pPr>
      <w:r w:rsidRPr="00CF6C40">
        <w:rPr>
          <w:rFonts w:ascii="Arial" w:hAnsi="Arial" w:cs="Arial"/>
        </w:rPr>
        <w:t xml:space="preserve">Piaget’s theory offers </w:t>
      </w:r>
      <w:r w:rsidR="00D94D26">
        <w:rPr>
          <w:rFonts w:ascii="Arial" w:hAnsi="Arial" w:cs="Arial"/>
        </w:rPr>
        <w:t>valuable</w:t>
      </w:r>
      <w:r w:rsidRPr="00CF6C40">
        <w:rPr>
          <w:rFonts w:ascii="Arial" w:hAnsi="Arial" w:cs="Arial"/>
        </w:rPr>
        <w:t xml:space="preserve"> insights into adolescent reasoning and has practical applications for education and healthcare. However, critics argue that Piaget underestimated young people’s cognitive abilities and </w:t>
      </w:r>
      <w:r w:rsidR="00D94D26">
        <w:rPr>
          <w:rFonts w:ascii="Arial" w:hAnsi="Arial" w:cs="Arial"/>
        </w:rPr>
        <w:t>failed to fully consider cultural and</w:t>
      </w:r>
      <w:r w:rsidRPr="00CF6C40">
        <w:rPr>
          <w:rFonts w:ascii="Arial" w:hAnsi="Arial" w:cs="Arial"/>
        </w:rPr>
        <w:t xml:space="preserve"> social influences (Vygotsky, 1978). Modern research suggests that </w:t>
      </w:r>
      <w:r w:rsidR="00D94D26">
        <w:rPr>
          <w:rFonts w:ascii="Arial" w:hAnsi="Arial" w:cs="Arial"/>
        </w:rPr>
        <w:t>mental</w:t>
      </w:r>
      <w:r w:rsidRPr="00CF6C40">
        <w:rPr>
          <w:rFonts w:ascii="Arial" w:hAnsi="Arial" w:cs="Arial"/>
        </w:rPr>
        <w:t xml:space="preserve"> development is more continuous than stage-like. Nonetheless, Piaget’s framework remains helpful for understanding how adolescents process information and why they may struggle with long-term planning or risk assessment.</w:t>
      </w:r>
    </w:p>
    <w:p w14:paraId="49335568" w14:textId="77777777" w:rsidR="001E5A8B" w:rsidRPr="00CF6C40" w:rsidRDefault="001E5A8B" w:rsidP="00293F12">
      <w:pPr>
        <w:spacing w:line="360" w:lineRule="auto"/>
        <w:jc w:val="both"/>
        <w:rPr>
          <w:rFonts w:ascii="Arial" w:hAnsi="Arial" w:cs="Arial"/>
        </w:rPr>
      </w:pPr>
    </w:p>
    <w:p w14:paraId="71BCE152" w14:textId="77777777" w:rsidR="00D94D26" w:rsidRDefault="00D94D26" w:rsidP="00293F12">
      <w:pPr>
        <w:spacing w:line="360" w:lineRule="auto"/>
        <w:jc w:val="both"/>
        <w:rPr>
          <w:rFonts w:ascii="Arial" w:hAnsi="Arial" w:cs="Arial"/>
          <w:b/>
          <w:bCs/>
        </w:rPr>
      </w:pPr>
    </w:p>
    <w:p w14:paraId="51605364" w14:textId="3BDEE9D2" w:rsidR="001E5A8B" w:rsidRPr="00CF6C40" w:rsidRDefault="008C2F65" w:rsidP="00293F12">
      <w:pPr>
        <w:spacing w:line="360" w:lineRule="auto"/>
        <w:jc w:val="both"/>
        <w:rPr>
          <w:rFonts w:ascii="Arial" w:hAnsi="Arial" w:cs="Arial"/>
          <w:b/>
          <w:bCs/>
        </w:rPr>
      </w:pPr>
      <w:r w:rsidRPr="00CF6C40">
        <w:rPr>
          <w:rFonts w:ascii="Arial" w:hAnsi="Arial" w:cs="Arial"/>
          <w:b/>
          <w:bCs/>
        </w:rPr>
        <w:lastRenderedPageBreak/>
        <w:t>Practical Applications in Health and Social Care</w:t>
      </w:r>
    </w:p>
    <w:p w14:paraId="776C10A5" w14:textId="77777777" w:rsidR="001E5A8B" w:rsidRPr="00CF6C40" w:rsidRDefault="008C2F65" w:rsidP="00293F12">
      <w:pPr>
        <w:spacing w:line="360" w:lineRule="auto"/>
        <w:jc w:val="both"/>
        <w:rPr>
          <w:rFonts w:ascii="Arial" w:hAnsi="Arial" w:cs="Arial"/>
        </w:rPr>
      </w:pPr>
      <w:r w:rsidRPr="00CF6C40">
        <w:rPr>
          <w:rFonts w:ascii="Arial" w:hAnsi="Arial" w:cs="Arial"/>
        </w:rPr>
        <w:t>Understanding developmental psychology helps healthcare professionals deliver effective, age-appropriate support. For example:</w:t>
      </w:r>
    </w:p>
    <w:p w14:paraId="07C78AAC" w14:textId="77777777" w:rsidR="001E5A8B" w:rsidRPr="00CF6C40" w:rsidRDefault="001E5A8B" w:rsidP="00293F12">
      <w:pPr>
        <w:spacing w:line="360" w:lineRule="auto"/>
        <w:jc w:val="both"/>
        <w:rPr>
          <w:rFonts w:ascii="Arial" w:hAnsi="Arial" w:cs="Arial"/>
        </w:rPr>
      </w:pPr>
    </w:p>
    <w:p w14:paraId="0D1F9E5C" w14:textId="77777777" w:rsidR="001E5A8B" w:rsidRPr="00CF6C40" w:rsidRDefault="008C2F65" w:rsidP="00293F12">
      <w:pPr>
        <w:spacing w:line="360" w:lineRule="auto"/>
        <w:jc w:val="both"/>
        <w:rPr>
          <w:rFonts w:ascii="Arial" w:hAnsi="Arial" w:cs="Arial"/>
        </w:rPr>
      </w:pPr>
      <w:r w:rsidRPr="00CF6C40">
        <w:rPr>
          <w:rFonts w:ascii="Arial" w:hAnsi="Arial" w:cs="Arial"/>
        </w:rPr>
        <w:t xml:space="preserve">• Mental health practitioners can explore identity-related stressors using Eriksonian principles.  </w:t>
      </w:r>
    </w:p>
    <w:p w14:paraId="110AF9E7" w14:textId="77777777" w:rsidR="001E5A8B" w:rsidRPr="00CF6C40" w:rsidRDefault="008C2F65" w:rsidP="00293F12">
      <w:pPr>
        <w:spacing w:line="360" w:lineRule="auto"/>
        <w:jc w:val="both"/>
        <w:rPr>
          <w:rFonts w:ascii="Arial" w:hAnsi="Arial" w:cs="Arial"/>
        </w:rPr>
      </w:pPr>
      <w:r w:rsidRPr="00CF6C40">
        <w:rPr>
          <w:rFonts w:ascii="Arial" w:hAnsi="Arial" w:cs="Arial"/>
        </w:rPr>
        <w:t xml:space="preserve">• Nurses can design health education programmes tailored to adolescents’ cognitive abilities.  </w:t>
      </w:r>
    </w:p>
    <w:p w14:paraId="6D21DB85" w14:textId="77777777" w:rsidR="001E5A8B" w:rsidRPr="00CF6C40" w:rsidRDefault="008C2F65" w:rsidP="00293F12">
      <w:pPr>
        <w:spacing w:line="360" w:lineRule="auto"/>
        <w:jc w:val="both"/>
        <w:rPr>
          <w:rFonts w:ascii="Arial" w:hAnsi="Arial" w:cs="Arial"/>
        </w:rPr>
      </w:pPr>
      <w:r w:rsidRPr="00CF6C40">
        <w:rPr>
          <w:rFonts w:ascii="Arial" w:hAnsi="Arial" w:cs="Arial"/>
        </w:rPr>
        <w:t xml:space="preserve">• Social workers can interpret risk-taking behaviours in the context of brain development rather than viewing them solely as intentional defiance.  </w:t>
      </w:r>
    </w:p>
    <w:p w14:paraId="46EF7DE5" w14:textId="77777777" w:rsidR="001E5A8B" w:rsidRPr="00CF6C40" w:rsidRDefault="008C2F65" w:rsidP="00293F12">
      <w:pPr>
        <w:spacing w:line="360" w:lineRule="auto"/>
        <w:jc w:val="both"/>
        <w:rPr>
          <w:rFonts w:ascii="Arial" w:hAnsi="Arial" w:cs="Arial"/>
        </w:rPr>
      </w:pPr>
      <w:r w:rsidRPr="00CF6C40">
        <w:rPr>
          <w:rFonts w:ascii="Arial" w:hAnsi="Arial" w:cs="Arial"/>
        </w:rPr>
        <w:t xml:space="preserve">• Youth workers can provide supportive environments that promote autonomy and identity exploration.  </w:t>
      </w:r>
    </w:p>
    <w:p w14:paraId="6CBD8857" w14:textId="77777777" w:rsidR="001E5A8B" w:rsidRPr="00CF6C40" w:rsidRDefault="001E5A8B" w:rsidP="00293F12">
      <w:pPr>
        <w:spacing w:line="360" w:lineRule="auto"/>
        <w:jc w:val="both"/>
        <w:rPr>
          <w:rFonts w:ascii="Arial" w:hAnsi="Arial" w:cs="Arial"/>
        </w:rPr>
      </w:pPr>
    </w:p>
    <w:p w14:paraId="3E245CC1" w14:textId="77777777" w:rsidR="001E5A8B" w:rsidRPr="00CF6C40" w:rsidRDefault="008C2F65" w:rsidP="00293F12">
      <w:pPr>
        <w:spacing w:line="360" w:lineRule="auto"/>
        <w:jc w:val="both"/>
        <w:rPr>
          <w:rFonts w:ascii="Arial" w:hAnsi="Arial" w:cs="Arial"/>
        </w:rPr>
      </w:pPr>
      <w:r w:rsidRPr="00CF6C40">
        <w:rPr>
          <w:rFonts w:ascii="Arial" w:hAnsi="Arial" w:cs="Arial"/>
        </w:rPr>
        <w:t>These approaches help create supportive, empathetic, and effective care for young people and their families.</w:t>
      </w:r>
    </w:p>
    <w:p w14:paraId="1407285D" w14:textId="77777777" w:rsidR="001E5A8B" w:rsidRPr="00CF6C40" w:rsidRDefault="001E5A8B" w:rsidP="00293F12">
      <w:pPr>
        <w:spacing w:line="360" w:lineRule="auto"/>
        <w:jc w:val="both"/>
        <w:rPr>
          <w:rFonts w:ascii="Arial" w:hAnsi="Arial" w:cs="Arial"/>
        </w:rPr>
      </w:pPr>
    </w:p>
    <w:p w14:paraId="45844018" w14:textId="77777777" w:rsidR="00EA09E1" w:rsidRPr="00CF6C40" w:rsidRDefault="00EA09E1" w:rsidP="00293F12">
      <w:pPr>
        <w:spacing w:line="360" w:lineRule="auto"/>
        <w:jc w:val="both"/>
        <w:rPr>
          <w:rFonts w:ascii="Arial" w:hAnsi="Arial" w:cs="Arial"/>
          <w:b/>
          <w:bCs/>
        </w:rPr>
      </w:pPr>
    </w:p>
    <w:p w14:paraId="593208B7" w14:textId="77777777" w:rsidR="00EA09E1" w:rsidRPr="00CF6C40" w:rsidRDefault="00EA09E1" w:rsidP="00293F12">
      <w:pPr>
        <w:spacing w:line="360" w:lineRule="auto"/>
        <w:jc w:val="both"/>
        <w:rPr>
          <w:rFonts w:ascii="Arial" w:hAnsi="Arial" w:cs="Arial"/>
          <w:b/>
          <w:bCs/>
        </w:rPr>
      </w:pPr>
    </w:p>
    <w:p w14:paraId="64AD81AE" w14:textId="77777777" w:rsidR="00EA09E1" w:rsidRPr="00CF6C40" w:rsidRDefault="00EA09E1" w:rsidP="00293F12">
      <w:pPr>
        <w:spacing w:line="360" w:lineRule="auto"/>
        <w:jc w:val="both"/>
        <w:rPr>
          <w:rFonts w:ascii="Arial" w:hAnsi="Arial" w:cs="Arial"/>
          <w:b/>
          <w:bCs/>
        </w:rPr>
      </w:pPr>
    </w:p>
    <w:p w14:paraId="27EB6BF1" w14:textId="77777777" w:rsidR="00EA09E1" w:rsidRPr="00CF6C40" w:rsidRDefault="00EA09E1" w:rsidP="00293F12">
      <w:pPr>
        <w:spacing w:line="360" w:lineRule="auto"/>
        <w:jc w:val="both"/>
        <w:rPr>
          <w:rFonts w:ascii="Arial" w:hAnsi="Arial" w:cs="Arial"/>
          <w:b/>
          <w:bCs/>
        </w:rPr>
      </w:pPr>
    </w:p>
    <w:p w14:paraId="3829B13F" w14:textId="77777777" w:rsidR="00EA09E1" w:rsidRPr="00CF6C40" w:rsidRDefault="00EA09E1" w:rsidP="00293F12">
      <w:pPr>
        <w:spacing w:line="360" w:lineRule="auto"/>
        <w:jc w:val="both"/>
        <w:rPr>
          <w:rFonts w:ascii="Arial" w:hAnsi="Arial" w:cs="Arial"/>
          <w:b/>
          <w:bCs/>
        </w:rPr>
      </w:pPr>
    </w:p>
    <w:p w14:paraId="30395128" w14:textId="77777777" w:rsidR="00EA09E1" w:rsidRPr="00CF6C40" w:rsidRDefault="00EA09E1" w:rsidP="00293F12">
      <w:pPr>
        <w:spacing w:line="360" w:lineRule="auto"/>
        <w:jc w:val="both"/>
        <w:rPr>
          <w:rFonts w:ascii="Arial" w:hAnsi="Arial" w:cs="Arial"/>
          <w:b/>
          <w:bCs/>
        </w:rPr>
      </w:pPr>
    </w:p>
    <w:p w14:paraId="523A94AD" w14:textId="77777777" w:rsidR="00D94D26" w:rsidRDefault="00D94D26" w:rsidP="00293F12">
      <w:pPr>
        <w:spacing w:line="360" w:lineRule="auto"/>
        <w:jc w:val="both"/>
        <w:rPr>
          <w:rFonts w:ascii="Arial" w:hAnsi="Arial" w:cs="Arial"/>
          <w:b/>
          <w:bCs/>
        </w:rPr>
      </w:pPr>
    </w:p>
    <w:p w14:paraId="751CD105" w14:textId="77777777" w:rsidR="00D94D26" w:rsidRDefault="00D94D26" w:rsidP="00293F12">
      <w:pPr>
        <w:spacing w:line="360" w:lineRule="auto"/>
        <w:jc w:val="both"/>
        <w:rPr>
          <w:rFonts w:ascii="Arial" w:hAnsi="Arial" w:cs="Arial"/>
          <w:b/>
          <w:bCs/>
        </w:rPr>
      </w:pPr>
    </w:p>
    <w:p w14:paraId="71A43FDD" w14:textId="2C668C30" w:rsidR="001E5A8B" w:rsidRPr="00CF6C40" w:rsidRDefault="008C2F65" w:rsidP="00293F12">
      <w:pPr>
        <w:spacing w:line="360" w:lineRule="auto"/>
        <w:jc w:val="both"/>
        <w:rPr>
          <w:rFonts w:ascii="Arial" w:hAnsi="Arial" w:cs="Arial"/>
          <w:b/>
          <w:bCs/>
        </w:rPr>
      </w:pPr>
      <w:r w:rsidRPr="00CF6C40">
        <w:rPr>
          <w:rFonts w:ascii="Arial" w:hAnsi="Arial" w:cs="Arial"/>
          <w:b/>
          <w:bCs/>
        </w:rPr>
        <w:lastRenderedPageBreak/>
        <w:t>References</w:t>
      </w:r>
    </w:p>
    <w:p w14:paraId="4532F772" w14:textId="21B73A64" w:rsidR="001E5A8B" w:rsidRPr="00CF6C40" w:rsidRDefault="008C2F65" w:rsidP="00293F12">
      <w:pPr>
        <w:spacing w:line="360" w:lineRule="auto"/>
        <w:jc w:val="both"/>
        <w:rPr>
          <w:rFonts w:ascii="Arial" w:hAnsi="Arial" w:cs="Arial"/>
        </w:rPr>
      </w:pPr>
      <w:r w:rsidRPr="00CF6C40">
        <w:rPr>
          <w:rFonts w:ascii="Arial" w:hAnsi="Arial" w:cs="Arial"/>
        </w:rPr>
        <w:t>Erikson, E. H. (1968). Identity: Youth and crisis. Norton.</w:t>
      </w:r>
      <w:r w:rsidR="00293F12">
        <w:rPr>
          <w:rFonts w:ascii="Arial" w:hAnsi="Arial" w:cs="Arial"/>
        </w:rPr>
        <w:t xml:space="preserve"> </w:t>
      </w:r>
    </w:p>
    <w:p w14:paraId="4F4BBB7C" w14:textId="77777777" w:rsidR="001E5A8B" w:rsidRPr="00CF6C40" w:rsidRDefault="008C2F65" w:rsidP="00293F12">
      <w:pPr>
        <w:spacing w:line="360" w:lineRule="auto"/>
        <w:jc w:val="both"/>
        <w:rPr>
          <w:rFonts w:ascii="Arial" w:hAnsi="Arial" w:cs="Arial"/>
        </w:rPr>
      </w:pPr>
      <w:r w:rsidRPr="00CF6C40">
        <w:rPr>
          <w:rFonts w:ascii="Arial" w:hAnsi="Arial" w:cs="Arial"/>
        </w:rPr>
        <w:t>Kroger, J. (2017). Identity development in adolescence. Journal of Adolescence, 62, 1–11.</w:t>
      </w:r>
    </w:p>
    <w:p w14:paraId="2764738B" w14:textId="77777777" w:rsidR="001E5A8B" w:rsidRPr="00CF6C40" w:rsidRDefault="008C2F65" w:rsidP="00293F12">
      <w:pPr>
        <w:spacing w:line="360" w:lineRule="auto"/>
        <w:jc w:val="both"/>
        <w:rPr>
          <w:rFonts w:ascii="Arial" w:hAnsi="Arial" w:cs="Arial"/>
        </w:rPr>
      </w:pPr>
      <w:r w:rsidRPr="00CF6C40">
        <w:rPr>
          <w:rFonts w:ascii="Arial" w:hAnsi="Arial" w:cs="Arial"/>
        </w:rPr>
        <w:t>Lerner, R. M. (2018). Concepts and theories of human development. Routledge.</w:t>
      </w:r>
    </w:p>
    <w:p w14:paraId="53B159C3" w14:textId="77777777" w:rsidR="001E5A8B" w:rsidRPr="00CF6C40" w:rsidRDefault="008C2F65" w:rsidP="00293F12">
      <w:pPr>
        <w:spacing w:line="360" w:lineRule="auto"/>
        <w:jc w:val="both"/>
        <w:rPr>
          <w:rFonts w:ascii="Arial" w:hAnsi="Arial" w:cs="Arial"/>
        </w:rPr>
      </w:pPr>
      <w:r w:rsidRPr="00CF6C40">
        <w:rPr>
          <w:rFonts w:ascii="Arial" w:hAnsi="Arial" w:cs="Arial"/>
        </w:rPr>
        <w:t>Piaget, J. (1972). Intellectual evolution from adolescence to adulthood. Human Development, 15, 1–12.</w:t>
      </w:r>
    </w:p>
    <w:p w14:paraId="55CD6581" w14:textId="77777777" w:rsidR="001E5A8B" w:rsidRPr="00CF6C40" w:rsidRDefault="008C2F65" w:rsidP="00293F12">
      <w:pPr>
        <w:spacing w:line="360" w:lineRule="auto"/>
        <w:jc w:val="both"/>
        <w:rPr>
          <w:rFonts w:ascii="Arial" w:hAnsi="Arial" w:cs="Arial"/>
        </w:rPr>
      </w:pPr>
      <w:r w:rsidRPr="00CF6C40">
        <w:rPr>
          <w:rFonts w:ascii="Arial" w:hAnsi="Arial" w:cs="Arial"/>
        </w:rPr>
        <w:t>Santrock, J. (2019). Adolescence (17th ed.). McGraw-Hill.</w:t>
      </w:r>
    </w:p>
    <w:p w14:paraId="43BBF3A2" w14:textId="77777777" w:rsidR="001E5A8B" w:rsidRPr="00CF6C40" w:rsidRDefault="008C2F65" w:rsidP="00293F12">
      <w:pPr>
        <w:spacing w:line="360" w:lineRule="auto"/>
        <w:jc w:val="both"/>
        <w:rPr>
          <w:rFonts w:ascii="Arial" w:hAnsi="Arial" w:cs="Arial"/>
        </w:rPr>
      </w:pPr>
      <w:r w:rsidRPr="00CF6C40">
        <w:rPr>
          <w:rFonts w:ascii="Arial" w:hAnsi="Arial" w:cs="Arial"/>
        </w:rPr>
        <w:t>Steinberg, L. (2014). Age of opportunity: Lessons from the new science of adolescence. Eamon Dolan.</w:t>
      </w:r>
    </w:p>
    <w:p w14:paraId="1C7E6BAA" w14:textId="77777777" w:rsidR="001E5A8B" w:rsidRPr="00CF6C40" w:rsidRDefault="008C2F65" w:rsidP="00293F12">
      <w:pPr>
        <w:spacing w:line="360" w:lineRule="auto"/>
        <w:jc w:val="both"/>
        <w:rPr>
          <w:rFonts w:ascii="Arial" w:hAnsi="Arial" w:cs="Arial"/>
        </w:rPr>
      </w:pPr>
      <w:r w:rsidRPr="00CF6C40">
        <w:rPr>
          <w:rFonts w:ascii="Arial" w:hAnsi="Arial" w:cs="Arial"/>
        </w:rPr>
        <w:t>Vygotsky, L. (1978). Mind in society. Harvard University Press.</w:t>
      </w:r>
    </w:p>
    <w:p w14:paraId="38F51C1E" w14:textId="77777777" w:rsidR="001E5A8B" w:rsidRPr="00CF6C40" w:rsidRDefault="008C2F65" w:rsidP="00293F12">
      <w:pPr>
        <w:spacing w:line="360" w:lineRule="auto"/>
        <w:jc w:val="both"/>
        <w:rPr>
          <w:rFonts w:ascii="Arial" w:hAnsi="Arial" w:cs="Arial"/>
        </w:rPr>
      </w:pPr>
      <w:r w:rsidRPr="00CF6C40">
        <w:rPr>
          <w:rFonts w:ascii="Arial" w:hAnsi="Arial" w:cs="Arial"/>
        </w:rPr>
        <w:t>WHO. (2020). Adolescent development. World Health Organization.</w:t>
      </w:r>
    </w:p>
    <w:sectPr w:rsidR="001E5A8B" w:rsidRPr="00CF6C4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311190">
    <w:abstractNumId w:val="8"/>
  </w:num>
  <w:num w:numId="2" w16cid:durableId="632902702">
    <w:abstractNumId w:val="6"/>
  </w:num>
  <w:num w:numId="3" w16cid:durableId="1813130364">
    <w:abstractNumId w:val="5"/>
  </w:num>
  <w:num w:numId="4" w16cid:durableId="1149637468">
    <w:abstractNumId w:val="4"/>
  </w:num>
  <w:num w:numId="5" w16cid:durableId="2082829977">
    <w:abstractNumId w:val="7"/>
  </w:num>
  <w:num w:numId="6" w16cid:durableId="1113092637">
    <w:abstractNumId w:val="3"/>
  </w:num>
  <w:num w:numId="7" w16cid:durableId="1857961896">
    <w:abstractNumId w:val="2"/>
  </w:num>
  <w:num w:numId="8" w16cid:durableId="2055078214">
    <w:abstractNumId w:val="1"/>
  </w:num>
  <w:num w:numId="9" w16cid:durableId="723913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E5A8B"/>
    <w:rsid w:val="00240BB5"/>
    <w:rsid w:val="00293F12"/>
    <w:rsid w:val="0029639D"/>
    <w:rsid w:val="00326F90"/>
    <w:rsid w:val="00351BAC"/>
    <w:rsid w:val="00440EFF"/>
    <w:rsid w:val="00805B76"/>
    <w:rsid w:val="009D7DD1"/>
    <w:rsid w:val="009F5062"/>
    <w:rsid w:val="00AA1D8D"/>
    <w:rsid w:val="00B47730"/>
    <w:rsid w:val="00C11B9A"/>
    <w:rsid w:val="00CB0664"/>
    <w:rsid w:val="00CF6C40"/>
    <w:rsid w:val="00D94D26"/>
    <w:rsid w:val="00DC36A1"/>
    <w:rsid w:val="00E66E86"/>
    <w:rsid w:val="00E8510C"/>
    <w:rsid w:val="00EA09E1"/>
    <w:rsid w:val="00F467B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01C9E8"/>
  <w14:defaultImageDpi w14:val="300"/>
  <w15:docId w15:val="{50185AB4-77BC-4B37-B8FF-B141169A2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1545</Words>
  <Characters>10291</Characters>
  <Application>Microsoft Office Word</Application>
  <DocSecurity>0</DocSecurity>
  <Lines>210</Lines>
  <Paragraphs>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11776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Jacek Liszewski</cp:lastModifiedBy>
  <cp:revision>2</cp:revision>
  <dcterms:created xsi:type="dcterms:W3CDTF">2025-12-16T09:54:00Z</dcterms:created>
  <dcterms:modified xsi:type="dcterms:W3CDTF">2025-12-16T09:54:00Z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9477d980-5d80-4f54-839d-8455cf2aa5c8</vt:lpwstr>
  </property>
</Properties>
</file>