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CE08A" w14:textId="4787D726" w:rsidR="00FA49EC" w:rsidRPr="00FA49EC" w:rsidRDefault="00FA49EC" w:rsidP="00FA49EC">
      <w:pPr>
        <w:jc w:val="center"/>
        <w:rPr>
          <w:b/>
          <w:sz w:val="36"/>
        </w:rPr>
      </w:pPr>
      <w:r w:rsidRPr="00FA49EC">
        <w:rPr>
          <w:b/>
          <w:sz w:val="36"/>
        </w:rPr>
        <w:t>Managing People</w:t>
      </w:r>
    </w:p>
    <w:p w14:paraId="354EC5EB" w14:textId="4155B795" w:rsidR="007A2DAD" w:rsidRDefault="00FA49EC" w:rsidP="00FA49EC">
      <w:pPr>
        <w:jc w:val="center"/>
        <w:rPr>
          <w:b/>
          <w:sz w:val="36"/>
        </w:rPr>
      </w:pPr>
      <w:r w:rsidRPr="00FA49EC">
        <w:rPr>
          <w:b/>
          <w:sz w:val="36"/>
        </w:rPr>
        <w:t>LCBB5004</w:t>
      </w:r>
    </w:p>
    <w:p w14:paraId="10709364" w14:textId="39D15917" w:rsidR="004046C3" w:rsidRDefault="004046C3" w:rsidP="00FA49EC">
      <w:pPr>
        <w:jc w:val="center"/>
        <w:rPr>
          <w:b/>
          <w:sz w:val="36"/>
        </w:rPr>
      </w:pPr>
      <w:r>
        <w:rPr>
          <w:b/>
          <w:sz w:val="36"/>
        </w:rPr>
        <w:t>Assessment 2</w:t>
      </w:r>
    </w:p>
    <w:p w14:paraId="2A0B97E9" w14:textId="77777777" w:rsidR="00FA49EC" w:rsidRDefault="00FA49EC">
      <w:pPr>
        <w:spacing w:line="259" w:lineRule="auto"/>
        <w:jc w:val="left"/>
        <w:rPr>
          <w:b/>
          <w:sz w:val="36"/>
        </w:rPr>
      </w:pPr>
      <w:r>
        <w:rPr>
          <w:b/>
          <w:sz w:val="36"/>
        </w:rPr>
        <w:br w:type="page"/>
      </w:r>
    </w:p>
    <w:sdt>
      <w:sdtPr>
        <w:rPr>
          <w:rFonts w:ascii="Times New Roman" w:eastAsiaTheme="minorHAnsi" w:hAnsi="Times New Roman" w:cstheme="minorBidi"/>
          <w:color w:val="auto"/>
          <w:sz w:val="24"/>
          <w:szCs w:val="22"/>
          <w:lang w:val="en-GB"/>
        </w:rPr>
        <w:id w:val="-310242968"/>
        <w:docPartObj>
          <w:docPartGallery w:val="Table of Contents"/>
          <w:docPartUnique/>
        </w:docPartObj>
      </w:sdtPr>
      <w:sdtEndPr>
        <w:rPr>
          <w:b/>
          <w:bCs/>
          <w:noProof/>
        </w:rPr>
      </w:sdtEndPr>
      <w:sdtContent>
        <w:p w14:paraId="19CF8513" w14:textId="77777777" w:rsidR="006F4254" w:rsidRDefault="006F4254">
          <w:pPr>
            <w:pStyle w:val="TOCHeading"/>
          </w:pPr>
          <w:r>
            <w:t>Table of Contents</w:t>
          </w:r>
        </w:p>
        <w:p w14:paraId="4930E74E" w14:textId="77777777" w:rsidR="00FC2705" w:rsidRDefault="006F4254">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41926552" w:history="1">
            <w:r w:rsidR="00FC2705" w:rsidRPr="00AE6C2A">
              <w:rPr>
                <w:rStyle w:val="Hyperlink"/>
                <w:noProof/>
              </w:rPr>
              <w:t>Introduction</w:t>
            </w:r>
            <w:r w:rsidR="00FC2705">
              <w:rPr>
                <w:noProof/>
                <w:webHidden/>
              </w:rPr>
              <w:tab/>
            </w:r>
            <w:r w:rsidR="00FC2705">
              <w:rPr>
                <w:noProof/>
                <w:webHidden/>
              </w:rPr>
              <w:fldChar w:fldCharType="begin"/>
            </w:r>
            <w:r w:rsidR="00FC2705">
              <w:rPr>
                <w:noProof/>
                <w:webHidden/>
              </w:rPr>
              <w:instrText xml:space="preserve"> PAGEREF _Toc141926552 \h </w:instrText>
            </w:r>
            <w:r w:rsidR="00FC2705">
              <w:rPr>
                <w:noProof/>
                <w:webHidden/>
              </w:rPr>
            </w:r>
            <w:r w:rsidR="00FC2705">
              <w:rPr>
                <w:noProof/>
                <w:webHidden/>
              </w:rPr>
              <w:fldChar w:fldCharType="separate"/>
            </w:r>
            <w:r w:rsidR="00FC2705">
              <w:rPr>
                <w:noProof/>
                <w:webHidden/>
              </w:rPr>
              <w:t>3</w:t>
            </w:r>
            <w:r w:rsidR="00FC2705">
              <w:rPr>
                <w:noProof/>
                <w:webHidden/>
              </w:rPr>
              <w:fldChar w:fldCharType="end"/>
            </w:r>
          </w:hyperlink>
        </w:p>
        <w:p w14:paraId="742682C6" w14:textId="77777777" w:rsidR="00FC2705" w:rsidRDefault="00D0621E">
          <w:pPr>
            <w:pStyle w:val="TOC1"/>
            <w:tabs>
              <w:tab w:val="right" w:leader="dot" w:pos="9350"/>
            </w:tabs>
            <w:rPr>
              <w:rFonts w:asciiTheme="minorHAnsi" w:eastAsiaTheme="minorEastAsia" w:hAnsiTheme="minorHAnsi"/>
              <w:noProof/>
              <w:sz w:val="22"/>
              <w:lang w:eastAsia="en-GB"/>
            </w:rPr>
          </w:pPr>
          <w:hyperlink w:anchor="_Toc141926553" w:history="1">
            <w:r w:rsidR="00FC2705" w:rsidRPr="00AE6C2A">
              <w:rPr>
                <w:rStyle w:val="Hyperlink"/>
                <w:noProof/>
              </w:rPr>
              <w:t>Analysing the causes and effects of employee attrition within the Nursing Industry in the UK</w:t>
            </w:r>
            <w:r w:rsidR="00FC2705">
              <w:rPr>
                <w:noProof/>
                <w:webHidden/>
              </w:rPr>
              <w:tab/>
            </w:r>
            <w:r w:rsidR="00FC2705">
              <w:rPr>
                <w:noProof/>
                <w:webHidden/>
              </w:rPr>
              <w:fldChar w:fldCharType="begin"/>
            </w:r>
            <w:r w:rsidR="00FC2705">
              <w:rPr>
                <w:noProof/>
                <w:webHidden/>
              </w:rPr>
              <w:instrText xml:space="preserve"> PAGEREF _Toc141926553 \h </w:instrText>
            </w:r>
            <w:r w:rsidR="00FC2705">
              <w:rPr>
                <w:noProof/>
                <w:webHidden/>
              </w:rPr>
            </w:r>
            <w:r w:rsidR="00FC2705">
              <w:rPr>
                <w:noProof/>
                <w:webHidden/>
              </w:rPr>
              <w:fldChar w:fldCharType="separate"/>
            </w:r>
            <w:r w:rsidR="00FC2705">
              <w:rPr>
                <w:noProof/>
                <w:webHidden/>
              </w:rPr>
              <w:t>4</w:t>
            </w:r>
            <w:r w:rsidR="00FC2705">
              <w:rPr>
                <w:noProof/>
                <w:webHidden/>
              </w:rPr>
              <w:fldChar w:fldCharType="end"/>
            </w:r>
          </w:hyperlink>
        </w:p>
        <w:p w14:paraId="0473C997" w14:textId="77777777" w:rsidR="00FC2705" w:rsidRDefault="00D0621E">
          <w:pPr>
            <w:pStyle w:val="TOC1"/>
            <w:tabs>
              <w:tab w:val="right" w:leader="dot" w:pos="9350"/>
            </w:tabs>
            <w:rPr>
              <w:rFonts w:asciiTheme="minorHAnsi" w:eastAsiaTheme="minorEastAsia" w:hAnsiTheme="minorHAnsi"/>
              <w:noProof/>
              <w:sz w:val="22"/>
              <w:lang w:eastAsia="en-GB"/>
            </w:rPr>
          </w:pPr>
          <w:hyperlink w:anchor="_Toc141926554" w:history="1">
            <w:r w:rsidR="00FC2705" w:rsidRPr="00AE6C2A">
              <w:rPr>
                <w:rStyle w:val="Hyperlink"/>
                <w:noProof/>
              </w:rPr>
              <w:t>Identifying five monetary and five non-monetary existing retention schemes used by NHS for Nursing professionals</w:t>
            </w:r>
            <w:r w:rsidR="00FC2705">
              <w:rPr>
                <w:noProof/>
                <w:webHidden/>
              </w:rPr>
              <w:tab/>
            </w:r>
            <w:r w:rsidR="00FC2705">
              <w:rPr>
                <w:noProof/>
                <w:webHidden/>
              </w:rPr>
              <w:fldChar w:fldCharType="begin"/>
            </w:r>
            <w:r w:rsidR="00FC2705">
              <w:rPr>
                <w:noProof/>
                <w:webHidden/>
              </w:rPr>
              <w:instrText xml:space="preserve"> PAGEREF _Toc141926554 \h </w:instrText>
            </w:r>
            <w:r w:rsidR="00FC2705">
              <w:rPr>
                <w:noProof/>
                <w:webHidden/>
              </w:rPr>
            </w:r>
            <w:r w:rsidR="00FC2705">
              <w:rPr>
                <w:noProof/>
                <w:webHidden/>
              </w:rPr>
              <w:fldChar w:fldCharType="separate"/>
            </w:r>
            <w:r w:rsidR="00FC2705">
              <w:rPr>
                <w:noProof/>
                <w:webHidden/>
              </w:rPr>
              <w:t>5</w:t>
            </w:r>
            <w:r w:rsidR="00FC2705">
              <w:rPr>
                <w:noProof/>
                <w:webHidden/>
              </w:rPr>
              <w:fldChar w:fldCharType="end"/>
            </w:r>
          </w:hyperlink>
        </w:p>
        <w:p w14:paraId="69094972" w14:textId="77777777" w:rsidR="00FC2705" w:rsidRDefault="00D0621E">
          <w:pPr>
            <w:pStyle w:val="TOC1"/>
            <w:tabs>
              <w:tab w:val="right" w:leader="dot" w:pos="9350"/>
            </w:tabs>
            <w:rPr>
              <w:rFonts w:asciiTheme="minorHAnsi" w:eastAsiaTheme="minorEastAsia" w:hAnsiTheme="minorHAnsi"/>
              <w:noProof/>
              <w:sz w:val="22"/>
              <w:lang w:eastAsia="en-GB"/>
            </w:rPr>
          </w:pPr>
          <w:hyperlink w:anchor="_Toc141926555" w:history="1">
            <w:r w:rsidR="00FC2705" w:rsidRPr="00AE6C2A">
              <w:rPr>
                <w:rStyle w:val="Hyperlink"/>
                <w:noProof/>
              </w:rPr>
              <w:t>Making recommendations, both in the short term and in the longer term to improve nurse retention</w:t>
            </w:r>
            <w:r w:rsidR="00FC2705">
              <w:rPr>
                <w:noProof/>
                <w:webHidden/>
              </w:rPr>
              <w:tab/>
            </w:r>
            <w:r w:rsidR="00FC2705">
              <w:rPr>
                <w:noProof/>
                <w:webHidden/>
              </w:rPr>
              <w:fldChar w:fldCharType="begin"/>
            </w:r>
            <w:r w:rsidR="00FC2705">
              <w:rPr>
                <w:noProof/>
                <w:webHidden/>
              </w:rPr>
              <w:instrText xml:space="preserve"> PAGEREF _Toc141926555 \h </w:instrText>
            </w:r>
            <w:r w:rsidR="00FC2705">
              <w:rPr>
                <w:noProof/>
                <w:webHidden/>
              </w:rPr>
            </w:r>
            <w:r w:rsidR="00FC2705">
              <w:rPr>
                <w:noProof/>
                <w:webHidden/>
              </w:rPr>
              <w:fldChar w:fldCharType="separate"/>
            </w:r>
            <w:r w:rsidR="00FC2705">
              <w:rPr>
                <w:noProof/>
                <w:webHidden/>
              </w:rPr>
              <w:t>7</w:t>
            </w:r>
            <w:r w:rsidR="00FC2705">
              <w:rPr>
                <w:noProof/>
                <w:webHidden/>
              </w:rPr>
              <w:fldChar w:fldCharType="end"/>
            </w:r>
          </w:hyperlink>
        </w:p>
        <w:p w14:paraId="24537EF8" w14:textId="77777777" w:rsidR="00FC2705" w:rsidRDefault="00D0621E">
          <w:pPr>
            <w:pStyle w:val="TOC1"/>
            <w:tabs>
              <w:tab w:val="right" w:leader="dot" w:pos="9350"/>
            </w:tabs>
            <w:rPr>
              <w:rFonts w:asciiTheme="minorHAnsi" w:eastAsiaTheme="minorEastAsia" w:hAnsiTheme="minorHAnsi"/>
              <w:noProof/>
              <w:sz w:val="22"/>
              <w:lang w:eastAsia="en-GB"/>
            </w:rPr>
          </w:pPr>
          <w:hyperlink w:anchor="_Toc141926556" w:history="1">
            <w:r w:rsidR="00FC2705" w:rsidRPr="00AE6C2A">
              <w:rPr>
                <w:rStyle w:val="Hyperlink"/>
                <w:noProof/>
              </w:rPr>
              <w:t>Conclusion</w:t>
            </w:r>
            <w:r w:rsidR="00FC2705">
              <w:rPr>
                <w:noProof/>
                <w:webHidden/>
              </w:rPr>
              <w:tab/>
            </w:r>
            <w:r w:rsidR="00FC2705">
              <w:rPr>
                <w:noProof/>
                <w:webHidden/>
              </w:rPr>
              <w:fldChar w:fldCharType="begin"/>
            </w:r>
            <w:r w:rsidR="00FC2705">
              <w:rPr>
                <w:noProof/>
                <w:webHidden/>
              </w:rPr>
              <w:instrText xml:space="preserve"> PAGEREF _Toc141926556 \h </w:instrText>
            </w:r>
            <w:r w:rsidR="00FC2705">
              <w:rPr>
                <w:noProof/>
                <w:webHidden/>
              </w:rPr>
            </w:r>
            <w:r w:rsidR="00FC2705">
              <w:rPr>
                <w:noProof/>
                <w:webHidden/>
              </w:rPr>
              <w:fldChar w:fldCharType="separate"/>
            </w:r>
            <w:r w:rsidR="00FC2705">
              <w:rPr>
                <w:noProof/>
                <w:webHidden/>
              </w:rPr>
              <w:t>9</w:t>
            </w:r>
            <w:r w:rsidR="00FC2705">
              <w:rPr>
                <w:noProof/>
                <w:webHidden/>
              </w:rPr>
              <w:fldChar w:fldCharType="end"/>
            </w:r>
          </w:hyperlink>
        </w:p>
        <w:p w14:paraId="323AC0CB" w14:textId="77777777" w:rsidR="00FC2705" w:rsidRDefault="00D0621E">
          <w:pPr>
            <w:pStyle w:val="TOC1"/>
            <w:tabs>
              <w:tab w:val="right" w:leader="dot" w:pos="9350"/>
            </w:tabs>
            <w:rPr>
              <w:rFonts w:asciiTheme="minorHAnsi" w:eastAsiaTheme="minorEastAsia" w:hAnsiTheme="minorHAnsi"/>
              <w:noProof/>
              <w:sz w:val="22"/>
              <w:lang w:eastAsia="en-GB"/>
            </w:rPr>
          </w:pPr>
          <w:hyperlink w:anchor="_Toc141926557" w:history="1">
            <w:r w:rsidR="00FC2705" w:rsidRPr="00AE6C2A">
              <w:rPr>
                <w:rStyle w:val="Hyperlink"/>
                <w:noProof/>
              </w:rPr>
              <w:t>References</w:t>
            </w:r>
            <w:r w:rsidR="00FC2705">
              <w:rPr>
                <w:noProof/>
                <w:webHidden/>
              </w:rPr>
              <w:tab/>
            </w:r>
            <w:r w:rsidR="00FC2705">
              <w:rPr>
                <w:noProof/>
                <w:webHidden/>
              </w:rPr>
              <w:fldChar w:fldCharType="begin"/>
            </w:r>
            <w:r w:rsidR="00FC2705">
              <w:rPr>
                <w:noProof/>
                <w:webHidden/>
              </w:rPr>
              <w:instrText xml:space="preserve"> PAGEREF _Toc141926557 \h </w:instrText>
            </w:r>
            <w:r w:rsidR="00FC2705">
              <w:rPr>
                <w:noProof/>
                <w:webHidden/>
              </w:rPr>
            </w:r>
            <w:r w:rsidR="00FC2705">
              <w:rPr>
                <w:noProof/>
                <w:webHidden/>
              </w:rPr>
              <w:fldChar w:fldCharType="separate"/>
            </w:r>
            <w:r w:rsidR="00FC2705">
              <w:rPr>
                <w:noProof/>
                <w:webHidden/>
              </w:rPr>
              <w:t>10</w:t>
            </w:r>
            <w:r w:rsidR="00FC2705">
              <w:rPr>
                <w:noProof/>
                <w:webHidden/>
              </w:rPr>
              <w:fldChar w:fldCharType="end"/>
            </w:r>
          </w:hyperlink>
        </w:p>
        <w:p w14:paraId="1302F747" w14:textId="77777777" w:rsidR="006F4254" w:rsidRDefault="006F4254">
          <w:r>
            <w:rPr>
              <w:b/>
              <w:bCs/>
              <w:noProof/>
            </w:rPr>
            <w:fldChar w:fldCharType="end"/>
          </w:r>
        </w:p>
      </w:sdtContent>
    </w:sdt>
    <w:p w14:paraId="73D515DD" w14:textId="77777777" w:rsidR="00FA49EC" w:rsidRDefault="00FA49EC" w:rsidP="006F4254">
      <w:r>
        <w:br w:type="page"/>
      </w:r>
    </w:p>
    <w:p w14:paraId="50B4AC88" w14:textId="77777777" w:rsidR="002B26EA" w:rsidRDefault="002B26EA" w:rsidP="00FA1057">
      <w:pPr>
        <w:pStyle w:val="Heading1"/>
      </w:pPr>
      <w:bookmarkStart w:id="0" w:name="_Toc141926552"/>
      <w:r>
        <w:lastRenderedPageBreak/>
        <w:t>Introduction</w:t>
      </w:r>
      <w:bookmarkEnd w:id="0"/>
    </w:p>
    <w:p w14:paraId="3E4BB0F4" w14:textId="77777777" w:rsidR="004E2AEC" w:rsidRDefault="004E2AEC" w:rsidP="004E2AEC">
      <w:r>
        <w:t>Employee attrition (also referred to as turnover) is an ongoing challenge in UK nursing sector hospitals and individual nurses alike, creating numerous difficulties for both parties involved. Factors including an insufficient supply of trained nurses, high patient loads, inadequate advancement prospects and emotional toll all play a part in this crisis. To combat it, National Health Service (NHS) has instituted various retention initiatives designed to attract and keep qualified nurses. This report explores these initiatives' effectiveness by investigating financial and non-financial retention tactics used by NHS to attract qualified nurses - immediately and long term suggestions on how enhance retention and reduce attrition rates respectively.</w:t>
      </w:r>
    </w:p>
    <w:p w14:paraId="78D0486B" w14:textId="77777777" w:rsidR="006C1CAB" w:rsidRDefault="006C1CAB" w:rsidP="006C1CAB"/>
    <w:p w14:paraId="69773185" w14:textId="77777777" w:rsidR="006C1CAB" w:rsidRDefault="006C1CAB" w:rsidP="006C1CAB"/>
    <w:p w14:paraId="1CB3B6E0" w14:textId="77777777" w:rsidR="006C1CAB" w:rsidRDefault="006C1CAB" w:rsidP="006C1CAB"/>
    <w:p w14:paraId="357B7702" w14:textId="77777777" w:rsidR="006C1CAB" w:rsidRDefault="006C1CAB" w:rsidP="006C1CAB"/>
    <w:p w14:paraId="5C915414" w14:textId="77777777" w:rsidR="006C1CAB" w:rsidRDefault="006C1CAB" w:rsidP="006C1CAB"/>
    <w:p w14:paraId="4E5360A0" w14:textId="77777777" w:rsidR="006C1CAB" w:rsidRDefault="006C1CAB" w:rsidP="006C1CAB"/>
    <w:p w14:paraId="6FAEC066" w14:textId="77777777" w:rsidR="006C1CAB" w:rsidRDefault="006C1CAB" w:rsidP="006C1CAB"/>
    <w:p w14:paraId="1E1806F0" w14:textId="77777777" w:rsidR="006C1CAB" w:rsidRDefault="006C1CAB" w:rsidP="006C1CAB"/>
    <w:p w14:paraId="1ACEDEA9" w14:textId="77777777" w:rsidR="006C1CAB" w:rsidRDefault="006C1CAB" w:rsidP="006C1CAB"/>
    <w:p w14:paraId="0D40B916" w14:textId="77777777" w:rsidR="006C1CAB" w:rsidRDefault="006C1CAB" w:rsidP="006C1CAB"/>
    <w:p w14:paraId="0709439B" w14:textId="77777777" w:rsidR="006C1CAB" w:rsidRDefault="006C1CAB" w:rsidP="006C1CAB"/>
    <w:p w14:paraId="09735725" w14:textId="77777777" w:rsidR="006C1CAB" w:rsidRDefault="006C1CAB" w:rsidP="006C1CAB"/>
    <w:p w14:paraId="28E2E502" w14:textId="77777777" w:rsidR="006C1CAB" w:rsidRDefault="006C1CAB" w:rsidP="006C1CAB"/>
    <w:p w14:paraId="23784AE8" w14:textId="77777777" w:rsidR="006C1CAB" w:rsidRDefault="006C1CAB" w:rsidP="006C1CAB"/>
    <w:p w14:paraId="58DE5D34" w14:textId="77777777" w:rsidR="006C1CAB" w:rsidRPr="006C1CAB" w:rsidRDefault="006C1CAB" w:rsidP="006C1CAB"/>
    <w:p w14:paraId="65AA7333" w14:textId="77777777" w:rsidR="00992158" w:rsidRDefault="003462A6" w:rsidP="00FA1057">
      <w:pPr>
        <w:pStyle w:val="Heading1"/>
      </w:pPr>
      <w:bookmarkStart w:id="1" w:name="_Toc141926553"/>
      <w:r>
        <w:lastRenderedPageBreak/>
        <w:t>Analysing</w:t>
      </w:r>
      <w:r w:rsidR="001B17AE">
        <w:t xml:space="preserve"> the causes and effects of employee attrition within </w:t>
      </w:r>
      <w:r w:rsidR="00992158">
        <w:t>the Nursing Industry in the UK</w:t>
      </w:r>
      <w:bookmarkEnd w:id="1"/>
    </w:p>
    <w:p w14:paraId="5712472A" w14:textId="77777777" w:rsidR="00C31C31" w:rsidRDefault="000A6815" w:rsidP="00DC45E4">
      <w:pPr>
        <w:rPr>
          <w:b/>
          <w:sz w:val="26"/>
          <w:szCs w:val="26"/>
        </w:rPr>
      </w:pPr>
      <w:r w:rsidRPr="00081424">
        <w:rPr>
          <w:b/>
          <w:sz w:val="26"/>
          <w:szCs w:val="26"/>
        </w:rPr>
        <w:t>Causes of Employee Attrition</w:t>
      </w:r>
    </w:p>
    <w:p w14:paraId="7340F5B7" w14:textId="77777777" w:rsidR="0015429B" w:rsidRDefault="001B7FF3" w:rsidP="00DC45E4">
      <w:r>
        <w:t>In the United Kingdom, nursing profession is experiencing hi</w:t>
      </w:r>
      <w:r w:rsidR="00885502">
        <w:t xml:space="preserve">gh rates of staff attrition or </w:t>
      </w:r>
      <w:r w:rsidR="00904B7C">
        <w:t>turnover</w:t>
      </w:r>
      <w:r>
        <w:t>, commonly used to refer to how frequently workers leave their jobs. High rates of nurse and healthcare worker turnover is detrimental to patients, hospitals, and the quality of care delivered. This study will investigate what motivates nurses to leave their jobs in the UK as well as its effects. A shortage of available nurses is one key contributor to staff turnover. Since 2015, UK nursing has struggled to meet its demand</w:t>
      </w:r>
      <w:r w:rsidR="00F433E0">
        <w:t xml:space="preserve"> (</w:t>
      </w:r>
      <w:r w:rsidR="00301907">
        <w:t xml:space="preserve">Vrontis et al., </w:t>
      </w:r>
      <w:r w:rsidR="00F433E0" w:rsidRPr="0015429B">
        <w:t>2022)</w:t>
      </w:r>
      <w:r>
        <w:t xml:space="preserve">. As more people seek medical assistance, qualified nurses cannot keep up with demand and consequently current nurses become exhausted as turnover increases. </w:t>
      </w:r>
      <w:r w:rsidR="0097457F">
        <w:t xml:space="preserve">As a result of the demanding nature of their employment, nurses often experience high levels of stress, extended work hours, and heavy workloads. Some nurses may leave their jobs in search of less demanding ones because of the stress of caring for patients and the accompanying administrative duties and paperwork requirements. Providing employees the room to advance their careers is a key factor in keeping them around. </w:t>
      </w:r>
    </w:p>
    <w:p w14:paraId="1E1F570F" w14:textId="77777777" w:rsidR="0097457F" w:rsidRPr="004E2AEC" w:rsidRDefault="0097457F" w:rsidP="00DC45E4">
      <w:r>
        <w:t>Whether or not a nurse stays in their field depends on the accessibility of learning and promotion possibilities. If nurses have little room to advance in their current positions, they may go elsewhere for employment. To recruit and keep qualified nurses, pay and benefits must be competitive. Because of low wages and little perks, nurses at certain healthcare facilities may go elsewhere for work or decide to quit the industry entirely</w:t>
      </w:r>
      <w:r w:rsidR="00A113AF">
        <w:t xml:space="preserve"> (</w:t>
      </w:r>
      <w:r w:rsidR="00E54C69">
        <w:t>Meijerink</w:t>
      </w:r>
      <w:r w:rsidR="00A113AF" w:rsidRPr="0015429B">
        <w:t xml:space="preserve"> </w:t>
      </w:r>
      <w:r w:rsidR="00A113AF">
        <w:t>and</w:t>
      </w:r>
      <w:r w:rsidR="00E54C69">
        <w:t xml:space="preserve"> Keegan, </w:t>
      </w:r>
      <w:r w:rsidR="00A113AF" w:rsidRPr="0015429B">
        <w:t>2019)</w:t>
      </w:r>
      <w:r>
        <w:t>. Job satisfaction and a pleasant work environment are two key factors in keeping people around. Nurses are more inclined to look for work elsewhere if they feel they aren't getting the support or communication they need from their superiors. The emotional toll of nursing is high because of the frequency with which nurses must observe their patients' suffering. Some nurses leave the profession altogether to avoid the mental and emotional toll of burnout and compassion fatigue.</w:t>
      </w:r>
      <w:r w:rsidRPr="00081424">
        <w:rPr>
          <w:b/>
          <w:sz w:val="26"/>
          <w:szCs w:val="26"/>
        </w:rPr>
        <w:t xml:space="preserve"> </w:t>
      </w:r>
    </w:p>
    <w:p w14:paraId="335B8B61" w14:textId="77777777" w:rsidR="00F86796" w:rsidRDefault="00B77B17" w:rsidP="00FC393A">
      <w:pPr>
        <w:rPr>
          <w:b/>
          <w:sz w:val="26"/>
          <w:szCs w:val="26"/>
        </w:rPr>
      </w:pPr>
      <w:r w:rsidRPr="00081424">
        <w:rPr>
          <w:b/>
          <w:sz w:val="26"/>
          <w:szCs w:val="26"/>
        </w:rPr>
        <w:t>Effects of Employee Attrition</w:t>
      </w:r>
    </w:p>
    <w:p w14:paraId="59FED32A" w14:textId="77777777" w:rsidR="00A7382B" w:rsidRDefault="00D93A6D" w:rsidP="00FC393A">
      <w:r>
        <w:t xml:space="preserve">The high rate of turnover in the UK nursing business has serious consequences for hospitals, nursing homes, and patient care. Organisations in the healthcare industry may make working conditions more favourable for nurses by focusing on retention. Investment in workforce </w:t>
      </w:r>
      <w:r>
        <w:lastRenderedPageBreak/>
        <w:t>development, pleasant workplace culture, and recognition of nurses' efforts may all assist keep nurses in the UK and keep the nursing profession strong and stable</w:t>
      </w:r>
      <w:r w:rsidR="00DE34C4">
        <w:t xml:space="preserve"> (</w:t>
      </w:r>
      <w:r w:rsidR="00024E68">
        <w:t>Carnevale</w:t>
      </w:r>
      <w:r w:rsidR="00DE34C4" w:rsidRPr="0015429B">
        <w:t xml:space="preserve"> </w:t>
      </w:r>
      <w:r w:rsidR="00DE34C4">
        <w:t>and</w:t>
      </w:r>
      <w:r w:rsidR="00024E68">
        <w:t xml:space="preserve"> Hatak, </w:t>
      </w:r>
      <w:r w:rsidR="00DE34C4" w:rsidRPr="0015429B">
        <w:t>2020)</w:t>
      </w:r>
      <w:r>
        <w:t xml:space="preserve">. When nurses depart, the remaining staff has to pick up the slack, which may lead to higher workloads and stress. Overworked nurses are more likely to quit their jobs, perpetuating the problem. The quality of treatment patients get may suffer if the nursing staff often changes. The danger of mistakes, compromised patient safety, and decreased patient satisfaction increases when personnel is inexperienced or overworked. </w:t>
      </w:r>
    </w:p>
    <w:p w14:paraId="1FF7E4AD" w14:textId="77777777" w:rsidR="00D93A6D" w:rsidRPr="00081424" w:rsidRDefault="00D93A6D" w:rsidP="00FC393A">
      <w:pPr>
        <w:rPr>
          <w:b/>
          <w:sz w:val="26"/>
          <w:szCs w:val="26"/>
        </w:rPr>
      </w:pPr>
      <w:r>
        <w:t>Healthcare organisations face substantial losses due to employee churn. Time and money are needed for the recruitment, training, and onboarding of new nurses. Furthermore, gaps in productivity caused by the loss of skilled nurses might further contribute to the cost burden. The nursing profession places a premium on continuity of treatment. Nursing relationships may be strained by high turnover rates, which can reduce the quality of care provided to patients. When nurses experience high turnover, it may cause the team to become disjointed and lose its cohesiveness</w:t>
      </w:r>
      <w:r w:rsidR="009C1856">
        <w:t xml:space="preserve"> (</w:t>
      </w:r>
      <w:r w:rsidR="00690515">
        <w:t xml:space="preserve">Singh et al., </w:t>
      </w:r>
      <w:r w:rsidR="00A20C16">
        <w:t>2020)</w:t>
      </w:r>
      <w:r>
        <w:t>. This may make it harder for team members to share information and work together, ultimately lowering productivity. A company's standing in the nursing community may suffer if staff turnover is high. It may be difficult to hire new nurses if the word gets out about the negative working conditions.</w:t>
      </w:r>
      <w:r w:rsidRPr="00081424">
        <w:rPr>
          <w:b/>
          <w:sz w:val="26"/>
          <w:szCs w:val="26"/>
        </w:rPr>
        <w:t xml:space="preserve"> </w:t>
      </w:r>
    </w:p>
    <w:p w14:paraId="040C8257" w14:textId="77777777" w:rsidR="001B17AE" w:rsidRPr="00BF15DF" w:rsidRDefault="001B17AE" w:rsidP="00BF15DF">
      <w:pPr>
        <w:pStyle w:val="Heading1"/>
      </w:pPr>
      <w:bookmarkStart w:id="2" w:name="_Toc141926554"/>
      <w:r w:rsidRPr="00BF15DF">
        <w:t>Identify</w:t>
      </w:r>
      <w:r w:rsidR="009C665D" w:rsidRPr="00BF15DF">
        <w:t>ing</w:t>
      </w:r>
      <w:r w:rsidRPr="00BF15DF">
        <w:t xml:space="preserve"> five monetary and five non-monetary existing re</w:t>
      </w:r>
      <w:r w:rsidR="00E724BB" w:rsidRPr="00BF15DF">
        <w:t xml:space="preserve">tention schemes used by NHS for </w:t>
      </w:r>
      <w:r w:rsidR="006723F6" w:rsidRPr="00BF15DF">
        <w:t>Nursing professionals</w:t>
      </w:r>
      <w:bookmarkEnd w:id="2"/>
    </w:p>
    <w:p w14:paraId="6EF0EDA3" w14:textId="77777777" w:rsidR="00B66D13" w:rsidRPr="00081424" w:rsidRDefault="00B66D13" w:rsidP="001B17AE">
      <w:pPr>
        <w:rPr>
          <w:b/>
          <w:sz w:val="26"/>
          <w:szCs w:val="26"/>
        </w:rPr>
      </w:pPr>
      <w:r w:rsidRPr="00081424">
        <w:rPr>
          <w:b/>
          <w:sz w:val="26"/>
          <w:szCs w:val="26"/>
        </w:rPr>
        <w:t>Monetary retention schemes</w:t>
      </w:r>
    </w:p>
    <w:p w14:paraId="2BD98299" w14:textId="77777777" w:rsidR="00E12077" w:rsidRDefault="00C56E2E" w:rsidP="00E12077">
      <w:r w:rsidRPr="006F1B92">
        <w:rPr>
          <w:b/>
          <w:lang w:eastAsia="en-GB"/>
        </w:rPr>
        <w:t>Pay Increments and Bonuses</w:t>
      </w:r>
      <w:r w:rsidRPr="00C56E2E">
        <w:rPr>
          <w:lang w:eastAsia="en-GB"/>
        </w:rPr>
        <w:t xml:space="preserve">: </w:t>
      </w:r>
      <w:r w:rsidR="00E12077">
        <w:t>Nurses in the NHS are eligible for pay raises called "pay increments," which are determined by the number of years the nurse has worked for the NHS. A nurse's income rises with time in accordance with their level of experience and seniority in the field. Seeing their hard work and devotion rewarded monetarily might encourage them to remain with the NHS for the long haul</w:t>
      </w:r>
      <w:r w:rsidR="008757E7">
        <w:t xml:space="preserve"> (</w:t>
      </w:r>
      <w:r w:rsidR="000B3D97">
        <w:t>Stewart</w:t>
      </w:r>
      <w:r w:rsidR="008757E7" w:rsidRPr="0015429B">
        <w:t xml:space="preserve"> </w:t>
      </w:r>
      <w:r w:rsidR="008757E7">
        <w:t>and</w:t>
      </w:r>
      <w:r w:rsidR="006A1D68">
        <w:t xml:space="preserve"> Brown, </w:t>
      </w:r>
      <w:r w:rsidR="008757E7" w:rsidRPr="0015429B">
        <w:t>2019)</w:t>
      </w:r>
      <w:r w:rsidR="00E12077">
        <w:t xml:space="preserve">. Nurses that go above and above in patient care, leadership, or other areas are rewarded with performance-based incentives. </w:t>
      </w:r>
    </w:p>
    <w:p w14:paraId="5273EF23" w14:textId="77777777" w:rsidR="001E2EB8" w:rsidRDefault="00C56E2E" w:rsidP="001E2EB8">
      <w:r w:rsidRPr="006F1B92">
        <w:rPr>
          <w:b/>
          <w:lang w:eastAsia="en-GB"/>
        </w:rPr>
        <w:t>Retention Premiums</w:t>
      </w:r>
      <w:r w:rsidRPr="00C56E2E">
        <w:rPr>
          <w:lang w:eastAsia="en-GB"/>
        </w:rPr>
        <w:t xml:space="preserve">: </w:t>
      </w:r>
      <w:r w:rsidR="001E2EB8">
        <w:t xml:space="preserve">Nurses who agree to work in regions or departments with staffing shortages or difficult working conditions may be eligible for retention premiums in the form of extra cash incentives. Some examples of places with a shortage of qualified nurses include outlying regions, </w:t>
      </w:r>
      <w:r w:rsidR="001E2EB8">
        <w:lastRenderedPageBreak/>
        <w:t xml:space="preserve">specialised units, and whole departments. The NHS plans to solve personnel shortages and guarantee enough staffing in crucial areas by providing retention payments. </w:t>
      </w:r>
    </w:p>
    <w:p w14:paraId="44A9FD76" w14:textId="77777777" w:rsidR="00C56E2E" w:rsidRPr="00C56E2E" w:rsidRDefault="00C56E2E" w:rsidP="004B287E">
      <w:pPr>
        <w:rPr>
          <w:lang w:eastAsia="en-GB"/>
        </w:rPr>
      </w:pPr>
      <w:r w:rsidRPr="006F1B92">
        <w:rPr>
          <w:b/>
          <w:lang w:eastAsia="en-GB"/>
        </w:rPr>
        <w:t>Relocation Packages</w:t>
      </w:r>
      <w:r w:rsidRPr="00C56E2E">
        <w:rPr>
          <w:lang w:eastAsia="en-GB"/>
        </w:rPr>
        <w:t xml:space="preserve">: </w:t>
      </w:r>
      <w:r w:rsidR="004B6CB1">
        <w:t>Nurses who are prepared to relocate for employment inside the NHS are often granted relocation packages. The goal of these packages is to make it easier and cheaper for people to relocate for work. Help with moving fees, help finding temporary housing, and other monetary incentives could all be part of the relocation package</w:t>
      </w:r>
      <w:r w:rsidR="0003294A">
        <w:t xml:space="preserve"> (</w:t>
      </w:r>
      <w:r w:rsidR="00DC307E">
        <w:t xml:space="preserve">Kaufman, </w:t>
      </w:r>
      <w:r w:rsidR="0003294A" w:rsidRPr="0015429B">
        <w:t>2019)</w:t>
      </w:r>
      <w:r w:rsidR="004B6CB1">
        <w:t>.</w:t>
      </w:r>
      <w:r w:rsidR="004B6CB1">
        <w:rPr>
          <w:lang w:eastAsia="en-GB"/>
        </w:rPr>
        <w:t xml:space="preserve"> </w:t>
      </w:r>
    </w:p>
    <w:p w14:paraId="486D7959" w14:textId="77777777" w:rsidR="008B6811" w:rsidRDefault="00C56E2E" w:rsidP="008B6811">
      <w:r w:rsidRPr="006F1B92">
        <w:rPr>
          <w:b/>
          <w:lang w:eastAsia="en-GB"/>
        </w:rPr>
        <w:t>Flexible Working Options</w:t>
      </w:r>
      <w:r w:rsidRPr="00C56E2E">
        <w:rPr>
          <w:lang w:eastAsia="en-GB"/>
        </w:rPr>
        <w:t xml:space="preserve">: </w:t>
      </w:r>
      <w:r w:rsidR="008B6811">
        <w:t>Nurses may have more autonomy over their work hours and working conditions because to the availability of flexible work choices. Part-time schedules, job-sharing, shortened workweeks, and altered start and finish hours are all examples. Providing such alternatives might be a very attractive perk for nurses who are trying to strike a balance between their professional and home lives. Nurses who have the option to choose their own schedules are less likely to experience burnout and report higher levels of job satisfaction.</w:t>
      </w:r>
    </w:p>
    <w:p w14:paraId="2AD5313C" w14:textId="77777777" w:rsidR="00A027FE" w:rsidRPr="00C56E2E" w:rsidRDefault="00C56E2E" w:rsidP="00A027FE">
      <w:pPr>
        <w:rPr>
          <w:lang w:eastAsia="en-GB"/>
        </w:rPr>
      </w:pPr>
      <w:r w:rsidRPr="006F1B92">
        <w:rPr>
          <w:b/>
          <w:lang w:eastAsia="en-GB"/>
        </w:rPr>
        <w:t>Overtime and Bank Shift Opportunities</w:t>
      </w:r>
      <w:r w:rsidRPr="00C56E2E">
        <w:rPr>
          <w:lang w:eastAsia="en-GB"/>
        </w:rPr>
        <w:t xml:space="preserve">: </w:t>
      </w:r>
      <w:r w:rsidR="00A027FE">
        <w:t>Healthcare workers in the NHS may choose to work extra hours or take on "bank shifts," which are temporary shifts added to the schedule in order to address fluctuating staffing needs. Overtime pay and bank shifts are two ways for nurses to supplement their salary</w:t>
      </w:r>
      <w:r w:rsidR="000C6022">
        <w:t xml:space="preserve"> (</w:t>
      </w:r>
      <w:r w:rsidR="00AC416D">
        <w:t xml:space="preserve">Azizi et al., </w:t>
      </w:r>
      <w:r w:rsidR="000C6022" w:rsidRPr="0015429B">
        <w:t>2021)</w:t>
      </w:r>
      <w:r w:rsidR="00A027FE">
        <w:t>.</w:t>
      </w:r>
      <w:r w:rsidR="00A027FE" w:rsidRPr="00C56E2E">
        <w:rPr>
          <w:lang w:eastAsia="en-GB"/>
        </w:rPr>
        <w:t xml:space="preserve"> </w:t>
      </w:r>
    </w:p>
    <w:p w14:paraId="4FCEA5D6" w14:textId="77777777" w:rsidR="00B66D13" w:rsidRDefault="00D56E12" w:rsidP="001B17AE">
      <w:pPr>
        <w:rPr>
          <w:b/>
          <w:sz w:val="26"/>
          <w:szCs w:val="26"/>
        </w:rPr>
      </w:pPr>
      <w:r w:rsidRPr="004A7E93">
        <w:rPr>
          <w:b/>
          <w:sz w:val="26"/>
          <w:szCs w:val="26"/>
        </w:rPr>
        <w:t xml:space="preserve">Five non-monetary </w:t>
      </w:r>
      <w:r w:rsidR="00043F6D" w:rsidRPr="004A7E93">
        <w:rPr>
          <w:b/>
          <w:sz w:val="26"/>
          <w:szCs w:val="26"/>
        </w:rPr>
        <w:t>retention schemes</w:t>
      </w:r>
    </w:p>
    <w:p w14:paraId="45BCD0D1" w14:textId="77777777" w:rsidR="00083C9F" w:rsidRDefault="00A4329E" w:rsidP="00083C9F">
      <w:r w:rsidRPr="00A4329E">
        <w:rPr>
          <w:b/>
        </w:rPr>
        <w:t>Career Development and Training</w:t>
      </w:r>
      <w:r>
        <w:t xml:space="preserve">: </w:t>
      </w:r>
      <w:r w:rsidR="00083C9F">
        <w:t>The National Health Service (NHS) provides nurses with several educational and professional development options. Programmes for nurses' ongoing professional growth and development are called CPD (continuous professional development). Courses, workshops, seminars, and conferences devoted to the growth of nursing, medicine, and healthcare technology are examples of such opportunities</w:t>
      </w:r>
      <w:r w:rsidR="009A294E">
        <w:t xml:space="preserve"> (</w:t>
      </w:r>
      <w:r w:rsidR="009D30BE">
        <w:t xml:space="preserve">Collins, </w:t>
      </w:r>
      <w:r w:rsidR="009A294E" w:rsidRPr="0015429B">
        <w:t>2021)</w:t>
      </w:r>
      <w:r w:rsidR="00083C9F">
        <w:t>.</w:t>
      </w:r>
    </w:p>
    <w:p w14:paraId="77A3C61A" w14:textId="77777777" w:rsidR="00B35CCD" w:rsidRDefault="00A4329E" w:rsidP="00B35CCD">
      <w:r w:rsidRPr="00A4329E">
        <w:rPr>
          <w:b/>
        </w:rPr>
        <w:t>Work-Life Balance Support</w:t>
      </w:r>
      <w:r>
        <w:t xml:space="preserve">: </w:t>
      </w:r>
      <w:r w:rsidR="00B35CCD">
        <w:t>There are several programmes in place throughout the NHS to help nurses maintain a healthy work-life balance. Nurses who have the option of setting their own schedules are better able to balance work and life. Nurses who also have to care for patients, go to school, or just want a better work-life balance may benefit from this.</w:t>
      </w:r>
    </w:p>
    <w:p w14:paraId="60F3CE07" w14:textId="77777777" w:rsidR="00A4329E" w:rsidRDefault="00A4329E" w:rsidP="00A4329E">
      <w:r w:rsidRPr="00A4329E">
        <w:rPr>
          <w:b/>
        </w:rPr>
        <w:t>Recognition and Appreciation Programs</w:t>
      </w:r>
      <w:r>
        <w:t xml:space="preserve">: </w:t>
      </w:r>
      <w:r w:rsidR="008C6B3A">
        <w:t xml:space="preserve">A good work environment and higher morale among nurses may be achieved via the implementation of recognition and appreciation programmes. To </w:t>
      </w:r>
      <w:r w:rsidR="008C6B3A">
        <w:lastRenderedPageBreak/>
        <w:t>acknowledge nurses' efforts, the NHS may hold events to show their gratitude, provide "Employee of the Month" awards, or issue commendations for exceptional performance</w:t>
      </w:r>
      <w:r w:rsidR="00BE5FD5">
        <w:t xml:space="preserve"> (</w:t>
      </w:r>
      <w:r w:rsidR="00624016">
        <w:t xml:space="preserve">Wilton, </w:t>
      </w:r>
      <w:r w:rsidR="00BE5FD5" w:rsidRPr="0015429B">
        <w:t>2019)</w:t>
      </w:r>
      <w:r w:rsidR="008C6B3A">
        <w:t xml:space="preserve">. </w:t>
      </w:r>
    </w:p>
    <w:p w14:paraId="0433C2AE" w14:textId="77777777" w:rsidR="002953FC" w:rsidRDefault="00A4329E" w:rsidP="002953FC">
      <w:r w:rsidRPr="00A4329E">
        <w:rPr>
          <w:b/>
        </w:rPr>
        <w:t>Staff Well-being Initiatives</w:t>
      </w:r>
      <w:r>
        <w:t xml:space="preserve">: </w:t>
      </w:r>
      <w:r w:rsidR="002953FC">
        <w:t>Programmes aimed at improving employees' health and happiness are crucial to maintaining a positive and productive workplace. Nurses in the UK have access to a range of confidential counselling and support services via the NHS's employee assistance programmes (EAPs). The National Health Service (NHS) prioritises the health and happiness of its nursing workers, as seen by its investment in their well-being. Workers who believe they are valued and appreciated at work are more likely to stay in their current positions.</w:t>
      </w:r>
    </w:p>
    <w:p w14:paraId="50C04269" w14:textId="77777777" w:rsidR="00A4329E" w:rsidRDefault="00A4329E" w:rsidP="00A4329E">
      <w:r w:rsidRPr="00A4329E">
        <w:rPr>
          <w:b/>
        </w:rPr>
        <w:t>Leadership Development Programs</w:t>
      </w:r>
      <w:r>
        <w:t xml:space="preserve">: </w:t>
      </w:r>
      <w:r w:rsidR="008A5528">
        <w:t>The purpose of nursing leadership programmes is to discover and develop individuals with leadership potential. Aspiring nurse managers, clinical leaders, and educators may find training, mentoring, and career advancement opportunities via the NHS</w:t>
      </w:r>
      <w:r w:rsidR="0089745D">
        <w:t xml:space="preserve"> (</w:t>
      </w:r>
      <w:r w:rsidR="001B0EFF">
        <w:t xml:space="preserve">Stone et al., </w:t>
      </w:r>
      <w:r w:rsidR="0089745D" w:rsidRPr="0015429B">
        <w:t>2020)</w:t>
      </w:r>
      <w:r w:rsidR="008A5528">
        <w:t xml:space="preserve">. The National Health Service (NHS) intends to establish a strong cadre of nurse managers who will lead by example and motivate their staff by investing in leadership training. If nurses can see a clear route to advancement and development in the NHS via leadership roles, they may be more inclined to remain in the field. </w:t>
      </w:r>
    </w:p>
    <w:p w14:paraId="7AC08EA2" w14:textId="77777777" w:rsidR="00FA49EC" w:rsidRDefault="00A4329E" w:rsidP="00F5477C">
      <w:pPr>
        <w:pStyle w:val="Heading1"/>
      </w:pPr>
      <w:bookmarkStart w:id="3" w:name="_Toc141926555"/>
      <w:r>
        <w:t>Making</w:t>
      </w:r>
      <w:r w:rsidR="001B17AE">
        <w:t xml:space="preserve"> recommendations, both in the short term and in t</w:t>
      </w:r>
      <w:r w:rsidR="00E724BB">
        <w:t xml:space="preserve">he longer term to improve nurse </w:t>
      </w:r>
      <w:r w:rsidR="001B17AE">
        <w:t>retention</w:t>
      </w:r>
      <w:bookmarkEnd w:id="3"/>
    </w:p>
    <w:p w14:paraId="482CCA8C" w14:textId="77777777" w:rsidR="00A4329E" w:rsidRDefault="00A4329E" w:rsidP="00A4329E">
      <w:pPr>
        <w:rPr>
          <w:b/>
          <w:sz w:val="26"/>
          <w:szCs w:val="26"/>
        </w:rPr>
      </w:pPr>
      <w:r w:rsidRPr="000D04BB">
        <w:rPr>
          <w:b/>
          <w:sz w:val="26"/>
          <w:szCs w:val="26"/>
        </w:rPr>
        <w:t>Short term</w:t>
      </w:r>
    </w:p>
    <w:p w14:paraId="796333B3" w14:textId="77777777" w:rsidR="007901A7" w:rsidRDefault="003D00DC" w:rsidP="003D00DC">
      <w:r>
        <w:t>In the near term, attracting and retaining nursing professionals may be aided by offering competitive wages and other monetary incentives, such as retention bonuses or premium payments for working in high-demand regions. Short-term incentives to retain nurses include the provision of financial perks like overtime pay and relocation packages. Short-term improvements in work-life balance may be achieved by the introduction of flexible working choices, such as part-time or job-sharing agreements, for nurses. Supporting nurses through significant life events, such as having children, is an important part of retaining them in the nursing profession</w:t>
      </w:r>
      <w:r w:rsidR="007901A7">
        <w:t xml:space="preserve"> (Stone et al., </w:t>
      </w:r>
      <w:r w:rsidR="007901A7" w:rsidRPr="0015429B">
        <w:t>2020)</w:t>
      </w:r>
      <w:r>
        <w:t xml:space="preserve">. Establishing prompt programmes of recognition and gratitude for nurses may improve morale and create a more pleasant working environment. </w:t>
      </w:r>
    </w:p>
    <w:p w14:paraId="6DC347DF" w14:textId="77777777" w:rsidR="003D00DC" w:rsidRDefault="003D00DC" w:rsidP="003D00DC">
      <w:r>
        <w:lastRenderedPageBreak/>
        <w:t>Nurses will be more satisfied in their jobs and more likely to stay in them if they are recognised for their efforts and appreciated via ceremonies and awards. The emotional and physical health of nurses may be helped immediately by providing them with EAPs, counselling services, and other wellness options. Taking care of nurses' acute health concerns might help keep them in the profession longer and improve productivity</w:t>
      </w:r>
      <w:r w:rsidR="00183905">
        <w:t xml:space="preserve"> (Collins, </w:t>
      </w:r>
      <w:r w:rsidR="00183905" w:rsidRPr="0015429B">
        <w:t>2021)</w:t>
      </w:r>
      <w:r>
        <w:t>. Potential nurse leaders may be found and nurtured via the implementation of intensive but brief leadership development programmes. Investing in nurses' leadership skills helps keep them in the company by showing them a path to promotion.</w:t>
      </w:r>
    </w:p>
    <w:p w14:paraId="77A91AF0" w14:textId="77777777" w:rsidR="009354E9" w:rsidRPr="000D04BB" w:rsidRDefault="009354E9" w:rsidP="00A4329E">
      <w:pPr>
        <w:rPr>
          <w:b/>
          <w:sz w:val="26"/>
          <w:szCs w:val="26"/>
        </w:rPr>
      </w:pPr>
      <w:r w:rsidRPr="000D04BB">
        <w:rPr>
          <w:b/>
          <w:sz w:val="26"/>
          <w:szCs w:val="26"/>
        </w:rPr>
        <w:t>Longer term</w:t>
      </w:r>
    </w:p>
    <w:p w14:paraId="2D7B5CCE" w14:textId="77777777" w:rsidR="001A6A65" w:rsidRDefault="005A403E" w:rsidP="005A403E">
      <w:r>
        <w:t>Long-term, improving nurses' proficiency will require instituting CPD programmes that are both all-encompassing and ongoing. Nurses are more likely to remain in the field if they see possibilities for advancement and specialisation in their careers. Long-term, the healthcare system has to engage in thorough workforce planning to guarantee sufficient numbers of registered nurses in all facilities</w:t>
      </w:r>
      <w:r w:rsidR="00FB6A69">
        <w:t xml:space="preserve"> (Collins, </w:t>
      </w:r>
      <w:r w:rsidR="00FB6A69" w:rsidRPr="0015429B">
        <w:t>2021)</w:t>
      </w:r>
      <w:r>
        <w:t xml:space="preserve">. Staffing levels that are just right alleviate stress, prevent burnout, and boost job satisfaction, all of which help to keep nurses from leaving their positions. Increasing nurses' sense of agency and participation in decision-making may improve morale and productivity on the workplace. Providing nurses with more agency in their daily work and caring for patients has been shown to increase their dedication to nursing. Nurse leaders will be fostered over time via the creation of leadership development routes and mentoring programmes. </w:t>
      </w:r>
    </w:p>
    <w:p w14:paraId="70A408CD" w14:textId="77777777" w:rsidR="00970843" w:rsidRDefault="005A403E" w:rsidP="005A403E">
      <w:r>
        <w:t>Succession planning and the development of a pool of qualified nursing leaders may both benefit from the systematic identification and cultivation of rising nursing leaders. Long-term success requires constant attention to the happiness of employees. Keeping nurses healthy and resilient requires maintaining their access to mental health services, wellness programmes, and other well-being activities</w:t>
      </w:r>
      <w:r w:rsidR="003161C7">
        <w:t xml:space="preserve"> (Azizi et al., </w:t>
      </w:r>
      <w:r w:rsidR="003161C7" w:rsidRPr="0015429B">
        <w:t>2021)</w:t>
      </w:r>
      <w:r>
        <w:t>. Long-term success necessitates a focus on changing policy in ways that lead to better working conditions, reduce staffing gaps, and bolster the nursing workforce. Having a positive effect on nurse retention may be achieved by working with lawmakers to enact nurse-friendly legislation.</w:t>
      </w:r>
      <w:r w:rsidR="00970843">
        <w:br w:type="page"/>
      </w:r>
    </w:p>
    <w:p w14:paraId="5FF282A1" w14:textId="77777777" w:rsidR="00970843" w:rsidRDefault="00F96260" w:rsidP="00F8568A">
      <w:pPr>
        <w:pStyle w:val="Heading1"/>
      </w:pPr>
      <w:bookmarkStart w:id="4" w:name="_Toc141926556"/>
      <w:r>
        <w:lastRenderedPageBreak/>
        <w:t>Conclusion</w:t>
      </w:r>
      <w:bookmarkEnd w:id="4"/>
    </w:p>
    <w:p w14:paraId="758A3287" w14:textId="77777777" w:rsidR="00AA2AFE" w:rsidRDefault="00AA2AFE" w:rsidP="00AA2AFE">
      <w:r>
        <w:t>In conclusion, it is essential to maintain a stable and competent nursing workforce in the UK by addressing the causes and consequences of employee attrition within the nursing business. Financial and non-financial retention plans are crucial in the NHS in encouraging nurses to remain in their current positions. However, long-term plans concentrating on career advancement, work-life balance, well-being programmes, and leadership development are essential to promote sustained nurse retention and decrease attrition rates. The United Kingdom (UK) may enhance patient care and healthcare outcomes by creating a supportive and rewarding environment for nursing staff by adopting both short-term and long-term suggestions.</w:t>
      </w:r>
    </w:p>
    <w:p w14:paraId="51C14F4A" w14:textId="77777777" w:rsidR="00742F6A" w:rsidRDefault="00742F6A">
      <w:pPr>
        <w:spacing w:line="259" w:lineRule="auto"/>
        <w:jc w:val="left"/>
      </w:pPr>
      <w:r>
        <w:br w:type="page"/>
      </w:r>
    </w:p>
    <w:p w14:paraId="000BB99B" w14:textId="77777777" w:rsidR="00742F6A" w:rsidRDefault="00742F6A" w:rsidP="00DD5048">
      <w:pPr>
        <w:pStyle w:val="Heading1"/>
      </w:pPr>
      <w:bookmarkStart w:id="5" w:name="_Toc141926557"/>
      <w:r>
        <w:lastRenderedPageBreak/>
        <w:t>References</w:t>
      </w:r>
      <w:bookmarkEnd w:id="5"/>
    </w:p>
    <w:p w14:paraId="5CDC1C1D" w14:textId="77777777" w:rsidR="002906C3" w:rsidRPr="0015429B" w:rsidRDefault="002906C3" w:rsidP="0015429B">
      <w:r w:rsidRPr="0015429B">
        <w:t xml:space="preserve">Azizi, M. R., Atlasi, R., Ziapour, A., Abbas, J., </w:t>
      </w:r>
      <w:r>
        <w:t>and</w:t>
      </w:r>
      <w:r w:rsidRPr="0015429B">
        <w:t xml:space="preserve"> Naemi, R. (2021). Innovative human resource management strategies during the COVID-19 pandemic: A systematic narrative review approach. </w:t>
      </w:r>
      <w:r w:rsidRPr="0015429B">
        <w:rPr>
          <w:i/>
          <w:iCs/>
        </w:rPr>
        <w:t>Heliyon</w:t>
      </w:r>
      <w:r w:rsidRPr="0015429B">
        <w:t xml:space="preserve">, </w:t>
      </w:r>
      <w:r w:rsidRPr="0015429B">
        <w:rPr>
          <w:i/>
          <w:iCs/>
        </w:rPr>
        <w:t>7</w:t>
      </w:r>
      <w:r w:rsidRPr="0015429B">
        <w:t>(6).</w:t>
      </w:r>
    </w:p>
    <w:p w14:paraId="032F7635" w14:textId="77777777" w:rsidR="002906C3" w:rsidRPr="0015429B" w:rsidRDefault="002906C3" w:rsidP="0015429B">
      <w:r w:rsidRPr="0015429B">
        <w:t xml:space="preserve">Carnevale, J. B., </w:t>
      </w:r>
      <w:r>
        <w:t>and</w:t>
      </w:r>
      <w:r w:rsidRPr="0015429B">
        <w:t xml:space="preserve"> Hatak, I. (2020). Employee adjustment and well-being in the era of COVID-19: Implications for human resource management. </w:t>
      </w:r>
      <w:r w:rsidRPr="0015429B">
        <w:rPr>
          <w:i/>
          <w:iCs/>
        </w:rPr>
        <w:t>Journal of business research</w:t>
      </w:r>
      <w:r w:rsidRPr="0015429B">
        <w:t xml:space="preserve">, </w:t>
      </w:r>
      <w:r w:rsidRPr="0015429B">
        <w:rPr>
          <w:i/>
          <w:iCs/>
        </w:rPr>
        <w:t>116</w:t>
      </w:r>
      <w:r w:rsidRPr="0015429B">
        <w:t>, 183-187.</w:t>
      </w:r>
    </w:p>
    <w:p w14:paraId="4ED67F0F" w14:textId="77777777" w:rsidR="002906C3" w:rsidRPr="0015429B" w:rsidRDefault="002906C3" w:rsidP="0015429B">
      <w:r w:rsidRPr="0015429B">
        <w:t xml:space="preserve">Collins, C. J. (2021). Expanding the resource based view model of strategic human resource management. </w:t>
      </w:r>
      <w:r w:rsidRPr="0015429B">
        <w:rPr>
          <w:i/>
          <w:iCs/>
        </w:rPr>
        <w:t>The International Journal of Human Resource Management</w:t>
      </w:r>
      <w:r w:rsidRPr="0015429B">
        <w:t xml:space="preserve">, </w:t>
      </w:r>
      <w:r w:rsidRPr="0015429B">
        <w:rPr>
          <w:i/>
          <w:iCs/>
        </w:rPr>
        <w:t>32</w:t>
      </w:r>
      <w:r w:rsidRPr="0015429B">
        <w:t>(2), 331-358.</w:t>
      </w:r>
    </w:p>
    <w:p w14:paraId="15D537F3" w14:textId="77777777" w:rsidR="002906C3" w:rsidRDefault="002906C3" w:rsidP="00AA2AFE">
      <w:r w:rsidRPr="0015429B">
        <w:t xml:space="preserve">Kaufman, B. E. (2019). </w:t>
      </w:r>
      <w:r w:rsidRPr="0015429B">
        <w:rPr>
          <w:i/>
          <w:iCs/>
        </w:rPr>
        <w:t>Managing the human factor: The early years of human resource management in American industry</w:t>
      </w:r>
      <w:r w:rsidRPr="0015429B">
        <w:t>. Cornell University Press.</w:t>
      </w:r>
    </w:p>
    <w:p w14:paraId="2FD0130F" w14:textId="77777777" w:rsidR="002906C3" w:rsidRPr="0015429B" w:rsidRDefault="002906C3" w:rsidP="0015429B">
      <w:r w:rsidRPr="0015429B">
        <w:t xml:space="preserve">Meijerink, J., </w:t>
      </w:r>
      <w:r>
        <w:t>and</w:t>
      </w:r>
      <w:r w:rsidRPr="0015429B">
        <w:t xml:space="preserve"> Keegan, A. (2019). Conceptualizing human resource management in the gig economy: Toward a platform ecosystem perspective. </w:t>
      </w:r>
      <w:r w:rsidRPr="0015429B">
        <w:rPr>
          <w:i/>
          <w:iCs/>
        </w:rPr>
        <w:t>Journal of managerial psychology</w:t>
      </w:r>
      <w:r w:rsidRPr="0015429B">
        <w:t xml:space="preserve">, </w:t>
      </w:r>
      <w:r w:rsidRPr="0015429B">
        <w:rPr>
          <w:i/>
          <w:iCs/>
        </w:rPr>
        <w:t>34</w:t>
      </w:r>
      <w:r w:rsidRPr="0015429B">
        <w:t>(4), 214-232.</w:t>
      </w:r>
    </w:p>
    <w:p w14:paraId="5C77FF9D" w14:textId="77777777" w:rsidR="002906C3" w:rsidRPr="0015429B" w:rsidRDefault="002906C3" w:rsidP="0015429B">
      <w:r w:rsidRPr="0015429B">
        <w:t xml:space="preserve">Singh, S. K., Del Giudice, M., Chierici, R., </w:t>
      </w:r>
      <w:r>
        <w:t>and</w:t>
      </w:r>
      <w:r w:rsidRPr="0015429B">
        <w:t xml:space="preserve"> Graziano, D. (2020). Green innovation and environmental performance: The role of green transformational leadership and green human resource management. </w:t>
      </w:r>
      <w:r w:rsidRPr="0015429B">
        <w:rPr>
          <w:i/>
          <w:iCs/>
        </w:rPr>
        <w:t>Technological forecasting and social change</w:t>
      </w:r>
      <w:r w:rsidRPr="0015429B">
        <w:t xml:space="preserve">, </w:t>
      </w:r>
      <w:r w:rsidRPr="0015429B">
        <w:rPr>
          <w:i/>
          <w:iCs/>
        </w:rPr>
        <w:t>150</w:t>
      </w:r>
      <w:r w:rsidRPr="0015429B">
        <w:t>, 119762.</w:t>
      </w:r>
    </w:p>
    <w:p w14:paraId="029609B9" w14:textId="77777777" w:rsidR="002906C3" w:rsidRPr="0015429B" w:rsidRDefault="002906C3" w:rsidP="0015429B">
      <w:r w:rsidRPr="0015429B">
        <w:t xml:space="preserve">Stewart, G. L., </w:t>
      </w:r>
      <w:r>
        <w:t>and</w:t>
      </w:r>
      <w:r w:rsidRPr="0015429B">
        <w:t xml:space="preserve"> Brown, K. G. (2019). </w:t>
      </w:r>
      <w:r w:rsidRPr="0015429B">
        <w:rPr>
          <w:i/>
          <w:iCs/>
        </w:rPr>
        <w:t>Human resource management</w:t>
      </w:r>
      <w:r w:rsidRPr="0015429B">
        <w:t xml:space="preserve">. John Wiley </w:t>
      </w:r>
      <w:r>
        <w:t>and</w:t>
      </w:r>
      <w:r w:rsidRPr="0015429B">
        <w:t xml:space="preserve"> Sons.</w:t>
      </w:r>
    </w:p>
    <w:p w14:paraId="50FFAFF5" w14:textId="77777777" w:rsidR="002906C3" w:rsidRDefault="002906C3" w:rsidP="00AA2AFE">
      <w:r w:rsidRPr="0015429B">
        <w:t xml:space="preserve">Stone, R. J., Cox, A., </w:t>
      </w:r>
      <w:r>
        <w:t>and</w:t>
      </w:r>
      <w:r w:rsidRPr="0015429B">
        <w:t xml:space="preserve"> Gavin, M. (2020). </w:t>
      </w:r>
      <w:r w:rsidRPr="0015429B">
        <w:rPr>
          <w:i/>
          <w:iCs/>
        </w:rPr>
        <w:t>Human resource management</w:t>
      </w:r>
      <w:r w:rsidRPr="0015429B">
        <w:t xml:space="preserve">. John Wiley </w:t>
      </w:r>
      <w:r>
        <w:t>and</w:t>
      </w:r>
      <w:r w:rsidRPr="0015429B">
        <w:t xml:space="preserve"> Sons.</w:t>
      </w:r>
    </w:p>
    <w:p w14:paraId="7C0E3B38" w14:textId="77777777" w:rsidR="002906C3" w:rsidRPr="0015429B" w:rsidRDefault="002906C3" w:rsidP="0015429B">
      <w:r w:rsidRPr="0015429B">
        <w:t xml:space="preserve">Vrontis, D., Christofi, M., Pereira, V., Tarba, S., Makrides, A., </w:t>
      </w:r>
      <w:r>
        <w:t>and</w:t>
      </w:r>
      <w:r w:rsidRPr="0015429B">
        <w:t xml:space="preserve"> Trichina, E. (2022). Artificial intelligence, robotics, advanced technologies and human resource management: a systematic review. </w:t>
      </w:r>
      <w:r w:rsidRPr="0015429B">
        <w:rPr>
          <w:i/>
          <w:iCs/>
        </w:rPr>
        <w:t>The International Journal of Human Resource Management</w:t>
      </w:r>
      <w:r w:rsidRPr="0015429B">
        <w:t xml:space="preserve">, </w:t>
      </w:r>
      <w:r w:rsidRPr="0015429B">
        <w:rPr>
          <w:i/>
          <w:iCs/>
        </w:rPr>
        <w:t>33</w:t>
      </w:r>
      <w:r w:rsidRPr="0015429B">
        <w:t>(6), 1237-1266.</w:t>
      </w:r>
    </w:p>
    <w:p w14:paraId="4902D5CB" w14:textId="77777777" w:rsidR="002906C3" w:rsidRPr="0015429B" w:rsidRDefault="002906C3" w:rsidP="0015429B">
      <w:r w:rsidRPr="0015429B">
        <w:t xml:space="preserve">Wilton, N. (2019). An introduction to human resource management. </w:t>
      </w:r>
      <w:r w:rsidRPr="0015429B">
        <w:rPr>
          <w:i/>
          <w:iCs/>
        </w:rPr>
        <w:t>An Introduction to Human Resource Management</w:t>
      </w:r>
      <w:r w:rsidRPr="0015429B">
        <w:t>, 1-632.</w:t>
      </w:r>
    </w:p>
    <w:p w14:paraId="0CD0AFBB" w14:textId="77777777" w:rsidR="0015429B" w:rsidRDefault="0015429B" w:rsidP="00AA2AFE"/>
    <w:p w14:paraId="3CF24A63" w14:textId="77777777" w:rsidR="00AA2AFE" w:rsidRPr="00AA2AFE" w:rsidRDefault="00AA2AFE" w:rsidP="00AA2AFE"/>
    <w:sectPr w:rsidR="00AA2AFE" w:rsidRPr="00AA2AFE">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B1CF2E" w14:textId="77777777" w:rsidR="00D0621E" w:rsidRDefault="00D0621E" w:rsidP="001B17AE">
      <w:pPr>
        <w:spacing w:after="0" w:line="240" w:lineRule="auto"/>
      </w:pPr>
      <w:r>
        <w:separator/>
      </w:r>
    </w:p>
  </w:endnote>
  <w:endnote w:type="continuationSeparator" w:id="0">
    <w:p w14:paraId="50F9A209" w14:textId="77777777" w:rsidR="00D0621E" w:rsidRDefault="00D0621E" w:rsidP="001B17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CCE40D" w14:textId="77777777" w:rsidR="001B17AE" w:rsidRDefault="001B17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21097E" w14:textId="77777777" w:rsidR="001B17AE" w:rsidRDefault="001B17A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ECACE6" w14:textId="77777777" w:rsidR="001B17AE" w:rsidRDefault="001B17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C6FDCD" w14:textId="77777777" w:rsidR="00D0621E" w:rsidRDefault="00D0621E" w:rsidP="001B17AE">
      <w:pPr>
        <w:spacing w:after="0" w:line="240" w:lineRule="auto"/>
      </w:pPr>
      <w:r>
        <w:separator/>
      </w:r>
    </w:p>
  </w:footnote>
  <w:footnote w:type="continuationSeparator" w:id="0">
    <w:p w14:paraId="1875E89A" w14:textId="77777777" w:rsidR="00D0621E" w:rsidRDefault="00D0621E" w:rsidP="001B17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81F1F4" w14:textId="77777777" w:rsidR="001B17AE" w:rsidRDefault="001B17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98E3C5" w14:textId="77777777" w:rsidR="001B17AE" w:rsidRDefault="001B17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5E5491" w14:textId="77777777" w:rsidR="001B17AE" w:rsidRDefault="001B17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0F4631"/>
    <w:multiLevelType w:val="multilevel"/>
    <w:tmpl w:val="1966D36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901E5D"/>
    <w:multiLevelType w:val="multilevel"/>
    <w:tmpl w:val="0D583D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216508"/>
    <w:multiLevelType w:val="multilevel"/>
    <w:tmpl w:val="3B327DC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985F0D"/>
    <w:multiLevelType w:val="multilevel"/>
    <w:tmpl w:val="5F84A1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E8E5273"/>
    <w:multiLevelType w:val="hybridMultilevel"/>
    <w:tmpl w:val="77FC86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1307BD"/>
    <w:multiLevelType w:val="multilevel"/>
    <w:tmpl w:val="0A6E7AD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6E14F52"/>
    <w:multiLevelType w:val="multilevel"/>
    <w:tmpl w:val="953A6F6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61D7B35"/>
    <w:multiLevelType w:val="multilevel"/>
    <w:tmpl w:val="C60E7E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3"/>
  </w:num>
  <w:num w:numId="3">
    <w:abstractNumId w:val="7"/>
  </w:num>
  <w:num w:numId="4">
    <w:abstractNumId w:val="2"/>
  </w:num>
  <w:num w:numId="5">
    <w:abstractNumId w:val="5"/>
  </w:num>
  <w:num w:numId="6">
    <w:abstractNumId w:val="0"/>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49EC"/>
    <w:rsid w:val="00024E68"/>
    <w:rsid w:val="0003294A"/>
    <w:rsid w:val="00043F6D"/>
    <w:rsid w:val="00075A82"/>
    <w:rsid w:val="00081424"/>
    <w:rsid w:val="000824E2"/>
    <w:rsid w:val="00083C9F"/>
    <w:rsid w:val="00092363"/>
    <w:rsid w:val="000A6815"/>
    <w:rsid w:val="000B3D97"/>
    <w:rsid w:val="000C125C"/>
    <w:rsid w:val="000C6022"/>
    <w:rsid w:val="000D04BB"/>
    <w:rsid w:val="000D3A9D"/>
    <w:rsid w:val="000E04F0"/>
    <w:rsid w:val="000E492C"/>
    <w:rsid w:val="000F3D33"/>
    <w:rsid w:val="0015429B"/>
    <w:rsid w:val="00183905"/>
    <w:rsid w:val="001A6A65"/>
    <w:rsid w:val="001B0EFF"/>
    <w:rsid w:val="001B17AE"/>
    <w:rsid w:val="001B7FF3"/>
    <w:rsid w:val="001E2EB8"/>
    <w:rsid w:val="002815A0"/>
    <w:rsid w:val="002906C3"/>
    <w:rsid w:val="002953FC"/>
    <w:rsid w:val="002A5F14"/>
    <w:rsid w:val="002B26EA"/>
    <w:rsid w:val="00301907"/>
    <w:rsid w:val="00305F22"/>
    <w:rsid w:val="003161C7"/>
    <w:rsid w:val="0034305A"/>
    <w:rsid w:val="00345524"/>
    <w:rsid w:val="003462A6"/>
    <w:rsid w:val="003A10B4"/>
    <w:rsid w:val="003B22D9"/>
    <w:rsid w:val="003C7420"/>
    <w:rsid w:val="003D00DC"/>
    <w:rsid w:val="004046C3"/>
    <w:rsid w:val="0041580B"/>
    <w:rsid w:val="00431082"/>
    <w:rsid w:val="00457DE7"/>
    <w:rsid w:val="00467BA2"/>
    <w:rsid w:val="00476CB4"/>
    <w:rsid w:val="004A40A0"/>
    <w:rsid w:val="004A7E93"/>
    <w:rsid w:val="004B04EF"/>
    <w:rsid w:val="004B287E"/>
    <w:rsid w:val="004B6CB1"/>
    <w:rsid w:val="004C664D"/>
    <w:rsid w:val="004D6B9F"/>
    <w:rsid w:val="004E2AEC"/>
    <w:rsid w:val="004E4EEB"/>
    <w:rsid w:val="004F5358"/>
    <w:rsid w:val="00510BCF"/>
    <w:rsid w:val="00521C24"/>
    <w:rsid w:val="00526B1F"/>
    <w:rsid w:val="0053027B"/>
    <w:rsid w:val="005515EC"/>
    <w:rsid w:val="00563FEA"/>
    <w:rsid w:val="005757E5"/>
    <w:rsid w:val="005A403E"/>
    <w:rsid w:val="00603454"/>
    <w:rsid w:val="00614AD4"/>
    <w:rsid w:val="00617B05"/>
    <w:rsid w:val="00624016"/>
    <w:rsid w:val="006376BE"/>
    <w:rsid w:val="00644A01"/>
    <w:rsid w:val="00654ED5"/>
    <w:rsid w:val="0067050F"/>
    <w:rsid w:val="006723F6"/>
    <w:rsid w:val="00690515"/>
    <w:rsid w:val="006A1D68"/>
    <w:rsid w:val="006C1CAB"/>
    <w:rsid w:val="006F1B92"/>
    <w:rsid w:val="006F4254"/>
    <w:rsid w:val="007208C0"/>
    <w:rsid w:val="0074176A"/>
    <w:rsid w:val="00742F6A"/>
    <w:rsid w:val="00756C26"/>
    <w:rsid w:val="00765F12"/>
    <w:rsid w:val="00771406"/>
    <w:rsid w:val="007901A7"/>
    <w:rsid w:val="007A2DAD"/>
    <w:rsid w:val="007D6E21"/>
    <w:rsid w:val="00800267"/>
    <w:rsid w:val="008757E7"/>
    <w:rsid w:val="00877151"/>
    <w:rsid w:val="00885502"/>
    <w:rsid w:val="0089745D"/>
    <w:rsid w:val="008A5528"/>
    <w:rsid w:val="008B08BF"/>
    <w:rsid w:val="008B6811"/>
    <w:rsid w:val="008C320E"/>
    <w:rsid w:val="008C6B3A"/>
    <w:rsid w:val="008C7ECE"/>
    <w:rsid w:val="008E29F5"/>
    <w:rsid w:val="008F624E"/>
    <w:rsid w:val="00904B7C"/>
    <w:rsid w:val="00910DE2"/>
    <w:rsid w:val="009354E9"/>
    <w:rsid w:val="0095153E"/>
    <w:rsid w:val="009579AE"/>
    <w:rsid w:val="00970843"/>
    <w:rsid w:val="0097457F"/>
    <w:rsid w:val="00992158"/>
    <w:rsid w:val="009A294E"/>
    <w:rsid w:val="009B4C51"/>
    <w:rsid w:val="009B7E8E"/>
    <w:rsid w:val="009C1856"/>
    <w:rsid w:val="009C665D"/>
    <w:rsid w:val="009D30BE"/>
    <w:rsid w:val="009F0D44"/>
    <w:rsid w:val="00A027FE"/>
    <w:rsid w:val="00A113AF"/>
    <w:rsid w:val="00A20C16"/>
    <w:rsid w:val="00A42B47"/>
    <w:rsid w:val="00A4329E"/>
    <w:rsid w:val="00A539DB"/>
    <w:rsid w:val="00A71389"/>
    <w:rsid w:val="00A7382B"/>
    <w:rsid w:val="00A75471"/>
    <w:rsid w:val="00A80E94"/>
    <w:rsid w:val="00A90B0B"/>
    <w:rsid w:val="00AA2AFE"/>
    <w:rsid w:val="00AB3936"/>
    <w:rsid w:val="00AC416D"/>
    <w:rsid w:val="00AE2BFE"/>
    <w:rsid w:val="00AF4614"/>
    <w:rsid w:val="00AF5043"/>
    <w:rsid w:val="00AF5344"/>
    <w:rsid w:val="00AF65BE"/>
    <w:rsid w:val="00B303D9"/>
    <w:rsid w:val="00B35CCD"/>
    <w:rsid w:val="00B61A4E"/>
    <w:rsid w:val="00B664FA"/>
    <w:rsid w:val="00B66D13"/>
    <w:rsid w:val="00B75110"/>
    <w:rsid w:val="00B77B17"/>
    <w:rsid w:val="00BB057B"/>
    <w:rsid w:val="00BB3B8A"/>
    <w:rsid w:val="00BE5FD5"/>
    <w:rsid w:val="00BF15DF"/>
    <w:rsid w:val="00C00F3D"/>
    <w:rsid w:val="00C06A75"/>
    <w:rsid w:val="00C203ED"/>
    <w:rsid w:val="00C230AB"/>
    <w:rsid w:val="00C31C31"/>
    <w:rsid w:val="00C56E2E"/>
    <w:rsid w:val="00C645C9"/>
    <w:rsid w:val="00C95D48"/>
    <w:rsid w:val="00CD5B4A"/>
    <w:rsid w:val="00CE7066"/>
    <w:rsid w:val="00CF1EA0"/>
    <w:rsid w:val="00D0621E"/>
    <w:rsid w:val="00D10C56"/>
    <w:rsid w:val="00D56E12"/>
    <w:rsid w:val="00D574A7"/>
    <w:rsid w:val="00D93A6D"/>
    <w:rsid w:val="00DB315A"/>
    <w:rsid w:val="00DC0017"/>
    <w:rsid w:val="00DC307E"/>
    <w:rsid w:val="00DC45E4"/>
    <w:rsid w:val="00DD21AF"/>
    <w:rsid w:val="00DD5048"/>
    <w:rsid w:val="00DE16F0"/>
    <w:rsid w:val="00DE34C4"/>
    <w:rsid w:val="00E12077"/>
    <w:rsid w:val="00E21577"/>
    <w:rsid w:val="00E54C69"/>
    <w:rsid w:val="00E724BB"/>
    <w:rsid w:val="00EC3F86"/>
    <w:rsid w:val="00EE42E0"/>
    <w:rsid w:val="00EE5A6E"/>
    <w:rsid w:val="00EE5C44"/>
    <w:rsid w:val="00EF2D28"/>
    <w:rsid w:val="00F0349D"/>
    <w:rsid w:val="00F22E73"/>
    <w:rsid w:val="00F433E0"/>
    <w:rsid w:val="00F5477C"/>
    <w:rsid w:val="00F8568A"/>
    <w:rsid w:val="00F86796"/>
    <w:rsid w:val="00F94186"/>
    <w:rsid w:val="00F96260"/>
    <w:rsid w:val="00FA1057"/>
    <w:rsid w:val="00FA49EC"/>
    <w:rsid w:val="00FB6A69"/>
    <w:rsid w:val="00FC2705"/>
    <w:rsid w:val="00FC393A"/>
    <w:rsid w:val="00FD110A"/>
    <w:rsid w:val="00FF3627"/>
    <w:rsid w:val="00FF4A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10D0B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49E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A49EC"/>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A49EC"/>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9EC"/>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FA49EC"/>
    <w:rPr>
      <w:rFonts w:ascii="Times New Roman" w:eastAsiaTheme="majorEastAsia" w:hAnsi="Times New Roman" w:cstheme="majorBidi"/>
      <w:b/>
      <w:color w:val="2F5496" w:themeColor="accent1" w:themeShade="BF"/>
      <w:sz w:val="28"/>
      <w:szCs w:val="26"/>
      <w:lang w:val="en-GB"/>
    </w:rPr>
  </w:style>
  <w:style w:type="paragraph" w:styleId="Header">
    <w:name w:val="header"/>
    <w:basedOn w:val="Normal"/>
    <w:link w:val="HeaderChar"/>
    <w:uiPriority w:val="99"/>
    <w:unhideWhenUsed/>
    <w:rsid w:val="001B17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17AE"/>
    <w:rPr>
      <w:rFonts w:ascii="Times New Roman" w:hAnsi="Times New Roman"/>
      <w:sz w:val="24"/>
      <w:lang w:val="en-GB"/>
    </w:rPr>
  </w:style>
  <w:style w:type="paragraph" w:styleId="Footer">
    <w:name w:val="footer"/>
    <w:basedOn w:val="Normal"/>
    <w:link w:val="FooterChar"/>
    <w:uiPriority w:val="99"/>
    <w:unhideWhenUsed/>
    <w:rsid w:val="001B17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17AE"/>
    <w:rPr>
      <w:rFonts w:ascii="Times New Roman" w:hAnsi="Times New Roman"/>
      <w:sz w:val="24"/>
      <w:lang w:val="en-GB"/>
    </w:rPr>
  </w:style>
  <w:style w:type="paragraph" w:styleId="NormalWeb">
    <w:name w:val="Normal (Web)"/>
    <w:basedOn w:val="Normal"/>
    <w:uiPriority w:val="99"/>
    <w:semiHidden/>
    <w:unhideWhenUsed/>
    <w:rsid w:val="00C31C31"/>
    <w:pPr>
      <w:spacing w:before="100" w:beforeAutospacing="1" w:after="100" w:afterAutospacing="1" w:line="240" w:lineRule="auto"/>
      <w:jc w:val="left"/>
    </w:pPr>
    <w:rPr>
      <w:rFonts w:eastAsia="Times New Roman" w:cs="Times New Roman"/>
      <w:szCs w:val="24"/>
      <w:lang w:eastAsia="en-GB"/>
    </w:rPr>
  </w:style>
  <w:style w:type="paragraph" w:styleId="ListParagraph">
    <w:name w:val="List Paragraph"/>
    <w:basedOn w:val="Normal"/>
    <w:uiPriority w:val="34"/>
    <w:qFormat/>
    <w:rsid w:val="00A4329E"/>
    <w:pPr>
      <w:ind w:left="720"/>
      <w:contextualSpacing/>
    </w:pPr>
  </w:style>
  <w:style w:type="paragraph" w:styleId="TOCHeading">
    <w:name w:val="TOC Heading"/>
    <w:basedOn w:val="Heading1"/>
    <w:next w:val="Normal"/>
    <w:uiPriority w:val="39"/>
    <w:unhideWhenUsed/>
    <w:qFormat/>
    <w:rsid w:val="006F4254"/>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6F4254"/>
    <w:pPr>
      <w:spacing w:after="100"/>
    </w:pPr>
  </w:style>
  <w:style w:type="paragraph" w:styleId="TOC2">
    <w:name w:val="toc 2"/>
    <w:basedOn w:val="Normal"/>
    <w:next w:val="Normal"/>
    <w:autoRedefine/>
    <w:uiPriority w:val="39"/>
    <w:unhideWhenUsed/>
    <w:rsid w:val="006F4254"/>
    <w:pPr>
      <w:spacing w:after="100"/>
      <w:ind w:left="240"/>
    </w:pPr>
  </w:style>
  <w:style w:type="character" w:styleId="Hyperlink">
    <w:name w:val="Hyperlink"/>
    <w:basedOn w:val="DefaultParagraphFont"/>
    <w:uiPriority w:val="99"/>
    <w:unhideWhenUsed/>
    <w:rsid w:val="006F425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3617429">
      <w:bodyDiv w:val="1"/>
      <w:marLeft w:val="0"/>
      <w:marRight w:val="0"/>
      <w:marTop w:val="0"/>
      <w:marBottom w:val="0"/>
      <w:divBdr>
        <w:top w:val="none" w:sz="0" w:space="0" w:color="auto"/>
        <w:left w:val="none" w:sz="0" w:space="0" w:color="auto"/>
        <w:bottom w:val="none" w:sz="0" w:space="0" w:color="auto"/>
        <w:right w:val="none" w:sz="0" w:space="0" w:color="auto"/>
      </w:divBdr>
    </w:div>
    <w:div w:id="143355431">
      <w:bodyDiv w:val="1"/>
      <w:marLeft w:val="0"/>
      <w:marRight w:val="0"/>
      <w:marTop w:val="0"/>
      <w:marBottom w:val="0"/>
      <w:divBdr>
        <w:top w:val="none" w:sz="0" w:space="0" w:color="auto"/>
        <w:left w:val="none" w:sz="0" w:space="0" w:color="auto"/>
        <w:bottom w:val="none" w:sz="0" w:space="0" w:color="auto"/>
        <w:right w:val="none" w:sz="0" w:space="0" w:color="auto"/>
      </w:divBdr>
      <w:divsChild>
        <w:div w:id="1851606745">
          <w:marLeft w:val="0"/>
          <w:marRight w:val="0"/>
          <w:marTop w:val="0"/>
          <w:marBottom w:val="0"/>
          <w:divBdr>
            <w:top w:val="none" w:sz="0" w:space="0" w:color="auto"/>
            <w:left w:val="none" w:sz="0" w:space="0" w:color="auto"/>
            <w:bottom w:val="none" w:sz="0" w:space="0" w:color="auto"/>
            <w:right w:val="none" w:sz="0" w:space="0" w:color="auto"/>
          </w:divBdr>
        </w:div>
      </w:divsChild>
    </w:div>
    <w:div w:id="320624593">
      <w:bodyDiv w:val="1"/>
      <w:marLeft w:val="0"/>
      <w:marRight w:val="0"/>
      <w:marTop w:val="0"/>
      <w:marBottom w:val="0"/>
      <w:divBdr>
        <w:top w:val="none" w:sz="0" w:space="0" w:color="auto"/>
        <w:left w:val="none" w:sz="0" w:space="0" w:color="auto"/>
        <w:bottom w:val="none" w:sz="0" w:space="0" w:color="auto"/>
        <w:right w:val="none" w:sz="0" w:space="0" w:color="auto"/>
      </w:divBdr>
    </w:div>
    <w:div w:id="707921346">
      <w:bodyDiv w:val="1"/>
      <w:marLeft w:val="0"/>
      <w:marRight w:val="0"/>
      <w:marTop w:val="0"/>
      <w:marBottom w:val="0"/>
      <w:divBdr>
        <w:top w:val="none" w:sz="0" w:space="0" w:color="auto"/>
        <w:left w:val="none" w:sz="0" w:space="0" w:color="auto"/>
        <w:bottom w:val="none" w:sz="0" w:space="0" w:color="auto"/>
        <w:right w:val="none" w:sz="0" w:space="0" w:color="auto"/>
      </w:divBdr>
      <w:divsChild>
        <w:div w:id="1556696127">
          <w:marLeft w:val="0"/>
          <w:marRight w:val="0"/>
          <w:marTop w:val="0"/>
          <w:marBottom w:val="0"/>
          <w:divBdr>
            <w:top w:val="none" w:sz="0" w:space="0" w:color="auto"/>
            <w:left w:val="none" w:sz="0" w:space="0" w:color="auto"/>
            <w:bottom w:val="none" w:sz="0" w:space="0" w:color="auto"/>
            <w:right w:val="none" w:sz="0" w:space="0" w:color="auto"/>
          </w:divBdr>
        </w:div>
      </w:divsChild>
    </w:div>
    <w:div w:id="1043209949">
      <w:bodyDiv w:val="1"/>
      <w:marLeft w:val="0"/>
      <w:marRight w:val="0"/>
      <w:marTop w:val="0"/>
      <w:marBottom w:val="0"/>
      <w:divBdr>
        <w:top w:val="none" w:sz="0" w:space="0" w:color="auto"/>
        <w:left w:val="none" w:sz="0" w:space="0" w:color="auto"/>
        <w:bottom w:val="none" w:sz="0" w:space="0" w:color="auto"/>
        <w:right w:val="none" w:sz="0" w:space="0" w:color="auto"/>
      </w:divBdr>
      <w:divsChild>
        <w:div w:id="542522500">
          <w:marLeft w:val="0"/>
          <w:marRight w:val="0"/>
          <w:marTop w:val="0"/>
          <w:marBottom w:val="0"/>
          <w:divBdr>
            <w:top w:val="none" w:sz="0" w:space="0" w:color="auto"/>
            <w:left w:val="none" w:sz="0" w:space="0" w:color="auto"/>
            <w:bottom w:val="none" w:sz="0" w:space="0" w:color="auto"/>
            <w:right w:val="none" w:sz="0" w:space="0" w:color="auto"/>
          </w:divBdr>
        </w:div>
      </w:divsChild>
    </w:div>
    <w:div w:id="1234314674">
      <w:bodyDiv w:val="1"/>
      <w:marLeft w:val="0"/>
      <w:marRight w:val="0"/>
      <w:marTop w:val="0"/>
      <w:marBottom w:val="0"/>
      <w:divBdr>
        <w:top w:val="none" w:sz="0" w:space="0" w:color="auto"/>
        <w:left w:val="none" w:sz="0" w:space="0" w:color="auto"/>
        <w:bottom w:val="none" w:sz="0" w:space="0" w:color="auto"/>
        <w:right w:val="none" w:sz="0" w:space="0" w:color="auto"/>
      </w:divBdr>
    </w:div>
    <w:div w:id="1322467406">
      <w:bodyDiv w:val="1"/>
      <w:marLeft w:val="0"/>
      <w:marRight w:val="0"/>
      <w:marTop w:val="0"/>
      <w:marBottom w:val="0"/>
      <w:divBdr>
        <w:top w:val="none" w:sz="0" w:space="0" w:color="auto"/>
        <w:left w:val="none" w:sz="0" w:space="0" w:color="auto"/>
        <w:bottom w:val="none" w:sz="0" w:space="0" w:color="auto"/>
        <w:right w:val="none" w:sz="0" w:space="0" w:color="auto"/>
      </w:divBdr>
      <w:divsChild>
        <w:div w:id="1740706676">
          <w:marLeft w:val="0"/>
          <w:marRight w:val="0"/>
          <w:marTop w:val="0"/>
          <w:marBottom w:val="0"/>
          <w:divBdr>
            <w:top w:val="none" w:sz="0" w:space="0" w:color="auto"/>
            <w:left w:val="none" w:sz="0" w:space="0" w:color="auto"/>
            <w:bottom w:val="none" w:sz="0" w:space="0" w:color="auto"/>
            <w:right w:val="none" w:sz="0" w:space="0" w:color="auto"/>
          </w:divBdr>
        </w:div>
      </w:divsChild>
    </w:div>
    <w:div w:id="1444180664">
      <w:bodyDiv w:val="1"/>
      <w:marLeft w:val="0"/>
      <w:marRight w:val="0"/>
      <w:marTop w:val="0"/>
      <w:marBottom w:val="0"/>
      <w:divBdr>
        <w:top w:val="none" w:sz="0" w:space="0" w:color="auto"/>
        <w:left w:val="none" w:sz="0" w:space="0" w:color="auto"/>
        <w:bottom w:val="none" w:sz="0" w:space="0" w:color="auto"/>
        <w:right w:val="none" w:sz="0" w:space="0" w:color="auto"/>
      </w:divBdr>
      <w:divsChild>
        <w:div w:id="404842722">
          <w:marLeft w:val="0"/>
          <w:marRight w:val="0"/>
          <w:marTop w:val="0"/>
          <w:marBottom w:val="0"/>
          <w:divBdr>
            <w:top w:val="none" w:sz="0" w:space="0" w:color="auto"/>
            <w:left w:val="none" w:sz="0" w:space="0" w:color="auto"/>
            <w:bottom w:val="none" w:sz="0" w:space="0" w:color="auto"/>
            <w:right w:val="none" w:sz="0" w:space="0" w:color="auto"/>
          </w:divBdr>
        </w:div>
      </w:divsChild>
    </w:div>
    <w:div w:id="1508982302">
      <w:bodyDiv w:val="1"/>
      <w:marLeft w:val="0"/>
      <w:marRight w:val="0"/>
      <w:marTop w:val="0"/>
      <w:marBottom w:val="0"/>
      <w:divBdr>
        <w:top w:val="none" w:sz="0" w:space="0" w:color="auto"/>
        <w:left w:val="none" w:sz="0" w:space="0" w:color="auto"/>
        <w:bottom w:val="none" w:sz="0" w:space="0" w:color="auto"/>
        <w:right w:val="none" w:sz="0" w:space="0" w:color="auto"/>
      </w:divBdr>
      <w:divsChild>
        <w:div w:id="337125824">
          <w:marLeft w:val="0"/>
          <w:marRight w:val="0"/>
          <w:marTop w:val="0"/>
          <w:marBottom w:val="0"/>
          <w:divBdr>
            <w:top w:val="none" w:sz="0" w:space="0" w:color="auto"/>
            <w:left w:val="none" w:sz="0" w:space="0" w:color="auto"/>
            <w:bottom w:val="none" w:sz="0" w:space="0" w:color="auto"/>
            <w:right w:val="none" w:sz="0" w:space="0" w:color="auto"/>
          </w:divBdr>
        </w:div>
      </w:divsChild>
    </w:div>
    <w:div w:id="1957130550">
      <w:bodyDiv w:val="1"/>
      <w:marLeft w:val="0"/>
      <w:marRight w:val="0"/>
      <w:marTop w:val="0"/>
      <w:marBottom w:val="0"/>
      <w:divBdr>
        <w:top w:val="none" w:sz="0" w:space="0" w:color="auto"/>
        <w:left w:val="none" w:sz="0" w:space="0" w:color="auto"/>
        <w:bottom w:val="none" w:sz="0" w:space="0" w:color="auto"/>
        <w:right w:val="none" w:sz="0" w:space="0" w:color="auto"/>
      </w:divBdr>
      <w:divsChild>
        <w:div w:id="1250194667">
          <w:marLeft w:val="0"/>
          <w:marRight w:val="0"/>
          <w:marTop w:val="0"/>
          <w:marBottom w:val="0"/>
          <w:divBdr>
            <w:top w:val="none" w:sz="0" w:space="0" w:color="auto"/>
            <w:left w:val="none" w:sz="0" w:space="0" w:color="auto"/>
            <w:bottom w:val="none" w:sz="0" w:space="0" w:color="auto"/>
            <w:right w:val="none" w:sz="0" w:space="0" w:color="auto"/>
          </w:divBdr>
        </w:div>
      </w:divsChild>
    </w:div>
    <w:div w:id="2108382879">
      <w:bodyDiv w:val="1"/>
      <w:marLeft w:val="0"/>
      <w:marRight w:val="0"/>
      <w:marTop w:val="0"/>
      <w:marBottom w:val="0"/>
      <w:divBdr>
        <w:top w:val="none" w:sz="0" w:space="0" w:color="auto"/>
        <w:left w:val="none" w:sz="0" w:space="0" w:color="auto"/>
        <w:bottom w:val="none" w:sz="0" w:space="0" w:color="auto"/>
        <w:right w:val="none" w:sz="0" w:space="0" w:color="auto"/>
      </w:divBdr>
      <w:divsChild>
        <w:div w:id="4603452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BDB5A7-EC80-44B3-9E14-ABF596948C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2408</Words>
  <Characters>13729</Characters>
  <DocSecurity>0</DocSecurity>
  <Lines>114</Lines>
  <Paragraphs>32</Paragraphs>
  <ScaleCrop>false</ScaleCrop>
  <Company/>
  <LinksUpToDate>false</LinksUpToDate>
  <CharactersWithSpaces>16105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2023-08-02T20:30:00Z</dcterms:created>
  <dcterms:modified xsi:type="dcterms:W3CDTF">2023-08-03T06:44:00Z</dcterms:modified>
</cp:coreProperties>
</file>