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03F0" w:rsidRPr="00C82F43" w:rsidRDefault="00C902AE" w:rsidP="00C902AE">
      <w:pPr>
        <w:tabs>
          <w:tab w:val="left" w:pos="8025"/>
        </w:tabs>
        <w:spacing w:line="360" w:lineRule="auto"/>
        <w:jc w:val="right"/>
        <w:rPr>
          <w:rFonts w:ascii="Arial" w:hAnsi="Arial" w:cs="Arial"/>
          <w:sz w:val="22"/>
          <w:szCs w:val="22"/>
        </w:rPr>
      </w:pPr>
      <w:r>
        <w:rPr>
          <w:rFonts w:ascii="Arial" w:hAnsi="Arial" w:cs="Arial"/>
          <w:sz w:val="22"/>
          <w:szCs w:val="22"/>
        </w:rPr>
        <w:tab/>
      </w:r>
      <w:r w:rsidRPr="00B47FA2">
        <w:rPr>
          <w:noProof/>
          <w:lang w:val="en-US"/>
        </w:rPr>
        <w:drawing>
          <wp:inline distT="0" distB="0" distL="0" distR="0" wp14:anchorId="297E6A86" wp14:editId="71C9546B">
            <wp:extent cx="3171825" cy="903970"/>
            <wp:effectExtent l="0" t="0" r="0" b="0"/>
            <wp:docPr id="10"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rsidR="00AF310C" w:rsidRPr="00C82F43" w:rsidRDefault="00AF310C" w:rsidP="00C82F43">
      <w:pPr>
        <w:spacing w:line="360" w:lineRule="auto"/>
        <w:rPr>
          <w:rFonts w:ascii="Arial" w:hAnsi="Arial" w:cs="Arial"/>
          <w:sz w:val="22"/>
          <w:szCs w:val="22"/>
        </w:rPr>
      </w:pPr>
    </w:p>
    <w:p w:rsidR="00AF310C" w:rsidRPr="00C82F43" w:rsidRDefault="00AF310C" w:rsidP="00C82F43">
      <w:pPr>
        <w:spacing w:line="360" w:lineRule="auto"/>
        <w:rPr>
          <w:rFonts w:ascii="Arial" w:hAnsi="Arial" w:cs="Arial"/>
          <w:sz w:val="22"/>
          <w:szCs w:val="22"/>
        </w:rPr>
      </w:pPr>
    </w:p>
    <w:p w:rsidR="00AF310C" w:rsidRPr="00C902AE" w:rsidRDefault="00AF310C" w:rsidP="000A7E0B">
      <w:pPr>
        <w:spacing w:line="360" w:lineRule="auto"/>
        <w:jc w:val="center"/>
        <w:rPr>
          <w:rFonts w:ascii="Arial" w:hAnsi="Arial" w:cs="Arial"/>
          <w:sz w:val="52"/>
          <w:szCs w:val="52"/>
        </w:rPr>
      </w:pPr>
    </w:p>
    <w:p w:rsidR="009303F0" w:rsidRDefault="009303F0" w:rsidP="00C82F43">
      <w:pPr>
        <w:spacing w:line="360" w:lineRule="auto"/>
        <w:jc w:val="center"/>
        <w:rPr>
          <w:b/>
          <w:sz w:val="52"/>
          <w:szCs w:val="52"/>
        </w:rPr>
      </w:pPr>
      <w:r w:rsidRPr="00C902AE">
        <w:rPr>
          <w:b/>
          <w:sz w:val="52"/>
          <w:szCs w:val="52"/>
        </w:rPr>
        <w:t>Fortescue Strategic Change Management</w:t>
      </w:r>
    </w:p>
    <w:p w:rsidR="00C902AE" w:rsidRPr="00C902AE" w:rsidRDefault="000A7E0B" w:rsidP="00C82F43">
      <w:pPr>
        <w:spacing w:line="360" w:lineRule="auto"/>
        <w:jc w:val="center"/>
        <w:rPr>
          <w:b/>
          <w:sz w:val="52"/>
          <w:szCs w:val="52"/>
        </w:rPr>
      </w:pPr>
      <w:r>
        <w:rPr>
          <w:b/>
          <w:noProof/>
          <w:sz w:val="52"/>
          <w:szCs w:val="52"/>
        </w:rPr>
        <w:drawing>
          <wp:inline distT="0" distB="0" distL="0" distR="0" wp14:anchorId="4B353ED2" wp14:editId="54B7D521">
            <wp:extent cx="220980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23900"/>
                    </a:xfrm>
                    <a:prstGeom prst="rect">
                      <a:avLst/>
                    </a:prstGeom>
                    <a:noFill/>
                  </pic:spPr>
                </pic:pic>
              </a:graphicData>
            </a:graphic>
          </wp:inline>
        </w:drawing>
      </w:r>
      <w:r w:rsidR="00C902AE">
        <w:rPr>
          <w:noProof/>
        </w:rPr>
        <mc:AlternateContent>
          <mc:Choice Requires="wps">
            <w:drawing>
              <wp:inline distT="0" distB="0" distL="0" distR="0">
                <wp:extent cx="304800" cy="304800"/>
                <wp:effectExtent l="0" t="0" r="0" b="0"/>
                <wp:docPr id="1" name="Rectangle 1" descr="Fortescue Metals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5AA715" id="Rectangle 1" o:spid="_x0000_s1026" alt="Fortescue Metals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29q+wEAAOMDAAAOAAAAZHJzL2Uyb0RvYy54bWysU11v0zAUfUfiP1h+p0lLgRE1naZNnZA2&#10;NjH2A1zHaSIcX3Ov07T8eq6dtnTsDfFi3Q/n+JxzbxaXu86KrUFqwZVyOsmlME5D1bpNKZ+/r95d&#10;SEFBuUpZcKaUe0Pycvn2zWLwhZlBA7YyKBjEUTH4UjYh+CLLSDemUzQBbxw3a8BOBU5xk1WoBkbv&#10;bDbL84/ZAFh5BG2IuHozNuUy4de10eGhrskEYUvJ3EI6MZ3reGbLhSo2qHzT6gMN9Q8sOtU6fvQE&#10;daOCEj22r6C6ViMQ1GGiocugrlttkgZWM83/UvPUKG+SFjaH/Mkm+n+w+uv2EUVb8eykcKrjEX1j&#10;05TbWCO4VBnSbNcKMHDUG3FvgrIkbhF6H90bPBUM8uQfMeonfwf6BwkH1w2DmCvyDDeiH0uIMDRG&#10;VSxjGiGyFxgxIUYT6+EeKuaj+gDJ212NXXyDXRO7NML9aYRmF4Tm4vt8fpHzoDW3DnF8QRXHjz1S&#10;uDXQiRiUEpldAlfbOwrj1eOV+JaDVWst11Vh3YsCY8ZKIh/5jlasodozd4Rx0/jP4KAB/CXFwFtW&#10;SvrZKzRS2C+O9X+ezudxLVMy//Bpxgmed9bnHeU0Q5UySDGG12Fc5d5ju2mSzSPHK/asbpOe6OfI&#10;6kCWNyk5ctj6uKrnebr1599c/gY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DAP29q+wEAAOMDAAAOAAAAAAAAAAAAAAAAAC4CAABk&#10;cnMvZTJvRG9jLnhtbFBLAQItABQABgAIAAAAIQBMoOks2AAAAAMBAAAPAAAAAAAAAAAAAAAAAFUE&#10;AABkcnMvZG93bnJldi54bWxQSwUGAAAAAAQABADzAAAAWgUAAAAA&#10;" filled="f" stroked="f">
                <o:lock v:ext="edit" aspectratio="t"/>
                <w10:anchorlock/>
              </v:rect>
            </w:pict>
          </mc:Fallback>
        </mc:AlternateContent>
      </w:r>
    </w:p>
    <w:p w:rsidR="00C902AE" w:rsidRPr="00C902AE" w:rsidRDefault="00C902AE" w:rsidP="00C902AE">
      <w:pPr>
        <w:spacing w:line="480" w:lineRule="auto"/>
        <w:jc w:val="center"/>
        <w:rPr>
          <w:sz w:val="52"/>
          <w:szCs w:val="52"/>
        </w:rPr>
      </w:pPr>
      <w:r w:rsidRPr="00C902AE">
        <w:rPr>
          <w:sz w:val="52"/>
          <w:szCs w:val="52"/>
        </w:rPr>
        <w:t>by Shareen Shakil (1808235)</w:t>
      </w:r>
    </w:p>
    <w:p w:rsidR="00C902AE" w:rsidRDefault="00C902AE" w:rsidP="00C82F43">
      <w:pPr>
        <w:spacing w:line="360" w:lineRule="auto"/>
        <w:jc w:val="center"/>
        <w:rPr>
          <w:b/>
          <w:sz w:val="40"/>
          <w:szCs w:val="40"/>
        </w:rPr>
      </w:pPr>
    </w:p>
    <w:p w:rsidR="00C902AE" w:rsidRPr="00C902AE" w:rsidRDefault="00C902AE" w:rsidP="00C902AE">
      <w:pPr>
        <w:spacing w:line="360" w:lineRule="auto"/>
        <w:jc w:val="center"/>
        <w:rPr>
          <w:b/>
          <w:sz w:val="52"/>
          <w:szCs w:val="52"/>
        </w:rPr>
      </w:pPr>
      <w:r w:rsidRPr="00C902AE">
        <w:rPr>
          <w:b/>
          <w:sz w:val="52"/>
          <w:szCs w:val="52"/>
        </w:rPr>
        <w:t xml:space="preserve">Module: </w:t>
      </w:r>
      <w:r w:rsidR="00AF310C" w:rsidRPr="00C902AE">
        <w:rPr>
          <w:b/>
          <w:bCs/>
          <w:sz w:val="52"/>
          <w:szCs w:val="52"/>
        </w:rPr>
        <w:t>Leading and Implementing Workplace Change</w:t>
      </w:r>
    </w:p>
    <w:p w:rsidR="00C902AE" w:rsidRPr="00C902AE" w:rsidRDefault="00C902AE" w:rsidP="00C82F43">
      <w:pPr>
        <w:spacing w:line="360" w:lineRule="auto"/>
        <w:jc w:val="center"/>
        <w:rPr>
          <w:rFonts w:ascii="Arial" w:hAnsi="Arial" w:cs="Arial"/>
          <w:sz w:val="52"/>
          <w:szCs w:val="52"/>
        </w:rPr>
      </w:pPr>
    </w:p>
    <w:p w:rsidR="00C902AE" w:rsidRPr="00C902AE" w:rsidRDefault="00C902AE" w:rsidP="00C902AE">
      <w:pPr>
        <w:jc w:val="center"/>
        <w:rPr>
          <w:rStyle w:val="markedcontent"/>
          <w:sz w:val="52"/>
          <w:szCs w:val="52"/>
        </w:rPr>
      </w:pPr>
      <w:r w:rsidRPr="00C902AE">
        <w:rPr>
          <w:rStyle w:val="markedcontent"/>
          <w:sz w:val="52"/>
          <w:szCs w:val="52"/>
        </w:rPr>
        <w:t xml:space="preserve">Lecturer: </w:t>
      </w:r>
      <w:r w:rsidRPr="00C902AE">
        <w:rPr>
          <w:rStyle w:val="markedcontent"/>
          <w:sz w:val="52"/>
          <w:szCs w:val="52"/>
        </w:rPr>
        <w:t>Nauman Ali</w:t>
      </w:r>
    </w:p>
    <w:p w:rsidR="00C902AE" w:rsidRPr="00C82F43" w:rsidRDefault="00C902AE"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0A7E0B">
      <w:pPr>
        <w:spacing w:line="360" w:lineRule="auto"/>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sdt>
      <w:sdtPr>
        <w:rPr>
          <w:rFonts w:ascii="Arial" w:hAnsi="Arial" w:cs="Arial"/>
          <w:sz w:val="22"/>
          <w:szCs w:val="22"/>
        </w:rPr>
        <w:id w:val="332268492"/>
        <w:docPartObj>
          <w:docPartGallery w:val="Table of Contents"/>
          <w:docPartUnique/>
        </w:docPartObj>
      </w:sdtPr>
      <w:sdtEndPr>
        <w:rPr>
          <w:b/>
          <w:bCs/>
          <w:noProof/>
        </w:rPr>
      </w:sdtEndPr>
      <w:sdtContent>
        <w:p w:rsidR="00C82F43" w:rsidRPr="00C82F43" w:rsidRDefault="00C82F43" w:rsidP="00C82F43">
          <w:pPr>
            <w:spacing w:line="360" w:lineRule="auto"/>
            <w:jc w:val="center"/>
            <w:rPr>
              <w:rFonts w:ascii="Arial" w:hAnsi="Arial" w:cs="Arial"/>
              <w:b/>
              <w:bCs/>
              <w:sz w:val="22"/>
              <w:szCs w:val="22"/>
            </w:rPr>
          </w:pPr>
          <w:r w:rsidRPr="00C82F43">
            <w:rPr>
              <w:rFonts w:ascii="Arial" w:hAnsi="Arial" w:cs="Arial"/>
              <w:b/>
              <w:bCs/>
              <w:sz w:val="22"/>
              <w:szCs w:val="22"/>
            </w:rPr>
            <w:t>Contents</w:t>
          </w:r>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r w:rsidRPr="00C82F43">
            <w:rPr>
              <w:rFonts w:ascii="Arial" w:hAnsi="Arial" w:cs="Arial"/>
              <w:sz w:val="22"/>
              <w:szCs w:val="22"/>
            </w:rPr>
            <w:fldChar w:fldCharType="begin"/>
          </w:r>
          <w:r w:rsidRPr="00C82F43">
            <w:rPr>
              <w:rFonts w:ascii="Arial" w:hAnsi="Arial" w:cs="Arial"/>
              <w:sz w:val="22"/>
              <w:szCs w:val="22"/>
            </w:rPr>
            <w:instrText xml:space="preserve"> TOC \o "1-3" \h \z \u </w:instrText>
          </w:r>
          <w:r w:rsidRPr="00C82F43">
            <w:rPr>
              <w:rFonts w:ascii="Arial" w:hAnsi="Arial" w:cs="Arial"/>
              <w:sz w:val="22"/>
              <w:szCs w:val="22"/>
            </w:rPr>
            <w:fldChar w:fldCharType="separate"/>
          </w:r>
          <w:hyperlink w:anchor="_Toc89081785" w:history="1">
            <w:r w:rsidRPr="00C82F43">
              <w:rPr>
                <w:rStyle w:val="Hyperlink"/>
                <w:rFonts w:ascii="Arial" w:hAnsi="Arial" w:cs="Arial"/>
                <w:noProof/>
                <w:sz w:val="22"/>
                <w:szCs w:val="22"/>
              </w:rPr>
              <w:t>1.</w:t>
            </w:r>
            <w:r w:rsidRPr="00C82F43">
              <w:rPr>
                <w:rFonts w:ascii="Arial" w:eastAsiaTheme="minorEastAsia" w:hAnsi="Arial" w:cs="Arial"/>
                <w:noProof/>
                <w:sz w:val="22"/>
                <w:szCs w:val="22"/>
              </w:rPr>
              <w:tab/>
            </w:r>
            <w:r w:rsidRPr="00C82F43">
              <w:rPr>
                <w:rStyle w:val="Hyperlink"/>
                <w:rFonts w:ascii="Arial" w:hAnsi="Arial" w:cs="Arial"/>
                <w:noProof/>
                <w:sz w:val="22"/>
                <w:szCs w:val="22"/>
              </w:rPr>
              <w:t>Fortescue Company Profile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_Toc89081785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3</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86" w:history="1">
            <w:r w:rsidRPr="00C82F43">
              <w:rPr>
                <w:rStyle w:val="Hyperlink"/>
                <w:rFonts w:ascii="Arial" w:hAnsi="Arial" w:cs="Arial"/>
                <w:noProof/>
                <w:sz w:val="22"/>
                <w:szCs w:val="22"/>
              </w:rPr>
              <w:t>2.</w:t>
            </w:r>
            <w:r w:rsidRPr="00C82F43">
              <w:rPr>
                <w:rFonts w:ascii="Arial" w:eastAsiaTheme="minorEastAsia" w:hAnsi="Arial" w:cs="Arial"/>
                <w:noProof/>
                <w:sz w:val="22"/>
                <w:szCs w:val="22"/>
              </w:rPr>
              <w:tab/>
            </w:r>
            <w:r w:rsidRPr="00C82F43">
              <w:rPr>
                <w:rStyle w:val="Hyperlink"/>
                <w:rFonts w:ascii="Arial" w:hAnsi="Arial" w:cs="Arial"/>
                <w:noProof/>
                <w:sz w:val="22"/>
                <w:szCs w:val="22"/>
              </w:rPr>
              <w:t>Fortescue Current Performance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_Toc89081786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3</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87" w:history="1">
            <w:r w:rsidRPr="00C82F43">
              <w:rPr>
                <w:rStyle w:val="Hyperlink"/>
                <w:rFonts w:ascii="Arial" w:hAnsi="Arial" w:cs="Arial"/>
                <w:noProof/>
                <w:sz w:val="22"/>
                <w:szCs w:val="22"/>
              </w:rPr>
              <w:t>Effect of the External Environment on Change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_Toc89081787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4</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88" w:history="1">
            <w:r w:rsidRPr="00C82F43">
              <w:rPr>
                <w:rStyle w:val="Hyperlink"/>
                <w:rFonts w:ascii="Arial" w:hAnsi="Arial" w:cs="Arial"/>
                <w:noProof/>
                <w:sz w:val="22"/>
                <w:szCs w:val="22"/>
              </w:rPr>
              <w:t>3.</w:t>
            </w:r>
            <w:r w:rsidRPr="00C82F43">
              <w:rPr>
                <w:rFonts w:ascii="Arial" w:eastAsiaTheme="minorEastAsia" w:hAnsi="Arial" w:cs="Arial"/>
                <w:noProof/>
                <w:sz w:val="22"/>
                <w:szCs w:val="22"/>
              </w:rPr>
              <w:tab/>
            </w:r>
            <w:r w:rsidRPr="00C82F43">
              <w:rPr>
                <w:rStyle w:val="Hyperlink"/>
                <w:rFonts w:ascii="Arial" w:hAnsi="Arial" w:cs="Arial"/>
                <w:noProof/>
                <w:sz w:val="22"/>
                <w:szCs w:val="22"/>
              </w:rPr>
              <w:t>Importance of Strategic Change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_Toc89081788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6</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89" w:history="1">
            <w:r w:rsidRPr="00C82F43">
              <w:rPr>
                <w:rStyle w:val="Hyperlink"/>
                <w:rFonts w:ascii="Arial" w:hAnsi="Arial" w:cs="Arial"/>
                <w:noProof/>
                <w:sz w:val="22"/>
                <w:szCs w:val="22"/>
              </w:rPr>
              <w:t>Stakeholders Involved in Strategic Change.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_Toc89081789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8</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90" w:history="1">
            <w:r w:rsidRPr="00C82F43">
              <w:rPr>
                <w:rStyle w:val="Hyperlink"/>
                <w:rFonts w:ascii="Arial" w:hAnsi="Arial" w:cs="Arial"/>
                <w:noProof/>
                <w:sz w:val="22"/>
                <w:szCs w:val="22"/>
              </w:rPr>
              <w:t>4.</w:t>
            </w:r>
            <w:r w:rsidRPr="00C82F43">
              <w:rPr>
                <w:rFonts w:ascii="Arial" w:eastAsiaTheme="minorEastAsia" w:hAnsi="Arial" w:cs="Arial"/>
                <w:noProof/>
                <w:sz w:val="22"/>
                <w:szCs w:val="22"/>
              </w:rPr>
              <w:tab/>
            </w:r>
            <w:r w:rsidRPr="00C82F43">
              <w:rPr>
                <w:rStyle w:val="Hyperlink"/>
                <w:rFonts w:ascii="Arial" w:hAnsi="Arial" w:cs="Arial"/>
                <w:noProof/>
                <w:sz w:val="22"/>
                <w:szCs w:val="22"/>
              </w:rPr>
              <w:t>Change Management Plan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_Toc89081790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9</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1" w:history="1">
            <w:r w:rsidRPr="00C82F43">
              <w:rPr>
                <w:rStyle w:val="Hyperlink"/>
                <w:rFonts w:ascii="Arial" w:hAnsi="Arial" w:cs="Arial"/>
                <w:noProof/>
                <w:sz w:val="22"/>
                <w:szCs w:val="22"/>
              </w:rPr>
              <w:t>Step 1: Establishing the Sense of Urgency</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_Toc89081791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9</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2" w:history="1">
            <w:r w:rsidRPr="00C82F43">
              <w:rPr>
                <w:rStyle w:val="Hyperlink"/>
                <w:rFonts w:ascii="Arial" w:hAnsi="Arial" w:cs="Arial"/>
                <w:noProof/>
                <w:sz w:val="22"/>
                <w:szCs w:val="22"/>
              </w:rPr>
              <w:t>Step 2: Forming Guiding Coalitions</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_Toc89081792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10</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3" w:history="1">
            <w:r w:rsidRPr="00C82F43">
              <w:rPr>
                <w:rStyle w:val="Hyperlink"/>
                <w:rFonts w:ascii="Arial" w:hAnsi="Arial" w:cs="Arial"/>
                <w:noProof/>
                <w:sz w:val="22"/>
                <w:szCs w:val="22"/>
              </w:rPr>
              <w:t>Step 3: Creation of a Vision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_Toc89081793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10</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4" w:history="1">
            <w:r w:rsidRPr="00C82F43">
              <w:rPr>
                <w:rStyle w:val="Hyperlink"/>
                <w:rFonts w:ascii="Arial" w:hAnsi="Arial" w:cs="Arial"/>
                <w:noProof/>
                <w:sz w:val="22"/>
                <w:szCs w:val="22"/>
              </w:rPr>
              <w:t>Step 4: Communication of the Vision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_Toc89081794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11</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5" w:history="1">
            <w:r w:rsidRPr="00C82F43">
              <w:rPr>
                <w:rStyle w:val="Hyperlink"/>
                <w:rFonts w:ascii="Arial" w:hAnsi="Arial" w:cs="Arial"/>
                <w:noProof/>
                <w:sz w:val="22"/>
                <w:szCs w:val="22"/>
              </w:rPr>
              <w:t>Step 5: Empowering action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_Toc89081795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11</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6" w:history="1">
            <w:r w:rsidRPr="00C82F43">
              <w:rPr>
                <w:rStyle w:val="Hyperlink"/>
                <w:rFonts w:ascii="Arial" w:hAnsi="Arial" w:cs="Arial"/>
                <w:noProof/>
                <w:sz w:val="22"/>
                <w:szCs w:val="22"/>
              </w:rPr>
              <w:t>Step 6: Planning and Establishing the Short-term Wins</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_Toc89081796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12</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7" w:history="1">
            <w:r w:rsidRPr="00C82F43">
              <w:rPr>
                <w:rStyle w:val="Hyperlink"/>
                <w:rFonts w:ascii="Arial" w:hAnsi="Arial" w:cs="Arial"/>
                <w:noProof/>
                <w:sz w:val="22"/>
                <w:szCs w:val="22"/>
              </w:rPr>
              <w:t>Step 7: Improvements Consolidation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_Toc89081797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12</w:t>
            </w:r>
            <w:r w:rsidRPr="00C82F43">
              <w:rPr>
                <w:rFonts w:ascii="Arial" w:hAnsi="Arial" w:cs="Arial"/>
                <w:noProof/>
                <w:webHidden/>
                <w:sz w:val="22"/>
                <w:szCs w:val="22"/>
              </w:rPr>
              <w:fldChar w:fldCharType="end"/>
            </w:r>
          </w:hyperlink>
        </w:p>
        <w:p w:rsidR="00C82F43" w:rsidRPr="00C82F43" w:rsidRDefault="00C82F43" w:rsidP="00C82F43">
          <w:pPr>
            <w:pStyle w:val="TOC2"/>
            <w:rPr>
              <w:rFonts w:ascii="Arial" w:eastAsiaTheme="minorEastAsia" w:hAnsi="Arial" w:cs="Arial"/>
              <w:noProof/>
              <w:sz w:val="22"/>
              <w:szCs w:val="22"/>
            </w:rPr>
          </w:pPr>
          <w:hyperlink w:anchor="_Toc89081798" w:history="1">
            <w:r w:rsidRPr="00C82F43">
              <w:rPr>
                <w:rStyle w:val="Hyperlink"/>
                <w:rFonts w:ascii="Arial" w:hAnsi="Arial" w:cs="Arial"/>
                <w:noProof/>
                <w:sz w:val="22"/>
                <w:szCs w:val="22"/>
              </w:rPr>
              <w:t>Step 8: Operationalisation of the New Approach in the Organisational Culture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_Toc89081798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12</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99" w:history="1">
            <w:r w:rsidRPr="00C82F43">
              <w:rPr>
                <w:rStyle w:val="Hyperlink"/>
                <w:rFonts w:ascii="Arial" w:hAnsi="Arial" w:cs="Arial"/>
                <w:noProof/>
                <w:sz w:val="22"/>
                <w:szCs w:val="22"/>
              </w:rPr>
              <w:t>5.</w:t>
            </w:r>
            <w:r w:rsidRPr="00C82F43">
              <w:rPr>
                <w:rFonts w:ascii="Arial" w:eastAsiaTheme="minorEastAsia" w:hAnsi="Arial" w:cs="Arial"/>
                <w:noProof/>
                <w:sz w:val="22"/>
                <w:szCs w:val="22"/>
              </w:rPr>
              <w:tab/>
            </w:r>
            <w:r w:rsidRPr="00C82F43">
              <w:rPr>
                <w:rStyle w:val="Hyperlink"/>
                <w:rFonts w:ascii="Arial" w:hAnsi="Arial" w:cs="Arial"/>
                <w:noProof/>
                <w:sz w:val="22"/>
                <w:szCs w:val="22"/>
              </w:rPr>
              <w:t>The Impact of Organisational Culture on the Change Management Programme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_Toc89081799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13</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800" w:history="1">
            <w:r w:rsidRPr="00C82F43">
              <w:rPr>
                <w:rStyle w:val="Hyperlink"/>
                <w:rFonts w:ascii="Arial" w:hAnsi="Arial" w:cs="Arial"/>
                <w:noProof/>
                <w:sz w:val="22"/>
                <w:szCs w:val="22"/>
              </w:rPr>
              <w:t>6.</w:t>
            </w:r>
            <w:r w:rsidRPr="00C82F43">
              <w:rPr>
                <w:rFonts w:ascii="Arial" w:eastAsiaTheme="minorEastAsia" w:hAnsi="Arial" w:cs="Arial"/>
                <w:noProof/>
                <w:sz w:val="22"/>
                <w:szCs w:val="22"/>
              </w:rPr>
              <w:tab/>
            </w:r>
            <w:r w:rsidRPr="00C82F43">
              <w:rPr>
                <w:rStyle w:val="Hyperlink"/>
                <w:rFonts w:ascii="Arial" w:hAnsi="Arial" w:cs="Arial"/>
                <w:noProof/>
                <w:sz w:val="22"/>
                <w:szCs w:val="22"/>
              </w:rPr>
              <w:t>Reflection</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_Toc89081800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14</w:t>
            </w:r>
            <w:r w:rsidRPr="00C82F43">
              <w:rPr>
                <w:rFonts w:ascii="Arial" w:hAnsi="Arial" w:cs="Arial"/>
                <w:noProof/>
                <w:webHidden/>
                <w:sz w:val="22"/>
                <w:szCs w:val="22"/>
              </w:rPr>
              <w:fldChar w:fldCharType="end"/>
            </w:r>
          </w:hyperlink>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801" w:history="1">
            <w:r w:rsidRPr="00C82F43">
              <w:rPr>
                <w:rStyle w:val="Hyperlink"/>
                <w:rFonts w:ascii="Arial" w:hAnsi="Arial" w:cs="Arial"/>
                <w:noProof/>
                <w:sz w:val="22"/>
                <w:szCs w:val="22"/>
              </w:rPr>
              <w:t>7.</w:t>
            </w:r>
            <w:r w:rsidRPr="00C82F43">
              <w:rPr>
                <w:rFonts w:ascii="Arial" w:eastAsiaTheme="minorEastAsia" w:hAnsi="Arial" w:cs="Arial"/>
                <w:noProof/>
                <w:sz w:val="22"/>
                <w:szCs w:val="22"/>
              </w:rPr>
              <w:tab/>
            </w:r>
            <w:r w:rsidRPr="00C82F43">
              <w:rPr>
                <w:rStyle w:val="Hyperlink"/>
                <w:rFonts w:ascii="Arial" w:hAnsi="Arial" w:cs="Arial"/>
                <w:noProof/>
                <w:sz w:val="22"/>
                <w:szCs w:val="22"/>
              </w:rPr>
              <w:t>References</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_Toc89081801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17</w:t>
            </w:r>
            <w:r w:rsidRPr="00C82F43">
              <w:rPr>
                <w:rFonts w:ascii="Arial" w:hAnsi="Arial" w:cs="Arial"/>
                <w:noProof/>
                <w:webHidden/>
                <w:sz w:val="22"/>
                <w:szCs w:val="22"/>
              </w:rPr>
              <w:fldChar w:fldCharType="end"/>
            </w:r>
          </w:hyperlink>
        </w:p>
        <w:p w:rsidR="00C82F43" w:rsidRPr="00C82F43" w:rsidRDefault="00C82F43" w:rsidP="00C82F43">
          <w:pPr>
            <w:spacing w:line="360" w:lineRule="auto"/>
            <w:rPr>
              <w:rFonts w:ascii="Arial" w:hAnsi="Arial" w:cs="Arial"/>
              <w:sz w:val="22"/>
              <w:szCs w:val="22"/>
            </w:rPr>
          </w:pPr>
          <w:r w:rsidRPr="00C82F43">
            <w:rPr>
              <w:rFonts w:ascii="Arial" w:hAnsi="Arial" w:cs="Arial"/>
              <w:b/>
              <w:bCs/>
              <w:noProof/>
              <w:sz w:val="22"/>
              <w:szCs w:val="22"/>
            </w:rPr>
            <w:fldChar w:fldCharType="end"/>
          </w:r>
        </w:p>
      </w:sdtContent>
    </w:sdt>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9303F0" w:rsidRPr="00C82F43" w:rsidRDefault="009303F0" w:rsidP="00C82F43">
      <w:pPr>
        <w:spacing w:line="360" w:lineRule="auto"/>
        <w:jc w:val="center"/>
        <w:rPr>
          <w:rFonts w:ascii="Arial" w:hAnsi="Arial" w:cs="Arial"/>
          <w:sz w:val="22"/>
          <w:szCs w:val="22"/>
        </w:rPr>
      </w:pPr>
      <w:r w:rsidRPr="00C82F43">
        <w:rPr>
          <w:rFonts w:ascii="Arial" w:hAnsi="Arial" w:cs="Arial"/>
          <w:sz w:val="22"/>
          <w:szCs w:val="22"/>
        </w:rPr>
        <w:br w:type="page"/>
      </w:r>
    </w:p>
    <w:p w:rsidR="008C22FB" w:rsidRPr="00C82F43" w:rsidRDefault="00AF310C" w:rsidP="00C82F43">
      <w:pPr>
        <w:pStyle w:val="Heading1"/>
        <w:rPr>
          <w:rFonts w:ascii="Arial" w:hAnsi="Arial" w:cs="Arial"/>
          <w:sz w:val="22"/>
          <w:szCs w:val="22"/>
        </w:rPr>
      </w:pPr>
      <w:bookmarkStart w:id="0" w:name="_Toc89081785"/>
      <w:bookmarkStart w:id="1" w:name="_GoBack"/>
      <w:r w:rsidRPr="00C82F43">
        <w:rPr>
          <w:rFonts w:ascii="Arial" w:hAnsi="Arial" w:cs="Arial"/>
          <w:sz w:val="22"/>
          <w:szCs w:val="22"/>
        </w:rPr>
        <w:lastRenderedPageBreak/>
        <w:t xml:space="preserve">Fortescue </w:t>
      </w:r>
      <w:r w:rsidR="008C22FB" w:rsidRPr="00C82F43">
        <w:rPr>
          <w:rFonts w:ascii="Arial" w:hAnsi="Arial" w:cs="Arial"/>
          <w:sz w:val="22"/>
          <w:szCs w:val="22"/>
        </w:rPr>
        <w:t>Company Profile</w:t>
      </w:r>
      <w:bookmarkEnd w:id="0"/>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Metals Group Limited is an Australian Company that focuses on incorporating innovation, and culture in the development of infrastructure and mining properties. Its vision is the safety, lowest cost and being most profitable mining company which it seeks to achieve through values of safety, integrity, family, enthusiasm, empowerment, frugality, stretch targets, humility and generating ideas. The organisational culture expresses being a value-based business that has a strong differentiated culture by believing in leveraging culture and people as the greatest asset for the achievement of targets. Fortescue was established in 2003, operating on mining, shipping, and rail, which currently export more than a hundred and eighty million tonnes of iron annually</w:t>
      </w:r>
      <w:r w:rsidR="002B2912" w:rsidRPr="00C82F43">
        <w:rPr>
          <w:rFonts w:ascii="Arial" w:hAnsi="Arial" w:cs="Arial"/>
          <w:sz w:val="22"/>
          <w:szCs w:val="22"/>
        </w:rPr>
        <w:t xml:space="preserve"> </w:t>
      </w:r>
      <w:r w:rsidR="002B2912" w:rsidRPr="00C82F43">
        <w:rPr>
          <w:rFonts w:ascii="Arial" w:hAnsi="Arial" w:cs="Arial"/>
          <w:sz w:val="22"/>
          <w:szCs w:val="22"/>
        </w:rPr>
        <w:t>(Fortescue, 2021)</w:t>
      </w:r>
      <w:r w:rsidRPr="00C82F43">
        <w:rPr>
          <w:rFonts w:ascii="Arial" w:hAnsi="Arial" w:cs="Arial"/>
          <w:sz w:val="22"/>
          <w:szCs w:val="22"/>
        </w:rPr>
        <w:t>. The company operates in three mining hubs including Pilbara in Western Australia, Herb Elliott Port and Judith Street Harbour with an innovative tug fleet that is built to facilitate the supply chain and in ensuring efficiency, safety and maximum productivity. Fortescue anchors its operation in technology intending to include robotics and artificial intelligence in production (Fortescue, 2021).</w:t>
      </w:r>
    </w:p>
    <w:p w:rsidR="008C22FB" w:rsidRPr="00C82F43" w:rsidRDefault="008C22FB" w:rsidP="00C82F43">
      <w:pPr>
        <w:pStyle w:val="Heading1"/>
        <w:rPr>
          <w:rFonts w:ascii="Arial" w:hAnsi="Arial" w:cs="Arial"/>
          <w:sz w:val="22"/>
          <w:szCs w:val="22"/>
        </w:rPr>
      </w:pPr>
      <w:bookmarkStart w:id="2" w:name="_Toc89081786"/>
      <w:r w:rsidRPr="00C82F43">
        <w:rPr>
          <w:rFonts w:ascii="Arial" w:hAnsi="Arial" w:cs="Arial"/>
          <w:sz w:val="22"/>
          <w:szCs w:val="22"/>
        </w:rPr>
        <w:t>Fortescue Current Performance</w:t>
      </w:r>
      <w:bookmarkEnd w:id="2"/>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According to the Fortescue report in 2021, the focus in climate change control focuses on acceleration from majorly importing fossil fuel to clean and renewable energy by setting out standards. The organisation </w:t>
      </w:r>
      <w:r w:rsidR="002B2912" w:rsidRPr="00C82F43">
        <w:rPr>
          <w:rFonts w:ascii="Arial" w:hAnsi="Arial" w:cs="Arial"/>
          <w:sz w:val="22"/>
          <w:szCs w:val="22"/>
        </w:rPr>
        <w:t>believes</w:t>
      </w:r>
      <w:r w:rsidRPr="00C82F43">
        <w:rPr>
          <w:rFonts w:ascii="Arial" w:hAnsi="Arial" w:cs="Arial"/>
          <w:sz w:val="22"/>
          <w:szCs w:val="22"/>
        </w:rPr>
        <w:t xml:space="preserve"> in the application of practical technology and policy-driven solutions to manage climatic change impact </w:t>
      </w:r>
      <w:r w:rsidR="008C70A5" w:rsidRPr="00C82F43">
        <w:rPr>
          <w:rStyle w:val="selectable"/>
          <w:rFonts w:ascii="Arial" w:hAnsi="Arial" w:cs="Arial"/>
          <w:color w:val="000000"/>
          <w:sz w:val="22"/>
          <w:szCs w:val="22"/>
        </w:rPr>
        <w:t>(Fortescue Metals Group, 2021)</w:t>
      </w:r>
      <w:r w:rsidR="008C70A5" w:rsidRPr="00C82F43">
        <w:rPr>
          <w:rStyle w:val="selectable"/>
          <w:rFonts w:ascii="Arial" w:hAnsi="Arial" w:cs="Arial"/>
          <w:color w:val="000000"/>
          <w:sz w:val="22"/>
          <w:szCs w:val="22"/>
        </w:rPr>
        <w:t>.</w:t>
      </w:r>
      <w:r w:rsidR="008C70A5" w:rsidRPr="00C82F43">
        <w:rPr>
          <w:rFonts w:ascii="Arial" w:hAnsi="Arial" w:cs="Arial"/>
          <w:sz w:val="22"/>
          <w:szCs w:val="22"/>
        </w:rPr>
        <w:t xml:space="preserve"> </w:t>
      </w:r>
      <w:r w:rsidRPr="00C82F43">
        <w:rPr>
          <w:rFonts w:ascii="Arial" w:hAnsi="Arial" w:cs="Arial"/>
          <w:sz w:val="22"/>
          <w:szCs w:val="22"/>
        </w:rPr>
        <w:t>The company have established vital objectives to assist in the realisation of the goals which include establishing the carbon neutrality targets by 2030, which require reduction of net carbon emissions to zero within the operations by 2030. Also, setting the decarbonisation pathway that adopts the use of renewable energy to meet established energy requirements and other clean energy regulations. The organisation have established the Fortescue Future Industries to lead in global energy transition, that will assist in the acceleration of decarbonisation of metal processing, industrial heating and long-haul transport and also expand and improve the research, development, engagement and collaboration aiming at emissions reduction across the value chain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In the establishment of Fortescue Factory Industries that their goal is to take opportunities on the global scale in green energy through securing the best global renewable assets in production then scaling technology to ensure green production in Fortescue in terms </w:t>
      </w:r>
      <w:r w:rsidRPr="00C82F43">
        <w:rPr>
          <w:rFonts w:ascii="Arial" w:hAnsi="Arial" w:cs="Arial"/>
          <w:sz w:val="22"/>
          <w:szCs w:val="22"/>
        </w:rPr>
        <w:lastRenderedPageBreak/>
        <w:t>of reduced cost and increased cash flow, improving the capacity and increased molecular hydrogen supply. The Fortescue Factory Industries have over three hundred employees with expertise in hydrogen, energy, project management, manufacturing, environment and international relations</w:t>
      </w:r>
      <w:r w:rsidR="008C70A5" w:rsidRPr="00C82F43">
        <w:rPr>
          <w:rFonts w:ascii="Arial" w:hAnsi="Arial" w:cs="Arial"/>
          <w:sz w:val="22"/>
          <w:szCs w:val="22"/>
        </w:rPr>
        <w:t xml:space="preserve">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 xml:space="preserve">. Besides, the organisation has in the financial year of 2021 increased the capital allocation to Fortescue Future Industries to ten per cent of the annual net profit to support the main objective of ensuring the supply of more than fifteen million tonnes of hydrogen in every financial year and making green hydrogen carriers and green hydrogen the largest seaborne traded across the world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has developed a climate change strategy that focuses on decarbonisation through four main aspects including reducing emissions that address emission sources which are mining fleet and stationary power through significant investment in the generation of renewable power to replace gas-fired power and diesel sources of power, building transmission links between the mining operations to create secure and reliable network facilities. Also, developing green hydrogen and battery-powered haul trucks and replacement of heavy mining equipment diesel engines with electric motors as the power source. Another aspect of strategy involves engagement and collaboration to build trust to act with integrity, delivering long-term benefits and generation of ideas with stakeholders such as investors, customers, and regulators and industry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In the strategy of maximizing opportunities, the organisation </w:t>
      </w:r>
      <w:proofErr w:type="gramStart"/>
      <w:r w:rsidRPr="00C82F43">
        <w:rPr>
          <w:rFonts w:ascii="Arial" w:hAnsi="Arial" w:cs="Arial"/>
          <w:sz w:val="22"/>
          <w:szCs w:val="22"/>
        </w:rPr>
        <w:t>focus</w:t>
      </w:r>
      <w:proofErr w:type="gramEnd"/>
      <w:r w:rsidRPr="00C82F43">
        <w:rPr>
          <w:rFonts w:ascii="Arial" w:hAnsi="Arial" w:cs="Arial"/>
          <w:sz w:val="22"/>
          <w:szCs w:val="22"/>
        </w:rPr>
        <w:t xml:space="preserve"> on developing new low carbon solutions and producing diversified commodities using the commodities that support the reduction of carbonisation such as cobalt, copper and lithium or renewable energy. The strategy seeks to speed up the low carbon solution and create demand and supply as well as production of essential commodities that transition into the post-carbon world. The fourth strategy involves building resilience within the value chain, assets, communities and operations through contemplation of potential changes that may emerge in demand for products and climatic conditions. It involves assessment of the transitional risks, and physical risks to understand ways in which the opportunities and risks may affect the business resilience in the future (FMG, 2021).</w:t>
      </w:r>
    </w:p>
    <w:p w:rsidR="008C22FB" w:rsidRPr="00C82F43" w:rsidRDefault="008C22FB" w:rsidP="00C82F43">
      <w:pPr>
        <w:pStyle w:val="Heading2"/>
        <w:spacing w:line="360" w:lineRule="auto"/>
        <w:rPr>
          <w:rFonts w:ascii="Arial" w:hAnsi="Arial" w:cs="Arial"/>
          <w:sz w:val="22"/>
          <w:szCs w:val="22"/>
        </w:rPr>
      </w:pPr>
      <w:bookmarkStart w:id="3" w:name="_Toc89081787"/>
      <w:r w:rsidRPr="00C82F43">
        <w:rPr>
          <w:rFonts w:ascii="Arial" w:hAnsi="Arial" w:cs="Arial"/>
          <w:sz w:val="22"/>
          <w:szCs w:val="22"/>
        </w:rPr>
        <w:t>Effect of the External Environment on Change</w:t>
      </w:r>
      <w:bookmarkEnd w:id="3"/>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From the climate pledge, Fortescue targets to achieve being carbon neutral by 2030 in the mining operations, which will enable the achievement of net-zero emissions by 2040</w:t>
      </w:r>
      <w:r w:rsidR="008C70A5" w:rsidRPr="00C82F43">
        <w:rPr>
          <w:rFonts w:ascii="Arial" w:hAnsi="Arial" w:cs="Arial"/>
          <w:sz w:val="22"/>
          <w:szCs w:val="22"/>
        </w:rPr>
        <w:t xml:space="preserve"> </w:t>
      </w:r>
      <w:r w:rsidR="008C70A5" w:rsidRPr="00C82F43">
        <w:rPr>
          <w:rStyle w:val="selectable"/>
          <w:rFonts w:ascii="Arial" w:hAnsi="Arial" w:cs="Arial"/>
          <w:color w:val="000000"/>
          <w:sz w:val="22"/>
          <w:szCs w:val="22"/>
        </w:rPr>
        <w:t>(Silverstein, 2021)</w:t>
      </w:r>
      <w:r w:rsidRPr="00C82F43">
        <w:rPr>
          <w:rFonts w:ascii="Arial" w:hAnsi="Arial" w:cs="Arial"/>
          <w:sz w:val="22"/>
          <w:szCs w:val="22"/>
        </w:rPr>
        <w:t xml:space="preserve">. The organisation </w:t>
      </w:r>
      <w:r w:rsidR="008C70A5" w:rsidRPr="00C82F43">
        <w:rPr>
          <w:rFonts w:ascii="Arial" w:hAnsi="Arial" w:cs="Arial"/>
          <w:sz w:val="22"/>
          <w:szCs w:val="22"/>
        </w:rPr>
        <w:t>has</w:t>
      </w:r>
      <w:r w:rsidRPr="00C82F43">
        <w:rPr>
          <w:rFonts w:ascii="Arial" w:hAnsi="Arial" w:cs="Arial"/>
          <w:sz w:val="22"/>
          <w:szCs w:val="22"/>
        </w:rPr>
        <w:t xml:space="preserve"> adopted a strategy of working with various </w:t>
      </w:r>
      <w:r w:rsidRPr="00C82F43">
        <w:rPr>
          <w:rFonts w:ascii="Arial" w:hAnsi="Arial" w:cs="Arial"/>
          <w:sz w:val="22"/>
          <w:szCs w:val="22"/>
        </w:rPr>
        <w:lastRenderedPageBreak/>
        <w:t xml:space="preserve">stakeholders to facilitate emissions reduction from the production and operations of iron </w:t>
      </w:r>
      <w:r w:rsidR="008C70A5" w:rsidRPr="00C82F43">
        <w:rPr>
          <w:rStyle w:val="selectable"/>
          <w:rFonts w:ascii="Arial" w:hAnsi="Arial" w:cs="Arial"/>
          <w:color w:val="000000"/>
          <w:sz w:val="22"/>
          <w:szCs w:val="22"/>
        </w:rPr>
        <w:t>(Silverstein, 2021)</w:t>
      </w:r>
      <w:r w:rsidR="0074283E" w:rsidRPr="00C82F43">
        <w:rPr>
          <w:rStyle w:val="selectable"/>
          <w:rFonts w:ascii="Arial" w:hAnsi="Arial" w:cs="Arial"/>
          <w:color w:val="000000"/>
          <w:sz w:val="22"/>
          <w:szCs w:val="22"/>
        </w:rPr>
        <w:t>.</w:t>
      </w:r>
      <w:r w:rsidR="008C70A5" w:rsidRPr="00C82F43">
        <w:rPr>
          <w:rFonts w:ascii="Arial" w:hAnsi="Arial" w:cs="Arial"/>
          <w:sz w:val="22"/>
          <w:szCs w:val="22"/>
        </w:rPr>
        <w:t xml:space="preserve"> </w:t>
      </w:r>
      <w:r w:rsidRPr="00C82F43">
        <w:rPr>
          <w:rFonts w:ascii="Arial" w:hAnsi="Arial" w:cs="Arial"/>
          <w:sz w:val="22"/>
          <w:szCs w:val="22"/>
        </w:rPr>
        <w:t>The organisation influence on sustainable climate has impacted the sales and marketing of Fortescue through its integrated marketing and operations strategy that emphasise meeting the customer needs and earning maximum value for products. The organisations have significantly increased the services to direct supply to the small and medium-sized customers due to implementation and actualisation of the seaborne arrangements. For instance, Chinese sales have increased due to increased portside capabilities that aid in supplying Fortescue products to Chinese Steel mills directly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external environment and commitment have facilitated the adoption of world-leading technology with the improvement in efficiency, reliability, safety and commercial outcomes in the autonomous haulage system technology to making it one of the world largest haulage sites with the capability of managing the multi-truck size and also incorporated planning, operations and mining operations with rail, port and marketing to allow convenience in supply chain and achievement of the underpinned target of adopting robotics and artificial intelligence in generation and distribution networks of the organisation </w:t>
      </w:r>
      <w:r w:rsidR="0074283E" w:rsidRPr="00C82F43">
        <w:rPr>
          <w:rStyle w:val="selectable"/>
          <w:rFonts w:ascii="Arial" w:hAnsi="Arial" w:cs="Arial"/>
          <w:color w:val="000000"/>
          <w:sz w:val="22"/>
          <w:szCs w:val="22"/>
        </w:rPr>
        <w:t>(Silverstein, 2021)</w:t>
      </w:r>
      <w:r w:rsidR="0074283E" w:rsidRPr="00C82F43">
        <w:rPr>
          <w:rStyle w:val="selectable"/>
          <w:rFonts w:ascii="Arial" w:hAnsi="Arial" w:cs="Arial"/>
          <w:color w:val="000000"/>
          <w:sz w:val="22"/>
          <w:szCs w:val="22"/>
        </w:rPr>
        <w:t>.</w:t>
      </w:r>
      <w:r w:rsidR="0074283E" w:rsidRPr="00C82F43">
        <w:rPr>
          <w:rFonts w:ascii="Arial" w:hAnsi="Arial" w:cs="Arial"/>
          <w:sz w:val="22"/>
          <w:szCs w:val="22"/>
        </w:rPr>
        <w:t xml:space="preserve"> </w:t>
      </w:r>
      <w:r w:rsidRPr="00C82F43">
        <w:rPr>
          <w:rFonts w:ascii="Arial" w:hAnsi="Arial" w:cs="Arial"/>
          <w:sz w:val="22"/>
          <w:szCs w:val="22"/>
        </w:rPr>
        <w:t>Equally, the energy infrastructure has been affected by the external environment change such that more investment has been allocated with the (FMG, 2021) sustainability report indicating the excess allocation on the 2019 investment with an additional of US$800 million to increase the use of renewable energy for emission reduction targets. The Pilbara Energy Connect have improved into large-scale renewable energy that facilitates the delivery of stable and low-cost power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international market aspect of Fortescue has also been affected by the external environment such that Fortescue has improved the exploration activities through studies of exploration to maintain the product quality and sustain the mine line in the iron ore business. Additionally, the external environment change has contributed to the realisation that early exploration stages create significant value in future growth and having opportunities. Therefore, more focus is on the early stages of exploration to help in supporting decarbonisation and transport electrification in the new establishment such as South America. Then, the impact has led to the establishment of the Fortescue Future Industries to explore the operations on renewable hydrogen industry and renewable green ammonia. The Fortescue Future Industries are significant to be the leading in a track record of the development of large-scale intergraded infrastructure and innovation assets aligning with the net-zero carbon goals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Climate Pledge has also affected the organisational strategy to focus on empowering thriving communities through different aspects such as targets, policies, opportunities and objectives, code of conduct and integrity, values and purpose as well as </w:t>
      </w:r>
      <w:r w:rsidRPr="00C82F43">
        <w:rPr>
          <w:rFonts w:ascii="Arial" w:hAnsi="Arial" w:cs="Arial"/>
          <w:sz w:val="22"/>
          <w:szCs w:val="22"/>
        </w:rPr>
        <w:lastRenderedPageBreak/>
        <w:t>voluntary commitments and principles (FMG, 2021). Additionally, Fortescue has established a Sustainability Committee whose responsibility is to guide the sustainability strategy to what the organisation should consider at every stage of operation and assist in decision-making on policies and targets. The committee also identifies and assess the environmental, social, economic and governance risks for mitigation planning and amendments of the plan to avoid risks (FMG, 2021).</w:t>
      </w:r>
    </w:p>
    <w:p w:rsidR="008C22FB" w:rsidRPr="00C82F43" w:rsidRDefault="008C22FB" w:rsidP="00C82F43">
      <w:pPr>
        <w:pStyle w:val="Heading1"/>
        <w:rPr>
          <w:rFonts w:ascii="Arial" w:hAnsi="Arial" w:cs="Arial"/>
          <w:sz w:val="22"/>
          <w:szCs w:val="22"/>
        </w:rPr>
      </w:pPr>
      <w:bookmarkStart w:id="4" w:name="_Toc89081788"/>
      <w:r w:rsidRPr="00C82F43">
        <w:rPr>
          <w:rFonts w:ascii="Arial" w:hAnsi="Arial" w:cs="Arial"/>
          <w:sz w:val="22"/>
          <w:szCs w:val="22"/>
        </w:rPr>
        <w:t>Importance of Strategic Change</w:t>
      </w:r>
      <w:bookmarkEnd w:id="4"/>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According to </w:t>
      </w:r>
      <w:proofErr w:type="spellStart"/>
      <w:r w:rsidRPr="00C82F43">
        <w:rPr>
          <w:rFonts w:ascii="Arial" w:hAnsi="Arial" w:cs="Arial"/>
          <w:sz w:val="22"/>
          <w:szCs w:val="22"/>
        </w:rPr>
        <w:t>Revenio</w:t>
      </w:r>
      <w:proofErr w:type="spellEnd"/>
      <w:r w:rsidRPr="00C82F43">
        <w:rPr>
          <w:rFonts w:ascii="Arial" w:hAnsi="Arial" w:cs="Arial"/>
          <w:sz w:val="22"/>
          <w:szCs w:val="22"/>
        </w:rPr>
        <w:t xml:space="preserve"> and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change refers to any changes in the management, structure, process, employee or organisational activities, while </w:t>
      </w:r>
      <w:proofErr w:type="spellStart"/>
      <w:r w:rsidRPr="00C82F43">
        <w:rPr>
          <w:rFonts w:ascii="Arial" w:hAnsi="Arial" w:cs="Arial"/>
          <w:sz w:val="22"/>
          <w:szCs w:val="22"/>
        </w:rPr>
        <w:t>Odor</w:t>
      </w:r>
      <w:proofErr w:type="spellEnd"/>
      <w:r w:rsidRPr="00C82F43">
        <w:rPr>
          <w:rFonts w:ascii="Arial" w:hAnsi="Arial" w:cs="Arial"/>
          <w:sz w:val="22"/>
          <w:szCs w:val="22"/>
        </w:rPr>
        <w:t xml:space="preserve"> (2018) notes that strategic change in an organisation originates from the inconsistencies noticed within the organisational environment to support the improvement of the organisational capabilities. Organisational strategic change focus on aligning goals and objectives to fulfil success; hence, it requires management to achieve a positive outcome (</w:t>
      </w:r>
      <w:proofErr w:type="spellStart"/>
      <w:r w:rsidRPr="00C82F43">
        <w:rPr>
          <w:rFonts w:ascii="Arial" w:hAnsi="Arial" w:cs="Arial"/>
          <w:sz w:val="22"/>
          <w:szCs w:val="22"/>
        </w:rPr>
        <w:t>Revenio</w:t>
      </w:r>
      <w:proofErr w:type="spellEnd"/>
      <w:r w:rsidR="0074283E" w:rsidRPr="00C82F43">
        <w:rPr>
          <w:rFonts w:ascii="Arial" w:hAnsi="Arial" w:cs="Arial"/>
          <w:sz w:val="22"/>
          <w:szCs w:val="22"/>
        </w:rPr>
        <w:t xml:space="preserve"> and</w:t>
      </w:r>
      <w:r w:rsidRPr="00C82F43">
        <w:rPr>
          <w:rFonts w:ascii="Arial" w:hAnsi="Arial" w:cs="Arial"/>
          <w:sz w:val="22"/>
          <w:szCs w:val="22"/>
        </w:rPr>
        <w:t xml:space="preserve">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In the Fortescue strategic change, the aim is to focus on achieving net-zero carbon emissions by 2040 as the climate pledge require. It focuses on implementing sustainable operations and maintaining the green energy improvements to realise the goal as well as tap into the available opportunities in the market before they are exploited by other organisations in the market. The organisation of Fortescue in achieving the positive outcome of the strategy can be viewed to consider both internal and external factors. In the internal factors, the organisation </w:t>
      </w:r>
      <w:r w:rsidR="0074283E" w:rsidRPr="00C82F43">
        <w:rPr>
          <w:rFonts w:ascii="Arial" w:hAnsi="Arial" w:cs="Arial"/>
          <w:sz w:val="22"/>
          <w:szCs w:val="22"/>
        </w:rPr>
        <w:t>considers</w:t>
      </w:r>
      <w:r w:rsidRPr="00C82F43">
        <w:rPr>
          <w:rFonts w:ascii="Arial" w:hAnsi="Arial" w:cs="Arial"/>
          <w:sz w:val="22"/>
          <w:szCs w:val="22"/>
        </w:rPr>
        <w:t xml:space="preserve"> the technology advancement, modernisation initiatives, and change in decision-making, while the extern</w:t>
      </w:r>
      <w:r w:rsidR="0074283E" w:rsidRPr="00C82F43">
        <w:rPr>
          <w:rFonts w:ascii="Arial" w:hAnsi="Arial" w:cs="Arial"/>
          <w:sz w:val="22"/>
          <w:szCs w:val="22"/>
        </w:rPr>
        <w:t>al</w:t>
      </w:r>
      <w:r w:rsidRPr="00C82F43">
        <w:rPr>
          <w:rFonts w:ascii="Arial" w:hAnsi="Arial" w:cs="Arial"/>
          <w:sz w:val="22"/>
          <w:szCs w:val="22"/>
        </w:rPr>
        <w:t xml:space="preserve"> factors involve the increased globalisation pressure, political, economic and social parameters, legal and environmental forces.</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Strategic change is important in building the confidence of the stakeholders such that the success and realisation of change in an organisation facilitate a smooth experience that will promote a positive outcome for the stakeholders and the organisation (</w:t>
      </w:r>
      <w:r w:rsidR="00123B1A" w:rsidRPr="00C82F43">
        <w:rPr>
          <w:rFonts w:ascii="Arial" w:hAnsi="Arial" w:cs="Arial"/>
          <w:sz w:val="22"/>
          <w:szCs w:val="22"/>
        </w:rPr>
        <w:t>Freeman, 2010</w:t>
      </w:r>
      <w:r w:rsidRPr="00C82F43">
        <w:rPr>
          <w:rFonts w:ascii="Arial" w:hAnsi="Arial" w:cs="Arial"/>
          <w:sz w:val="22"/>
          <w:szCs w:val="22"/>
        </w:rPr>
        <w:t xml:space="preserve">). The objective of strategies is to realise an ambitious growth level which is to be achieved by the human resource in the organisation. Fortescue establishes good governance as a crucial long-term sustainable strategy to achieve goals with the responsibilities of overseeing strategic financial decisions and approving programs and policies as well as monitoring and managing risks and opportunities to enhance performance. The focus on involving stakeholders in the reduction of emissions is evident on the people committee and remuneration where the </w:t>
      </w:r>
      <w:r w:rsidRPr="00C82F43">
        <w:rPr>
          <w:rFonts w:ascii="Arial" w:hAnsi="Arial" w:cs="Arial"/>
          <w:sz w:val="22"/>
          <w:szCs w:val="22"/>
        </w:rPr>
        <w:lastRenderedPageBreak/>
        <w:t xml:space="preserve">organisation </w:t>
      </w:r>
      <w:r w:rsidR="0074283E" w:rsidRPr="00C82F43">
        <w:rPr>
          <w:rFonts w:ascii="Arial" w:hAnsi="Arial" w:cs="Arial"/>
          <w:sz w:val="22"/>
          <w:szCs w:val="22"/>
        </w:rPr>
        <w:t>has</w:t>
      </w:r>
      <w:r w:rsidRPr="00C82F43">
        <w:rPr>
          <w:rFonts w:ascii="Arial" w:hAnsi="Arial" w:cs="Arial"/>
          <w:sz w:val="22"/>
          <w:szCs w:val="22"/>
        </w:rPr>
        <w:t xml:space="preserve"> included environmental sustainability and climate-related key performance indicators as an aspect of remuneration arrangements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Another importance of strategic change in an organisation is to create a competitive advantage in the market which targets the ability and flexibility of the organisation to meet the demands of the market. In an organisation, the systems may be changed to increase the efficiency of the operations and improve the acceptability of the organisational operations in the market (</w:t>
      </w:r>
      <w:proofErr w:type="spellStart"/>
      <w:r w:rsidRPr="00C82F43">
        <w:rPr>
          <w:rFonts w:ascii="Arial" w:hAnsi="Arial" w:cs="Arial"/>
          <w:sz w:val="22"/>
          <w:szCs w:val="22"/>
        </w:rPr>
        <w:t>Revenio</w:t>
      </w:r>
      <w:proofErr w:type="spellEnd"/>
      <w:r w:rsidRPr="00C82F43">
        <w:rPr>
          <w:rFonts w:ascii="Arial" w:hAnsi="Arial" w:cs="Arial"/>
          <w:sz w:val="22"/>
          <w:szCs w:val="22"/>
        </w:rPr>
        <w:t xml:space="preserve"> &amp;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The United Nations Environmental Programme advice that the reduction of carbon emissions to improve the acceptability of organisation in operations as it adheres with the regulation that requires all parties under the United Nations Environment Programme to ensure precautionary measures are considered to minimise the impact of climatic change (United Nations, 1992). Fortescue has prioritised the aspect of strategy change to using renewable energy to assist in opening the organisational market in different parts of the world due to adherence with the clean energy use in its operations. The organisation </w:t>
      </w:r>
      <w:r w:rsidR="00123B1A" w:rsidRPr="00C82F43">
        <w:rPr>
          <w:rFonts w:ascii="Arial" w:hAnsi="Arial" w:cs="Arial"/>
          <w:sz w:val="22"/>
          <w:szCs w:val="22"/>
        </w:rPr>
        <w:t>has</w:t>
      </w:r>
      <w:r w:rsidRPr="00C82F43">
        <w:rPr>
          <w:rFonts w:ascii="Arial" w:hAnsi="Arial" w:cs="Arial"/>
          <w:sz w:val="22"/>
          <w:szCs w:val="22"/>
        </w:rPr>
        <w:t xml:space="preserve"> developed the commitment to achieving net-zero carbon emissions by 2040 </w:t>
      </w:r>
      <w:proofErr w:type="gramStart"/>
      <w:r w:rsidRPr="00C82F43">
        <w:rPr>
          <w:rFonts w:ascii="Arial" w:hAnsi="Arial" w:cs="Arial"/>
          <w:sz w:val="22"/>
          <w:szCs w:val="22"/>
        </w:rPr>
        <w:t>as a means to</w:t>
      </w:r>
      <w:proofErr w:type="gramEnd"/>
      <w:r w:rsidRPr="00C82F43">
        <w:rPr>
          <w:rFonts w:ascii="Arial" w:hAnsi="Arial" w:cs="Arial"/>
          <w:sz w:val="22"/>
          <w:szCs w:val="22"/>
        </w:rPr>
        <w:t xml:space="preserve"> not only preserve but to be the preferred organisation in the exploration of iron globally.</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strategic change also assists the organisation in dynamism which </w:t>
      </w:r>
      <w:proofErr w:type="spellStart"/>
      <w:r w:rsidRPr="00C82F43">
        <w:rPr>
          <w:rFonts w:ascii="Arial" w:hAnsi="Arial" w:cs="Arial"/>
          <w:sz w:val="22"/>
          <w:szCs w:val="22"/>
        </w:rPr>
        <w:t>Revenio</w:t>
      </w:r>
      <w:proofErr w:type="spellEnd"/>
      <w:r w:rsidRPr="00C82F43">
        <w:rPr>
          <w:rFonts w:ascii="Arial" w:hAnsi="Arial" w:cs="Arial"/>
          <w:sz w:val="22"/>
          <w:szCs w:val="22"/>
        </w:rPr>
        <w:t xml:space="preserve"> and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describe as a positive feature to ensure successful application of change initiative when aligned with the organisational culture. The study expresses that for an organisation to remain dynamic in the market, it must embrace the strategy changes in programs and plans to ensure flexibility, build confidence, encourage productivity and improve the performance of the organisation (</w:t>
      </w:r>
      <w:r w:rsidR="00123B1A" w:rsidRPr="00C82F43">
        <w:rPr>
          <w:rFonts w:ascii="Arial" w:hAnsi="Arial" w:cs="Arial"/>
          <w:sz w:val="22"/>
          <w:szCs w:val="22"/>
        </w:rPr>
        <w:t>Newbury et al., 2019</w:t>
      </w:r>
      <w:r w:rsidRPr="00C82F43">
        <w:rPr>
          <w:rFonts w:ascii="Arial" w:hAnsi="Arial" w:cs="Arial"/>
          <w:sz w:val="22"/>
          <w:szCs w:val="22"/>
        </w:rPr>
        <w:t>). Fortescue has built a dynamic culture with one of its values being generating ideas, which relate to the implementation of innovations and policies that support efficiency in production and the realisation of net-zero carbon emission by 2040.</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growth aspect necessitates a strategic change in an organisation as its growth is affected by job requirements which could be changing due to the environment, improvement in technology and infrastructure (</w:t>
      </w:r>
      <w:r w:rsidR="00123B1A" w:rsidRPr="00C82F43">
        <w:rPr>
          <w:rFonts w:ascii="Arial" w:hAnsi="Arial" w:cs="Arial"/>
          <w:sz w:val="22"/>
          <w:szCs w:val="22"/>
        </w:rPr>
        <w:t>Newbury et al., 2019</w:t>
      </w:r>
      <w:r w:rsidRPr="00C82F43">
        <w:rPr>
          <w:rFonts w:ascii="Arial" w:hAnsi="Arial" w:cs="Arial"/>
          <w:sz w:val="22"/>
          <w:szCs w:val="22"/>
        </w:rPr>
        <w:t>). In the case of Fortescue, the strategy change have been necessitated by the global demand in the reduction of carbon emissions and the technological growth from the use of diesel engines on heavy engines to electricity as well as the need for efficiency and convenience in the workplace; hence change to robotics and artificial intelligence.</w:t>
      </w:r>
    </w:p>
    <w:p w:rsidR="008C22FB" w:rsidRPr="00C82F43" w:rsidRDefault="008C22FB" w:rsidP="00C82F43">
      <w:pPr>
        <w:pStyle w:val="Heading2"/>
        <w:spacing w:line="360" w:lineRule="auto"/>
        <w:rPr>
          <w:rFonts w:ascii="Arial" w:hAnsi="Arial" w:cs="Arial"/>
          <w:sz w:val="22"/>
          <w:szCs w:val="22"/>
        </w:rPr>
      </w:pPr>
      <w:bookmarkStart w:id="5" w:name="_Toc89081789"/>
      <w:r w:rsidRPr="00C82F43">
        <w:rPr>
          <w:rFonts w:ascii="Arial" w:hAnsi="Arial" w:cs="Arial"/>
          <w:sz w:val="22"/>
          <w:szCs w:val="22"/>
        </w:rPr>
        <w:lastRenderedPageBreak/>
        <w:t>Stakeholders Involved in Strategic Change.</w:t>
      </w:r>
      <w:bookmarkEnd w:id="5"/>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In the implementation of strategic change in the organisation, the stakeholders involved in the organisation strategy change must be treated with respect, which involves developing a collaborative environment with openness and trust. Additionally, the organisation strategic change should less focus on the hierarchical structure of the company but on creating an environment that supports the achievement of the established goals and objectives while it involves confrontational facing of issues bothering the challenges experienced in the organisation. The strategic change involves adopting the measures that influence different stakeholders differently. For instance, some employees working in a department that require the introduction of artificial intelligence will be redundant, while others will be transferred to another department. The strategic change requires an organisation to have values that involve the affected human resources in planning and execution (</w:t>
      </w:r>
      <w:proofErr w:type="spellStart"/>
      <w:r w:rsidRPr="00C82F43">
        <w:rPr>
          <w:rFonts w:ascii="Arial" w:hAnsi="Arial" w:cs="Arial"/>
          <w:sz w:val="22"/>
          <w:szCs w:val="22"/>
        </w:rPr>
        <w:t>Odor</w:t>
      </w:r>
      <w:proofErr w:type="spellEnd"/>
      <w:r w:rsidRPr="00C82F43">
        <w:rPr>
          <w:rFonts w:ascii="Arial" w:hAnsi="Arial" w:cs="Arial"/>
          <w:sz w:val="22"/>
          <w:szCs w:val="22"/>
        </w:rPr>
        <w:t>, 2018). Therefore, some of the stakeholders involved in the strategic change in Fortescue include: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board of directors in Fortescue has the responsibility of approval and oversight for investments and risk management, and strategic decisions. The FMG (2021) expresses that the board in Fortescue meet quarterly and reviews the updates on the matters related to climate on the Fortescue operations. The board of directors in the 2021 financial report made critical decisions including reducing the carbon-neutral target by ten years from 2040 to 2030, introducing the key performance indicators in climate-related issues within the management as remuneration management. Also, it established Fortescue Future Industries whose purpose is to lead in the global energy transition to green hydrogen and renewable projects and note the priorities in the emission reduction in the value chain (FMG, 2021).</w:t>
      </w:r>
    </w:p>
    <w:p w:rsidR="00411B4C"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audit, risk management and sustainability committee are also involved in the strategic change in providing guidance and advice to the board in the development within the market and industry on the climate change responses, developing the climate change strategy for Fortescue, reporting any climate-related disclosures and reports on the audits and the climate change reviews on emissions. The remuneration and people committee that sets the targets required to achieve successful delivery of decarbonisation program and ensure the realisation of the board of director goals of achieving carbon neutrality by 2030. The committee operates in positions such as working on completion of Chichester Solar Gas Hybrid Project and Pilbara Energy Connect program and decarbonisation o</w:t>
      </w:r>
      <w:r w:rsidR="00411B4C" w:rsidRPr="00C82F43">
        <w:rPr>
          <w:rFonts w:ascii="Arial" w:hAnsi="Arial" w:cs="Arial"/>
          <w:sz w:val="22"/>
          <w:szCs w:val="22"/>
        </w:rPr>
        <w:t>f fixed plant and mobile fleet.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Additionally, the climate change committee whose role is on monitoring and coordination of the climatic change responses, ensuring the risks and opportunities are effectively managed </w:t>
      </w:r>
      <w:r w:rsidRPr="00C82F43">
        <w:rPr>
          <w:rFonts w:ascii="Arial" w:hAnsi="Arial" w:cs="Arial"/>
          <w:sz w:val="22"/>
          <w:szCs w:val="22"/>
        </w:rPr>
        <w:lastRenderedPageBreak/>
        <w:t>and aligning the climate change agenda to business perspective. The climate change committee targets updates and advice to the audit, risk management and sustainability committee on emissions reduction targets of Fortescue, decarbonisation strategy implementation, decarbonisation project capital allocation and developing offset strategies to meet targets. The day-to-day management includes the business management of strategic planning, sustainability, finance, investor relations, risk management, asset management and Fortescue Future Industries whose role in the organisation is to monitor the policy and regulations in global climate change, supporting the climate change committee in implementation of strategies, managing the climate change developments such as assessments of environmental and social disclosures and participating in risk assessment on climate change.</w:t>
      </w:r>
    </w:p>
    <w:p w:rsidR="008C22FB" w:rsidRPr="00C82F43" w:rsidRDefault="008C22FB" w:rsidP="00C82F43">
      <w:pPr>
        <w:pStyle w:val="Heading1"/>
        <w:rPr>
          <w:rFonts w:ascii="Arial" w:hAnsi="Arial" w:cs="Arial"/>
          <w:sz w:val="22"/>
          <w:szCs w:val="22"/>
        </w:rPr>
      </w:pPr>
      <w:bookmarkStart w:id="6" w:name="_Toc89081790"/>
      <w:r w:rsidRPr="00C82F43">
        <w:rPr>
          <w:rFonts w:ascii="Arial" w:hAnsi="Arial" w:cs="Arial"/>
          <w:sz w:val="22"/>
          <w:szCs w:val="22"/>
        </w:rPr>
        <w:t>Change Management Plan</w:t>
      </w:r>
      <w:bookmarkEnd w:id="6"/>
    </w:p>
    <w:p w:rsidR="00D2637F"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Different models are used to express the process of change management plan including the </w:t>
      </w:r>
      <w:proofErr w:type="spellStart"/>
      <w:r w:rsidRPr="00C82F43">
        <w:rPr>
          <w:rFonts w:ascii="Arial" w:hAnsi="Arial" w:cs="Arial"/>
          <w:sz w:val="22"/>
          <w:szCs w:val="22"/>
        </w:rPr>
        <w:t>Adkar</w:t>
      </w:r>
      <w:proofErr w:type="spellEnd"/>
      <w:r w:rsidRPr="00C82F43">
        <w:rPr>
          <w:rFonts w:ascii="Arial" w:hAnsi="Arial" w:cs="Arial"/>
          <w:sz w:val="22"/>
          <w:szCs w:val="22"/>
        </w:rPr>
        <w:t xml:space="preserve"> Model that expresses the management of individual resistance to change to be handled in five stages including the awareness, desire, knowledge, ability and reinforcement. Kurt Lewin’s change management model focuses on the planned change relating to the decisions, implementation and social change in a group. Kotter’s eight-step model express the importance of the overall approach of dealing with change considering causes of the need for change</w:t>
      </w:r>
      <w:r w:rsidR="00B36E5E" w:rsidRPr="00C82F43">
        <w:rPr>
          <w:rFonts w:ascii="Arial" w:hAnsi="Arial" w:cs="Arial"/>
          <w:sz w:val="22"/>
          <w:szCs w:val="22"/>
        </w:rPr>
        <w:t xml:space="preserve"> (</w:t>
      </w:r>
      <w:proofErr w:type="spellStart"/>
      <w:r w:rsidR="00B36E5E" w:rsidRPr="00C82F43">
        <w:rPr>
          <w:rStyle w:val="selectable"/>
          <w:rFonts w:ascii="Arial" w:hAnsi="Arial" w:cs="Arial"/>
          <w:color w:val="000000"/>
          <w:sz w:val="22"/>
          <w:szCs w:val="22"/>
        </w:rPr>
        <w:t>Bugubayeva</w:t>
      </w:r>
      <w:proofErr w:type="spellEnd"/>
      <w:r w:rsidR="00B36E5E" w:rsidRPr="00C82F43">
        <w:rPr>
          <w:rStyle w:val="selectable"/>
          <w:rFonts w:ascii="Arial" w:hAnsi="Arial" w:cs="Arial"/>
          <w:color w:val="000000"/>
          <w:sz w:val="22"/>
          <w:szCs w:val="22"/>
        </w:rPr>
        <w:t xml:space="preserve"> et al., 2017)</w:t>
      </w:r>
      <w:r w:rsidRPr="00C82F43">
        <w:rPr>
          <w:rFonts w:ascii="Arial" w:hAnsi="Arial" w:cs="Arial"/>
          <w:sz w:val="22"/>
          <w:szCs w:val="22"/>
        </w:rPr>
        <w:t>. The McKinsey 7S model analyses the change in seven perspectives including strategy, structure, system, shared values, staff, skills and style (</w:t>
      </w:r>
      <w:proofErr w:type="spellStart"/>
      <w:r w:rsidRPr="00C82F43">
        <w:rPr>
          <w:rFonts w:ascii="Arial" w:hAnsi="Arial" w:cs="Arial"/>
          <w:sz w:val="22"/>
          <w:szCs w:val="22"/>
        </w:rPr>
        <w:t>Hamdo</w:t>
      </w:r>
      <w:proofErr w:type="spellEnd"/>
      <w:r w:rsidRPr="00C82F43">
        <w:rPr>
          <w:rFonts w:ascii="Arial" w:hAnsi="Arial" w:cs="Arial"/>
          <w:sz w:val="22"/>
          <w:szCs w:val="22"/>
        </w:rPr>
        <w:t>, 2021).</w:t>
      </w:r>
    </w:p>
    <w:p w:rsidR="008C22FB" w:rsidRPr="00C82F43" w:rsidRDefault="00D2637F" w:rsidP="00C82F43">
      <w:pPr>
        <w:spacing w:line="360" w:lineRule="auto"/>
        <w:ind w:firstLine="720"/>
        <w:rPr>
          <w:rFonts w:ascii="Arial" w:hAnsi="Arial" w:cs="Arial"/>
          <w:sz w:val="22"/>
          <w:szCs w:val="22"/>
        </w:rPr>
      </w:pPr>
      <w:r w:rsidRPr="00C82F43">
        <w:rPr>
          <w:rFonts w:ascii="Arial" w:hAnsi="Arial" w:cs="Arial"/>
          <w:sz w:val="22"/>
          <w:szCs w:val="22"/>
        </w:rPr>
        <w:t>I</w:t>
      </w:r>
      <w:r w:rsidR="008C22FB" w:rsidRPr="00C82F43">
        <w:rPr>
          <w:rFonts w:ascii="Arial" w:hAnsi="Arial" w:cs="Arial"/>
          <w:sz w:val="22"/>
          <w:szCs w:val="22"/>
        </w:rPr>
        <w:t xml:space="preserve">n the critical analysis of strategic change of Fortescue, </w:t>
      </w:r>
      <w:r w:rsidRPr="00C82F43">
        <w:rPr>
          <w:rFonts w:ascii="Arial" w:hAnsi="Arial" w:cs="Arial"/>
          <w:sz w:val="22"/>
          <w:szCs w:val="22"/>
        </w:rPr>
        <w:t>Kotter (1995) (Eight-Step Change Model)</w:t>
      </w:r>
      <w:r w:rsidRPr="00C82F43">
        <w:rPr>
          <w:rFonts w:ascii="Arial" w:hAnsi="Arial" w:cs="Arial"/>
          <w:sz w:val="22"/>
          <w:szCs w:val="22"/>
        </w:rPr>
        <w:t xml:space="preserve"> </w:t>
      </w:r>
      <w:r w:rsidR="008C22FB" w:rsidRPr="00C82F43">
        <w:rPr>
          <w:rFonts w:ascii="Arial" w:hAnsi="Arial" w:cs="Arial"/>
          <w:sz w:val="22"/>
          <w:szCs w:val="22"/>
        </w:rPr>
        <w:t>is the most appropriate as it entails the expression of structures processes relating to Lewin’s Change Model. According to Aldemir (2010), the first four of Kotter’s eight-step model express Lewin’s change model step of unfreezing, the next three steps of Kotter’s eight-step model expresses the changing or consolidation stage in Lewin’s model and the unfreezing stage is expressed by the eighth step of Kotter’ eight-step model.</w:t>
      </w:r>
    </w:p>
    <w:p w:rsidR="008C22FB" w:rsidRPr="00C82F43" w:rsidRDefault="008C22FB" w:rsidP="00C82F43">
      <w:pPr>
        <w:pStyle w:val="Heading2"/>
        <w:spacing w:line="360" w:lineRule="auto"/>
        <w:rPr>
          <w:rFonts w:ascii="Arial" w:hAnsi="Arial" w:cs="Arial"/>
          <w:sz w:val="22"/>
          <w:szCs w:val="22"/>
        </w:rPr>
      </w:pPr>
      <w:bookmarkStart w:id="7" w:name="_Toc89081791"/>
      <w:r w:rsidRPr="00C82F43">
        <w:rPr>
          <w:rFonts w:ascii="Arial" w:hAnsi="Arial" w:cs="Arial"/>
          <w:sz w:val="22"/>
          <w:szCs w:val="22"/>
        </w:rPr>
        <w:t>Step 1: Establishing the Sense of Urgency</w:t>
      </w:r>
      <w:bookmarkEnd w:id="7"/>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stage involves creating awareness of the importance of creating change in the organisation. The stage seeks to earn cooperation and identify both existing and potential crises and the opportunities available. It also provides evidence of the necessary changes from outside the organisation (Pollack &amp; Pollack, 2014). In the implementation on Fortescue, the </w:t>
      </w:r>
      <w:r w:rsidRPr="00C82F43">
        <w:rPr>
          <w:rFonts w:ascii="Arial" w:hAnsi="Arial" w:cs="Arial"/>
          <w:sz w:val="22"/>
          <w:szCs w:val="22"/>
        </w:rPr>
        <w:lastRenderedPageBreak/>
        <w:t>stage involves identifying the climate change harm the environment, which is a threat to animal life. The climatic changes are contributed by the continued carbon emissions to the atmosphere by the methods of operations used including the use of fossil fuel to generate power. Therefore, the United Nations Environmental Programme and Climate Pledge are among the organisation that seeks to ensure net-zero carbon by 2040, which necessitate the change of operational strategy. The change will ensure the organisation is strategic to the adoption of renewable sources of power as well as acceptability in penetration in the global market. Therefore, the organisational employees are requested to support the change and take up the opportunities in decision-making for the success of the strategy.</w:t>
      </w:r>
    </w:p>
    <w:p w:rsidR="008C22FB" w:rsidRPr="00C82F43" w:rsidRDefault="008C22FB" w:rsidP="00C82F43">
      <w:pPr>
        <w:pStyle w:val="Heading2"/>
        <w:spacing w:line="360" w:lineRule="auto"/>
        <w:rPr>
          <w:rFonts w:ascii="Arial" w:hAnsi="Arial" w:cs="Arial"/>
          <w:sz w:val="22"/>
          <w:szCs w:val="22"/>
        </w:rPr>
      </w:pPr>
      <w:bookmarkStart w:id="8" w:name="_Toc89081792"/>
      <w:r w:rsidRPr="00C82F43">
        <w:rPr>
          <w:rFonts w:ascii="Arial" w:hAnsi="Arial" w:cs="Arial"/>
          <w:sz w:val="22"/>
          <w:szCs w:val="22"/>
        </w:rPr>
        <w:t>Step 2: Forming Guiding Coalitions</w:t>
      </w:r>
      <w:bookmarkEnd w:id="8"/>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stage involves the creation of teams that support the effort to change that should be based on the values of shared objective, level of trust and correct composition. Equally, the team should have adequate powers in the management structure, credibility and the expertise to offer leadership and bond each group to working together. The team should show commitment and enthusiasm to deliver crucial changes (Aldemir, 2010). Fortescue requires the development of committees such as the board of directors, climate change committee, and audit, risk management and sustainability committee. Additionally, it requires assigning the responsibility to each committee to ensure there is no roles duplication and strengthen the focus on the achievement of the goals. The teams have an excellent understanding of the individual or team to report to or acquire information from for effective decision-making.</w:t>
      </w:r>
    </w:p>
    <w:p w:rsidR="008C22FB" w:rsidRPr="00C82F43" w:rsidRDefault="008C22FB" w:rsidP="00C82F43">
      <w:pPr>
        <w:pStyle w:val="Heading2"/>
        <w:spacing w:line="360" w:lineRule="auto"/>
        <w:rPr>
          <w:rFonts w:ascii="Arial" w:hAnsi="Arial" w:cs="Arial"/>
          <w:sz w:val="22"/>
          <w:szCs w:val="22"/>
        </w:rPr>
      </w:pPr>
      <w:bookmarkStart w:id="9" w:name="_Toc89081793"/>
      <w:r w:rsidRPr="00C82F43">
        <w:rPr>
          <w:rFonts w:ascii="Arial" w:hAnsi="Arial" w:cs="Arial"/>
          <w:sz w:val="22"/>
          <w:szCs w:val="22"/>
        </w:rPr>
        <w:t>Step 3: Creation of a Vision</w:t>
      </w:r>
      <w:bookmarkEnd w:id="9"/>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A vision explains the organisational value in the future which is expressed through the idealised future of the organisation and the direction of the employee to follow (</w:t>
      </w:r>
      <w:proofErr w:type="spellStart"/>
      <w:r w:rsidRPr="00C82F43">
        <w:rPr>
          <w:rFonts w:ascii="Arial" w:hAnsi="Arial" w:cs="Arial"/>
          <w:sz w:val="22"/>
          <w:szCs w:val="22"/>
        </w:rPr>
        <w:t>Suranga</w:t>
      </w:r>
      <w:proofErr w:type="spellEnd"/>
      <w:r w:rsidRPr="00C82F43">
        <w:rPr>
          <w:rFonts w:ascii="Arial" w:hAnsi="Arial" w:cs="Arial"/>
          <w:sz w:val="22"/>
          <w:szCs w:val="22"/>
        </w:rPr>
        <w:t xml:space="preserve">, 2014). The vision is crucial in motivating stakeholders in </w:t>
      </w:r>
      <w:proofErr w:type="gramStart"/>
      <w:r w:rsidRPr="00C82F43">
        <w:rPr>
          <w:rFonts w:ascii="Arial" w:hAnsi="Arial" w:cs="Arial"/>
          <w:sz w:val="22"/>
          <w:szCs w:val="22"/>
        </w:rPr>
        <w:t>taking action</w:t>
      </w:r>
      <w:proofErr w:type="gramEnd"/>
      <w:r w:rsidRPr="00C82F43">
        <w:rPr>
          <w:rFonts w:ascii="Arial" w:hAnsi="Arial" w:cs="Arial"/>
          <w:sz w:val="22"/>
          <w:szCs w:val="22"/>
        </w:rPr>
        <w:t xml:space="preserve"> for the strategic direction and assisting the management in operations coordination. The step requires the organisation to develop values to be applied in the implementation and application of change as well as strategy to follow in vision execution (</w:t>
      </w:r>
      <w:proofErr w:type="spellStart"/>
      <w:r w:rsidRPr="00C82F43">
        <w:rPr>
          <w:rFonts w:ascii="Arial" w:hAnsi="Arial" w:cs="Arial"/>
          <w:sz w:val="22"/>
          <w:szCs w:val="22"/>
        </w:rPr>
        <w:t>Revenio</w:t>
      </w:r>
      <w:proofErr w:type="spellEnd"/>
      <w:r w:rsidRPr="00C82F43">
        <w:rPr>
          <w:rFonts w:ascii="Arial" w:hAnsi="Arial" w:cs="Arial"/>
          <w:sz w:val="22"/>
          <w:szCs w:val="22"/>
        </w:rPr>
        <w:t xml:space="preserve"> &amp;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The Fortescue objective is the reduction of carbon emission to zero by 2030, therefore, adopts the vision of leading the heavy industry commitment against global warming, which require the adoption of values that build a culture that drives performance that differentiate Fortescue from others. The organisation set to build values of safety to drive the need for use of operations that emit less carbon to reduce </w:t>
      </w:r>
      <w:r w:rsidRPr="00C82F43">
        <w:rPr>
          <w:rFonts w:ascii="Arial" w:hAnsi="Arial" w:cs="Arial"/>
          <w:sz w:val="22"/>
          <w:szCs w:val="22"/>
        </w:rPr>
        <w:lastRenderedPageBreak/>
        <w:t>carbon levels in the environment, family in caring for everyone where within the organisation or not and empowerment, which establish the urge to grow within the organisation and introduce safer ways of carrying out activities through encouraging innovation. Another value is frugality, which requires the use of means that conserve energy such as the use of renewable energy sources. The stretched targets involve the requirement to commit to work within the duration to realise goals, integrity value require the use of the established organisational behaviour to carry out activities. The other values are humility, enthusiasm, courage and determination.</w:t>
      </w:r>
    </w:p>
    <w:p w:rsidR="008C22FB" w:rsidRPr="00C82F43" w:rsidRDefault="008C22FB" w:rsidP="00C82F43">
      <w:pPr>
        <w:pStyle w:val="Heading2"/>
        <w:spacing w:line="360" w:lineRule="auto"/>
        <w:rPr>
          <w:rFonts w:ascii="Arial" w:hAnsi="Arial" w:cs="Arial"/>
          <w:sz w:val="22"/>
          <w:szCs w:val="22"/>
        </w:rPr>
      </w:pPr>
      <w:bookmarkStart w:id="10" w:name="_Toc89081794"/>
      <w:r w:rsidRPr="00C82F43">
        <w:rPr>
          <w:rFonts w:ascii="Arial" w:hAnsi="Arial" w:cs="Arial"/>
          <w:sz w:val="22"/>
          <w:szCs w:val="22"/>
        </w:rPr>
        <w:t>Step 4: Communication of the Vision</w:t>
      </w:r>
      <w:bookmarkEnd w:id="10"/>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Kotter’s eight-step model requires the involvement of people to realise change, who in return are required to make sacrifices and are willing to move out of the status quo for improvement. This step requires sharing the vision with people to create a common direction and goals (Aldemir, 2010). The step requires Fortescue to engage with the employees on the change of the vision and inform the stakeholders on the direction of the organisation providing feedback to the question that may arise concerning the change. The communication of vision requires training of the employees to perform as expected and adopt the strategy and values of the organisation. In this stage, Fortescue will seek to influence the alignment of the stakeholders with the vision and guide on how to implement the strategy.</w:t>
      </w:r>
    </w:p>
    <w:p w:rsidR="008C22FB" w:rsidRPr="00C82F43" w:rsidRDefault="008C22FB" w:rsidP="00C82F43">
      <w:pPr>
        <w:pStyle w:val="Heading2"/>
        <w:spacing w:line="360" w:lineRule="auto"/>
        <w:rPr>
          <w:rFonts w:ascii="Arial" w:hAnsi="Arial" w:cs="Arial"/>
          <w:sz w:val="22"/>
          <w:szCs w:val="22"/>
        </w:rPr>
      </w:pPr>
      <w:bookmarkStart w:id="11" w:name="_Toc89081795"/>
      <w:r w:rsidRPr="00C82F43">
        <w:rPr>
          <w:rFonts w:ascii="Arial" w:hAnsi="Arial" w:cs="Arial"/>
          <w:sz w:val="22"/>
          <w:szCs w:val="22"/>
        </w:rPr>
        <w:t>Step 5: Empowering action</w:t>
      </w:r>
      <w:bookmarkEnd w:id="11"/>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stage involves the removal of the barriers that affect the implementation of the strategic change and giving the employee the responsibilities and power to initiate the requirements of the strategy. The step involves creating skills, confidence, autonomy, and confidence for an accountable process of change. The main barriers of change as identified by Kotter’s model are inadequate skills needed, management discourages of employees to take responsibilities, information and personal systems and difficulty for formal employees to allow change implementation (</w:t>
      </w:r>
      <w:proofErr w:type="spellStart"/>
      <w:r w:rsidRPr="00C82F43">
        <w:rPr>
          <w:rFonts w:ascii="Arial" w:hAnsi="Arial" w:cs="Arial"/>
          <w:sz w:val="22"/>
          <w:szCs w:val="22"/>
        </w:rPr>
        <w:t>Glimskog</w:t>
      </w:r>
      <w:proofErr w:type="spellEnd"/>
      <w:r w:rsidRPr="00C82F43">
        <w:rPr>
          <w:rFonts w:ascii="Arial" w:hAnsi="Arial" w:cs="Arial"/>
          <w:sz w:val="22"/>
          <w:szCs w:val="22"/>
        </w:rPr>
        <w:t xml:space="preserve"> &amp; Hagman, 2015). This step requires Fortescue to identify leaders of change and allocate their main roles in the delivery of change such that each of the committees will be established and assigned the roles. The implementation of the change of strategy in this step will require an extensive look into the job description of each employee involves in the change delivery, their status in the organisation structure and the performance to ensure they have the capability and skills to manage the vision and they have a motivating compensation system. Fortescue will identify the hindrances of the implementation of change </w:t>
      </w:r>
      <w:r w:rsidRPr="00C82F43">
        <w:rPr>
          <w:rFonts w:ascii="Arial" w:hAnsi="Arial" w:cs="Arial"/>
          <w:sz w:val="22"/>
          <w:szCs w:val="22"/>
        </w:rPr>
        <w:lastRenderedPageBreak/>
        <w:t>and ensure they are aligned to support the change such as lack of resources which require allocation of additional resources to increase the adoption and implementation of the strategy or training the employees to deliver the strategy, which could involve the benchmarking and acquiring new skills to support the implementation of the strategy.</w:t>
      </w:r>
    </w:p>
    <w:p w:rsidR="008C22FB" w:rsidRPr="00C82F43" w:rsidRDefault="008C22FB" w:rsidP="00C82F43">
      <w:pPr>
        <w:pStyle w:val="Heading2"/>
        <w:spacing w:line="360" w:lineRule="auto"/>
        <w:rPr>
          <w:rFonts w:ascii="Arial" w:hAnsi="Arial" w:cs="Arial"/>
          <w:sz w:val="22"/>
          <w:szCs w:val="22"/>
        </w:rPr>
      </w:pPr>
      <w:bookmarkStart w:id="12" w:name="_Toc89081796"/>
      <w:r w:rsidRPr="00C82F43">
        <w:rPr>
          <w:rFonts w:ascii="Arial" w:hAnsi="Arial" w:cs="Arial"/>
          <w:sz w:val="22"/>
          <w:szCs w:val="22"/>
        </w:rPr>
        <w:t>Step 6: Planning and Establishing the Short-term Wins</w:t>
      </w:r>
      <w:bookmarkEnd w:id="12"/>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short-term wins are intended to express the viability of the strategy change and increase the implementation operations. Kotter model requires the short-term wins to be unambiguous, visible and successful and state the direction the organisational change is adopting for assessment on the impact of change to the organisation (Ramasamy &amp; Ganesan, 2017). Fortescue requires creating </w:t>
      </w:r>
      <w:r w:rsidR="00B36E5E" w:rsidRPr="00C82F43">
        <w:rPr>
          <w:rFonts w:ascii="Arial" w:hAnsi="Arial" w:cs="Arial"/>
          <w:sz w:val="22"/>
          <w:szCs w:val="22"/>
        </w:rPr>
        <w:t>short- and long-term</w:t>
      </w:r>
      <w:r w:rsidRPr="00C82F43">
        <w:rPr>
          <w:rFonts w:ascii="Arial" w:hAnsi="Arial" w:cs="Arial"/>
          <w:sz w:val="22"/>
          <w:szCs w:val="22"/>
        </w:rPr>
        <w:t xml:space="preserve"> goals for the change evaluation. The </w:t>
      </w:r>
      <w:r w:rsidR="00B36E5E" w:rsidRPr="00C82F43">
        <w:rPr>
          <w:rFonts w:ascii="Arial" w:hAnsi="Arial" w:cs="Arial"/>
          <w:sz w:val="22"/>
          <w:szCs w:val="22"/>
        </w:rPr>
        <w:t>short-term</w:t>
      </w:r>
      <w:r w:rsidRPr="00C82F43">
        <w:rPr>
          <w:rFonts w:ascii="Arial" w:hAnsi="Arial" w:cs="Arial"/>
          <w:sz w:val="22"/>
          <w:szCs w:val="22"/>
        </w:rPr>
        <w:t xml:space="preserve"> goals are used to manage and criticise the progress of change implementation. The </w:t>
      </w:r>
      <w:r w:rsidR="00B36E5E" w:rsidRPr="00C82F43">
        <w:rPr>
          <w:rFonts w:ascii="Arial" w:hAnsi="Arial" w:cs="Arial"/>
          <w:sz w:val="22"/>
          <w:szCs w:val="22"/>
        </w:rPr>
        <w:t>short-term</w:t>
      </w:r>
      <w:r w:rsidRPr="00C82F43">
        <w:rPr>
          <w:rFonts w:ascii="Arial" w:hAnsi="Arial" w:cs="Arial"/>
          <w:sz w:val="22"/>
          <w:szCs w:val="22"/>
        </w:rPr>
        <w:t xml:space="preserve"> goals could be evaluated within three months with monthly reporting of the progress of strategic change such that the challenges are </w:t>
      </w:r>
      <w:proofErr w:type="gramStart"/>
      <w:r w:rsidRPr="00C82F43">
        <w:rPr>
          <w:rFonts w:ascii="Arial" w:hAnsi="Arial" w:cs="Arial"/>
          <w:sz w:val="22"/>
          <w:szCs w:val="22"/>
        </w:rPr>
        <w:t>monitored</w:t>
      </w:r>
      <w:proofErr w:type="gramEnd"/>
      <w:r w:rsidRPr="00C82F43">
        <w:rPr>
          <w:rFonts w:ascii="Arial" w:hAnsi="Arial" w:cs="Arial"/>
          <w:sz w:val="22"/>
          <w:szCs w:val="22"/>
        </w:rPr>
        <w:t xml:space="preserve"> and the organisation can ensure the change is being implemented according to the plan and the schedule adopted. The evaluation of each activity is carried out according to the expectation and projection of the pros and cons of the implementation of the change of the strategy is done.</w:t>
      </w:r>
    </w:p>
    <w:p w:rsidR="008C22FB" w:rsidRPr="00C82F43" w:rsidRDefault="008C22FB" w:rsidP="00C82F43">
      <w:pPr>
        <w:pStyle w:val="Heading2"/>
        <w:spacing w:line="360" w:lineRule="auto"/>
        <w:rPr>
          <w:rFonts w:ascii="Arial" w:hAnsi="Arial" w:cs="Arial"/>
          <w:sz w:val="22"/>
          <w:szCs w:val="22"/>
        </w:rPr>
      </w:pPr>
      <w:bookmarkStart w:id="13" w:name="_Toc89081797"/>
      <w:r w:rsidRPr="00C82F43">
        <w:rPr>
          <w:rFonts w:ascii="Arial" w:hAnsi="Arial" w:cs="Arial"/>
          <w:sz w:val="22"/>
          <w:szCs w:val="22"/>
        </w:rPr>
        <w:t>Step 7: Impro</w:t>
      </w:r>
      <w:r w:rsidR="00411B4C" w:rsidRPr="00C82F43">
        <w:rPr>
          <w:rStyle w:val="Heading2Char"/>
          <w:rFonts w:ascii="Arial" w:hAnsi="Arial" w:cs="Arial"/>
          <w:b/>
          <w:sz w:val="22"/>
          <w:szCs w:val="22"/>
        </w:rPr>
        <w:t>v</w:t>
      </w:r>
      <w:r w:rsidRPr="00C82F43">
        <w:rPr>
          <w:rFonts w:ascii="Arial" w:hAnsi="Arial" w:cs="Arial"/>
          <w:sz w:val="22"/>
          <w:szCs w:val="22"/>
        </w:rPr>
        <w:t>ements Consolidation</w:t>
      </w:r>
      <w:bookmarkEnd w:id="13"/>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Step 6 on evaluation based on a short-term win do not guarantee the success of the change. However, each operation must meet the expectation of the short-term goals to create a chance of success of change in the organisation. This step target to improve the organisational structures, systems and policies that influence difficulty in implantation of change as well as </w:t>
      </w:r>
      <w:proofErr w:type="gramStart"/>
      <w:r w:rsidRPr="00C82F43">
        <w:rPr>
          <w:rFonts w:ascii="Arial" w:hAnsi="Arial" w:cs="Arial"/>
          <w:sz w:val="22"/>
          <w:szCs w:val="22"/>
        </w:rPr>
        <w:t>taking action</w:t>
      </w:r>
      <w:proofErr w:type="gramEnd"/>
      <w:r w:rsidRPr="00C82F43">
        <w:rPr>
          <w:rFonts w:ascii="Arial" w:hAnsi="Arial" w:cs="Arial"/>
          <w:sz w:val="22"/>
          <w:szCs w:val="22"/>
        </w:rPr>
        <w:t xml:space="preserve"> on developing capabilities of the employee to vision implementation. Fortescue allocates more funding towards the implementation of operations that have low carbon emissions, promoting some employees to manage the implementation of change, acquiring new experienced skills and establishment of Fortescue Future Industries to lead in ensuring the vision of the organisation is implemented and is effective in operations. The actions are adopted after analysis of short-term wins.</w:t>
      </w:r>
    </w:p>
    <w:p w:rsidR="008C22FB" w:rsidRPr="00C82F43" w:rsidRDefault="008C22FB" w:rsidP="00C82F43">
      <w:pPr>
        <w:pStyle w:val="Heading2"/>
        <w:spacing w:line="360" w:lineRule="auto"/>
        <w:rPr>
          <w:rFonts w:ascii="Arial" w:hAnsi="Arial" w:cs="Arial"/>
          <w:sz w:val="22"/>
          <w:szCs w:val="22"/>
        </w:rPr>
      </w:pPr>
      <w:bookmarkStart w:id="14" w:name="_Toc89081798"/>
      <w:r w:rsidRPr="00C82F43">
        <w:rPr>
          <w:rFonts w:ascii="Arial" w:hAnsi="Arial" w:cs="Arial"/>
          <w:sz w:val="22"/>
          <w:szCs w:val="22"/>
        </w:rPr>
        <w:t>Step 8: Operationalisation of the New Approach in the Organisational Culture</w:t>
      </w:r>
      <w:bookmarkEnd w:id="14"/>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In Kotter’s Model of adopting change in an organisation, there are two critical factors in the operationalisation of change in organisational culture, which refer to a deliberate attempt in </w:t>
      </w:r>
      <w:r w:rsidRPr="00C82F43">
        <w:rPr>
          <w:rFonts w:ascii="Arial" w:hAnsi="Arial" w:cs="Arial"/>
          <w:sz w:val="22"/>
          <w:szCs w:val="22"/>
        </w:rPr>
        <w:lastRenderedPageBreak/>
        <w:t>establishing the new behaviours, attitudes and new approaches and establishment of a promotion system that create a succession of management effectively (Aldemir, 2010). Therefore, the stage requires holding regular progress meetings to assist in the process of a new culture and improve commitment to adopting the new approach. At this stage, the values identified at the third stage are instilled as norms to the staff and employees and ensuring the external environment of the organisation can identify the strategy change within the organisation to motivate the fully full implementation of the plan.</w:t>
      </w:r>
    </w:p>
    <w:p w:rsidR="008C22FB" w:rsidRPr="00C82F43" w:rsidRDefault="008C22FB" w:rsidP="00C82F43">
      <w:pPr>
        <w:pStyle w:val="Heading1"/>
        <w:rPr>
          <w:rFonts w:ascii="Arial" w:hAnsi="Arial" w:cs="Arial"/>
          <w:sz w:val="22"/>
          <w:szCs w:val="22"/>
        </w:rPr>
      </w:pPr>
      <w:bookmarkStart w:id="15" w:name="_Toc89081799"/>
      <w:r w:rsidRPr="00C82F43">
        <w:rPr>
          <w:rFonts w:ascii="Arial" w:hAnsi="Arial" w:cs="Arial"/>
          <w:sz w:val="22"/>
          <w:szCs w:val="22"/>
        </w:rPr>
        <w:t>The Impact of Organisational Culture on the Change Management Programme</w:t>
      </w:r>
      <w:bookmarkEnd w:id="15"/>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Organisational culture is the values, beliefs, behavioural patterns and understandings of the shared membership of an organisation which could be defined by stories, symbols or expressions that promote socialization and create a sense of belongingness in an organisation (</w:t>
      </w:r>
      <w:proofErr w:type="spellStart"/>
      <w:r w:rsidRPr="00C82F43">
        <w:rPr>
          <w:rFonts w:ascii="Arial" w:hAnsi="Arial" w:cs="Arial"/>
          <w:sz w:val="22"/>
          <w:szCs w:val="22"/>
        </w:rPr>
        <w:t>Linstead</w:t>
      </w:r>
      <w:proofErr w:type="spellEnd"/>
      <w:r w:rsidRPr="00C82F43">
        <w:rPr>
          <w:rFonts w:ascii="Arial" w:hAnsi="Arial" w:cs="Arial"/>
          <w:sz w:val="22"/>
          <w:szCs w:val="22"/>
        </w:rPr>
        <w:t xml:space="preserve">, 2001). In the establishment of change that will affect the organisational culture, it is essential to consider the adequate understanding of the problem to evaluate the urgency of change and determine the planning of change which will help to point out the vision of the change and assess its application on the organisational operations and activities. It is also essential to note that the change will be systematic and create a transition, which will affect the status quo within the organisation that will cause resistance; hence, the requirement for participation and ensuring adequate flexibility in adopting change (Odera &amp; </w:t>
      </w:r>
      <w:proofErr w:type="spellStart"/>
      <w:r w:rsidRPr="00C82F43">
        <w:rPr>
          <w:rFonts w:ascii="Arial" w:hAnsi="Arial" w:cs="Arial"/>
          <w:sz w:val="22"/>
          <w:szCs w:val="22"/>
        </w:rPr>
        <w:t>Muendo</w:t>
      </w:r>
      <w:proofErr w:type="spellEnd"/>
      <w:r w:rsidRPr="00C82F43">
        <w:rPr>
          <w:rFonts w:ascii="Arial" w:hAnsi="Arial" w:cs="Arial"/>
          <w:sz w:val="22"/>
          <w:szCs w:val="22"/>
        </w:rPr>
        <w:t>, 2017).</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implementation of change in Fortescue will affect the organisational culture in terms of establishing the development opportunities in leadership and team practices due to the setting that the change will be implemented through the creation of teams, the organisation culture of focus on achievement of individual goals will be altered, while the organisation will benefit from the new culture by improving the creativity as stated by </w:t>
      </w:r>
      <w:proofErr w:type="spellStart"/>
      <w:r w:rsidRPr="00C82F43">
        <w:rPr>
          <w:rFonts w:ascii="Arial" w:hAnsi="Arial" w:cs="Arial"/>
          <w:sz w:val="22"/>
          <w:szCs w:val="22"/>
        </w:rPr>
        <w:t>Tripathy</w:t>
      </w:r>
      <w:proofErr w:type="spellEnd"/>
      <w:r w:rsidRPr="00C82F43">
        <w:rPr>
          <w:rFonts w:ascii="Arial" w:hAnsi="Arial" w:cs="Arial"/>
          <w:sz w:val="22"/>
          <w:szCs w:val="22"/>
        </w:rPr>
        <w:t xml:space="preserve"> (2018) that people working in teams develop ideas through discussion to improve on innovation. Also, team working builds trust within the organisation which reduces conflicts and promote employee well-being in the organisation. The team working help Fortescue in building cooperation and strengthening relationships within the organisation.</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change in Fortescue will build employee involvement in the operations of the organisation due to regular meetings on communicating the strategy change vision and evaluation of the progress and the best ways of managing challenges. According to Obiekwe et al. (2019), employee involvement builds the emotional attachment of employees to the organisation that improve the commitment of workers and reduce the rate of employee turnover. </w:t>
      </w:r>
      <w:r w:rsidRPr="00C82F43">
        <w:rPr>
          <w:rFonts w:ascii="Arial" w:hAnsi="Arial" w:cs="Arial"/>
          <w:sz w:val="22"/>
          <w:szCs w:val="22"/>
        </w:rPr>
        <w:lastRenderedPageBreak/>
        <w:t>Employee involvement also ensures scrutiny in the development of action plans and implementation of the plans, which make it crucial in decision-making in an organisation. The strategic change in Fortescue will assist in promoting the culture of collaborative decision-making and improving job satisfaction due to the feel of sense of control and creation of personal challenges for an employee to ensure success.</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implementation of change in Fortescue affects the daily operations and activities within the organisation which interfere with the routine which is essential in organisational culture in developing the expectations on the behaviour of people in the workplace and provide stability through reduction of uncertainties in the organisation (Nelson, et al., 2005). The adoption of robotics and artificial intelligence to automate the operations will create a radical change in the organisational activity routines reduce the independence of the employees in operations, and create tensions due to the dependence of employees in carrying out operations through training and consultation with the supervisors. On the other hand, the break of organisational routines builds motivation, and personal career development of employees as the change in strategy provides an opportunity for the employees to explore new dimensions of their line of duty. Therefore, in changing strategy in Fortescue, the organisation </w:t>
      </w:r>
      <w:r w:rsidR="00D2637F" w:rsidRPr="00C82F43">
        <w:rPr>
          <w:rFonts w:ascii="Arial" w:hAnsi="Arial" w:cs="Arial"/>
          <w:sz w:val="22"/>
          <w:szCs w:val="22"/>
        </w:rPr>
        <w:t>creates</w:t>
      </w:r>
      <w:r w:rsidRPr="00C82F43">
        <w:rPr>
          <w:rFonts w:ascii="Arial" w:hAnsi="Arial" w:cs="Arial"/>
          <w:sz w:val="22"/>
          <w:szCs w:val="22"/>
        </w:rPr>
        <w:t xml:space="preserve"> both negative and positive impact on the organisational culture.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improves on the organisational culture by changing the strategy through allowing flexibility on pressures as a measure to quick response. The change of strategy opens room for the generation of ideas that seek to ensure the vision of the organisation is met. Therefore, the more flexibility, the more the organisational culture is altered while the flexibility helps the organisation in improving in a decision-making capacity, processes, and financial returns (</w:t>
      </w:r>
      <w:r w:rsidR="00D2637F" w:rsidRPr="00C82F43">
        <w:rPr>
          <w:rFonts w:ascii="Arial" w:hAnsi="Arial" w:cs="Arial"/>
          <w:sz w:val="22"/>
          <w:szCs w:val="22"/>
        </w:rPr>
        <w:t>Elsmore, 2017</w:t>
      </w:r>
      <w:r w:rsidRPr="00C82F43">
        <w:rPr>
          <w:rFonts w:ascii="Arial" w:hAnsi="Arial" w:cs="Arial"/>
          <w:sz w:val="22"/>
          <w:szCs w:val="22"/>
        </w:rPr>
        <w:t>). The flexibility builds the employee capabilities and promotes change innovation within the organisation that strengthens the organisation culture. For instance, Fortescue allows flexibility in iron ore exploration to recommend methods of operation that align with the decrease of carbon emission, which promote research, knowledge sharing and innovation to achieve the goals of the organisation.</w:t>
      </w:r>
    </w:p>
    <w:p w:rsidR="008C22FB" w:rsidRPr="00C82F43" w:rsidRDefault="008C22FB" w:rsidP="00C82F43">
      <w:pPr>
        <w:pStyle w:val="Heading1"/>
        <w:rPr>
          <w:rFonts w:ascii="Arial" w:hAnsi="Arial" w:cs="Arial"/>
          <w:sz w:val="22"/>
          <w:szCs w:val="22"/>
        </w:rPr>
      </w:pPr>
      <w:bookmarkStart w:id="16" w:name="_Toc89081800"/>
      <w:r w:rsidRPr="00C82F43">
        <w:rPr>
          <w:rFonts w:ascii="Arial" w:hAnsi="Arial" w:cs="Arial"/>
          <w:sz w:val="22"/>
          <w:szCs w:val="22"/>
        </w:rPr>
        <w:t>Reflection</w:t>
      </w:r>
      <w:bookmarkEnd w:id="16"/>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implementation of strategic change according to the management plan is adequately effective and not only builds the organisational culture but also orients the personal careers of employees into opportunities for growth. Additionally, it assists in earning a competitive advantage in the market as it is preferred for operations across the world due to its </w:t>
      </w:r>
      <w:r w:rsidRPr="00C82F43">
        <w:rPr>
          <w:rFonts w:ascii="Arial" w:hAnsi="Arial" w:cs="Arial"/>
          <w:sz w:val="22"/>
          <w:szCs w:val="22"/>
        </w:rPr>
        <w:lastRenderedPageBreak/>
        <w:t>commitment to environmental safety in its operations. However, the implementation of change faces critical barriers such as the element of resistance to change as a way of employees refusing to come out of their comfort zone. In the organisation, the resistance to change creates difficulty in achieving the organisational objectives which risks failure to implementation of the change. It could be observed that the resistance to change is necessitated by the fear of changing from the personal specific goals that align with the existing strategy to a new strategy that could deviate from their wish of achievement. Additionally, it is caused by habits that create a reaction to change as a result of being accustomed to behaving in a specific way and feeling insecure in adopting the proposed changes (</w:t>
      </w:r>
      <w:proofErr w:type="spellStart"/>
      <w:r w:rsidR="006E75DE">
        <w:rPr>
          <w:rFonts w:ascii="Arial" w:hAnsi="Arial" w:cs="Arial"/>
          <w:sz w:val="22"/>
          <w:szCs w:val="22"/>
        </w:rPr>
        <w:t>Georgalis</w:t>
      </w:r>
      <w:proofErr w:type="spellEnd"/>
      <w:r w:rsidR="006E75DE">
        <w:rPr>
          <w:rFonts w:ascii="Arial" w:hAnsi="Arial" w:cs="Arial"/>
          <w:sz w:val="22"/>
          <w:szCs w:val="22"/>
        </w:rPr>
        <w:t>, 2015</w:t>
      </w:r>
      <w:r w:rsidRPr="00C82F43">
        <w:rPr>
          <w:rFonts w:ascii="Arial" w:hAnsi="Arial" w:cs="Arial"/>
          <w:sz w:val="22"/>
          <w:szCs w:val="22"/>
        </w:rPr>
        <w:t>). Therefore, it is critical to ensure adequate communication of the strategy change to allow alignment of personal career objectives with the organisational change of strategy and allow involvement and participation that allow sharing of information and contribution of ideas to create confidence in the application of the strategy change.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organisation also </w:t>
      </w:r>
      <w:r w:rsidR="00C82F43" w:rsidRPr="00C82F43">
        <w:rPr>
          <w:rFonts w:ascii="Arial" w:hAnsi="Arial" w:cs="Arial"/>
          <w:sz w:val="22"/>
          <w:szCs w:val="22"/>
        </w:rPr>
        <w:t>suffers</w:t>
      </w:r>
      <w:r w:rsidRPr="00C82F43">
        <w:rPr>
          <w:rFonts w:ascii="Arial" w:hAnsi="Arial" w:cs="Arial"/>
          <w:sz w:val="22"/>
          <w:szCs w:val="22"/>
        </w:rPr>
        <w:t xml:space="preserve"> incompetence in managing climatic change due to a shortage of knowledge and lack of expertise to manage the execution of strategic change. The strategic change in Fortescue requires the availability of professionals to work with robots, analyse the computations of artificial intelligence and develop actionable commands and operate equipment using electrical power. The availability of the skills is limited which create a challenge in the implementation of the strategy within the duration required. The organisation is concerned with the lack of interest in the adoption of change which could be caused by the threat of adoption of automated machines will cause redundancy in some </w:t>
      </w:r>
      <w:r w:rsidR="00C82F43" w:rsidRPr="00C82F43">
        <w:rPr>
          <w:rFonts w:ascii="Arial" w:hAnsi="Arial" w:cs="Arial"/>
          <w:sz w:val="22"/>
          <w:szCs w:val="22"/>
        </w:rPr>
        <w:t>employee’s</w:t>
      </w:r>
      <w:r w:rsidRPr="00C82F43">
        <w:rPr>
          <w:rFonts w:ascii="Arial" w:hAnsi="Arial" w:cs="Arial"/>
          <w:sz w:val="22"/>
          <w:szCs w:val="22"/>
        </w:rPr>
        <w:t xml:space="preserve"> positions of occupation. The organisation must ensure the initiation of an extensive training program to improve on skills in the organisation and adequately support the Fortescue Future Industries to ensure they create adequate innovations to support the artificial intelligence and robotics operations in the organisation. Equally, it is critical to consider hiring skilled and experienced staff to manage the operations associated with the change and share skills to increase the number of competent skills in the organisation.</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selective perception is also an issue of concern such that the majority of the employee do not appreciate the need for commitment to the decarbonisation of operations as noted by </w:t>
      </w:r>
      <w:proofErr w:type="spellStart"/>
      <w:r w:rsidRPr="00C82F43">
        <w:rPr>
          <w:rFonts w:ascii="Arial" w:hAnsi="Arial" w:cs="Arial"/>
          <w:sz w:val="22"/>
          <w:szCs w:val="22"/>
        </w:rPr>
        <w:t>Revenio</w:t>
      </w:r>
      <w:proofErr w:type="spellEnd"/>
      <w:r w:rsidRPr="00C82F43">
        <w:rPr>
          <w:rFonts w:ascii="Arial" w:hAnsi="Arial" w:cs="Arial"/>
          <w:sz w:val="22"/>
          <w:szCs w:val="22"/>
        </w:rPr>
        <w:t xml:space="preserve"> and </w:t>
      </w:r>
      <w:proofErr w:type="spellStart"/>
      <w:r w:rsidRPr="00C82F43">
        <w:rPr>
          <w:rFonts w:ascii="Arial" w:hAnsi="Arial" w:cs="Arial"/>
          <w:sz w:val="22"/>
          <w:szCs w:val="22"/>
        </w:rPr>
        <w:t>Jalaget</w:t>
      </w:r>
      <w:proofErr w:type="spellEnd"/>
      <w:r w:rsidRPr="00C82F43">
        <w:rPr>
          <w:rFonts w:ascii="Arial" w:hAnsi="Arial" w:cs="Arial"/>
          <w:sz w:val="22"/>
          <w:szCs w:val="22"/>
        </w:rPr>
        <w:t xml:space="preserve"> (2015) that most employees appreciate the change that affects their personal goals and objectives directly or indirectly and ignores the changes affecting organisational welfare or organisational external environment. The lack of information could also be the reason for not committing adequately to the strategic change. For instance, employees raise questions on the need to acquire net-zero carbon emissions which is difficult to link with </w:t>
      </w:r>
      <w:r w:rsidRPr="00C82F43">
        <w:rPr>
          <w:rFonts w:ascii="Arial" w:hAnsi="Arial" w:cs="Arial"/>
          <w:sz w:val="22"/>
          <w:szCs w:val="22"/>
        </w:rPr>
        <w:lastRenderedPageBreak/>
        <w:t>their personal goals and the impact of increased carbon emissions to the atmosphere can only be scientifically explained and noted. Therefore, Fortescue must ensure adequate information is provided on the risks for not meeting the net-zero carbon emissions by 2040 and the impact it has on their careers. Additionally, carry out effective educative programmes that inform on the importance of climate change prevention and the ways of preventing adverse effects to the environment.</w:t>
      </w:r>
    </w:p>
    <w:p w:rsidR="008C22FB" w:rsidRPr="00C82F43" w:rsidRDefault="008C22FB" w:rsidP="00C82F43">
      <w:pPr>
        <w:spacing w:line="360" w:lineRule="auto"/>
        <w:rPr>
          <w:rFonts w:ascii="Arial" w:hAnsi="Arial" w:cs="Arial"/>
          <w:sz w:val="22"/>
          <w:szCs w:val="22"/>
        </w:rPr>
      </w:pPr>
    </w:p>
    <w:p w:rsidR="00A03B57" w:rsidRPr="00C82F43" w:rsidRDefault="00A03B57"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pStyle w:val="Heading1"/>
        <w:rPr>
          <w:rFonts w:ascii="Arial" w:hAnsi="Arial" w:cs="Arial"/>
          <w:sz w:val="22"/>
          <w:szCs w:val="22"/>
        </w:rPr>
      </w:pPr>
      <w:bookmarkStart w:id="17" w:name="_Toc89081801"/>
      <w:bookmarkEnd w:id="1"/>
      <w:r w:rsidRPr="00C82F43">
        <w:rPr>
          <w:rFonts w:ascii="Arial" w:hAnsi="Arial" w:cs="Arial"/>
          <w:sz w:val="22"/>
          <w:szCs w:val="22"/>
        </w:rPr>
        <w:lastRenderedPageBreak/>
        <w:t>References</w:t>
      </w:r>
      <w:bookmarkEnd w:id="17"/>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Aldemir, E., </w:t>
      </w:r>
      <w:r w:rsidR="00C902AE">
        <w:rPr>
          <w:rFonts w:ascii="Arial" w:hAnsi="Arial" w:cs="Arial"/>
          <w:noProof/>
          <w:sz w:val="22"/>
          <w:szCs w:val="22"/>
        </w:rPr>
        <w:t>(</w:t>
      </w:r>
      <w:r w:rsidRPr="00C82F43">
        <w:rPr>
          <w:rFonts w:ascii="Arial" w:hAnsi="Arial" w:cs="Arial"/>
          <w:noProof/>
          <w:sz w:val="22"/>
          <w:szCs w:val="22"/>
        </w:rPr>
        <w:t>2010</w:t>
      </w:r>
      <w:r w:rsidR="00C902AE">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Models and Tools of Change Management: Kotter's 8 Steps Change Model, </w:t>
      </w:r>
      <w:r w:rsidRPr="00C82F43">
        <w:rPr>
          <w:rFonts w:ascii="Arial" w:hAnsi="Arial" w:cs="Arial"/>
          <w:noProof/>
          <w:sz w:val="22"/>
          <w:szCs w:val="22"/>
        </w:rPr>
        <w:t>Bursa: Uludag University.</w:t>
      </w:r>
      <w:r w:rsidR="00D2637F" w:rsidRPr="00C82F43">
        <w:rPr>
          <w:rFonts w:ascii="Arial" w:hAnsi="Arial" w:cs="Arial"/>
          <w:noProof/>
          <w:sz w:val="22"/>
          <w:szCs w:val="22"/>
        </w:rPr>
        <w:t xml:space="preserve"> </w:t>
      </w:r>
      <w:r w:rsidR="00D2637F" w:rsidRPr="00C82F43">
        <w:rPr>
          <w:rFonts w:ascii="Arial" w:hAnsi="Arial" w:cs="Arial"/>
          <w:noProof/>
          <w:sz w:val="22"/>
          <w:szCs w:val="22"/>
        </w:rPr>
        <w:t xml:space="preserve">Organisational Challenge. </w:t>
      </w:r>
      <w:r w:rsidR="00D2637F" w:rsidRPr="00C82F43">
        <w:rPr>
          <w:rFonts w:ascii="Arial" w:hAnsi="Arial" w:cs="Arial"/>
          <w:i/>
          <w:iCs/>
          <w:noProof/>
          <w:sz w:val="22"/>
          <w:szCs w:val="22"/>
        </w:rPr>
        <w:t xml:space="preserve">Advances in Social Science, Education and Humanities Research, </w:t>
      </w:r>
      <w:r w:rsidR="00D2637F" w:rsidRPr="00C82F43">
        <w:rPr>
          <w:rFonts w:ascii="Arial" w:hAnsi="Arial" w:cs="Arial"/>
          <w:noProof/>
          <w:sz w:val="22"/>
          <w:szCs w:val="22"/>
        </w:rPr>
        <w:t>Volume 395, pp. 49-53.</w:t>
      </w:r>
    </w:p>
    <w:p w:rsidR="00C82F43" w:rsidRPr="00C82F43" w:rsidRDefault="00C82F43" w:rsidP="00C82F43">
      <w:pPr>
        <w:spacing w:line="360" w:lineRule="auto"/>
      </w:pPr>
    </w:p>
    <w:p w:rsidR="00B36E5E" w:rsidRDefault="00B36E5E" w:rsidP="00C82F43">
      <w:pPr>
        <w:spacing w:line="360" w:lineRule="auto"/>
        <w:rPr>
          <w:rStyle w:val="selectable"/>
          <w:rFonts w:ascii="Arial" w:hAnsi="Arial" w:cs="Arial"/>
          <w:color w:val="000000"/>
          <w:sz w:val="22"/>
          <w:szCs w:val="22"/>
        </w:rPr>
      </w:pPr>
      <w:proofErr w:type="spellStart"/>
      <w:r w:rsidRPr="00C82F43">
        <w:rPr>
          <w:rStyle w:val="selectable"/>
          <w:rFonts w:ascii="Arial" w:hAnsi="Arial" w:cs="Arial"/>
          <w:color w:val="000000"/>
          <w:sz w:val="22"/>
          <w:szCs w:val="22"/>
        </w:rPr>
        <w:t>Bugubayeva</w:t>
      </w:r>
      <w:proofErr w:type="spellEnd"/>
      <w:r w:rsidRPr="00C82F43">
        <w:rPr>
          <w:rStyle w:val="selectable"/>
          <w:rFonts w:ascii="Arial" w:hAnsi="Arial" w:cs="Arial"/>
          <w:color w:val="000000"/>
          <w:sz w:val="22"/>
          <w:szCs w:val="22"/>
        </w:rPr>
        <w:t xml:space="preserve">, R., </w:t>
      </w:r>
      <w:proofErr w:type="spellStart"/>
      <w:r w:rsidRPr="00C82F43">
        <w:rPr>
          <w:rStyle w:val="selectable"/>
          <w:rFonts w:ascii="Arial" w:hAnsi="Arial" w:cs="Arial"/>
          <w:color w:val="000000"/>
          <w:sz w:val="22"/>
          <w:szCs w:val="22"/>
        </w:rPr>
        <w:t>Sansyzbayevna</w:t>
      </w:r>
      <w:proofErr w:type="spellEnd"/>
      <w:r w:rsidRPr="00C82F43">
        <w:rPr>
          <w:rStyle w:val="selectable"/>
          <w:rFonts w:ascii="Arial" w:hAnsi="Arial" w:cs="Arial"/>
          <w:color w:val="000000"/>
          <w:sz w:val="22"/>
          <w:szCs w:val="22"/>
        </w:rPr>
        <w:t xml:space="preserve">, R. and </w:t>
      </w:r>
      <w:proofErr w:type="spellStart"/>
      <w:r w:rsidRPr="00C82F43">
        <w:rPr>
          <w:rStyle w:val="selectable"/>
          <w:rFonts w:ascii="Arial" w:hAnsi="Arial" w:cs="Arial"/>
          <w:color w:val="000000"/>
          <w:sz w:val="22"/>
          <w:szCs w:val="22"/>
        </w:rPr>
        <w:t>Teczke</w:t>
      </w:r>
      <w:proofErr w:type="spellEnd"/>
      <w:r w:rsidRPr="00C82F43">
        <w:rPr>
          <w:rStyle w:val="selectable"/>
          <w:rFonts w:ascii="Arial" w:hAnsi="Arial" w:cs="Arial"/>
          <w:color w:val="000000"/>
          <w:sz w:val="22"/>
          <w:szCs w:val="22"/>
        </w:rPr>
        <w:t xml:space="preserve">, M.,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2017</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Approaches and models for change management. </w:t>
      </w:r>
      <w:r w:rsidRPr="00C82F43">
        <w:rPr>
          <w:rStyle w:val="selectable"/>
          <w:rFonts w:ascii="Arial" w:hAnsi="Arial" w:cs="Arial"/>
          <w:i/>
          <w:iCs/>
          <w:color w:val="000000"/>
          <w:sz w:val="22"/>
          <w:szCs w:val="22"/>
        </w:rPr>
        <w:t>Jagiellonian Journal of Management</w:t>
      </w:r>
      <w:r w:rsidRPr="00C82F43">
        <w:rPr>
          <w:rStyle w:val="selectable"/>
          <w:rFonts w:ascii="Arial" w:hAnsi="Arial" w:cs="Arial"/>
          <w:color w:val="000000"/>
          <w:sz w:val="22"/>
          <w:szCs w:val="22"/>
        </w:rPr>
        <w:t>, 3, pp.195-208.</w:t>
      </w:r>
    </w:p>
    <w:p w:rsidR="00C82F43" w:rsidRPr="00C82F43" w:rsidRDefault="00C82F43" w:rsidP="00C82F43">
      <w:pPr>
        <w:spacing w:line="360" w:lineRule="auto"/>
        <w:rPr>
          <w:rFonts w:ascii="Arial" w:hAnsi="Arial" w:cs="Arial"/>
          <w:sz w:val="22"/>
          <w:szCs w:val="22"/>
          <w:lang w:eastAsia="en-US"/>
        </w:rPr>
      </w:pPr>
    </w:p>
    <w:p w:rsidR="00D2637F" w:rsidRPr="006E75DE" w:rsidRDefault="006E75DE" w:rsidP="006E75DE">
      <w:pPr>
        <w:spacing w:line="360" w:lineRule="auto"/>
        <w:rPr>
          <w:rFonts w:ascii="Arial" w:hAnsi="Arial" w:cs="Arial"/>
          <w:sz w:val="22"/>
          <w:szCs w:val="22"/>
        </w:rPr>
      </w:pPr>
      <w:proofErr w:type="spellStart"/>
      <w:r w:rsidRPr="006E75DE">
        <w:rPr>
          <w:rFonts w:ascii="Arial" w:hAnsi="Arial" w:cs="Arial"/>
          <w:sz w:val="22"/>
          <w:szCs w:val="22"/>
        </w:rPr>
        <w:t>Georgalis</w:t>
      </w:r>
      <w:proofErr w:type="spellEnd"/>
      <w:r w:rsidRPr="006E75DE">
        <w:rPr>
          <w:rFonts w:ascii="Arial" w:hAnsi="Arial" w:cs="Arial"/>
          <w:sz w:val="22"/>
          <w:szCs w:val="22"/>
        </w:rPr>
        <w:t xml:space="preserve">, J., </w:t>
      </w:r>
      <w:proofErr w:type="spellStart"/>
      <w:r w:rsidRPr="006E75DE">
        <w:rPr>
          <w:rFonts w:ascii="Arial" w:hAnsi="Arial" w:cs="Arial"/>
          <w:sz w:val="22"/>
          <w:szCs w:val="22"/>
        </w:rPr>
        <w:t>Samaratunge</w:t>
      </w:r>
      <w:proofErr w:type="spellEnd"/>
      <w:r w:rsidRPr="006E75DE">
        <w:rPr>
          <w:rFonts w:ascii="Arial" w:hAnsi="Arial" w:cs="Arial"/>
          <w:sz w:val="22"/>
          <w:szCs w:val="22"/>
        </w:rPr>
        <w:t xml:space="preserve">, R., Kimberley, N. and Lu, Y., </w:t>
      </w:r>
      <w:r w:rsidRPr="006E75DE">
        <w:rPr>
          <w:rFonts w:ascii="Arial" w:hAnsi="Arial" w:cs="Arial"/>
          <w:sz w:val="22"/>
          <w:szCs w:val="22"/>
        </w:rPr>
        <w:t>(</w:t>
      </w:r>
      <w:r w:rsidRPr="006E75DE">
        <w:rPr>
          <w:rFonts w:ascii="Arial" w:hAnsi="Arial" w:cs="Arial"/>
          <w:sz w:val="22"/>
          <w:szCs w:val="22"/>
        </w:rPr>
        <w:t>2015</w:t>
      </w:r>
      <w:r w:rsidRPr="006E75DE">
        <w:rPr>
          <w:rFonts w:ascii="Arial" w:hAnsi="Arial" w:cs="Arial"/>
          <w:sz w:val="22"/>
          <w:szCs w:val="22"/>
        </w:rPr>
        <w:t>)</w:t>
      </w:r>
      <w:r w:rsidRPr="006E75DE">
        <w:rPr>
          <w:rFonts w:ascii="Arial" w:hAnsi="Arial" w:cs="Arial"/>
          <w:sz w:val="22"/>
          <w:szCs w:val="22"/>
        </w:rPr>
        <w:t xml:space="preserve">. Change process characteristics and resistance to organisational change: The role of employee perceptions of justice. </w:t>
      </w:r>
      <w:r w:rsidRPr="006E75DE">
        <w:rPr>
          <w:rFonts w:ascii="Arial" w:hAnsi="Arial" w:cs="Arial"/>
          <w:i/>
          <w:iCs/>
          <w:sz w:val="22"/>
          <w:szCs w:val="22"/>
        </w:rPr>
        <w:t>Australian Journal of Management</w:t>
      </w:r>
      <w:r w:rsidRPr="006E75DE">
        <w:rPr>
          <w:rFonts w:ascii="Arial" w:hAnsi="Arial" w:cs="Arial"/>
          <w:sz w:val="22"/>
          <w:szCs w:val="22"/>
        </w:rPr>
        <w:t xml:space="preserve">, </w:t>
      </w:r>
      <w:r w:rsidRPr="006E75DE">
        <w:rPr>
          <w:rFonts w:ascii="Arial" w:hAnsi="Arial" w:cs="Arial"/>
          <w:i/>
          <w:iCs/>
          <w:sz w:val="22"/>
          <w:szCs w:val="22"/>
        </w:rPr>
        <w:t>40</w:t>
      </w:r>
      <w:r w:rsidRPr="006E75DE">
        <w:rPr>
          <w:rFonts w:ascii="Arial" w:hAnsi="Arial" w:cs="Arial"/>
          <w:sz w:val="22"/>
          <w:szCs w:val="22"/>
        </w:rPr>
        <w:t>(1), pp.89-113.</w:t>
      </w:r>
      <w:r w:rsidRPr="006E75DE">
        <w:rPr>
          <w:rFonts w:ascii="Arial" w:hAnsi="Arial" w:cs="Arial"/>
          <w:sz w:val="22"/>
          <w:szCs w:val="22"/>
        </w:rPr>
        <w:t xml:space="preserve"> </w:t>
      </w:r>
      <w:r w:rsidR="00D2637F" w:rsidRPr="006E75DE">
        <w:rPr>
          <w:rFonts w:ascii="Arial" w:hAnsi="Arial" w:cs="Arial"/>
          <w:sz w:val="22"/>
          <w:szCs w:val="22"/>
        </w:rPr>
        <w:t xml:space="preserve">Elsmore, P., </w:t>
      </w:r>
      <w:r w:rsidR="00C82F43" w:rsidRPr="006E75DE">
        <w:rPr>
          <w:rFonts w:ascii="Arial" w:hAnsi="Arial" w:cs="Arial"/>
          <w:sz w:val="22"/>
          <w:szCs w:val="22"/>
        </w:rPr>
        <w:t>(</w:t>
      </w:r>
      <w:r w:rsidR="00D2637F" w:rsidRPr="006E75DE">
        <w:rPr>
          <w:rFonts w:ascii="Arial" w:hAnsi="Arial" w:cs="Arial"/>
          <w:sz w:val="22"/>
          <w:szCs w:val="22"/>
        </w:rPr>
        <w:t xml:space="preserve">2017. </w:t>
      </w:r>
      <w:r w:rsidR="00D2637F" w:rsidRPr="006E75DE">
        <w:rPr>
          <w:rFonts w:ascii="Arial" w:hAnsi="Arial" w:cs="Arial"/>
          <w:i/>
          <w:iCs/>
          <w:sz w:val="22"/>
          <w:szCs w:val="22"/>
        </w:rPr>
        <w:t xml:space="preserve">Organisational Culture: Organisational </w:t>
      </w:r>
      <w:proofErr w:type="gramStart"/>
      <w:r w:rsidR="00D2637F" w:rsidRPr="006E75DE">
        <w:rPr>
          <w:rFonts w:ascii="Arial" w:hAnsi="Arial" w:cs="Arial"/>
          <w:i/>
          <w:iCs/>
          <w:sz w:val="22"/>
          <w:szCs w:val="22"/>
        </w:rPr>
        <w:t>Change?:</w:t>
      </w:r>
      <w:proofErr w:type="gramEnd"/>
      <w:r w:rsidR="00D2637F" w:rsidRPr="006E75DE">
        <w:rPr>
          <w:rFonts w:ascii="Arial" w:hAnsi="Arial" w:cs="Arial"/>
          <w:i/>
          <w:iCs/>
          <w:sz w:val="22"/>
          <w:szCs w:val="22"/>
        </w:rPr>
        <w:t xml:space="preserve"> Organisational Change?</w:t>
      </w:r>
      <w:r w:rsidR="00D2637F" w:rsidRPr="006E75DE">
        <w:rPr>
          <w:rFonts w:ascii="Arial" w:hAnsi="Arial" w:cs="Arial"/>
          <w:sz w:val="22"/>
          <w:szCs w:val="22"/>
        </w:rPr>
        <w:t>. Routledge.</w:t>
      </w:r>
    </w:p>
    <w:p w:rsidR="00C82F43" w:rsidRPr="006E75DE" w:rsidRDefault="00C82F43" w:rsidP="006E75DE">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FMG,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Climate CHange Report FY21, </w:t>
      </w:r>
      <w:r w:rsidRPr="00C82F43">
        <w:rPr>
          <w:rFonts w:ascii="Arial" w:hAnsi="Arial" w:cs="Arial"/>
          <w:noProof/>
          <w:sz w:val="22"/>
          <w:szCs w:val="22"/>
        </w:rPr>
        <w:t>Perth: Fortescue.</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FMG,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Sustainability Report FY21, </w:t>
      </w:r>
      <w:r w:rsidRPr="00C82F43">
        <w:rPr>
          <w:rFonts w:ascii="Arial" w:hAnsi="Arial" w:cs="Arial"/>
          <w:noProof/>
          <w:sz w:val="22"/>
          <w:szCs w:val="22"/>
        </w:rPr>
        <w:t>Perth: FMG Fortescue.</w:t>
      </w:r>
    </w:p>
    <w:p w:rsidR="00C82F43" w:rsidRPr="00C82F43" w:rsidRDefault="00C82F43" w:rsidP="00C82F43"/>
    <w:p w:rsidR="008C70A5" w:rsidRDefault="008C70A5" w:rsidP="00C82F43">
      <w:pPr>
        <w:spacing w:line="360" w:lineRule="auto"/>
        <w:rPr>
          <w:rStyle w:val="selectable"/>
          <w:rFonts w:ascii="Arial" w:hAnsi="Arial" w:cs="Arial"/>
          <w:color w:val="000000"/>
          <w:sz w:val="22"/>
          <w:szCs w:val="22"/>
        </w:rPr>
      </w:pPr>
      <w:r w:rsidRPr="00C82F43">
        <w:rPr>
          <w:rStyle w:val="selectable"/>
          <w:rFonts w:ascii="Arial" w:hAnsi="Arial" w:cs="Arial"/>
          <w:color w:val="000000"/>
          <w:sz w:val="22"/>
          <w:szCs w:val="22"/>
        </w:rPr>
        <w:t xml:space="preserve">Forbes.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w:t>
      </w:r>
      <w:r w:rsidRPr="00C82F43">
        <w:rPr>
          <w:rStyle w:val="selectable"/>
          <w:rFonts w:ascii="Arial" w:hAnsi="Arial" w:cs="Arial"/>
          <w:i/>
          <w:iCs/>
          <w:color w:val="000000"/>
          <w:sz w:val="22"/>
          <w:szCs w:val="22"/>
        </w:rPr>
        <w:t>Fortescue Metals Group</w:t>
      </w:r>
      <w:r w:rsidRPr="00C82F43">
        <w:rPr>
          <w:rStyle w:val="selectable"/>
          <w:rFonts w:ascii="Arial" w:hAnsi="Arial" w:cs="Arial"/>
          <w:color w:val="000000"/>
          <w:sz w:val="22"/>
          <w:szCs w:val="22"/>
        </w:rPr>
        <w:t>. [online] Available at: &lt;https://www.forbes.com/companies/fortescue-metals-group/?sh=5303a5e42bd3&gt; [Accessed 23 November 2021].</w:t>
      </w:r>
    </w:p>
    <w:p w:rsidR="00C82F43" w:rsidRPr="00C82F43" w:rsidRDefault="00C82F43" w:rsidP="00C82F43">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Fortescue,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About Fortescue. </w:t>
      </w:r>
      <w:r w:rsidRPr="00C82F43">
        <w:rPr>
          <w:rFonts w:ascii="Arial" w:hAnsi="Arial" w:cs="Arial"/>
          <w:noProof/>
          <w:sz w:val="22"/>
          <w:szCs w:val="22"/>
        </w:rPr>
        <w:t xml:space="preserve">[Online] </w:t>
      </w:r>
      <w:r w:rsidRPr="00C82F43">
        <w:rPr>
          <w:rFonts w:ascii="Arial" w:hAnsi="Arial" w:cs="Arial"/>
          <w:noProof/>
          <w:sz w:val="22"/>
          <w:szCs w:val="22"/>
        </w:rPr>
        <w:br/>
        <w:t xml:space="preserve">Available at: </w:t>
      </w:r>
      <w:r w:rsidRPr="00C82F43">
        <w:rPr>
          <w:rFonts w:ascii="Arial" w:hAnsi="Arial" w:cs="Arial"/>
          <w:noProof/>
          <w:sz w:val="22"/>
          <w:szCs w:val="22"/>
          <w:u w:val="single"/>
        </w:rPr>
        <w:t>https://www.fmgl.com.au/about-fortescue/who-we-are</w:t>
      </w:r>
      <w:r w:rsidRPr="00C82F43">
        <w:rPr>
          <w:rFonts w:ascii="Arial" w:hAnsi="Arial" w:cs="Arial"/>
          <w:noProof/>
          <w:sz w:val="22"/>
          <w:szCs w:val="22"/>
        </w:rPr>
        <w:br/>
        <w:t>[Accessed 25 November 2021].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Fortescue,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The Climate Pledge. </w:t>
      </w:r>
      <w:r w:rsidRPr="00C82F43">
        <w:rPr>
          <w:rFonts w:ascii="Arial" w:hAnsi="Arial" w:cs="Arial"/>
          <w:noProof/>
          <w:sz w:val="22"/>
          <w:szCs w:val="22"/>
        </w:rPr>
        <w:t xml:space="preserve">[Online] </w:t>
      </w:r>
      <w:r w:rsidRPr="00C82F43">
        <w:rPr>
          <w:rFonts w:ascii="Arial" w:hAnsi="Arial" w:cs="Arial"/>
          <w:noProof/>
          <w:sz w:val="22"/>
          <w:szCs w:val="22"/>
        </w:rPr>
        <w:br/>
        <w:t xml:space="preserve">Available at: </w:t>
      </w:r>
      <w:r w:rsidRPr="00C82F43">
        <w:rPr>
          <w:rFonts w:ascii="Arial" w:hAnsi="Arial" w:cs="Arial"/>
          <w:noProof/>
          <w:sz w:val="22"/>
          <w:szCs w:val="22"/>
          <w:u w:val="single"/>
        </w:rPr>
        <w:t>https://www.theclimatepledge.com/content/amazonclimatepledge/us/en/Signatories/fortescue.html</w:t>
      </w:r>
      <w:r w:rsidRPr="00C82F43">
        <w:rPr>
          <w:rFonts w:ascii="Arial" w:hAnsi="Arial" w:cs="Arial"/>
          <w:noProof/>
          <w:sz w:val="22"/>
          <w:szCs w:val="22"/>
        </w:rPr>
        <w:br/>
        <w:t>[Accessed 26 November 2021].</w:t>
      </w:r>
    </w:p>
    <w:p w:rsidR="00C82F43" w:rsidRPr="00C82F43" w:rsidRDefault="00C82F43" w:rsidP="00C82F43"/>
    <w:p w:rsidR="00123B1A" w:rsidRPr="00C82F43" w:rsidRDefault="00123B1A" w:rsidP="00C82F43">
      <w:pPr>
        <w:spacing w:line="360" w:lineRule="auto"/>
        <w:rPr>
          <w:rFonts w:ascii="Arial" w:hAnsi="Arial" w:cs="Arial"/>
          <w:sz w:val="22"/>
          <w:szCs w:val="22"/>
        </w:rPr>
      </w:pPr>
      <w:r w:rsidRPr="00C82F43">
        <w:rPr>
          <w:rFonts w:ascii="Arial" w:hAnsi="Arial" w:cs="Arial"/>
          <w:sz w:val="22"/>
          <w:szCs w:val="22"/>
        </w:rPr>
        <w:t xml:space="preserve">Freeman, R.E., </w:t>
      </w:r>
      <w:r w:rsidR="00C82F43">
        <w:rPr>
          <w:rFonts w:ascii="Arial" w:hAnsi="Arial" w:cs="Arial"/>
          <w:sz w:val="22"/>
          <w:szCs w:val="22"/>
        </w:rPr>
        <w:t>(</w:t>
      </w:r>
      <w:r w:rsidRPr="00C82F43">
        <w:rPr>
          <w:rFonts w:ascii="Arial" w:hAnsi="Arial" w:cs="Arial"/>
          <w:sz w:val="22"/>
          <w:szCs w:val="22"/>
        </w:rPr>
        <w:t>2010</w:t>
      </w:r>
      <w:r w:rsidR="00C82F43">
        <w:rPr>
          <w:rFonts w:ascii="Arial" w:hAnsi="Arial" w:cs="Arial"/>
          <w:sz w:val="22"/>
          <w:szCs w:val="22"/>
        </w:rPr>
        <w:t>)</w:t>
      </w:r>
      <w:r w:rsidRPr="00C82F43">
        <w:rPr>
          <w:rFonts w:ascii="Arial" w:hAnsi="Arial" w:cs="Arial"/>
          <w:sz w:val="22"/>
          <w:szCs w:val="22"/>
        </w:rPr>
        <w:t xml:space="preserve">. </w:t>
      </w:r>
      <w:r w:rsidRPr="00C82F43">
        <w:rPr>
          <w:rFonts w:ascii="Arial" w:hAnsi="Arial" w:cs="Arial"/>
          <w:i/>
          <w:iCs/>
          <w:sz w:val="22"/>
          <w:szCs w:val="22"/>
        </w:rPr>
        <w:t>Strategic management: A stakeholder approach</w:t>
      </w:r>
      <w:r w:rsidRPr="00C82F43">
        <w:rPr>
          <w:rFonts w:ascii="Arial" w:hAnsi="Arial" w:cs="Arial"/>
          <w:sz w:val="22"/>
          <w:szCs w:val="22"/>
        </w:rPr>
        <w:t>. Cambridge university press.</w:t>
      </w:r>
    </w:p>
    <w:p w:rsidR="00123B1A" w:rsidRPr="00C82F43" w:rsidRDefault="00123B1A" w:rsidP="00C82F43">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lastRenderedPageBreak/>
        <w:t xml:space="preserve">Glimskog, G. S. &amp; Hagman, J. K., </w:t>
      </w:r>
      <w:r w:rsidR="00C82F43">
        <w:rPr>
          <w:rFonts w:ascii="Arial" w:hAnsi="Arial" w:cs="Arial"/>
          <w:noProof/>
          <w:sz w:val="22"/>
          <w:szCs w:val="22"/>
        </w:rPr>
        <w:t>(</w:t>
      </w:r>
      <w:r w:rsidRPr="00C82F43">
        <w:rPr>
          <w:rFonts w:ascii="Arial" w:hAnsi="Arial" w:cs="Arial"/>
          <w:noProof/>
          <w:sz w:val="22"/>
          <w:szCs w:val="22"/>
        </w:rPr>
        <w:t>2015</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Scrutinizing the Barriers to Organisational Change, </w:t>
      </w:r>
      <w:r w:rsidRPr="00C82F43">
        <w:rPr>
          <w:rFonts w:ascii="Arial" w:hAnsi="Arial" w:cs="Arial"/>
          <w:noProof/>
          <w:sz w:val="22"/>
          <w:szCs w:val="22"/>
        </w:rPr>
        <w:t>Uppsala: Uppsala Univerity.</w:t>
      </w:r>
    </w:p>
    <w:p w:rsidR="00C82F43" w:rsidRPr="00C82F43" w:rsidRDefault="00C82F43" w:rsidP="00C82F43"/>
    <w:p w:rsidR="00D2637F" w:rsidRPr="00C82F43" w:rsidRDefault="00D2637F" w:rsidP="00C82F43">
      <w:pPr>
        <w:spacing w:line="360" w:lineRule="auto"/>
        <w:rPr>
          <w:rFonts w:ascii="Arial" w:hAnsi="Arial" w:cs="Arial"/>
          <w:sz w:val="22"/>
          <w:szCs w:val="22"/>
        </w:rPr>
      </w:pPr>
      <w:r w:rsidRPr="00C82F43">
        <w:rPr>
          <w:rFonts w:ascii="Arial" w:hAnsi="Arial" w:cs="Arial"/>
          <w:sz w:val="22"/>
          <w:szCs w:val="22"/>
        </w:rPr>
        <w:t xml:space="preserve">Kotter, J.P. (1995). Leading change: Why transformational efforts fail. Harvard Business Review, </w:t>
      </w:r>
      <w:r w:rsidRPr="00C82F43">
        <w:rPr>
          <w:rFonts w:ascii="Arial" w:hAnsi="Arial" w:cs="Arial"/>
          <w:sz w:val="22"/>
          <w:szCs w:val="22"/>
        </w:rPr>
        <w:br/>
        <w:t>73(2), 59–67</w:t>
      </w:r>
    </w:p>
    <w:p w:rsidR="00D2637F" w:rsidRPr="00C82F43" w:rsidRDefault="00D2637F" w:rsidP="00C82F43">
      <w:pPr>
        <w:spacing w:line="360" w:lineRule="auto"/>
        <w:rPr>
          <w:rFonts w:ascii="Arial" w:hAnsi="Arial" w:cs="Arial"/>
          <w:sz w:val="22"/>
          <w:szCs w:val="22"/>
          <w:lang w:eastAsia="en-US"/>
        </w:rPr>
      </w:pPr>
    </w:p>
    <w:p w:rsidR="00123B1A" w:rsidRDefault="00123B1A" w:rsidP="00C82F43">
      <w:pPr>
        <w:spacing w:line="360" w:lineRule="auto"/>
        <w:rPr>
          <w:rFonts w:ascii="Arial" w:hAnsi="Arial" w:cs="Arial"/>
          <w:sz w:val="22"/>
          <w:szCs w:val="22"/>
        </w:rPr>
      </w:pPr>
      <w:proofErr w:type="spellStart"/>
      <w:r w:rsidRPr="00C82F43">
        <w:rPr>
          <w:rFonts w:ascii="Arial" w:hAnsi="Arial" w:cs="Arial"/>
          <w:sz w:val="22"/>
          <w:szCs w:val="22"/>
        </w:rPr>
        <w:t>Newburry</w:t>
      </w:r>
      <w:proofErr w:type="spellEnd"/>
      <w:r w:rsidRPr="00C82F43">
        <w:rPr>
          <w:rFonts w:ascii="Arial" w:hAnsi="Arial" w:cs="Arial"/>
          <w:sz w:val="22"/>
          <w:szCs w:val="22"/>
        </w:rPr>
        <w:t xml:space="preserve">, W., </w:t>
      </w:r>
      <w:proofErr w:type="spellStart"/>
      <w:r w:rsidRPr="00C82F43">
        <w:rPr>
          <w:rFonts w:ascii="Arial" w:hAnsi="Arial" w:cs="Arial"/>
          <w:sz w:val="22"/>
          <w:szCs w:val="22"/>
        </w:rPr>
        <w:t>Deephouse</w:t>
      </w:r>
      <w:proofErr w:type="spellEnd"/>
      <w:r w:rsidRPr="00C82F43">
        <w:rPr>
          <w:rFonts w:ascii="Arial" w:hAnsi="Arial" w:cs="Arial"/>
          <w:sz w:val="22"/>
          <w:szCs w:val="22"/>
        </w:rPr>
        <w:t xml:space="preserve">, D.L. and </w:t>
      </w:r>
      <w:proofErr w:type="spellStart"/>
      <w:r w:rsidRPr="00C82F43">
        <w:rPr>
          <w:rFonts w:ascii="Arial" w:hAnsi="Arial" w:cs="Arial"/>
          <w:sz w:val="22"/>
          <w:szCs w:val="22"/>
        </w:rPr>
        <w:t>Gardberg</w:t>
      </w:r>
      <w:proofErr w:type="spellEnd"/>
      <w:r w:rsidRPr="00C82F43">
        <w:rPr>
          <w:rFonts w:ascii="Arial" w:hAnsi="Arial" w:cs="Arial"/>
          <w:sz w:val="22"/>
          <w:szCs w:val="22"/>
        </w:rPr>
        <w:t xml:space="preserve">, N.A., </w:t>
      </w:r>
      <w:r w:rsidR="00C82F43">
        <w:rPr>
          <w:rFonts w:ascii="Arial" w:hAnsi="Arial" w:cs="Arial"/>
          <w:sz w:val="22"/>
          <w:szCs w:val="22"/>
        </w:rPr>
        <w:t>(</w:t>
      </w:r>
      <w:r w:rsidRPr="00C82F43">
        <w:rPr>
          <w:rFonts w:ascii="Arial" w:hAnsi="Arial" w:cs="Arial"/>
          <w:sz w:val="22"/>
          <w:szCs w:val="22"/>
        </w:rPr>
        <w:t>2019</w:t>
      </w:r>
      <w:r w:rsidR="00C82F43">
        <w:rPr>
          <w:rFonts w:ascii="Arial" w:hAnsi="Arial" w:cs="Arial"/>
          <w:sz w:val="22"/>
          <w:szCs w:val="22"/>
        </w:rPr>
        <w:t>)</w:t>
      </w:r>
      <w:r w:rsidRPr="00C82F43">
        <w:rPr>
          <w:rFonts w:ascii="Arial" w:hAnsi="Arial" w:cs="Arial"/>
          <w:sz w:val="22"/>
          <w:szCs w:val="22"/>
        </w:rPr>
        <w:t xml:space="preserve">. </w:t>
      </w:r>
      <w:r w:rsidRPr="00C82F43">
        <w:rPr>
          <w:rFonts w:ascii="Arial" w:hAnsi="Arial" w:cs="Arial"/>
          <w:i/>
          <w:iCs/>
          <w:sz w:val="22"/>
          <w:szCs w:val="22"/>
        </w:rPr>
        <w:t>Global aspects of reputation and strategic management</w:t>
      </w:r>
      <w:r w:rsidRPr="00C82F43">
        <w:rPr>
          <w:rFonts w:ascii="Arial" w:hAnsi="Arial" w:cs="Arial"/>
          <w:sz w:val="22"/>
          <w:szCs w:val="22"/>
        </w:rPr>
        <w:t>. Emerald Publishing Limited.</w:t>
      </w:r>
    </w:p>
    <w:p w:rsidR="00C902AE" w:rsidRPr="00C82F43" w:rsidRDefault="00C902AE" w:rsidP="00C82F43">
      <w:pPr>
        <w:spacing w:line="360" w:lineRule="auto"/>
        <w:rPr>
          <w:rFonts w:ascii="Arial" w:hAnsi="Arial" w:cs="Arial"/>
          <w:sz w:val="22"/>
          <w:szCs w:val="22"/>
          <w:lang w:eastAsia="en-US"/>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Hamdo, S. S.,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Change Management Models: A Comperative Review, </w:t>
      </w:r>
      <w:r w:rsidRPr="00C82F43">
        <w:rPr>
          <w:rFonts w:ascii="Arial" w:hAnsi="Arial" w:cs="Arial"/>
          <w:noProof/>
          <w:sz w:val="22"/>
          <w:szCs w:val="22"/>
        </w:rPr>
        <w:t>Istanbul: Istanbul Okan University.</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Linstead, S. A., </w:t>
      </w:r>
      <w:r w:rsidR="00C82F43">
        <w:rPr>
          <w:rFonts w:ascii="Arial" w:hAnsi="Arial" w:cs="Arial"/>
          <w:noProof/>
          <w:sz w:val="22"/>
          <w:szCs w:val="22"/>
        </w:rPr>
        <w:t>(</w:t>
      </w:r>
      <w:r w:rsidRPr="00C82F43">
        <w:rPr>
          <w:rFonts w:ascii="Arial" w:hAnsi="Arial" w:cs="Arial"/>
          <w:noProof/>
          <w:sz w:val="22"/>
          <w:szCs w:val="22"/>
        </w:rPr>
        <w:t>2001</w:t>
      </w:r>
      <w:r w:rsidR="00C82F43">
        <w:rPr>
          <w:rFonts w:ascii="Arial" w:hAnsi="Arial" w:cs="Arial"/>
          <w:noProof/>
          <w:sz w:val="22"/>
          <w:szCs w:val="22"/>
        </w:rPr>
        <w:t>)</w:t>
      </w:r>
      <w:r w:rsidRPr="00C82F43">
        <w:rPr>
          <w:rFonts w:ascii="Arial" w:hAnsi="Arial" w:cs="Arial"/>
          <w:noProof/>
          <w:sz w:val="22"/>
          <w:szCs w:val="22"/>
        </w:rPr>
        <w:t xml:space="preserve">. Organisational Culture. In: </w:t>
      </w:r>
      <w:r w:rsidRPr="00C82F43">
        <w:rPr>
          <w:rFonts w:ascii="Arial" w:hAnsi="Arial" w:cs="Arial"/>
          <w:i/>
          <w:iCs/>
          <w:noProof/>
          <w:sz w:val="22"/>
          <w:szCs w:val="22"/>
        </w:rPr>
        <w:t xml:space="preserve">International Encyclopedia of Social and Behavioral Sciences. </w:t>
      </w:r>
      <w:r w:rsidRPr="00C82F43">
        <w:rPr>
          <w:rFonts w:ascii="Arial" w:hAnsi="Arial" w:cs="Arial"/>
          <w:noProof/>
          <w:sz w:val="22"/>
          <w:szCs w:val="22"/>
        </w:rPr>
        <w:t>York: Elsevier Science Ltd, pp. 10930-10934.</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Nelson, R. R., Winter, S., Becker, M. C. &amp; Lazaric, N., 2005. Applying organisational routines in understanding organisational change. </w:t>
      </w:r>
      <w:r w:rsidRPr="00C82F43">
        <w:rPr>
          <w:rFonts w:ascii="Arial" w:hAnsi="Arial" w:cs="Arial"/>
          <w:i/>
          <w:iCs/>
          <w:noProof/>
          <w:sz w:val="22"/>
          <w:szCs w:val="22"/>
        </w:rPr>
        <w:t xml:space="preserve">Industrial and Corporate Change, </w:t>
      </w:r>
      <w:r w:rsidRPr="00C82F43">
        <w:rPr>
          <w:rFonts w:ascii="Arial" w:hAnsi="Arial" w:cs="Arial"/>
          <w:noProof/>
          <w:sz w:val="22"/>
          <w:szCs w:val="22"/>
        </w:rPr>
        <w:t>14(5), pp. 775-791.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Obiekwe, O., Zeb-Obipi, I. &amp; Ejo-Orusa, H., </w:t>
      </w:r>
      <w:r w:rsidR="00C82F43">
        <w:rPr>
          <w:rFonts w:ascii="Arial" w:hAnsi="Arial" w:cs="Arial"/>
          <w:noProof/>
          <w:sz w:val="22"/>
          <w:szCs w:val="22"/>
        </w:rPr>
        <w:t>(</w:t>
      </w:r>
      <w:r w:rsidRPr="00C82F43">
        <w:rPr>
          <w:rFonts w:ascii="Arial" w:hAnsi="Arial" w:cs="Arial"/>
          <w:noProof/>
          <w:sz w:val="22"/>
          <w:szCs w:val="22"/>
        </w:rPr>
        <w:t>2019</w:t>
      </w:r>
      <w:r w:rsidR="00C82F43">
        <w:rPr>
          <w:rFonts w:ascii="Arial" w:hAnsi="Arial" w:cs="Arial"/>
          <w:noProof/>
          <w:sz w:val="22"/>
          <w:szCs w:val="22"/>
        </w:rPr>
        <w:t>)</w:t>
      </w:r>
      <w:r w:rsidRPr="00C82F43">
        <w:rPr>
          <w:rFonts w:ascii="Arial" w:hAnsi="Arial" w:cs="Arial"/>
          <w:noProof/>
          <w:sz w:val="22"/>
          <w:szCs w:val="22"/>
        </w:rPr>
        <w:t xml:space="preserve">. Employee Involvement in Organisations: Benefits, Challenges and Implications. </w:t>
      </w:r>
      <w:r w:rsidRPr="00C82F43">
        <w:rPr>
          <w:rFonts w:ascii="Arial" w:hAnsi="Arial" w:cs="Arial"/>
          <w:i/>
          <w:iCs/>
          <w:noProof/>
          <w:sz w:val="22"/>
          <w:szCs w:val="22"/>
        </w:rPr>
        <w:t xml:space="preserve">Management and Human Resource Research Journal, </w:t>
      </w:r>
      <w:r w:rsidRPr="00C82F43">
        <w:rPr>
          <w:rFonts w:ascii="Arial" w:hAnsi="Arial" w:cs="Arial"/>
          <w:noProof/>
          <w:sz w:val="22"/>
          <w:szCs w:val="22"/>
        </w:rPr>
        <w:t>8(8), pp. 1-11.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Odera, D. A. &amp; Muendo, D.,</w:t>
      </w:r>
      <w:r w:rsidR="00C82F43">
        <w:rPr>
          <w:rFonts w:ascii="Arial" w:hAnsi="Arial" w:cs="Arial"/>
          <w:noProof/>
          <w:sz w:val="22"/>
          <w:szCs w:val="22"/>
        </w:rPr>
        <w:t>(</w:t>
      </w:r>
      <w:r w:rsidRPr="00C82F43">
        <w:rPr>
          <w:rFonts w:ascii="Arial" w:hAnsi="Arial" w:cs="Arial"/>
          <w:noProof/>
          <w:sz w:val="22"/>
          <w:szCs w:val="22"/>
        </w:rPr>
        <w:t>2017</w:t>
      </w:r>
      <w:r w:rsidR="00C82F43">
        <w:rPr>
          <w:rFonts w:ascii="Arial" w:hAnsi="Arial" w:cs="Arial"/>
          <w:noProof/>
          <w:sz w:val="22"/>
          <w:szCs w:val="22"/>
        </w:rPr>
        <w:t>)</w:t>
      </w:r>
      <w:r w:rsidRPr="00C82F43">
        <w:rPr>
          <w:rFonts w:ascii="Arial" w:hAnsi="Arial" w:cs="Arial"/>
          <w:noProof/>
          <w:sz w:val="22"/>
          <w:szCs w:val="22"/>
        </w:rPr>
        <w:t xml:space="preserve">. Factors affecting strategic change management in the public sector: A case of the ministry of energy and petroleum. </w:t>
      </w:r>
      <w:r w:rsidRPr="00C82F43">
        <w:rPr>
          <w:rFonts w:ascii="Arial" w:hAnsi="Arial" w:cs="Arial"/>
          <w:i/>
          <w:iCs/>
          <w:noProof/>
          <w:sz w:val="22"/>
          <w:szCs w:val="22"/>
        </w:rPr>
        <w:t xml:space="preserve">The Strategic Journal of Business &amp; Change Management, </w:t>
      </w:r>
      <w:r w:rsidRPr="00C82F43">
        <w:rPr>
          <w:rFonts w:ascii="Arial" w:hAnsi="Arial" w:cs="Arial"/>
          <w:noProof/>
          <w:sz w:val="22"/>
          <w:szCs w:val="22"/>
        </w:rPr>
        <w:t xml:space="preserve">4(4), pp. </w:t>
      </w:r>
      <w:r w:rsidR="00C82F43">
        <w:rPr>
          <w:rFonts w:ascii="Arial" w:hAnsi="Arial" w:cs="Arial"/>
          <w:noProof/>
          <w:sz w:val="22"/>
          <w:szCs w:val="22"/>
        </w:rPr>
        <w:t>(</w:t>
      </w:r>
      <w:r w:rsidRPr="00C82F43">
        <w:rPr>
          <w:rFonts w:ascii="Arial" w:hAnsi="Arial" w:cs="Arial"/>
          <w:noProof/>
          <w:sz w:val="22"/>
          <w:szCs w:val="22"/>
        </w:rPr>
        <w:t>1122-1144</w:t>
      </w:r>
      <w:r w:rsidR="00C82F43">
        <w:rPr>
          <w:rFonts w:ascii="Arial" w:hAnsi="Arial" w:cs="Arial"/>
          <w:noProof/>
          <w:sz w:val="22"/>
          <w:szCs w:val="22"/>
        </w:rPr>
        <w:t>)</w:t>
      </w:r>
      <w:r w:rsidRPr="00C82F43">
        <w:rPr>
          <w:rFonts w:ascii="Arial" w:hAnsi="Arial" w:cs="Arial"/>
          <w:noProof/>
          <w:sz w:val="22"/>
          <w:szCs w:val="22"/>
        </w:rPr>
        <w:t>.</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Odor, H. O., </w:t>
      </w:r>
      <w:r w:rsidR="00C82F43">
        <w:rPr>
          <w:rFonts w:ascii="Arial" w:hAnsi="Arial" w:cs="Arial"/>
          <w:noProof/>
          <w:sz w:val="22"/>
          <w:szCs w:val="22"/>
        </w:rPr>
        <w:t>(</w:t>
      </w:r>
      <w:r w:rsidRPr="00C82F43">
        <w:rPr>
          <w:rFonts w:ascii="Arial" w:hAnsi="Arial" w:cs="Arial"/>
          <w:noProof/>
          <w:sz w:val="22"/>
          <w:szCs w:val="22"/>
        </w:rPr>
        <w:t>2018</w:t>
      </w:r>
      <w:r w:rsidR="00C82F43">
        <w:rPr>
          <w:rFonts w:ascii="Arial" w:hAnsi="Arial" w:cs="Arial"/>
          <w:noProof/>
          <w:sz w:val="22"/>
          <w:szCs w:val="22"/>
        </w:rPr>
        <w:t>)</w:t>
      </w:r>
      <w:r w:rsidRPr="00C82F43">
        <w:rPr>
          <w:rFonts w:ascii="Arial" w:hAnsi="Arial" w:cs="Arial"/>
          <w:noProof/>
          <w:sz w:val="22"/>
          <w:szCs w:val="22"/>
        </w:rPr>
        <w:t xml:space="preserve">. Organisational Change and Development. </w:t>
      </w:r>
      <w:r w:rsidRPr="00C82F43">
        <w:rPr>
          <w:rFonts w:ascii="Arial" w:hAnsi="Arial" w:cs="Arial"/>
          <w:i/>
          <w:iCs/>
          <w:noProof/>
          <w:sz w:val="22"/>
          <w:szCs w:val="22"/>
        </w:rPr>
        <w:t xml:space="preserve">European Journal of Business and Management , </w:t>
      </w:r>
      <w:r w:rsidRPr="00C82F43">
        <w:rPr>
          <w:rFonts w:ascii="Arial" w:hAnsi="Arial" w:cs="Arial"/>
          <w:noProof/>
          <w:sz w:val="22"/>
          <w:szCs w:val="22"/>
        </w:rPr>
        <w:t>10(7), pp. 58-66.</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Pollack, J. &amp; Pollack, R., </w:t>
      </w:r>
      <w:r w:rsidR="00C82F43">
        <w:rPr>
          <w:rFonts w:ascii="Arial" w:hAnsi="Arial" w:cs="Arial"/>
          <w:noProof/>
          <w:sz w:val="22"/>
          <w:szCs w:val="22"/>
        </w:rPr>
        <w:t>(</w:t>
      </w:r>
      <w:r w:rsidRPr="00C82F43">
        <w:rPr>
          <w:rFonts w:ascii="Arial" w:hAnsi="Arial" w:cs="Arial"/>
          <w:noProof/>
          <w:sz w:val="22"/>
          <w:szCs w:val="22"/>
        </w:rPr>
        <w:t>2014</w:t>
      </w:r>
      <w:r w:rsidR="00C82F43">
        <w:rPr>
          <w:rFonts w:ascii="Arial" w:hAnsi="Arial" w:cs="Arial"/>
          <w:noProof/>
          <w:sz w:val="22"/>
          <w:szCs w:val="22"/>
        </w:rPr>
        <w:t>)</w:t>
      </w:r>
      <w:r w:rsidRPr="00C82F43">
        <w:rPr>
          <w:rFonts w:ascii="Arial" w:hAnsi="Arial" w:cs="Arial"/>
          <w:noProof/>
          <w:sz w:val="22"/>
          <w:szCs w:val="22"/>
        </w:rPr>
        <w:t xml:space="preserve">. Using Kotter's Eight Stage Process to Manage an Organisational Change Program: Presentation and Practice. </w:t>
      </w:r>
      <w:r w:rsidRPr="00C82F43">
        <w:rPr>
          <w:rFonts w:ascii="Arial" w:hAnsi="Arial" w:cs="Arial"/>
          <w:i/>
          <w:iCs/>
          <w:noProof/>
          <w:sz w:val="22"/>
          <w:szCs w:val="22"/>
        </w:rPr>
        <w:t xml:space="preserve">Systematic practice and Action Research, </w:t>
      </w:r>
      <w:r w:rsidRPr="00C82F43">
        <w:rPr>
          <w:rFonts w:ascii="Arial" w:hAnsi="Arial" w:cs="Arial"/>
          <w:noProof/>
          <w:sz w:val="22"/>
          <w:szCs w:val="22"/>
        </w:rPr>
        <w:t>28(1), pp. 1-16.</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lastRenderedPageBreak/>
        <w:t xml:space="preserve">Ramasamy, R. &amp; Ganesan, R., </w:t>
      </w:r>
      <w:r w:rsidR="00C82F43">
        <w:rPr>
          <w:rFonts w:ascii="Arial" w:hAnsi="Arial" w:cs="Arial"/>
          <w:noProof/>
          <w:sz w:val="22"/>
          <w:szCs w:val="22"/>
        </w:rPr>
        <w:t>(</w:t>
      </w:r>
      <w:r w:rsidRPr="00C82F43">
        <w:rPr>
          <w:rFonts w:ascii="Arial" w:hAnsi="Arial" w:cs="Arial"/>
          <w:noProof/>
          <w:sz w:val="22"/>
          <w:szCs w:val="22"/>
        </w:rPr>
        <w:t>2017</w:t>
      </w:r>
      <w:r w:rsidR="00C82F43">
        <w:rPr>
          <w:rFonts w:ascii="Arial" w:hAnsi="Arial" w:cs="Arial"/>
          <w:noProof/>
          <w:sz w:val="22"/>
          <w:szCs w:val="22"/>
        </w:rPr>
        <w:t>)</w:t>
      </w:r>
      <w:r w:rsidRPr="00C82F43">
        <w:rPr>
          <w:rFonts w:ascii="Arial" w:hAnsi="Arial" w:cs="Arial"/>
          <w:noProof/>
          <w:sz w:val="22"/>
          <w:szCs w:val="22"/>
        </w:rPr>
        <w:t xml:space="preserve">. A critical analysis of John P. Kotter's change management framework. </w:t>
      </w:r>
      <w:r w:rsidRPr="00C82F43">
        <w:rPr>
          <w:rFonts w:ascii="Arial" w:hAnsi="Arial" w:cs="Arial"/>
          <w:i/>
          <w:iCs/>
          <w:noProof/>
          <w:sz w:val="22"/>
          <w:szCs w:val="22"/>
        </w:rPr>
        <w:t xml:space="preserve">Asian Journal of Research in Business Economics and Management, </w:t>
      </w:r>
      <w:r w:rsidRPr="00C82F43">
        <w:rPr>
          <w:rFonts w:ascii="Arial" w:hAnsi="Arial" w:cs="Arial"/>
          <w:noProof/>
          <w:sz w:val="22"/>
          <w:szCs w:val="22"/>
        </w:rPr>
        <w:t>7(7), pp. 181-203.</w:t>
      </w:r>
    </w:p>
    <w:p w:rsidR="00C902AE" w:rsidRPr="00C902AE" w:rsidRDefault="00C902AE" w:rsidP="00C902AE"/>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Revenio, C. &amp; Jalaget, J., 2015. The Impact of Chenge and Management in Achieving Corporate Goals and Objectives: Organisational Perspective. </w:t>
      </w:r>
      <w:r w:rsidRPr="00C82F43">
        <w:rPr>
          <w:rFonts w:ascii="Arial" w:hAnsi="Arial" w:cs="Arial"/>
          <w:i/>
          <w:iCs/>
          <w:noProof/>
          <w:sz w:val="22"/>
          <w:szCs w:val="22"/>
        </w:rPr>
        <w:t xml:space="preserve">International Journal of Science and Research (IJSR), </w:t>
      </w:r>
      <w:r w:rsidRPr="00C82F43">
        <w:rPr>
          <w:rFonts w:ascii="Arial" w:hAnsi="Arial" w:cs="Arial"/>
          <w:noProof/>
          <w:sz w:val="22"/>
          <w:szCs w:val="22"/>
        </w:rPr>
        <w:t xml:space="preserve">5(11), pp. </w:t>
      </w:r>
      <w:r w:rsidR="00C82F43">
        <w:rPr>
          <w:rFonts w:ascii="Arial" w:hAnsi="Arial" w:cs="Arial"/>
          <w:noProof/>
          <w:sz w:val="22"/>
          <w:szCs w:val="22"/>
        </w:rPr>
        <w:t>(</w:t>
      </w:r>
      <w:r w:rsidRPr="00C82F43">
        <w:rPr>
          <w:rFonts w:ascii="Arial" w:hAnsi="Arial" w:cs="Arial"/>
          <w:noProof/>
          <w:sz w:val="22"/>
          <w:szCs w:val="22"/>
        </w:rPr>
        <w:t>1233-1239</w:t>
      </w:r>
      <w:r w:rsidR="00C82F43">
        <w:rPr>
          <w:rFonts w:ascii="Arial" w:hAnsi="Arial" w:cs="Arial"/>
          <w:noProof/>
          <w:sz w:val="22"/>
          <w:szCs w:val="22"/>
        </w:rPr>
        <w:t>)</w:t>
      </w:r>
      <w:r w:rsidRPr="00C82F43">
        <w:rPr>
          <w:rFonts w:ascii="Arial" w:hAnsi="Arial" w:cs="Arial"/>
          <w:noProof/>
          <w:sz w:val="22"/>
          <w:szCs w:val="22"/>
        </w:rPr>
        <w:t>.</w:t>
      </w:r>
    </w:p>
    <w:p w:rsidR="00C82F43" w:rsidRPr="00C82F43" w:rsidRDefault="00C82F43" w:rsidP="00C82F43"/>
    <w:p w:rsidR="008C70A5" w:rsidRDefault="008C70A5" w:rsidP="00C82F43">
      <w:pPr>
        <w:spacing w:line="360" w:lineRule="auto"/>
        <w:rPr>
          <w:rStyle w:val="selectable"/>
          <w:rFonts w:ascii="Arial" w:hAnsi="Arial" w:cs="Arial"/>
          <w:color w:val="000000"/>
          <w:sz w:val="22"/>
          <w:szCs w:val="22"/>
        </w:rPr>
      </w:pPr>
      <w:r w:rsidRPr="00C82F43">
        <w:rPr>
          <w:rStyle w:val="selectable"/>
          <w:rFonts w:ascii="Arial" w:hAnsi="Arial" w:cs="Arial"/>
          <w:color w:val="000000"/>
          <w:sz w:val="22"/>
          <w:szCs w:val="22"/>
        </w:rPr>
        <w:t xml:space="preserve">Silverstein, K.,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w:t>
      </w:r>
      <w:r w:rsidRPr="00C82F43">
        <w:rPr>
          <w:rStyle w:val="selectable"/>
          <w:rFonts w:ascii="Arial" w:hAnsi="Arial" w:cs="Arial"/>
          <w:i/>
          <w:iCs/>
          <w:color w:val="000000"/>
          <w:sz w:val="22"/>
          <w:szCs w:val="22"/>
        </w:rPr>
        <w:t>Fortescue Metals Group</w:t>
      </w:r>
      <w:r w:rsidRPr="00C82F43">
        <w:rPr>
          <w:rStyle w:val="selectable"/>
          <w:rFonts w:ascii="Arial" w:hAnsi="Arial" w:cs="Arial"/>
          <w:color w:val="000000"/>
          <w:sz w:val="22"/>
          <w:szCs w:val="22"/>
        </w:rPr>
        <w:t xml:space="preserve">. [online] Forbes. Available at: &lt;https://www.forbes.com/companies/fortescue-metals-group/?sh=5303a5e42bd3&gt; [Accessed 24 November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w:t>
      </w:r>
    </w:p>
    <w:p w:rsidR="00C82F43" w:rsidRPr="00C82F43" w:rsidRDefault="00C82F43" w:rsidP="00C82F43">
      <w:pPr>
        <w:spacing w:line="360" w:lineRule="auto"/>
        <w:rPr>
          <w:rFonts w:ascii="Arial" w:hAnsi="Arial" w:cs="Arial"/>
          <w:sz w:val="22"/>
          <w:szCs w:val="22"/>
        </w:rPr>
      </w:pPr>
    </w:p>
    <w:p w:rsidR="009303F0" w:rsidRPr="00C82F43"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Suranga, M., </w:t>
      </w:r>
      <w:r w:rsidR="00C82F43">
        <w:rPr>
          <w:rFonts w:ascii="Arial" w:hAnsi="Arial" w:cs="Arial"/>
          <w:noProof/>
          <w:sz w:val="22"/>
          <w:szCs w:val="22"/>
        </w:rPr>
        <w:t>(</w:t>
      </w:r>
      <w:r w:rsidRPr="00C82F43">
        <w:rPr>
          <w:rFonts w:ascii="Arial" w:hAnsi="Arial" w:cs="Arial"/>
          <w:noProof/>
          <w:sz w:val="22"/>
          <w:szCs w:val="22"/>
        </w:rPr>
        <w:t>2014</w:t>
      </w:r>
      <w:r w:rsidR="00C82F43">
        <w:rPr>
          <w:rFonts w:ascii="Arial" w:hAnsi="Arial" w:cs="Arial"/>
          <w:noProof/>
          <w:sz w:val="22"/>
          <w:szCs w:val="22"/>
        </w:rPr>
        <w:t>)</w:t>
      </w:r>
      <w:r w:rsidRPr="00C82F43">
        <w:rPr>
          <w:rFonts w:ascii="Arial" w:hAnsi="Arial" w:cs="Arial"/>
          <w:noProof/>
          <w:sz w:val="22"/>
          <w:szCs w:val="22"/>
        </w:rPr>
        <w:t xml:space="preserve">. Importance of Corporate Vision. </w:t>
      </w:r>
      <w:r w:rsidRPr="00C82F43">
        <w:rPr>
          <w:rFonts w:ascii="Arial" w:hAnsi="Arial" w:cs="Arial"/>
          <w:i/>
          <w:iCs/>
          <w:noProof/>
          <w:sz w:val="22"/>
          <w:szCs w:val="22"/>
        </w:rPr>
        <w:t xml:space="preserve">Strategic Management, </w:t>
      </w:r>
      <w:r w:rsidRPr="00C82F43">
        <w:rPr>
          <w:rFonts w:ascii="Arial" w:hAnsi="Arial" w:cs="Arial"/>
          <w:noProof/>
          <w:sz w:val="22"/>
          <w:szCs w:val="22"/>
        </w:rPr>
        <w:t>1(1), pp. 34-40.</w:t>
      </w: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Tripathy, M., </w:t>
      </w:r>
      <w:r w:rsidR="00C82F43">
        <w:rPr>
          <w:rFonts w:ascii="Arial" w:hAnsi="Arial" w:cs="Arial"/>
          <w:noProof/>
          <w:sz w:val="22"/>
          <w:szCs w:val="22"/>
        </w:rPr>
        <w:t>(</w:t>
      </w:r>
      <w:r w:rsidRPr="00C82F43">
        <w:rPr>
          <w:rFonts w:ascii="Arial" w:hAnsi="Arial" w:cs="Arial"/>
          <w:noProof/>
          <w:sz w:val="22"/>
          <w:szCs w:val="22"/>
        </w:rPr>
        <w:t>2018</w:t>
      </w:r>
      <w:r w:rsidR="00C82F43">
        <w:rPr>
          <w:rFonts w:ascii="Arial" w:hAnsi="Arial" w:cs="Arial"/>
          <w:noProof/>
          <w:sz w:val="22"/>
          <w:szCs w:val="22"/>
        </w:rPr>
        <w:t>)</w:t>
      </w:r>
      <w:r w:rsidRPr="00C82F43">
        <w:rPr>
          <w:rFonts w:ascii="Arial" w:hAnsi="Arial" w:cs="Arial"/>
          <w:noProof/>
          <w:sz w:val="22"/>
          <w:szCs w:val="22"/>
        </w:rPr>
        <w:t xml:space="preserve">. Building Quality Teamwork to Achieve Excellence in Business Organisations. </w:t>
      </w:r>
      <w:r w:rsidRPr="00C82F43">
        <w:rPr>
          <w:rFonts w:ascii="Arial" w:hAnsi="Arial" w:cs="Arial"/>
          <w:i/>
          <w:iCs/>
          <w:noProof/>
          <w:sz w:val="22"/>
          <w:szCs w:val="22"/>
        </w:rPr>
        <w:t xml:space="preserve">International Research Journal of Management, IT &amp; Socail Sciences, </w:t>
      </w:r>
      <w:r w:rsidRPr="00C82F43">
        <w:rPr>
          <w:rFonts w:ascii="Arial" w:hAnsi="Arial" w:cs="Arial"/>
          <w:noProof/>
          <w:sz w:val="22"/>
          <w:szCs w:val="22"/>
        </w:rPr>
        <w:t>5(3), pp. 1-7.</w:t>
      </w:r>
    </w:p>
    <w:p w:rsidR="00C82F43" w:rsidRPr="00C82F43" w:rsidRDefault="00C82F43" w:rsidP="00C82F43"/>
    <w:p w:rsidR="009303F0" w:rsidRPr="00C82F43"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United Nations, </w:t>
      </w:r>
      <w:r w:rsidR="00C82F43">
        <w:rPr>
          <w:rFonts w:ascii="Arial" w:hAnsi="Arial" w:cs="Arial"/>
          <w:noProof/>
          <w:sz w:val="22"/>
          <w:szCs w:val="22"/>
        </w:rPr>
        <w:t>(</w:t>
      </w:r>
      <w:r w:rsidRPr="00C82F43">
        <w:rPr>
          <w:rFonts w:ascii="Arial" w:hAnsi="Arial" w:cs="Arial"/>
          <w:noProof/>
          <w:sz w:val="22"/>
          <w:szCs w:val="22"/>
        </w:rPr>
        <w:t>1992</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United Nations Framework Convention of Climate Change, </w:t>
      </w:r>
      <w:r w:rsidRPr="00C82F43">
        <w:rPr>
          <w:rFonts w:ascii="Arial" w:hAnsi="Arial" w:cs="Arial"/>
          <w:noProof/>
          <w:sz w:val="22"/>
          <w:szCs w:val="22"/>
        </w:rPr>
        <w:t>s.l.: United Nations.</w:t>
      </w:r>
    </w:p>
    <w:sectPr w:rsidR="009303F0" w:rsidRPr="00C82F4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2B48" w:rsidRDefault="00BA2B48" w:rsidP="00411B4C">
      <w:r>
        <w:separator/>
      </w:r>
    </w:p>
  </w:endnote>
  <w:endnote w:type="continuationSeparator" w:id="0">
    <w:p w:rsidR="00BA2B48" w:rsidRDefault="00BA2B48" w:rsidP="00411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2B48" w:rsidRDefault="00BA2B48" w:rsidP="00411B4C">
      <w:r>
        <w:separator/>
      </w:r>
    </w:p>
  </w:footnote>
  <w:footnote w:type="continuationSeparator" w:id="0">
    <w:p w:rsidR="00BA2B48" w:rsidRDefault="00BA2B48" w:rsidP="00411B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8962609"/>
      <w:docPartObj>
        <w:docPartGallery w:val="Page Numbers (Top of Page)"/>
        <w:docPartUnique/>
      </w:docPartObj>
    </w:sdtPr>
    <w:sdtEndPr>
      <w:rPr>
        <w:noProof/>
      </w:rPr>
    </w:sdtEndPr>
    <w:sdtContent>
      <w:p w:rsidR="00411B4C" w:rsidRPr="00411B4C" w:rsidRDefault="00411B4C">
        <w:pPr>
          <w:pStyle w:val="Header"/>
          <w:jc w:val="right"/>
        </w:pPr>
        <w:r w:rsidRPr="00411B4C">
          <w:fldChar w:fldCharType="begin"/>
        </w:r>
        <w:r w:rsidRPr="00411B4C">
          <w:instrText xml:space="preserve"> PAGE   \* MERGEFORMAT </w:instrText>
        </w:r>
        <w:r w:rsidRPr="00411B4C">
          <w:fldChar w:fldCharType="separate"/>
        </w:r>
        <w:r>
          <w:rPr>
            <w:noProof/>
          </w:rPr>
          <w:t>23</w:t>
        </w:r>
        <w:r w:rsidRPr="00411B4C">
          <w:rPr>
            <w:noProof/>
          </w:rPr>
          <w:fldChar w:fldCharType="end"/>
        </w:r>
      </w:p>
    </w:sdtContent>
  </w:sdt>
  <w:p w:rsidR="00411B4C" w:rsidRDefault="00411B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11921"/>
    <w:multiLevelType w:val="hybridMultilevel"/>
    <w:tmpl w:val="D34A7664"/>
    <w:lvl w:ilvl="0" w:tplc="3E8011EE">
      <w:start w:val="1"/>
      <w:numFmt w:val="decimal"/>
      <w:lvlText w:val="%1."/>
      <w:lvlJc w:val="left"/>
      <w:pPr>
        <w:ind w:left="3762" w:hanging="360"/>
      </w:p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abstractNum w:abstractNumId="1" w15:restartNumberingAfterBreak="0">
    <w:nsid w:val="32D3788C"/>
    <w:multiLevelType w:val="hybridMultilevel"/>
    <w:tmpl w:val="5694DEBE"/>
    <w:lvl w:ilvl="0" w:tplc="A22A8F16">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7BE"/>
    <w:rsid w:val="000059D3"/>
    <w:rsid w:val="00027004"/>
    <w:rsid w:val="00027D42"/>
    <w:rsid w:val="0004581F"/>
    <w:rsid w:val="00051F01"/>
    <w:rsid w:val="00093D52"/>
    <w:rsid w:val="000A0BEE"/>
    <w:rsid w:val="000A7E0B"/>
    <w:rsid w:val="000F58B9"/>
    <w:rsid w:val="000F5DAC"/>
    <w:rsid w:val="00104320"/>
    <w:rsid w:val="001217B4"/>
    <w:rsid w:val="00121A7D"/>
    <w:rsid w:val="00123B1A"/>
    <w:rsid w:val="00127473"/>
    <w:rsid w:val="00134459"/>
    <w:rsid w:val="00135ECA"/>
    <w:rsid w:val="001423AC"/>
    <w:rsid w:val="001444BE"/>
    <w:rsid w:val="00167247"/>
    <w:rsid w:val="00171D57"/>
    <w:rsid w:val="0017514E"/>
    <w:rsid w:val="001967A4"/>
    <w:rsid w:val="001B5C0C"/>
    <w:rsid w:val="001C39B7"/>
    <w:rsid w:val="001E32D2"/>
    <w:rsid w:val="002261D0"/>
    <w:rsid w:val="002319C0"/>
    <w:rsid w:val="0024262B"/>
    <w:rsid w:val="00251797"/>
    <w:rsid w:val="002531CA"/>
    <w:rsid w:val="0025632E"/>
    <w:rsid w:val="00263BAB"/>
    <w:rsid w:val="0026650B"/>
    <w:rsid w:val="002A065E"/>
    <w:rsid w:val="002A4F38"/>
    <w:rsid w:val="002B2912"/>
    <w:rsid w:val="002D1A42"/>
    <w:rsid w:val="002D2736"/>
    <w:rsid w:val="002E770A"/>
    <w:rsid w:val="00301D1C"/>
    <w:rsid w:val="00301F75"/>
    <w:rsid w:val="0032212E"/>
    <w:rsid w:val="003342F4"/>
    <w:rsid w:val="00336AE6"/>
    <w:rsid w:val="00341750"/>
    <w:rsid w:val="0034278F"/>
    <w:rsid w:val="00344315"/>
    <w:rsid w:val="00366F9B"/>
    <w:rsid w:val="003739C4"/>
    <w:rsid w:val="0037607E"/>
    <w:rsid w:val="003906A4"/>
    <w:rsid w:val="003B307F"/>
    <w:rsid w:val="003B563A"/>
    <w:rsid w:val="003D70E7"/>
    <w:rsid w:val="003F3205"/>
    <w:rsid w:val="003F5C77"/>
    <w:rsid w:val="00411B4C"/>
    <w:rsid w:val="0042239E"/>
    <w:rsid w:val="00446CA0"/>
    <w:rsid w:val="00461064"/>
    <w:rsid w:val="00475DB9"/>
    <w:rsid w:val="00480E1B"/>
    <w:rsid w:val="00484AD5"/>
    <w:rsid w:val="00490786"/>
    <w:rsid w:val="004A19F5"/>
    <w:rsid w:val="004D228E"/>
    <w:rsid w:val="004D31A4"/>
    <w:rsid w:val="004E3DF0"/>
    <w:rsid w:val="004E4CBE"/>
    <w:rsid w:val="00505C31"/>
    <w:rsid w:val="00532293"/>
    <w:rsid w:val="00535BF8"/>
    <w:rsid w:val="00543252"/>
    <w:rsid w:val="00544637"/>
    <w:rsid w:val="00581918"/>
    <w:rsid w:val="00587078"/>
    <w:rsid w:val="0059060D"/>
    <w:rsid w:val="005A30CD"/>
    <w:rsid w:val="005A4253"/>
    <w:rsid w:val="005B4F5A"/>
    <w:rsid w:val="005B4F98"/>
    <w:rsid w:val="005C6E83"/>
    <w:rsid w:val="005D3250"/>
    <w:rsid w:val="005D6282"/>
    <w:rsid w:val="005F019A"/>
    <w:rsid w:val="005F0DD3"/>
    <w:rsid w:val="006055B8"/>
    <w:rsid w:val="00614873"/>
    <w:rsid w:val="00617015"/>
    <w:rsid w:val="006214E8"/>
    <w:rsid w:val="0062604C"/>
    <w:rsid w:val="006337E5"/>
    <w:rsid w:val="00634E86"/>
    <w:rsid w:val="0063722F"/>
    <w:rsid w:val="00641DA0"/>
    <w:rsid w:val="006512AA"/>
    <w:rsid w:val="00653377"/>
    <w:rsid w:val="00675A81"/>
    <w:rsid w:val="006968BA"/>
    <w:rsid w:val="006A6E80"/>
    <w:rsid w:val="006B0974"/>
    <w:rsid w:val="006B177E"/>
    <w:rsid w:val="006C114E"/>
    <w:rsid w:val="006D3AF4"/>
    <w:rsid w:val="006E22B2"/>
    <w:rsid w:val="006E5D6F"/>
    <w:rsid w:val="006E75DE"/>
    <w:rsid w:val="00705400"/>
    <w:rsid w:val="00707359"/>
    <w:rsid w:val="00721DAD"/>
    <w:rsid w:val="0074283E"/>
    <w:rsid w:val="007637D0"/>
    <w:rsid w:val="0076735C"/>
    <w:rsid w:val="00776429"/>
    <w:rsid w:val="0078065F"/>
    <w:rsid w:val="00793D92"/>
    <w:rsid w:val="007A058B"/>
    <w:rsid w:val="007A6278"/>
    <w:rsid w:val="007A7ADB"/>
    <w:rsid w:val="007B02CF"/>
    <w:rsid w:val="007D58E4"/>
    <w:rsid w:val="007D5C4C"/>
    <w:rsid w:val="007E64CC"/>
    <w:rsid w:val="007F13CB"/>
    <w:rsid w:val="007F1C86"/>
    <w:rsid w:val="008005D2"/>
    <w:rsid w:val="00803CDB"/>
    <w:rsid w:val="008043E3"/>
    <w:rsid w:val="00804C3D"/>
    <w:rsid w:val="00836BB5"/>
    <w:rsid w:val="00841D8C"/>
    <w:rsid w:val="00852A0A"/>
    <w:rsid w:val="008729CD"/>
    <w:rsid w:val="00881BA3"/>
    <w:rsid w:val="008864AF"/>
    <w:rsid w:val="00890300"/>
    <w:rsid w:val="008945B6"/>
    <w:rsid w:val="008A1976"/>
    <w:rsid w:val="008C208B"/>
    <w:rsid w:val="008C22FB"/>
    <w:rsid w:val="008C70A5"/>
    <w:rsid w:val="008D4FE8"/>
    <w:rsid w:val="008E27A5"/>
    <w:rsid w:val="009068DE"/>
    <w:rsid w:val="009155A6"/>
    <w:rsid w:val="00917CA9"/>
    <w:rsid w:val="009303F0"/>
    <w:rsid w:val="00931740"/>
    <w:rsid w:val="00942A25"/>
    <w:rsid w:val="00944B76"/>
    <w:rsid w:val="00965F9A"/>
    <w:rsid w:val="0096795D"/>
    <w:rsid w:val="00970650"/>
    <w:rsid w:val="009854BF"/>
    <w:rsid w:val="009B57C4"/>
    <w:rsid w:val="009C27BE"/>
    <w:rsid w:val="009D3C69"/>
    <w:rsid w:val="009D575E"/>
    <w:rsid w:val="009F3BC8"/>
    <w:rsid w:val="00A01151"/>
    <w:rsid w:val="00A03B57"/>
    <w:rsid w:val="00A2306E"/>
    <w:rsid w:val="00A30928"/>
    <w:rsid w:val="00A648C8"/>
    <w:rsid w:val="00A83AD0"/>
    <w:rsid w:val="00A90B8A"/>
    <w:rsid w:val="00AA1C72"/>
    <w:rsid w:val="00AB2EF1"/>
    <w:rsid w:val="00AB637C"/>
    <w:rsid w:val="00AC1CF8"/>
    <w:rsid w:val="00AD293C"/>
    <w:rsid w:val="00AF063A"/>
    <w:rsid w:val="00AF1ABF"/>
    <w:rsid w:val="00AF310C"/>
    <w:rsid w:val="00AF6F70"/>
    <w:rsid w:val="00B03185"/>
    <w:rsid w:val="00B10F91"/>
    <w:rsid w:val="00B12D94"/>
    <w:rsid w:val="00B14B84"/>
    <w:rsid w:val="00B1777F"/>
    <w:rsid w:val="00B221EC"/>
    <w:rsid w:val="00B31E51"/>
    <w:rsid w:val="00B36E5E"/>
    <w:rsid w:val="00B37175"/>
    <w:rsid w:val="00B40E68"/>
    <w:rsid w:val="00B434F0"/>
    <w:rsid w:val="00B456C0"/>
    <w:rsid w:val="00B669B3"/>
    <w:rsid w:val="00B71EDE"/>
    <w:rsid w:val="00B765C1"/>
    <w:rsid w:val="00B76993"/>
    <w:rsid w:val="00B835E6"/>
    <w:rsid w:val="00B870A5"/>
    <w:rsid w:val="00BA0635"/>
    <w:rsid w:val="00BA1453"/>
    <w:rsid w:val="00BA1D3C"/>
    <w:rsid w:val="00BA2B48"/>
    <w:rsid w:val="00BA37B0"/>
    <w:rsid w:val="00BB5F9F"/>
    <w:rsid w:val="00BB655C"/>
    <w:rsid w:val="00BC65D4"/>
    <w:rsid w:val="00BC76FE"/>
    <w:rsid w:val="00BD4DF0"/>
    <w:rsid w:val="00BD52D3"/>
    <w:rsid w:val="00BE0383"/>
    <w:rsid w:val="00BF54D4"/>
    <w:rsid w:val="00C22844"/>
    <w:rsid w:val="00C30F26"/>
    <w:rsid w:val="00C4115A"/>
    <w:rsid w:val="00C57482"/>
    <w:rsid w:val="00C82F43"/>
    <w:rsid w:val="00C902AE"/>
    <w:rsid w:val="00CC32C1"/>
    <w:rsid w:val="00CD12E7"/>
    <w:rsid w:val="00CE14B5"/>
    <w:rsid w:val="00CE3862"/>
    <w:rsid w:val="00CF1BE7"/>
    <w:rsid w:val="00CF32FE"/>
    <w:rsid w:val="00CF413D"/>
    <w:rsid w:val="00D2637F"/>
    <w:rsid w:val="00D636CA"/>
    <w:rsid w:val="00D65A2F"/>
    <w:rsid w:val="00D70E31"/>
    <w:rsid w:val="00D85355"/>
    <w:rsid w:val="00D86EA0"/>
    <w:rsid w:val="00DA6762"/>
    <w:rsid w:val="00DD1176"/>
    <w:rsid w:val="00DD495B"/>
    <w:rsid w:val="00DE0EB5"/>
    <w:rsid w:val="00DE5BE1"/>
    <w:rsid w:val="00DE68CF"/>
    <w:rsid w:val="00DF6833"/>
    <w:rsid w:val="00E01C47"/>
    <w:rsid w:val="00E03453"/>
    <w:rsid w:val="00E109E5"/>
    <w:rsid w:val="00E14640"/>
    <w:rsid w:val="00E209E6"/>
    <w:rsid w:val="00E276E2"/>
    <w:rsid w:val="00E465DE"/>
    <w:rsid w:val="00E52560"/>
    <w:rsid w:val="00E55B86"/>
    <w:rsid w:val="00E571CD"/>
    <w:rsid w:val="00E577D0"/>
    <w:rsid w:val="00E631A1"/>
    <w:rsid w:val="00E8162C"/>
    <w:rsid w:val="00EA54FB"/>
    <w:rsid w:val="00EC5AC6"/>
    <w:rsid w:val="00ED2520"/>
    <w:rsid w:val="00ED7500"/>
    <w:rsid w:val="00EF15E7"/>
    <w:rsid w:val="00F16861"/>
    <w:rsid w:val="00F33EC7"/>
    <w:rsid w:val="00F41A13"/>
    <w:rsid w:val="00F64251"/>
    <w:rsid w:val="00F917C2"/>
    <w:rsid w:val="00F94E98"/>
    <w:rsid w:val="00F956C4"/>
    <w:rsid w:val="00F9728B"/>
    <w:rsid w:val="00FA0EA6"/>
    <w:rsid w:val="00FA2FC6"/>
    <w:rsid w:val="00FA48FA"/>
    <w:rsid w:val="00FC4643"/>
    <w:rsid w:val="00FC5C96"/>
    <w:rsid w:val="00FF11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BD1BB"/>
  <w15:chartTrackingRefBased/>
  <w15:docId w15:val="{61685901-B944-4D45-B9AC-68F6B059A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1A"/>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C82F43"/>
    <w:pPr>
      <w:keepNext/>
      <w:keepLines/>
      <w:numPr>
        <w:numId w:val="2"/>
      </w:numPr>
      <w:spacing w:before="480" w:after="240" w:line="36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11B4C"/>
    <w:pPr>
      <w:keepNext/>
      <w:keepLines/>
      <w:spacing w:before="280" w:after="2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F43"/>
    <w:rPr>
      <w:rFonts w:ascii="Times New Roman" w:eastAsiaTheme="majorEastAsia" w:hAnsi="Times New Roman" w:cstheme="majorBidi"/>
      <w:b/>
      <w:sz w:val="24"/>
      <w:szCs w:val="32"/>
      <w:lang w:val="en-GB" w:eastAsia="en-GB"/>
    </w:rPr>
  </w:style>
  <w:style w:type="paragraph" w:styleId="Bibliography">
    <w:name w:val="Bibliography"/>
    <w:basedOn w:val="Normal"/>
    <w:next w:val="Normal"/>
    <w:uiPriority w:val="37"/>
    <w:unhideWhenUsed/>
    <w:rsid w:val="009303F0"/>
  </w:style>
  <w:style w:type="paragraph" w:styleId="Header">
    <w:name w:val="header"/>
    <w:basedOn w:val="Normal"/>
    <w:link w:val="HeaderChar"/>
    <w:uiPriority w:val="99"/>
    <w:unhideWhenUsed/>
    <w:rsid w:val="00411B4C"/>
    <w:pPr>
      <w:tabs>
        <w:tab w:val="center" w:pos="4680"/>
        <w:tab w:val="right" w:pos="9360"/>
      </w:tabs>
    </w:pPr>
  </w:style>
  <w:style w:type="character" w:customStyle="1" w:styleId="HeaderChar">
    <w:name w:val="Header Char"/>
    <w:basedOn w:val="DefaultParagraphFont"/>
    <w:link w:val="Header"/>
    <w:uiPriority w:val="99"/>
    <w:rsid w:val="00411B4C"/>
  </w:style>
  <w:style w:type="paragraph" w:styleId="Footer">
    <w:name w:val="footer"/>
    <w:basedOn w:val="Normal"/>
    <w:link w:val="FooterChar"/>
    <w:uiPriority w:val="99"/>
    <w:unhideWhenUsed/>
    <w:rsid w:val="00411B4C"/>
    <w:pPr>
      <w:tabs>
        <w:tab w:val="center" w:pos="4680"/>
        <w:tab w:val="right" w:pos="9360"/>
      </w:tabs>
    </w:pPr>
  </w:style>
  <w:style w:type="character" w:customStyle="1" w:styleId="FooterChar">
    <w:name w:val="Footer Char"/>
    <w:basedOn w:val="DefaultParagraphFont"/>
    <w:link w:val="Footer"/>
    <w:uiPriority w:val="99"/>
    <w:rsid w:val="00411B4C"/>
  </w:style>
  <w:style w:type="character" w:customStyle="1" w:styleId="Heading2Char">
    <w:name w:val="Heading 2 Char"/>
    <w:basedOn w:val="DefaultParagraphFont"/>
    <w:link w:val="Heading2"/>
    <w:uiPriority w:val="9"/>
    <w:rsid w:val="00411B4C"/>
    <w:rPr>
      <w:rFonts w:ascii="Times New Roman" w:eastAsiaTheme="majorEastAsia" w:hAnsi="Times New Roman" w:cstheme="majorBidi"/>
      <w:b/>
      <w:sz w:val="24"/>
      <w:szCs w:val="26"/>
    </w:rPr>
  </w:style>
  <w:style w:type="character" w:customStyle="1" w:styleId="selectable">
    <w:name w:val="selectable"/>
    <w:basedOn w:val="DefaultParagraphFont"/>
    <w:rsid w:val="008C70A5"/>
  </w:style>
  <w:style w:type="paragraph" w:styleId="TOCHeading">
    <w:name w:val="TOC Heading"/>
    <w:basedOn w:val="Heading1"/>
    <w:next w:val="Normal"/>
    <w:uiPriority w:val="39"/>
    <w:unhideWhenUsed/>
    <w:qFormat/>
    <w:rsid w:val="00C82F43"/>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82F43"/>
    <w:pPr>
      <w:spacing w:after="100"/>
    </w:pPr>
  </w:style>
  <w:style w:type="paragraph" w:styleId="TOC2">
    <w:name w:val="toc 2"/>
    <w:basedOn w:val="Normal"/>
    <w:next w:val="Normal"/>
    <w:autoRedefine/>
    <w:uiPriority w:val="39"/>
    <w:unhideWhenUsed/>
    <w:rsid w:val="00C82F43"/>
    <w:pPr>
      <w:tabs>
        <w:tab w:val="right" w:leader="dot" w:pos="9350"/>
      </w:tabs>
      <w:spacing w:after="100" w:line="360" w:lineRule="auto"/>
      <w:ind w:left="240"/>
    </w:pPr>
  </w:style>
  <w:style w:type="character" w:styleId="Hyperlink">
    <w:name w:val="Hyperlink"/>
    <w:basedOn w:val="DefaultParagraphFont"/>
    <w:uiPriority w:val="99"/>
    <w:unhideWhenUsed/>
    <w:rsid w:val="00C82F43"/>
    <w:rPr>
      <w:color w:val="0563C1" w:themeColor="hyperlink"/>
      <w:u w:val="single"/>
    </w:rPr>
  </w:style>
  <w:style w:type="character" w:customStyle="1" w:styleId="markedcontent">
    <w:name w:val="markedcontent"/>
    <w:basedOn w:val="DefaultParagraphFont"/>
    <w:rsid w:val="00C90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67176">
      <w:bodyDiv w:val="1"/>
      <w:marLeft w:val="0"/>
      <w:marRight w:val="0"/>
      <w:marTop w:val="0"/>
      <w:marBottom w:val="0"/>
      <w:divBdr>
        <w:top w:val="none" w:sz="0" w:space="0" w:color="auto"/>
        <w:left w:val="none" w:sz="0" w:space="0" w:color="auto"/>
        <w:bottom w:val="none" w:sz="0" w:space="0" w:color="auto"/>
        <w:right w:val="none" w:sz="0" w:space="0" w:color="auto"/>
      </w:divBdr>
    </w:div>
    <w:div w:id="129834510">
      <w:bodyDiv w:val="1"/>
      <w:marLeft w:val="0"/>
      <w:marRight w:val="0"/>
      <w:marTop w:val="0"/>
      <w:marBottom w:val="0"/>
      <w:divBdr>
        <w:top w:val="none" w:sz="0" w:space="0" w:color="auto"/>
        <w:left w:val="none" w:sz="0" w:space="0" w:color="auto"/>
        <w:bottom w:val="none" w:sz="0" w:space="0" w:color="auto"/>
        <w:right w:val="none" w:sz="0" w:space="0" w:color="auto"/>
      </w:divBdr>
    </w:div>
    <w:div w:id="132915533">
      <w:bodyDiv w:val="1"/>
      <w:marLeft w:val="0"/>
      <w:marRight w:val="0"/>
      <w:marTop w:val="0"/>
      <w:marBottom w:val="0"/>
      <w:divBdr>
        <w:top w:val="none" w:sz="0" w:space="0" w:color="auto"/>
        <w:left w:val="none" w:sz="0" w:space="0" w:color="auto"/>
        <w:bottom w:val="none" w:sz="0" w:space="0" w:color="auto"/>
        <w:right w:val="none" w:sz="0" w:space="0" w:color="auto"/>
      </w:divBdr>
    </w:div>
    <w:div w:id="141164844">
      <w:bodyDiv w:val="1"/>
      <w:marLeft w:val="0"/>
      <w:marRight w:val="0"/>
      <w:marTop w:val="0"/>
      <w:marBottom w:val="0"/>
      <w:divBdr>
        <w:top w:val="none" w:sz="0" w:space="0" w:color="auto"/>
        <w:left w:val="none" w:sz="0" w:space="0" w:color="auto"/>
        <w:bottom w:val="none" w:sz="0" w:space="0" w:color="auto"/>
        <w:right w:val="none" w:sz="0" w:space="0" w:color="auto"/>
      </w:divBdr>
    </w:div>
    <w:div w:id="154959183">
      <w:bodyDiv w:val="1"/>
      <w:marLeft w:val="0"/>
      <w:marRight w:val="0"/>
      <w:marTop w:val="0"/>
      <w:marBottom w:val="0"/>
      <w:divBdr>
        <w:top w:val="none" w:sz="0" w:space="0" w:color="auto"/>
        <w:left w:val="none" w:sz="0" w:space="0" w:color="auto"/>
        <w:bottom w:val="none" w:sz="0" w:space="0" w:color="auto"/>
        <w:right w:val="none" w:sz="0" w:space="0" w:color="auto"/>
      </w:divBdr>
    </w:div>
    <w:div w:id="170727836">
      <w:bodyDiv w:val="1"/>
      <w:marLeft w:val="0"/>
      <w:marRight w:val="0"/>
      <w:marTop w:val="0"/>
      <w:marBottom w:val="0"/>
      <w:divBdr>
        <w:top w:val="none" w:sz="0" w:space="0" w:color="auto"/>
        <w:left w:val="none" w:sz="0" w:space="0" w:color="auto"/>
        <w:bottom w:val="none" w:sz="0" w:space="0" w:color="auto"/>
        <w:right w:val="none" w:sz="0" w:space="0" w:color="auto"/>
      </w:divBdr>
    </w:div>
    <w:div w:id="281961200">
      <w:bodyDiv w:val="1"/>
      <w:marLeft w:val="0"/>
      <w:marRight w:val="0"/>
      <w:marTop w:val="0"/>
      <w:marBottom w:val="0"/>
      <w:divBdr>
        <w:top w:val="none" w:sz="0" w:space="0" w:color="auto"/>
        <w:left w:val="none" w:sz="0" w:space="0" w:color="auto"/>
        <w:bottom w:val="none" w:sz="0" w:space="0" w:color="auto"/>
        <w:right w:val="none" w:sz="0" w:space="0" w:color="auto"/>
      </w:divBdr>
    </w:div>
    <w:div w:id="282466358">
      <w:bodyDiv w:val="1"/>
      <w:marLeft w:val="0"/>
      <w:marRight w:val="0"/>
      <w:marTop w:val="0"/>
      <w:marBottom w:val="0"/>
      <w:divBdr>
        <w:top w:val="none" w:sz="0" w:space="0" w:color="auto"/>
        <w:left w:val="none" w:sz="0" w:space="0" w:color="auto"/>
        <w:bottom w:val="none" w:sz="0" w:space="0" w:color="auto"/>
        <w:right w:val="none" w:sz="0" w:space="0" w:color="auto"/>
      </w:divBdr>
    </w:div>
    <w:div w:id="326060621">
      <w:bodyDiv w:val="1"/>
      <w:marLeft w:val="0"/>
      <w:marRight w:val="0"/>
      <w:marTop w:val="0"/>
      <w:marBottom w:val="0"/>
      <w:divBdr>
        <w:top w:val="none" w:sz="0" w:space="0" w:color="auto"/>
        <w:left w:val="none" w:sz="0" w:space="0" w:color="auto"/>
        <w:bottom w:val="none" w:sz="0" w:space="0" w:color="auto"/>
        <w:right w:val="none" w:sz="0" w:space="0" w:color="auto"/>
      </w:divBdr>
    </w:div>
    <w:div w:id="378818626">
      <w:bodyDiv w:val="1"/>
      <w:marLeft w:val="0"/>
      <w:marRight w:val="0"/>
      <w:marTop w:val="0"/>
      <w:marBottom w:val="0"/>
      <w:divBdr>
        <w:top w:val="none" w:sz="0" w:space="0" w:color="auto"/>
        <w:left w:val="none" w:sz="0" w:space="0" w:color="auto"/>
        <w:bottom w:val="none" w:sz="0" w:space="0" w:color="auto"/>
        <w:right w:val="none" w:sz="0" w:space="0" w:color="auto"/>
      </w:divBdr>
    </w:div>
    <w:div w:id="386874909">
      <w:bodyDiv w:val="1"/>
      <w:marLeft w:val="0"/>
      <w:marRight w:val="0"/>
      <w:marTop w:val="0"/>
      <w:marBottom w:val="0"/>
      <w:divBdr>
        <w:top w:val="none" w:sz="0" w:space="0" w:color="auto"/>
        <w:left w:val="none" w:sz="0" w:space="0" w:color="auto"/>
        <w:bottom w:val="none" w:sz="0" w:space="0" w:color="auto"/>
        <w:right w:val="none" w:sz="0" w:space="0" w:color="auto"/>
      </w:divBdr>
    </w:div>
    <w:div w:id="453405005">
      <w:bodyDiv w:val="1"/>
      <w:marLeft w:val="0"/>
      <w:marRight w:val="0"/>
      <w:marTop w:val="0"/>
      <w:marBottom w:val="0"/>
      <w:divBdr>
        <w:top w:val="none" w:sz="0" w:space="0" w:color="auto"/>
        <w:left w:val="none" w:sz="0" w:space="0" w:color="auto"/>
        <w:bottom w:val="none" w:sz="0" w:space="0" w:color="auto"/>
        <w:right w:val="none" w:sz="0" w:space="0" w:color="auto"/>
      </w:divBdr>
    </w:div>
    <w:div w:id="504783972">
      <w:bodyDiv w:val="1"/>
      <w:marLeft w:val="0"/>
      <w:marRight w:val="0"/>
      <w:marTop w:val="0"/>
      <w:marBottom w:val="0"/>
      <w:divBdr>
        <w:top w:val="none" w:sz="0" w:space="0" w:color="auto"/>
        <w:left w:val="none" w:sz="0" w:space="0" w:color="auto"/>
        <w:bottom w:val="none" w:sz="0" w:space="0" w:color="auto"/>
        <w:right w:val="none" w:sz="0" w:space="0" w:color="auto"/>
      </w:divBdr>
      <w:divsChild>
        <w:div w:id="861165161">
          <w:marLeft w:val="0"/>
          <w:marRight w:val="0"/>
          <w:marTop w:val="0"/>
          <w:marBottom w:val="0"/>
          <w:divBdr>
            <w:top w:val="none" w:sz="0" w:space="0" w:color="auto"/>
            <w:left w:val="none" w:sz="0" w:space="0" w:color="auto"/>
            <w:bottom w:val="none" w:sz="0" w:space="0" w:color="auto"/>
            <w:right w:val="none" w:sz="0" w:space="0" w:color="auto"/>
          </w:divBdr>
        </w:div>
      </w:divsChild>
    </w:div>
    <w:div w:id="507644562">
      <w:bodyDiv w:val="1"/>
      <w:marLeft w:val="0"/>
      <w:marRight w:val="0"/>
      <w:marTop w:val="0"/>
      <w:marBottom w:val="0"/>
      <w:divBdr>
        <w:top w:val="none" w:sz="0" w:space="0" w:color="auto"/>
        <w:left w:val="none" w:sz="0" w:space="0" w:color="auto"/>
        <w:bottom w:val="none" w:sz="0" w:space="0" w:color="auto"/>
        <w:right w:val="none" w:sz="0" w:space="0" w:color="auto"/>
      </w:divBdr>
    </w:div>
    <w:div w:id="552470094">
      <w:bodyDiv w:val="1"/>
      <w:marLeft w:val="0"/>
      <w:marRight w:val="0"/>
      <w:marTop w:val="0"/>
      <w:marBottom w:val="0"/>
      <w:divBdr>
        <w:top w:val="none" w:sz="0" w:space="0" w:color="auto"/>
        <w:left w:val="none" w:sz="0" w:space="0" w:color="auto"/>
        <w:bottom w:val="none" w:sz="0" w:space="0" w:color="auto"/>
        <w:right w:val="none" w:sz="0" w:space="0" w:color="auto"/>
      </w:divBdr>
    </w:div>
    <w:div w:id="624625864">
      <w:bodyDiv w:val="1"/>
      <w:marLeft w:val="0"/>
      <w:marRight w:val="0"/>
      <w:marTop w:val="0"/>
      <w:marBottom w:val="0"/>
      <w:divBdr>
        <w:top w:val="none" w:sz="0" w:space="0" w:color="auto"/>
        <w:left w:val="none" w:sz="0" w:space="0" w:color="auto"/>
        <w:bottom w:val="none" w:sz="0" w:space="0" w:color="auto"/>
        <w:right w:val="none" w:sz="0" w:space="0" w:color="auto"/>
      </w:divBdr>
    </w:div>
    <w:div w:id="659970672">
      <w:bodyDiv w:val="1"/>
      <w:marLeft w:val="0"/>
      <w:marRight w:val="0"/>
      <w:marTop w:val="0"/>
      <w:marBottom w:val="0"/>
      <w:divBdr>
        <w:top w:val="none" w:sz="0" w:space="0" w:color="auto"/>
        <w:left w:val="none" w:sz="0" w:space="0" w:color="auto"/>
        <w:bottom w:val="none" w:sz="0" w:space="0" w:color="auto"/>
        <w:right w:val="none" w:sz="0" w:space="0" w:color="auto"/>
      </w:divBdr>
    </w:div>
    <w:div w:id="686953577">
      <w:bodyDiv w:val="1"/>
      <w:marLeft w:val="0"/>
      <w:marRight w:val="0"/>
      <w:marTop w:val="0"/>
      <w:marBottom w:val="0"/>
      <w:divBdr>
        <w:top w:val="none" w:sz="0" w:space="0" w:color="auto"/>
        <w:left w:val="none" w:sz="0" w:space="0" w:color="auto"/>
        <w:bottom w:val="none" w:sz="0" w:space="0" w:color="auto"/>
        <w:right w:val="none" w:sz="0" w:space="0" w:color="auto"/>
      </w:divBdr>
    </w:div>
    <w:div w:id="802767931">
      <w:bodyDiv w:val="1"/>
      <w:marLeft w:val="0"/>
      <w:marRight w:val="0"/>
      <w:marTop w:val="0"/>
      <w:marBottom w:val="0"/>
      <w:divBdr>
        <w:top w:val="none" w:sz="0" w:space="0" w:color="auto"/>
        <w:left w:val="none" w:sz="0" w:space="0" w:color="auto"/>
        <w:bottom w:val="none" w:sz="0" w:space="0" w:color="auto"/>
        <w:right w:val="none" w:sz="0" w:space="0" w:color="auto"/>
      </w:divBdr>
    </w:div>
    <w:div w:id="1045108257">
      <w:bodyDiv w:val="1"/>
      <w:marLeft w:val="0"/>
      <w:marRight w:val="0"/>
      <w:marTop w:val="0"/>
      <w:marBottom w:val="0"/>
      <w:divBdr>
        <w:top w:val="none" w:sz="0" w:space="0" w:color="auto"/>
        <w:left w:val="none" w:sz="0" w:space="0" w:color="auto"/>
        <w:bottom w:val="none" w:sz="0" w:space="0" w:color="auto"/>
        <w:right w:val="none" w:sz="0" w:space="0" w:color="auto"/>
      </w:divBdr>
    </w:div>
    <w:div w:id="1058090317">
      <w:bodyDiv w:val="1"/>
      <w:marLeft w:val="0"/>
      <w:marRight w:val="0"/>
      <w:marTop w:val="0"/>
      <w:marBottom w:val="0"/>
      <w:divBdr>
        <w:top w:val="none" w:sz="0" w:space="0" w:color="auto"/>
        <w:left w:val="none" w:sz="0" w:space="0" w:color="auto"/>
        <w:bottom w:val="none" w:sz="0" w:space="0" w:color="auto"/>
        <w:right w:val="none" w:sz="0" w:space="0" w:color="auto"/>
      </w:divBdr>
    </w:div>
    <w:div w:id="1078404817">
      <w:bodyDiv w:val="1"/>
      <w:marLeft w:val="0"/>
      <w:marRight w:val="0"/>
      <w:marTop w:val="0"/>
      <w:marBottom w:val="0"/>
      <w:divBdr>
        <w:top w:val="none" w:sz="0" w:space="0" w:color="auto"/>
        <w:left w:val="none" w:sz="0" w:space="0" w:color="auto"/>
        <w:bottom w:val="none" w:sz="0" w:space="0" w:color="auto"/>
        <w:right w:val="none" w:sz="0" w:space="0" w:color="auto"/>
      </w:divBdr>
    </w:div>
    <w:div w:id="1106147149">
      <w:bodyDiv w:val="1"/>
      <w:marLeft w:val="0"/>
      <w:marRight w:val="0"/>
      <w:marTop w:val="0"/>
      <w:marBottom w:val="0"/>
      <w:divBdr>
        <w:top w:val="none" w:sz="0" w:space="0" w:color="auto"/>
        <w:left w:val="none" w:sz="0" w:space="0" w:color="auto"/>
        <w:bottom w:val="none" w:sz="0" w:space="0" w:color="auto"/>
        <w:right w:val="none" w:sz="0" w:space="0" w:color="auto"/>
      </w:divBdr>
    </w:div>
    <w:div w:id="1125923860">
      <w:bodyDiv w:val="1"/>
      <w:marLeft w:val="0"/>
      <w:marRight w:val="0"/>
      <w:marTop w:val="0"/>
      <w:marBottom w:val="0"/>
      <w:divBdr>
        <w:top w:val="none" w:sz="0" w:space="0" w:color="auto"/>
        <w:left w:val="none" w:sz="0" w:space="0" w:color="auto"/>
        <w:bottom w:val="none" w:sz="0" w:space="0" w:color="auto"/>
        <w:right w:val="none" w:sz="0" w:space="0" w:color="auto"/>
      </w:divBdr>
    </w:div>
    <w:div w:id="1142384624">
      <w:bodyDiv w:val="1"/>
      <w:marLeft w:val="0"/>
      <w:marRight w:val="0"/>
      <w:marTop w:val="0"/>
      <w:marBottom w:val="0"/>
      <w:divBdr>
        <w:top w:val="none" w:sz="0" w:space="0" w:color="auto"/>
        <w:left w:val="none" w:sz="0" w:space="0" w:color="auto"/>
        <w:bottom w:val="none" w:sz="0" w:space="0" w:color="auto"/>
        <w:right w:val="none" w:sz="0" w:space="0" w:color="auto"/>
      </w:divBdr>
    </w:div>
    <w:div w:id="1149782789">
      <w:bodyDiv w:val="1"/>
      <w:marLeft w:val="0"/>
      <w:marRight w:val="0"/>
      <w:marTop w:val="0"/>
      <w:marBottom w:val="0"/>
      <w:divBdr>
        <w:top w:val="none" w:sz="0" w:space="0" w:color="auto"/>
        <w:left w:val="none" w:sz="0" w:space="0" w:color="auto"/>
        <w:bottom w:val="none" w:sz="0" w:space="0" w:color="auto"/>
        <w:right w:val="none" w:sz="0" w:space="0" w:color="auto"/>
      </w:divBdr>
    </w:div>
    <w:div w:id="1259412402">
      <w:bodyDiv w:val="1"/>
      <w:marLeft w:val="0"/>
      <w:marRight w:val="0"/>
      <w:marTop w:val="0"/>
      <w:marBottom w:val="0"/>
      <w:divBdr>
        <w:top w:val="none" w:sz="0" w:space="0" w:color="auto"/>
        <w:left w:val="none" w:sz="0" w:space="0" w:color="auto"/>
        <w:bottom w:val="none" w:sz="0" w:space="0" w:color="auto"/>
        <w:right w:val="none" w:sz="0" w:space="0" w:color="auto"/>
      </w:divBdr>
    </w:div>
    <w:div w:id="1302268978">
      <w:bodyDiv w:val="1"/>
      <w:marLeft w:val="0"/>
      <w:marRight w:val="0"/>
      <w:marTop w:val="0"/>
      <w:marBottom w:val="0"/>
      <w:divBdr>
        <w:top w:val="none" w:sz="0" w:space="0" w:color="auto"/>
        <w:left w:val="none" w:sz="0" w:space="0" w:color="auto"/>
        <w:bottom w:val="none" w:sz="0" w:space="0" w:color="auto"/>
        <w:right w:val="none" w:sz="0" w:space="0" w:color="auto"/>
      </w:divBdr>
    </w:div>
    <w:div w:id="1327826946">
      <w:bodyDiv w:val="1"/>
      <w:marLeft w:val="0"/>
      <w:marRight w:val="0"/>
      <w:marTop w:val="0"/>
      <w:marBottom w:val="0"/>
      <w:divBdr>
        <w:top w:val="none" w:sz="0" w:space="0" w:color="auto"/>
        <w:left w:val="none" w:sz="0" w:space="0" w:color="auto"/>
        <w:bottom w:val="none" w:sz="0" w:space="0" w:color="auto"/>
        <w:right w:val="none" w:sz="0" w:space="0" w:color="auto"/>
      </w:divBdr>
    </w:div>
    <w:div w:id="1402752509">
      <w:bodyDiv w:val="1"/>
      <w:marLeft w:val="0"/>
      <w:marRight w:val="0"/>
      <w:marTop w:val="0"/>
      <w:marBottom w:val="0"/>
      <w:divBdr>
        <w:top w:val="none" w:sz="0" w:space="0" w:color="auto"/>
        <w:left w:val="none" w:sz="0" w:space="0" w:color="auto"/>
        <w:bottom w:val="none" w:sz="0" w:space="0" w:color="auto"/>
        <w:right w:val="none" w:sz="0" w:space="0" w:color="auto"/>
      </w:divBdr>
    </w:div>
    <w:div w:id="1455252447">
      <w:bodyDiv w:val="1"/>
      <w:marLeft w:val="0"/>
      <w:marRight w:val="0"/>
      <w:marTop w:val="0"/>
      <w:marBottom w:val="0"/>
      <w:divBdr>
        <w:top w:val="none" w:sz="0" w:space="0" w:color="auto"/>
        <w:left w:val="none" w:sz="0" w:space="0" w:color="auto"/>
        <w:bottom w:val="none" w:sz="0" w:space="0" w:color="auto"/>
        <w:right w:val="none" w:sz="0" w:space="0" w:color="auto"/>
      </w:divBdr>
    </w:div>
    <w:div w:id="1507404259">
      <w:bodyDiv w:val="1"/>
      <w:marLeft w:val="0"/>
      <w:marRight w:val="0"/>
      <w:marTop w:val="0"/>
      <w:marBottom w:val="0"/>
      <w:divBdr>
        <w:top w:val="none" w:sz="0" w:space="0" w:color="auto"/>
        <w:left w:val="none" w:sz="0" w:space="0" w:color="auto"/>
        <w:bottom w:val="none" w:sz="0" w:space="0" w:color="auto"/>
        <w:right w:val="none" w:sz="0" w:space="0" w:color="auto"/>
      </w:divBdr>
    </w:div>
    <w:div w:id="1577788424">
      <w:bodyDiv w:val="1"/>
      <w:marLeft w:val="0"/>
      <w:marRight w:val="0"/>
      <w:marTop w:val="0"/>
      <w:marBottom w:val="0"/>
      <w:divBdr>
        <w:top w:val="none" w:sz="0" w:space="0" w:color="auto"/>
        <w:left w:val="none" w:sz="0" w:space="0" w:color="auto"/>
        <w:bottom w:val="none" w:sz="0" w:space="0" w:color="auto"/>
        <w:right w:val="none" w:sz="0" w:space="0" w:color="auto"/>
      </w:divBdr>
    </w:div>
    <w:div w:id="1606646942">
      <w:bodyDiv w:val="1"/>
      <w:marLeft w:val="0"/>
      <w:marRight w:val="0"/>
      <w:marTop w:val="0"/>
      <w:marBottom w:val="0"/>
      <w:divBdr>
        <w:top w:val="none" w:sz="0" w:space="0" w:color="auto"/>
        <w:left w:val="none" w:sz="0" w:space="0" w:color="auto"/>
        <w:bottom w:val="none" w:sz="0" w:space="0" w:color="auto"/>
        <w:right w:val="none" w:sz="0" w:space="0" w:color="auto"/>
      </w:divBdr>
    </w:div>
    <w:div w:id="1617325145">
      <w:bodyDiv w:val="1"/>
      <w:marLeft w:val="0"/>
      <w:marRight w:val="0"/>
      <w:marTop w:val="0"/>
      <w:marBottom w:val="0"/>
      <w:divBdr>
        <w:top w:val="none" w:sz="0" w:space="0" w:color="auto"/>
        <w:left w:val="none" w:sz="0" w:space="0" w:color="auto"/>
        <w:bottom w:val="none" w:sz="0" w:space="0" w:color="auto"/>
        <w:right w:val="none" w:sz="0" w:space="0" w:color="auto"/>
      </w:divBdr>
    </w:div>
    <w:div w:id="1630165285">
      <w:bodyDiv w:val="1"/>
      <w:marLeft w:val="0"/>
      <w:marRight w:val="0"/>
      <w:marTop w:val="0"/>
      <w:marBottom w:val="0"/>
      <w:divBdr>
        <w:top w:val="none" w:sz="0" w:space="0" w:color="auto"/>
        <w:left w:val="none" w:sz="0" w:space="0" w:color="auto"/>
        <w:bottom w:val="none" w:sz="0" w:space="0" w:color="auto"/>
        <w:right w:val="none" w:sz="0" w:space="0" w:color="auto"/>
      </w:divBdr>
    </w:div>
    <w:div w:id="1632831592">
      <w:bodyDiv w:val="1"/>
      <w:marLeft w:val="0"/>
      <w:marRight w:val="0"/>
      <w:marTop w:val="0"/>
      <w:marBottom w:val="0"/>
      <w:divBdr>
        <w:top w:val="none" w:sz="0" w:space="0" w:color="auto"/>
        <w:left w:val="none" w:sz="0" w:space="0" w:color="auto"/>
        <w:bottom w:val="none" w:sz="0" w:space="0" w:color="auto"/>
        <w:right w:val="none" w:sz="0" w:space="0" w:color="auto"/>
      </w:divBdr>
    </w:div>
    <w:div w:id="1693217224">
      <w:bodyDiv w:val="1"/>
      <w:marLeft w:val="0"/>
      <w:marRight w:val="0"/>
      <w:marTop w:val="0"/>
      <w:marBottom w:val="0"/>
      <w:divBdr>
        <w:top w:val="none" w:sz="0" w:space="0" w:color="auto"/>
        <w:left w:val="none" w:sz="0" w:space="0" w:color="auto"/>
        <w:bottom w:val="none" w:sz="0" w:space="0" w:color="auto"/>
        <w:right w:val="none" w:sz="0" w:space="0" w:color="auto"/>
      </w:divBdr>
      <w:divsChild>
        <w:div w:id="265575927">
          <w:marLeft w:val="0"/>
          <w:marRight w:val="0"/>
          <w:marTop w:val="0"/>
          <w:marBottom w:val="0"/>
          <w:divBdr>
            <w:top w:val="none" w:sz="0" w:space="0" w:color="auto"/>
            <w:left w:val="none" w:sz="0" w:space="0" w:color="auto"/>
            <w:bottom w:val="none" w:sz="0" w:space="0" w:color="auto"/>
            <w:right w:val="none" w:sz="0" w:space="0" w:color="auto"/>
          </w:divBdr>
        </w:div>
      </w:divsChild>
    </w:div>
    <w:div w:id="1699818837">
      <w:bodyDiv w:val="1"/>
      <w:marLeft w:val="0"/>
      <w:marRight w:val="0"/>
      <w:marTop w:val="0"/>
      <w:marBottom w:val="0"/>
      <w:divBdr>
        <w:top w:val="none" w:sz="0" w:space="0" w:color="auto"/>
        <w:left w:val="none" w:sz="0" w:space="0" w:color="auto"/>
        <w:bottom w:val="none" w:sz="0" w:space="0" w:color="auto"/>
        <w:right w:val="none" w:sz="0" w:space="0" w:color="auto"/>
      </w:divBdr>
    </w:div>
    <w:div w:id="1783374893">
      <w:bodyDiv w:val="1"/>
      <w:marLeft w:val="0"/>
      <w:marRight w:val="0"/>
      <w:marTop w:val="0"/>
      <w:marBottom w:val="0"/>
      <w:divBdr>
        <w:top w:val="none" w:sz="0" w:space="0" w:color="auto"/>
        <w:left w:val="none" w:sz="0" w:space="0" w:color="auto"/>
        <w:bottom w:val="none" w:sz="0" w:space="0" w:color="auto"/>
        <w:right w:val="none" w:sz="0" w:space="0" w:color="auto"/>
      </w:divBdr>
    </w:div>
    <w:div w:id="1962808563">
      <w:bodyDiv w:val="1"/>
      <w:marLeft w:val="0"/>
      <w:marRight w:val="0"/>
      <w:marTop w:val="0"/>
      <w:marBottom w:val="0"/>
      <w:divBdr>
        <w:top w:val="none" w:sz="0" w:space="0" w:color="auto"/>
        <w:left w:val="none" w:sz="0" w:space="0" w:color="auto"/>
        <w:bottom w:val="none" w:sz="0" w:space="0" w:color="auto"/>
        <w:right w:val="none" w:sz="0" w:space="0" w:color="auto"/>
      </w:divBdr>
    </w:div>
    <w:div w:id="2006590061">
      <w:bodyDiv w:val="1"/>
      <w:marLeft w:val="0"/>
      <w:marRight w:val="0"/>
      <w:marTop w:val="0"/>
      <w:marBottom w:val="0"/>
      <w:divBdr>
        <w:top w:val="none" w:sz="0" w:space="0" w:color="auto"/>
        <w:left w:val="none" w:sz="0" w:space="0" w:color="auto"/>
        <w:bottom w:val="none" w:sz="0" w:space="0" w:color="auto"/>
        <w:right w:val="none" w:sz="0" w:space="0" w:color="auto"/>
      </w:divBdr>
    </w:div>
    <w:div w:id="2007591770">
      <w:bodyDiv w:val="1"/>
      <w:marLeft w:val="0"/>
      <w:marRight w:val="0"/>
      <w:marTop w:val="0"/>
      <w:marBottom w:val="0"/>
      <w:divBdr>
        <w:top w:val="none" w:sz="0" w:space="0" w:color="auto"/>
        <w:left w:val="none" w:sz="0" w:space="0" w:color="auto"/>
        <w:bottom w:val="none" w:sz="0" w:space="0" w:color="auto"/>
        <w:right w:val="none" w:sz="0" w:space="0" w:color="auto"/>
      </w:divBdr>
    </w:div>
    <w:div w:id="2013486982">
      <w:bodyDiv w:val="1"/>
      <w:marLeft w:val="0"/>
      <w:marRight w:val="0"/>
      <w:marTop w:val="0"/>
      <w:marBottom w:val="0"/>
      <w:divBdr>
        <w:top w:val="none" w:sz="0" w:space="0" w:color="auto"/>
        <w:left w:val="none" w:sz="0" w:space="0" w:color="auto"/>
        <w:bottom w:val="none" w:sz="0" w:space="0" w:color="auto"/>
        <w:right w:val="none" w:sz="0" w:space="0" w:color="auto"/>
      </w:divBdr>
    </w:div>
    <w:div w:id="2032805292">
      <w:bodyDiv w:val="1"/>
      <w:marLeft w:val="0"/>
      <w:marRight w:val="0"/>
      <w:marTop w:val="0"/>
      <w:marBottom w:val="0"/>
      <w:divBdr>
        <w:top w:val="none" w:sz="0" w:space="0" w:color="auto"/>
        <w:left w:val="none" w:sz="0" w:space="0" w:color="auto"/>
        <w:bottom w:val="none" w:sz="0" w:space="0" w:color="auto"/>
        <w:right w:val="none" w:sz="0" w:space="0" w:color="auto"/>
      </w:divBdr>
    </w:div>
    <w:div w:id="2034570164">
      <w:bodyDiv w:val="1"/>
      <w:marLeft w:val="0"/>
      <w:marRight w:val="0"/>
      <w:marTop w:val="0"/>
      <w:marBottom w:val="0"/>
      <w:divBdr>
        <w:top w:val="none" w:sz="0" w:space="0" w:color="auto"/>
        <w:left w:val="none" w:sz="0" w:space="0" w:color="auto"/>
        <w:bottom w:val="none" w:sz="0" w:space="0" w:color="auto"/>
        <w:right w:val="none" w:sz="0" w:space="0" w:color="auto"/>
      </w:divBdr>
    </w:div>
    <w:div w:id="2079790242">
      <w:bodyDiv w:val="1"/>
      <w:marLeft w:val="0"/>
      <w:marRight w:val="0"/>
      <w:marTop w:val="0"/>
      <w:marBottom w:val="0"/>
      <w:divBdr>
        <w:top w:val="none" w:sz="0" w:space="0" w:color="auto"/>
        <w:left w:val="none" w:sz="0" w:space="0" w:color="auto"/>
        <w:bottom w:val="none" w:sz="0" w:space="0" w:color="auto"/>
        <w:right w:val="none" w:sz="0" w:space="0" w:color="auto"/>
      </w:divBdr>
    </w:div>
    <w:div w:id="210627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FMG21</b:Tag>
    <b:SourceType>Report</b:SourceType>
    <b:Guid>{E11EE6C6-7512-45E0-88B2-D55EB1D9E6F2}</b:Guid>
    <b:Title>Climate CHange Report FY21</b:Title>
    <b:Year>2021</b:Year>
    <b:Author>
      <b:Author>
        <b:Corporate>FMG</b:Corporate>
      </b:Author>
    </b:Author>
    <b:Publisher>Fortescue</b:Publisher>
    <b:City>Perth</b:City>
    <b:RefOrder>1</b:RefOrder>
  </b:Source>
  <b:Source>
    <b:Tag>For21</b:Tag>
    <b:SourceType>InternetSite</b:SourceType>
    <b:Guid>{9DB00BB7-5D70-402F-BE2D-E487D2DD3D5E}</b:Guid>
    <b:Title>About Fortescue</b:Title>
    <b:Year>2021</b:Year>
    <b:YearAccessed>2021</b:YearAccessed>
    <b:MonthAccessed>November</b:MonthAccessed>
    <b:DayAccessed>25</b:DayAccessed>
    <b:URL>https://www.fmgl.com.au/about-fortescue/who-we-are</b:URL>
    <b:Author>
      <b:Author>
        <b:Corporate>Fortescue</b:Corporate>
      </b:Author>
    </b:Author>
    <b:RefOrder>2</b:RefOrder>
  </b:Source>
  <b:Source>
    <b:Tag>For211</b:Tag>
    <b:SourceType>InternetSite</b:SourceType>
    <b:Guid>{EA5EF64C-FBEC-4E79-87C3-04994174ED6C}</b:Guid>
    <b:Author>
      <b:Author>
        <b:Corporate>Fortescue</b:Corporate>
      </b:Author>
    </b:Author>
    <b:Title>The Climate Pledge</b:Title>
    <b:Year>2021</b:Year>
    <b:YearAccessed>2021</b:YearAccessed>
    <b:MonthAccessed>November</b:MonthAccessed>
    <b:DayAccessed>26</b:DayAccessed>
    <b:URL>https://www.theclimatepledge.com/content/amazonclimatepledge/us/en/Signatories/fortescue.html</b:URL>
    <b:RefOrder>3</b:RefOrder>
  </b:Source>
  <b:Source>
    <b:Tag>FMG211</b:Tag>
    <b:SourceType>Report</b:SourceType>
    <b:Guid>{FE2005D4-7A49-45EE-BFFC-7681C8DEEC36}</b:Guid>
    <b:Author>
      <b:Author>
        <b:Corporate>FMG</b:Corporate>
      </b:Author>
    </b:Author>
    <b:Title>Sustainability Report FY21</b:Title>
    <b:Year>2021</b:Year>
    <b:YearAccessed>2021</b:YearAccessed>
    <b:MonthAccessed>November</b:MonthAccessed>
    <b:DayAccessed>26</b:DayAccessed>
    <b:Publisher>FMG Fortescue</b:Publisher>
    <b:City>Perth</b:City>
    <b:RefOrder>4</b:RefOrder>
  </b:Source>
  <b:Source>
    <b:Tag>Rev15</b:Tag>
    <b:SourceType>JournalArticle</b:SourceType>
    <b:Guid>{0393706C-3AB4-4750-A7F0-5DB8B2642D9B}</b:Guid>
    <b:Title>The Impact of Chenge and Management in Achieving Corporate Goals and Objectives: Organisational Perspective</b:Title>
    <b:JournalName>International Journal of Science and Research (IJSR)</b:JournalName>
    <b:Year>2015</b:Year>
    <b:Pages>1233-1239</b:Pages>
    <b:Volume>5</b:Volume>
    <b:Issue>11</b:Issue>
    <b:Author>
      <b:Author>
        <b:NameList>
          <b:Person>
            <b:Last>Revenio</b:Last>
            <b:First>C</b:First>
          </b:Person>
          <b:Person>
            <b:Last>Jalaget</b:Last>
            <b:First>Jr</b:First>
          </b:Person>
        </b:NameList>
      </b:Author>
    </b:Author>
    <b:RefOrder>5</b:RefOrder>
  </b:Source>
  <b:Source>
    <b:Tag>Odo18</b:Tag>
    <b:SourceType>JournalArticle</b:SourceType>
    <b:Guid>{4FDB2AC4-E941-40F6-9B1E-C510C6817828}</b:Guid>
    <b:Title>Organisational Change and Development</b:Title>
    <b:JournalName>European Journal of Business and Management </b:JournalName>
    <b:Year>2018</b:Year>
    <b:Pages>58-66</b:Pages>
    <b:Volume>10</b:Volume>
    <b:Issue>7</b:Issue>
    <b:Author>
      <b:Author>
        <b:NameList>
          <b:Person>
            <b:Last>Odor</b:Last>
            <b:Middle>O.</b:Middle>
            <b:First>Hillary</b:First>
          </b:Person>
        </b:NameList>
      </b:Author>
    </b:Author>
    <b:RefOrder>6</b:RefOrder>
  </b:Source>
  <b:Source>
    <b:Tag>Uni92</b:Tag>
    <b:SourceType>Report</b:SourceType>
    <b:Guid>{1BD29E69-5BFF-4843-8945-5E5695A9057B}</b:Guid>
    <b:Title>United Nations Framework Convention of Climate Change</b:Title>
    <b:Year>1992</b:Year>
    <b:Author>
      <b:Author>
        <b:Corporate>United Nations</b:Corporate>
      </b:Author>
    </b:Author>
    <b:Publisher>United Nations</b:Publisher>
    <b:RefOrder>7</b:RefOrder>
  </b:Source>
  <b:Source>
    <b:Tag>Ham21</b:Tag>
    <b:SourceType>Report</b:SourceType>
    <b:Guid>{4F6E4B73-1F23-4A1F-8AA9-E26EF2548833}</b:Guid>
    <b:Title>Change Management Models: A Comperative Review</b:Title>
    <b:Year>2021</b:Year>
    <b:Publisher>Istanbul Okan University</b:Publisher>
    <b:City>Istanbul</b:City>
    <b:Author>
      <b:Author>
        <b:NameList>
          <b:Person>
            <b:Last>Hamdo</b:Last>
            <b:Middle>Sheikh</b:Middle>
            <b:First>Samer</b:First>
          </b:Person>
        </b:NameList>
      </b:Author>
    </b:Author>
    <b:RefOrder>8</b:RefOrder>
  </b:Source>
  <b:Source>
    <b:Tag>Ald10</b:Tag>
    <b:SourceType>Report</b:SourceType>
    <b:Guid>{5D7E414A-A998-44F2-A5C4-1AB5C0BCD0B5}</b:Guid>
    <b:Title>Models and Tools of Change Management: Kotter's 8 Steps Change Model</b:Title>
    <b:Year>2010</b:Year>
    <b:Publisher>Uludag University</b:Publisher>
    <b:City>Bursa</b:City>
    <b:Author>
      <b:Author>
        <b:NameList>
          <b:Person>
            <b:Last>Aldemir</b:Last>
            <b:First>Enis</b:First>
          </b:Person>
        </b:NameList>
      </b:Author>
    </b:Author>
    <b:RefOrder>9</b:RefOrder>
  </b:Source>
  <b:Source>
    <b:Tag>Pol14</b:Tag>
    <b:SourceType>JournalArticle</b:SourceType>
    <b:Guid>{BA89C8DE-7976-46D4-AF59-45DAF3CBC0E3}</b:Guid>
    <b:Title>Using Kotter's Eight Stage Process to Manage an Organisational Change Program: Presentation and Practice</b:Title>
    <b:Year>2014</b:Year>
    <b:JournalName>Systematic practice and Action Research</b:JournalName>
    <b:Pages>1-16</b:Pages>
    <b:Volume>28</b:Volume>
    <b:Issue>1</b:Issue>
    <b:Author>
      <b:Author>
        <b:NameList>
          <b:Person>
            <b:Last>Pollack</b:Last>
            <b:First>Julien</b:First>
          </b:Person>
          <b:Person>
            <b:Last>Pollack</b:Last>
            <b:First>Rachel</b:First>
          </b:Person>
        </b:NameList>
      </b:Author>
    </b:Author>
    <b:RefOrder>10</b:RefOrder>
  </b:Source>
  <b:Source>
    <b:Tag>Sur14</b:Tag>
    <b:SourceType>JournalArticle</b:SourceType>
    <b:Guid>{B09967CE-AA51-4DAA-A66D-1623F5845C99}</b:Guid>
    <b:Title>Importance of Corporate Vision</b:Title>
    <b:JournalName>Strategic Management</b:JournalName>
    <b:Year>2014</b:Year>
    <b:Pages>34-40</b:Pages>
    <b:Volume>1</b:Volume>
    <b:Issue>1</b:Issue>
    <b:Author>
      <b:Author>
        <b:NameList>
          <b:Person>
            <b:Last>Suranga</b:Last>
            <b:First>Manoj</b:First>
          </b:Person>
        </b:NameList>
      </b:Author>
    </b:Author>
    <b:RefOrder>11</b:RefOrder>
  </b:Source>
  <b:Source>
    <b:Tag>Gli15</b:Tag>
    <b:SourceType>Report</b:SourceType>
    <b:Guid>{8225536B-80E5-40D8-8AF8-7EB6F6D02F3F}</b:Guid>
    <b:Title>Scrutinizing the Barriers to Organisational Change</b:Title>
    <b:Year>2015</b:Year>
    <b:Publisher>Uppsala Univerity</b:Publisher>
    <b:City>Uppsala</b:City>
    <b:Author>
      <b:Author>
        <b:NameList>
          <b:Person>
            <b:Last>Glimskog</b:Last>
            <b:Middle>S</b:Middle>
            <b:First>Gabriella</b:First>
          </b:Person>
          <b:Person>
            <b:Last>Hagman</b:Last>
            <b:Middle>K</b:Middle>
            <b:First>Josefin</b:First>
          </b:Person>
        </b:NameList>
      </b:Author>
    </b:Author>
    <b:RefOrder>12</b:RefOrder>
  </b:Source>
  <b:Source>
    <b:Tag>Ram17</b:Tag>
    <b:SourceType>JournalArticle</b:SourceType>
    <b:Guid>{E25BD578-10C9-4A83-8648-AD1EA6C431C1}</b:Guid>
    <b:Title>A critical analysis of John P. Kotter's change management framework</b:Title>
    <b:Year>2017</b:Year>
    <b:JournalName>Asian Journal of Research in Business Economics and Management</b:JournalName>
    <b:Pages>181-203</b:Pages>
    <b:Volume>7</b:Volume>
    <b:Issue>7</b:Issue>
    <b:Author>
      <b:Author>
        <b:NameList>
          <b:Person>
            <b:Last>Ramasamy</b:Last>
            <b:First>Rajan</b:First>
          </b:Person>
          <b:Person>
            <b:Last>Ganesan</b:Last>
            <b:First>R</b:First>
          </b:Person>
        </b:NameList>
      </b:Author>
    </b:Author>
    <b:RefOrder>13</b:RefOrder>
  </b:Source>
  <b:Source>
    <b:Tag>Lin01</b:Tag>
    <b:SourceType>BookSection</b:SourceType>
    <b:Guid>{C247D185-FCDC-4A02-81A7-CF7891F5059A}</b:Guid>
    <b:Title>Organisational Culture</b:Title>
    <b:Year>2001</b:Year>
    <b:Pages>10930-10934</b:Pages>
    <b:Author>
      <b:Author>
        <b:NameList>
          <b:Person>
            <b:Last>Linstead</b:Last>
            <b:Middle>Andrew</b:Middle>
            <b:First>Stephen</b:First>
          </b:Person>
        </b:NameList>
      </b:Author>
    </b:Author>
    <b:BookTitle>International Encyclopedia of Social and Behavioral Sciences</b:BookTitle>
    <b:City>York</b:City>
    <b:Publisher>Elsevier Science Ltd</b:Publisher>
    <b:RefOrder>14</b:RefOrder>
  </b:Source>
  <b:Source>
    <b:Tag>Ode17</b:Tag>
    <b:SourceType>JournalArticle</b:SourceType>
    <b:Guid>{3F1BC214-95A1-4AB9-941C-DC95111240F5}</b:Guid>
    <b:Title>Factors affecting strategic change management in the public sector: A case of the ministry of energy and petroleum</b:Title>
    <b:Year>2017</b:Year>
    <b:Pages>1122-1144</b:Pages>
    <b:Author>
      <b:Author>
        <b:NameList>
          <b:Person>
            <b:Last>Odera</b:Last>
            <b:Middle>A</b:Middle>
            <b:First>D</b:First>
          </b:Person>
          <b:Person>
            <b:Last>Muendo</b:Last>
            <b:First>D</b:First>
          </b:Person>
        </b:NameList>
      </b:Author>
    </b:Author>
    <b:JournalName>The Strategic Journal of Business &amp; Change Management</b:JournalName>
    <b:Volume>4</b:Volume>
    <b:Issue>4</b:Issue>
    <b:RefOrder>15</b:RefOrder>
  </b:Source>
  <b:Source>
    <b:Tag>Tri181</b:Tag>
    <b:SourceType>JournalArticle</b:SourceType>
    <b:Guid>{53B979BD-59E6-4B99-8C85-FF201F7A289E}</b:Guid>
    <b:Title>Building Quality Teamwork to Achieve Excellence in Business Organisations</b:Title>
    <b:JournalName>International Research Journal of Management, IT &amp; Socail Sciences</b:JournalName>
    <b:Year>2018</b:Year>
    <b:Pages>1-7</b:Pages>
    <b:Volume>5</b:Volume>
    <b:Issue>3</b:Issue>
    <b:Author>
      <b:Author>
        <b:NameList>
          <b:Person>
            <b:Last>Tripathy</b:Last>
            <b:First>Mitashree</b:First>
          </b:Person>
        </b:NameList>
      </b:Author>
    </b:Author>
    <b:RefOrder>16</b:RefOrder>
  </b:Source>
  <b:Source>
    <b:Tag>Obi191</b:Tag>
    <b:SourceType>JournalArticle</b:SourceType>
    <b:Guid>{090F9659-644F-43D3-8FD3-005768E3228A}</b:Guid>
    <b:Title>Employee Involvement in Organisations: Benefits, Challenges and Implications</b:Title>
    <b:JournalName>Management and Human Resource Research Journal</b:JournalName>
    <b:Year>2019</b:Year>
    <b:Pages>1-11</b:Pages>
    <b:Volume>8</b:Volume>
    <b:Issue>8</b:Issue>
    <b:Author>
      <b:Author>
        <b:NameList>
          <b:Person>
            <b:Last>Obiekwe</b:Last>
            <b:First>Onyebuchi</b:First>
          </b:Person>
          <b:Person>
            <b:Last>Zeb-Obipi</b:Last>
            <b:First>Isaac</b:First>
          </b:Person>
          <b:Person>
            <b:Last>Ejo-Orusa</b:Last>
            <b:First>Henry</b:First>
          </b:Person>
        </b:NameList>
      </b:Author>
    </b:Author>
    <b:RefOrder>17</b:RefOrder>
  </b:Source>
  <b:Source>
    <b:Tag>Nel05</b:Tag>
    <b:SourceType>JournalArticle</b:SourceType>
    <b:Guid>{98E99F57-0996-42AA-BDDE-9C3998B12C85}</b:Guid>
    <b:Title>Applying organisational routines in understanding organisational change</b:Title>
    <b:JournalName>Industrial and Corporate Change</b:JournalName>
    <b:Year>2005</b:Year>
    <b:Pages>775-791</b:Pages>
    <b:Volume>14</b:Volume>
    <b:Issue>5</b:Issue>
    <b:Author>
      <b:Author>
        <b:NameList>
          <b:Person>
            <b:Last>Nelson</b:Last>
            <b:Middle>R</b:Middle>
            <b:First>Richard</b:First>
          </b:Person>
          <b:Person>
            <b:Last>Winter</b:Last>
            <b:First>Sidney</b:First>
          </b:Person>
          <b:Person>
            <b:Last>Becker</b:Last>
            <b:Middle>C</b:Middle>
            <b:First>Markus</b:First>
          </b:Person>
          <b:Person>
            <b:Last>Lazaric</b:Last>
            <b:First>Nathalie</b:First>
          </b:Person>
        </b:NameList>
      </b:Author>
    </b:Author>
    <b:RefOrder>18</b:RefOrder>
  </b:Source>
  <b:Source>
    <b:Tag>Dam20</b:Tag>
    <b:SourceType>JournalArticle</b:SourceType>
    <b:Guid>{8FA94EEA-5A2A-4F76-8A99-82E1893FD8A3}</b:Guid>
    <b:Title>Resistance to Change: Causes and Strategies as an Organisational Challenge</b:Title>
    <b:JournalName>Advances in Social Science, Education and Humanities Research</b:JournalName>
    <b:Year>2020</b:Year>
    <b:Pages>49-53</b:Pages>
    <b:Volume>395</b:Volume>
    <b:Author>
      <b:Author>
        <b:NameList>
          <b:Person>
            <b:Last>Damawan</b:Last>
            <b:Middle>Hafizh</b:Middle>
            <b:First>Ahmed</b:First>
          </b:Person>
          <b:Person>
            <b:Last>Azizah</b:Last>
            <b:First>Siti</b:First>
          </b:Person>
        </b:NameList>
      </b:Author>
    </b:Author>
    <b:RefOrder>19</b:RefOrder>
  </b:Source>
</b:Sources>
</file>

<file path=customXml/itemProps1.xml><?xml version="1.0" encoding="utf-8"?>
<ds:datastoreItem xmlns:ds="http://schemas.openxmlformats.org/officeDocument/2006/customXml" ds:itemID="{9A5FDE2C-890C-4173-96C7-4CB556761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6326</Words>
  <Characters>36063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2021-11-29T13:10:00Z</dcterms:created>
  <dcterms:modified xsi:type="dcterms:W3CDTF">2021-11-29T13:11:00Z</dcterms:modified>
</cp:coreProperties>
</file>