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0BB55" w14:textId="77777777" w:rsidR="00753955" w:rsidRDefault="00753955">
      <w:pPr>
        <w:pStyle w:val="Normal1"/>
        <w:spacing w:before="240" w:after="240"/>
        <w:jc w:val="center"/>
        <w:rPr>
          <w:rFonts w:ascii="Times New Roman" w:eastAsia="Times New Roman" w:hAnsi="Times New Roman" w:cs="Times New Roman"/>
          <w:b/>
          <w:sz w:val="32"/>
          <w:szCs w:val="32"/>
        </w:rPr>
      </w:pPr>
    </w:p>
    <w:p w14:paraId="353F81F9" w14:textId="77777777" w:rsidR="00753955" w:rsidRDefault="00753955">
      <w:pPr>
        <w:pStyle w:val="Normal1"/>
        <w:spacing w:before="240" w:after="240"/>
        <w:jc w:val="center"/>
        <w:rPr>
          <w:rFonts w:ascii="Times New Roman" w:eastAsia="Times New Roman" w:hAnsi="Times New Roman" w:cs="Times New Roman"/>
          <w:b/>
          <w:sz w:val="32"/>
          <w:szCs w:val="32"/>
        </w:rPr>
      </w:pPr>
    </w:p>
    <w:p w14:paraId="6069FBFB" w14:textId="77777777" w:rsidR="00753955" w:rsidRDefault="00753955">
      <w:pPr>
        <w:pStyle w:val="Normal1"/>
        <w:spacing w:before="240" w:after="240"/>
        <w:jc w:val="center"/>
        <w:rPr>
          <w:rFonts w:ascii="Times New Roman" w:eastAsia="Times New Roman" w:hAnsi="Times New Roman" w:cs="Times New Roman"/>
          <w:b/>
          <w:sz w:val="32"/>
          <w:szCs w:val="32"/>
        </w:rPr>
      </w:pPr>
    </w:p>
    <w:p w14:paraId="0F838884" w14:textId="6893D32F" w:rsidR="000172CE" w:rsidRPr="00917502" w:rsidRDefault="000172CE" w:rsidP="000172CE">
      <w:pPr>
        <w:jc w:val="center"/>
        <w:rPr>
          <w:rFonts w:eastAsia="Times New Roman" w:cs="Times New Roman"/>
          <w:b/>
          <w:bCs/>
          <w:i/>
          <w:iCs/>
          <w:sz w:val="56"/>
          <w:szCs w:val="56"/>
          <w:lang w:val="fr-FR"/>
        </w:rPr>
      </w:pPr>
      <w:r>
        <w:rPr>
          <w:rFonts w:cs="Times New Roman"/>
          <w:b/>
          <w:bCs/>
          <w:i/>
          <w:iCs/>
          <w:sz w:val="56"/>
          <w:szCs w:val="56"/>
          <w:lang w:val="fr-FR"/>
        </w:rPr>
        <w:t>Management Economics</w:t>
      </w:r>
    </w:p>
    <w:p w14:paraId="4418F603" w14:textId="77777777" w:rsidR="000172CE" w:rsidRDefault="000172CE" w:rsidP="000172CE">
      <w:pPr>
        <w:rPr>
          <w:rFonts w:eastAsia="Times New Roman" w:cs="Times New Roman"/>
          <w:b/>
          <w:bCs/>
          <w:i/>
          <w:iCs/>
          <w:sz w:val="48"/>
          <w:szCs w:val="48"/>
          <w:lang w:val="fr-FR"/>
        </w:rPr>
      </w:pPr>
    </w:p>
    <w:p w14:paraId="0CA2A490" w14:textId="77777777" w:rsidR="000172CE" w:rsidRPr="00917502" w:rsidRDefault="000172CE" w:rsidP="000172CE">
      <w:pPr>
        <w:rPr>
          <w:rFonts w:eastAsia="Times New Roman" w:cs="Times New Roman"/>
          <w:b/>
          <w:bCs/>
          <w:i/>
          <w:iCs/>
          <w:sz w:val="56"/>
          <w:szCs w:val="56"/>
          <w:lang w:val="fr-FR"/>
        </w:rPr>
      </w:pPr>
      <w:r w:rsidRPr="00917502">
        <w:rPr>
          <w:rFonts w:eastAsia="Times New Roman" w:cs="Times New Roman"/>
          <w:b/>
          <w:bCs/>
          <w:i/>
          <w:iCs/>
          <w:sz w:val="48"/>
          <w:szCs w:val="48"/>
          <w:lang w:val="fr-FR"/>
        </w:rPr>
        <w:t>Module code</w:t>
      </w:r>
      <w:r w:rsidRPr="00917502">
        <w:rPr>
          <w:rFonts w:eastAsia="Times New Roman" w:cs="Times New Roman"/>
          <w:b/>
          <w:bCs/>
          <w:i/>
          <w:iCs/>
          <w:sz w:val="56"/>
          <w:szCs w:val="56"/>
          <w:lang w:val="fr-FR"/>
        </w:rPr>
        <w:t xml:space="preserve">: </w:t>
      </w:r>
      <w:r w:rsidRPr="00917502">
        <w:rPr>
          <w:rFonts w:cs="Times New Roman"/>
          <w:b/>
          <w:bCs/>
          <w:i/>
          <w:iCs/>
          <w:sz w:val="52"/>
          <w:szCs w:val="52"/>
          <w:lang w:val="fr-FR"/>
        </w:rPr>
        <w:t>LCBB5001</w:t>
      </w:r>
    </w:p>
    <w:p w14:paraId="568FE920" w14:textId="77777777" w:rsidR="000172CE" w:rsidRPr="00917502" w:rsidRDefault="000172CE" w:rsidP="000172CE">
      <w:pPr>
        <w:jc w:val="center"/>
        <w:rPr>
          <w:rFonts w:eastAsia="Times New Roman" w:cs="Times New Roman"/>
          <w:b/>
          <w:bCs/>
          <w:i/>
          <w:iCs/>
          <w:sz w:val="56"/>
          <w:szCs w:val="56"/>
          <w:lang w:val="fr-FR"/>
        </w:rPr>
      </w:pPr>
    </w:p>
    <w:p w14:paraId="69EF4F08" w14:textId="77777777" w:rsidR="000172CE" w:rsidRDefault="000172CE" w:rsidP="000172CE">
      <w:pPr>
        <w:rPr>
          <w:rFonts w:eastAsia="Times New Roman" w:cs="Times New Roman"/>
          <w:b/>
          <w:bCs/>
          <w:i/>
          <w:iCs/>
          <w:sz w:val="48"/>
          <w:szCs w:val="48"/>
          <w:lang w:val="fr-FR"/>
        </w:rPr>
      </w:pPr>
    </w:p>
    <w:p w14:paraId="1CB7E104" w14:textId="77777777" w:rsidR="000172CE" w:rsidRDefault="000172CE" w:rsidP="000172CE">
      <w:pPr>
        <w:rPr>
          <w:rFonts w:eastAsia="Times New Roman" w:cs="Times New Roman"/>
          <w:b/>
          <w:bCs/>
          <w:i/>
          <w:iCs/>
          <w:sz w:val="56"/>
          <w:szCs w:val="56"/>
          <w:lang w:val="fr-FR"/>
        </w:rPr>
      </w:pPr>
      <w:r w:rsidRPr="00917502">
        <w:rPr>
          <w:rFonts w:eastAsia="Times New Roman" w:cs="Times New Roman"/>
          <w:b/>
          <w:bCs/>
          <w:i/>
          <w:iCs/>
          <w:sz w:val="48"/>
          <w:szCs w:val="48"/>
          <w:lang w:val="fr-FR"/>
        </w:rPr>
        <w:t>Assessment</w:t>
      </w:r>
      <w:r w:rsidRPr="00917502">
        <w:rPr>
          <w:rFonts w:eastAsia="Times New Roman" w:cs="Times New Roman"/>
          <w:b/>
          <w:bCs/>
          <w:i/>
          <w:iCs/>
          <w:sz w:val="56"/>
          <w:szCs w:val="56"/>
          <w:lang w:val="fr-FR"/>
        </w:rPr>
        <w:t xml:space="preserve"> 1 </w:t>
      </w:r>
      <w:r>
        <w:rPr>
          <w:rFonts w:eastAsia="Times New Roman" w:cs="Times New Roman"/>
          <w:b/>
          <w:bCs/>
          <w:i/>
          <w:iCs/>
          <w:sz w:val="56"/>
          <w:szCs w:val="56"/>
          <w:lang w:val="fr-FR"/>
        </w:rPr>
        <w:t xml:space="preserve">– </w:t>
      </w:r>
    </w:p>
    <w:p w14:paraId="55401AA3" w14:textId="77777777" w:rsidR="000172CE" w:rsidRDefault="000172CE" w:rsidP="000172CE">
      <w:pPr>
        <w:rPr>
          <w:rFonts w:eastAsia="Times New Roman" w:cs="Times New Roman"/>
          <w:b/>
          <w:bCs/>
          <w:i/>
          <w:iCs/>
          <w:sz w:val="56"/>
          <w:szCs w:val="56"/>
          <w:lang w:val="fr-FR"/>
        </w:rPr>
      </w:pPr>
    </w:p>
    <w:p w14:paraId="174AC44C" w14:textId="77777777" w:rsidR="000172CE" w:rsidRPr="000172CE" w:rsidRDefault="000172CE" w:rsidP="000172CE">
      <w:pPr>
        <w:rPr>
          <w:rFonts w:eastAsia="Times New Roman" w:cs="Times New Roman"/>
          <w:b/>
          <w:bCs/>
          <w:i/>
          <w:iCs/>
          <w:sz w:val="48"/>
          <w:szCs w:val="48"/>
          <w:lang w:val="fr-FR"/>
        </w:rPr>
      </w:pPr>
    </w:p>
    <w:p w14:paraId="2A594C5C" w14:textId="77777777" w:rsidR="000172CE" w:rsidRPr="000172CE" w:rsidRDefault="000172CE" w:rsidP="000172CE">
      <w:pPr>
        <w:rPr>
          <w:rFonts w:eastAsia="Times New Roman" w:cs="Times New Roman"/>
          <w:b/>
          <w:bCs/>
          <w:i/>
          <w:iCs/>
          <w:sz w:val="48"/>
          <w:szCs w:val="48"/>
          <w:lang w:val="fr-FR"/>
        </w:rPr>
      </w:pPr>
    </w:p>
    <w:p w14:paraId="3ED33A77" w14:textId="77777777" w:rsidR="000172CE" w:rsidRDefault="000172CE" w:rsidP="000172CE">
      <w:pPr>
        <w:rPr>
          <w:rFonts w:eastAsia="Times New Roman" w:cs="Times New Roman"/>
          <w:b/>
          <w:bCs/>
          <w:i/>
          <w:iCs/>
          <w:sz w:val="52"/>
          <w:szCs w:val="52"/>
        </w:rPr>
      </w:pPr>
      <w:r w:rsidRPr="00917502">
        <w:rPr>
          <w:rFonts w:eastAsia="Times New Roman" w:cs="Times New Roman"/>
          <w:b/>
          <w:bCs/>
          <w:i/>
          <w:iCs/>
          <w:sz w:val="48"/>
          <w:szCs w:val="48"/>
        </w:rPr>
        <w:t>Student</w:t>
      </w:r>
      <w:r w:rsidRPr="00917502">
        <w:rPr>
          <w:rFonts w:eastAsia="Times New Roman" w:cs="Times New Roman"/>
          <w:b/>
          <w:bCs/>
          <w:i/>
          <w:iCs/>
          <w:sz w:val="56"/>
          <w:szCs w:val="56"/>
        </w:rPr>
        <w:t xml:space="preserve"> </w:t>
      </w:r>
      <w:r w:rsidRPr="00917502">
        <w:rPr>
          <w:rFonts w:eastAsia="Times New Roman" w:cs="Times New Roman"/>
          <w:b/>
          <w:bCs/>
          <w:i/>
          <w:iCs/>
          <w:sz w:val="48"/>
          <w:szCs w:val="48"/>
        </w:rPr>
        <w:t>Name</w:t>
      </w:r>
      <w:r>
        <w:rPr>
          <w:rFonts w:eastAsia="Times New Roman" w:cs="Times New Roman"/>
          <w:b/>
          <w:bCs/>
          <w:i/>
          <w:iCs/>
          <w:sz w:val="56"/>
          <w:szCs w:val="56"/>
        </w:rPr>
        <w:t xml:space="preserve">: </w:t>
      </w:r>
      <w:r w:rsidRPr="00917502">
        <w:rPr>
          <w:rFonts w:eastAsia="Times New Roman" w:cs="Times New Roman"/>
          <w:b/>
          <w:bCs/>
          <w:i/>
          <w:iCs/>
          <w:sz w:val="52"/>
          <w:szCs w:val="52"/>
        </w:rPr>
        <w:t>Svetoslav</w:t>
      </w:r>
      <w:r>
        <w:rPr>
          <w:rFonts w:eastAsia="Times New Roman" w:cs="Times New Roman"/>
          <w:b/>
          <w:bCs/>
          <w:i/>
          <w:iCs/>
          <w:sz w:val="56"/>
          <w:szCs w:val="56"/>
        </w:rPr>
        <w:t xml:space="preserve"> </w:t>
      </w:r>
      <w:r w:rsidRPr="00917502">
        <w:rPr>
          <w:rFonts w:eastAsia="Times New Roman" w:cs="Times New Roman"/>
          <w:b/>
          <w:bCs/>
          <w:i/>
          <w:iCs/>
          <w:sz w:val="52"/>
          <w:szCs w:val="52"/>
        </w:rPr>
        <w:t>Hristov</w:t>
      </w:r>
      <w:r>
        <w:rPr>
          <w:rFonts w:eastAsia="Times New Roman" w:cs="Times New Roman"/>
          <w:b/>
          <w:bCs/>
          <w:i/>
          <w:iCs/>
          <w:sz w:val="56"/>
          <w:szCs w:val="56"/>
        </w:rPr>
        <w:t xml:space="preserve"> </w:t>
      </w:r>
      <w:r w:rsidRPr="00917502">
        <w:rPr>
          <w:rFonts w:eastAsia="Times New Roman" w:cs="Times New Roman"/>
          <w:b/>
          <w:bCs/>
          <w:i/>
          <w:iCs/>
          <w:sz w:val="52"/>
          <w:szCs w:val="52"/>
        </w:rPr>
        <w:t>Radev</w:t>
      </w:r>
    </w:p>
    <w:p w14:paraId="4876C74A" w14:textId="77777777" w:rsidR="000172CE" w:rsidRDefault="000172CE" w:rsidP="000172CE">
      <w:pPr>
        <w:rPr>
          <w:rFonts w:eastAsia="Times New Roman" w:cs="Times New Roman"/>
          <w:b/>
          <w:bCs/>
          <w:i/>
          <w:iCs/>
          <w:sz w:val="52"/>
          <w:szCs w:val="52"/>
        </w:rPr>
      </w:pPr>
    </w:p>
    <w:p w14:paraId="0FC8367B" w14:textId="77777777" w:rsidR="000172CE" w:rsidRDefault="000172CE" w:rsidP="000172CE">
      <w:pPr>
        <w:rPr>
          <w:rFonts w:eastAsia="Times New Roman" w:cs="Times New Roman"/>
          <w:b/>
          <w:bCs/>
          <w:i/>
          <w:iCs/>
          <w:sz w:val="52"/>
          <w:szCs w:val="52"/>
        </w:rPr>
      </w:pPr>
      <w:r w:rsidRPr="00917502">
        <w:rPr>
          <w:rFonts w:eastAsia="Times New Roman" w:cs="Times New Roman"/>
          <w:b/>
          <w:bCs/>
          <w:i/>
          <w:iCs/>
          <w:sz w:val="52"/>
          <w:szCs w:val="52"/>
        </w:rPr>
        <w:t>Student</w:t>
      </w:r>
      <w:r>
        <w:rPr>
          <w:rFonts w:eastAsia="Times New Roman" w:cs="Times New Roman"/>
          <w:b/>
          <w:bCs/>
          <w:i/>
          <w:iCs/>
          <w:sz w:val="52"/>
          <w:szCs w:val="52"/>
        </w:rPr>
        <w:t xml:space="preserve"> ID: 2030542</w:t>
      </w:r>
    </w:p>
    <w:p w14:paraId="5CF4B3CF" w14:textId="77777777" w:rsidR="00753955" w:rsidRDefault="00753955">
      <w:pPr>
        <w:pStyle w:val="Normal1"/>
        <w:spacing w:before="240" w:after="240"/>
        <w:jc w:val="center"/>
        <w:rPr>
          <w:rFonts w:ascii="Times New Roman" w:eastAsia="Times New Roman" w:hAnsi="Times New Roman" w:cs="Times New Roman"/>
          <w:b/>
          <w:sz w:val="32"/>
          <w:szCs w:val="32"/>
        </w:rPr>
      </w:pPr>
    </w:p>
    <w:p w14:paraId="06A43B41" w14:textId="003B6109" w:rsidR="00F235AA" w:rsidRPr="00753955" w:rsidRDefault="00F235AA" w:rsidP="000172CE">
      <w:pPr>
        <w:pStyle w:val="Normal1"/>
        <w:spacing w:before="240" w:after="240"/>
        <w:rPr>
          <w:rFonts w:ascii="Times New Roman" w:eastAsia="Times New Roman" w:hAnsi="Times New Roman" w:cs="Times New Roman"/>
          <w:b/>
          <w:sz w:val="32"/>
          <w:szCs w:val="32"/>
        </w:rPr>
      </w:pPr>
    </w:p>
    <w:p w14:paraId="6581EFD2" w14:textId="77777777" w:rsidR="00753955" w:rsidRDefault="00753955">
      <w:pPr>
        <w:rPr>
          <w:rFonts w:eastAsia="Times New Roman" w:cs="Times New Roman"/>
          <w:b/>
          <w:szCs w:val="24"/>
        </w:rPr>
      </w:pPr>
      <w:r>
        <w:rPr>
          <w:rFonts w:eastAsia="Times New Roman" w:cs="Times New Roman"/>
          <w:b/>
          <w:szCs w:val="24"/>
        </w:rPr>
        <w:br w:type="page"/>
      </w:r>
    </w:p>
    <w:sdt>
      <w:sdtPr>
        <w:rPr>
          <w:rFonts w:ascii="Arial" w:eastAsia="Arial" w:hAnsi="Arial" w:cs="Arial"/>
          <w:b w:val="0"/>
          <w:bCs w:val="0"/>
          <w:color w:val="auto"/>
          <w:sz w:val="22"/>
          <w:szCs w:val="22"/>
        </w:rPr>
        <w:id w:val="21617979"/>
        <w:docPartObj>
          <w:docPartGallery w:val="Table of Contents"/>
          <w:docPartUnique/>
        </w:docPartObj>
      </w:sdtPr>
      <w:sdtEndPr>
        <w:rPr>
          <w:rFonts w:ascii="Times New Roman" w:hAnsi="Times New Roman" w:cs="Times New Roman"/>
          <w:sz w:val="24"/>
          <w:szCs w:val="24"/>
        </w:rPr>
      </w:sdtEndPr>
      <w:sdtContent>
        <w:p w14:paraId="44DA48DE" w14:textId="77777777" w:rsidR="00753955" w:rsidRPr="00753955" w:rsidRDefault="00753955" w:rsidP="00753955">
          <w:pPr>
            <w:pStyle w:val="TOCHeading"/>
            <w:spacing w:line="360" w:lineRule="auto"/>
            <w:jc w:val="center"/>
            <w:rPr>
              <w:rFonts w:ascii="Times New Roman" w:hAnsi="Times New Roman" w:cs="Times New Roman"/>
              <w:color w:val="000000" w:themeColor="text1"/>
              <w:sz w:val="24"/>
              <w:szCs w:val="24"/>
            </w:rPr>
          </w:pPr>
          <w:r w:rsidRPr="00753955">
            <w:rPr>
              <w:rFonts w:ascii="Times New Roman" w:hAnsi="Times New Roman" w:cs="Times New Roman"/>
              <w:color w:val="000000" w:themeColor="text1"/>
              <w:sz w:val="24"/>
              <w:szCs w:val="24"/>
            </w:rPr>
            <w:t>Table of Contents</w:t>
          </w:r>
        </w:p>
        <w:p w14:paraId="677CA703" w14:textId="73E21734" w:rsidR="00C95750" w:rsidRDefault="00753955">
          <w:pPr>
            <w:pStyle w:val="TOC1"/>
            <w:tabs>
              <w:tab w:val="right" w:leader="dot" w:pos="9350"/>
            </w:tabs>
            <w:rPr>
              <w:rFonts w:asciiTheme="minorHAnsi" w:eastAsiaTheme="minorEastAsia" w:hAnsiTheme="minorHAnsi" w:cstheme="minorBidi"/>
              <w:noProof/>
              <w:sz w:val="22"/>
              <w:lang w:val="en-IN" w:eastAsia="en-IN"/>
            </w:rPr>
          </w:pPr>
          <w:r w:rsidRPr="00753955">
            <w:rPr>
              <w:rFonts w:cs="Times New Roman"/>
              <w:szCs w:val="24"/>
            </w:rPr>
            <w:fldChar w:fldCharType="begin"/>
          </w:r>
          <w:r w:rsidRPr="00753955">
            <w:rPr>
              <w:rFonts w:cs="Times New Roman"/>
              <w:szCs w:val="24"/>
            </w:rPr>
            <w:instrText xml:space="preserve"> TOC \o "1-3" \h \z \u </w:instrText>
          </w:r>
          <w:r w:rsidRPr="00753955">
            <w:rPr>
              <w:rFonts w:cs="Times New Roman"/>
              <w:szCs w:val="24"/>
            </w:rPr>
            <w:fldChar w:fldCharType="separate"/>
          </w:r>
          <w:hyperlink w:anchor="_Toc123921570" w:history="1">
            <w:r w:rsidR="00C95750" w:rsidRPr="00363DC3">
              <w:rPr>
                <w:rStyle w:val="Hyperlink"/>
                <w:noProof/>
              </w:rPr>
              <w:t>Introduction</w:t>
            </w:r>
            <w:r w:rsidR="00C95750">
              <w:rPr>
                <w:noProof/>
                <w:webHidden/>
              </w:rPr>
              <w:tab/>
            </w:r>
            <w:r w:rsidR="00C95750">
              <w:rPr>
                <w:noProof/>
                <w:webHidden/>
              </w:rPr>
              <w:fldChar w:fldCharType="begin"/>
            </w:r>
            <w:r w:rsidR="00C95750">
              <w:rPr>
                <w:noProof/>
                <w:webHidden/>
              </w:rPr>
              <w:instrText xml:space="preserve"> PAGEREF _Toc123921570 \h </w:instrText>
            </w:r>
            <w:r w:rsidR="00C95750">
              <w:rPr>
                <w:noProof/>
                <w:webHidden/>
              </w:rPr>
            </w:r>
            <w:r w:rsidR="00C95750">
              <w:rPr>
                <w:noProof/>
                <w:webHidden/>
              </w:rPr>
              <w:fldChar w:fldCharType="separate"/>
            </w:r>
            <w:r w:rsidR="00C95750">
              <w:rPr>
                <w:noProof/>
                <w:webHidden/>
              </w:rPr>
              <w:t>4</w:t>
            </w:r>
            <w:r w:rsidR="00C95750">
              <w:rPr>
                <w:noProof/>
                <w:webHidden/>
              </w:rPr>
              <w:fldChar w:fldCharType="end"/>
            </w:r>
          </w:hyperlink>
        </w:p>
        <w:p w14:paraId="34201CB8" w14:textId="07889632" w:rsidR="00C95750" w:rsidRDefault="00C464C7">
          <w:pPr>
            <w:pStyle w:val="TOC1"/>
            <w:tabs>
              <w:tab w:val="right" w:leader="dot" w:pos="9350"/>
            </w:tabs>
            <w:rPr>
              <w:rFonts w:asciiTheme="minorHAnsi" w:eastAsiaTheme="minorEastAsia" w:hAnsiTheme="minorHAnsi" w:cstheme="minorBidi"/>
              <w:noProof/>
              <w:sz w:val="22"/>
              <w:lang w:val="en-IN" w:eastAsia="en-IN"/>
            </w:rPr>
          </w:pPr>
          <w:hyperlink w:anchor="_Toc123921571" w:history="1">
            <w:r w:rsidR="00C95750" w:rsidRPr="00363DC3">
              <w:rPr>
                <w:rStyle w:val="Hyperlink"/>
                <w:noProof/>
              </w:rPr>
              <w:t>Main body</w:t>
            </w:r>
            <w:r w:rsidR="00C95750">
              <w:rPr>
                <w:noProof/>
                <w:webHidden/>
              </w:rPr>
              <w:tab/>
            </w:r>
            <w:r w:rsidR="00C95750">
              <w:rPr>
                <w:noProof/>
                <w:webHidden/>
              </w:rPr>
              <w:fldChar w:fldCharType="begin"/>
            </w:r>
            <w:r w:rsidR="00C95750">
              <w:rPr>
                <w:noProof/>
                <w:webHidden/>
              </w:rPr>
              <w:instrText xml:space="preserve"> PAGEREF _Toc123921571 \h </w:instrText>
            </w:r>
            <w:r w:rsidR="00C95750">
              <w:rPr>
                <w:noProof/>
                <w:webHidden/>
              </w:rPr>
            </w:r>
            <w:r w:rsidR="00C95750">
              <w:rPr>
                <w:noProof/>
                <w:webHidden/>
              </w:rPr>
              <w:fldChar w:fldCharType="separate"/>
            </w:r>
            <w:r w:rsidR="00C95750">
              <w:rPr>
                <w:noProof/>
                <w:webHidden/>
              </w:rPr>
              <w:t>4</w:t>
            </w:r>
            <w:r w:rsidR="00C95750">
              <w:rPr>
                <w:noProof/>
                <w:webHidden/>
              </w:rPr>
              <w:fldChar w:fldCharType="end"/>
            </w:r>
          </w:hyperlink>
        </w:p>
        <w:p w14:paraId="4EFA97A2" w14:textId="491AFF4D" w:rsidR="00C95750" w:rsidRDefault="00C464C7">
          <w:pPr>
            <w:pStyle w:val="TOC1"/>
            <w:tabs>
              <w:tab w:val="right" w:leader="dot" w:pos="9350"/>
            </w:tabs>
            <w:rPr>
              <w:rFonts w:asciiTheme="minorHAnsi" w:eastAsiaTheme="minorEastAsia" w:hAnsiTheme="minorHAnsi" w:cstheme="minorBidi"/>
              <w:noProof/>
              <w:sz w:val="22"/>
              <w:lang w:val="en-IN" w:eastAsia="en-IN"/>
            </w:rPr>
          </w:pPr>
          <w:hyperlink w:anchor="_Toc123921572" w:history="1">
            <w:r w:rsidR="00C95750" w:rsidRPr="00363DC3">
              <w:rPr>
                <w:rStyle w:val="Hyperlink"/>
                <w:noProof/>
              </w:rPr>
              <w:t>Conclusion</w:t>
            </w:r>
            <w:r w:rsidR="00C95750">
              <w:rPr>
                <w:noProof/>
                <w:webHidden/>
              </w:rPr>
              <w:tab/>
            </w:r>
            <w:r w:rsidR="00C95750">
              <w:rPr>
                <w:noProof/>
                <w:webHidden/>
              </w:rPr>
              <w:fldChar w:fldCharType="begin"/>
            </w:r>
            <w:r w:rsidR="00C95750">
              <w:rPr>
                <w:noProof/>
                <w:webHidden/>
              </w:rPr>
              <w:instrText xml:space="preserve"> PAGEREF _Toc123921572 \h </w:instrText>
            </w:r>
            <w:r w:rsidR="00C95750">
              <w:rPr>
                <w:noProof/>
                <w:webHidden/>
              </w:rPr>
            </w:r>
            <w:r w:rsidR="00C95750">
              <w:rPr>
                <w:noProof/>
                <w:webHidden/>
              </w:rPr>
              <w:fldChar w:fldCharType="separate"/>
            </w:r>
            <w:r w:rsidR="00C95750">
              <w:rPr>
                <w:noProof/>
                <w:webHidden/>
              </w:rPr>
              <w:t>12</w:t>
            </w:r>
            <w:r w:rsidR="00C95750">
              <w:rPr>
                <w:noProof/>
                <w:webHidden/>
              </w:rPr>
              <w:fldChar w:fldCharType="end"/>
            </w:r>
          </w:hyperlink>
        </w:p>
        <w:p w14:paraId="7E98050E" w14:textId="49ECE26B" w:rsidR="00C95750" w:rsidRDefault="00C464C7">
          <w:pPr>
            <w:pStyle w:val="TOC1"/>
            <w:tabs>
              <w:tab w:val="right" w:leader="dot" w:pos="9350"/>
            </w:tabs>
            <w:rPr>
              <w:rFonts w:asciiTheme="minorHAnsi" w:eastAsiaTheme="minorEastAsia" w:hAnsiTheme="minorHAnsi" w:cstheme="minorBidi"/>
              <w:noProof/>
              <w:sz w:val="22"/>
              <w:lang w:val="en-IN" w:eastAsia="en-IN"/>
            </w:rPr>
          </w:pPr>
          <w:hyperlink w:anchor="_Toc123921573" w:history="1">
            <w:r w:rsidR="00C95750" w:rsidRPr="00363DC3">
              <w:rPr>
                <w:rStyle w:val="Hyperlink"/>
                <w:noProof/>
              </w:rPr>
              <w:t>Reference list</w:t>
            </w:r>
            <w:r w:rsidR="00C95750">
              <w:rPr>
                <w:noProof/>
                <w:webHidden/>
              </w:rPr>
              <w:tab/>
            </w:r>
            <w:r w:rsidR="00C95750">
              <w:rPr>
                <w:noProof/>
                <w:webHidden/>
              </w:rPr>
              <w:fldChar w:fldCharType="begin"/>
            </w:r>
            <w:r w:rsidR="00C95750">
              <w:rPr>
                <w:noProof/>
                <w:webHidden/>
              </w:rPr>
              <w:instrText xml:space="preserve"> PAGEREF _Toc123921573 \h </w:instrText>
            </w:r>
            <w:r w:rsidR="00C95750">
              <w:rPr>
                <w:noProof/>
                <w:webHidden/>
              </w:rPr>
            </w:r>
            <w:r w:rsidR="00C95750">
              <w:rPr>
                <w:noProof/>
                <w:webHidden/>
              </w:rPr>
              <w:fldChar w:fldCharType="separate"/>
            </w:r>
            <w:r w:rsidR="00C95750">
              <w:rPr>
                <w:noProof/>
                <w:webHidden/>
              </w:rPr>
              <w:t>14</w:t>
            </w:r>
            <w:r w:rsidR="00C95750">
              <w:rPr>
                <w:noProof/>
                <w:webHidden/>
              </w:rPr>
              <w:fldChar w:fldCharType="end"/>
            </w:r>
          </w:hyperlink>
        </w:p>
        <w:p w14:paraId="528D3AED" w14:textId="2906D6CF" w:rsidR="00753955" w:rsidRPr="00753955" w:rsidRDefault="00753955" w:rsidP="00753955">
          <w:pPr>
            <w:rPr>
              <w:rFonts w:cs="Times New Roman"/>
              <w:szCs w:val="24"/>
            </w:rPr>
          </w:pPr>
          <w:r w:rsidRPr="00753955">
            <w:rPr>
              <w:rFonts w:cs="Times New Roman"/>
              <w:szCs w:val="24"/>
            </w:rPr>
            <w:fldChar w:fldCharType="end"/>
          </w:r>
        </w:p>
      </w:sdtContent>
    </w:sdt>
    <w:p w14:paraId="0F1A8226" w14:textId="77777777" w:rsidR="00753955" w:rsidRDefault="00753955">
      <w:pPr>
        <w:rPr>
          <w:rFonts w:eastAsia="Times New Roman" w:cs="Times New Roman"/>
          <w:b/>
          <w:szCs w:val="24"/>
        </w:rPr>
      </w:pPr>
      <w:r>
        <w:rPr>
          <w:rFonts w:eastAsia="Times New Roman" w:cs="Times New Roman"/>
          <w:b/>
          <w:szCs w:val="24"/>
        </w:rPr>
        <w:br w:type="page"/>
      </w:r>
    </w:p>
    <w:p w14:paraId="06FF9C70" w14:textId="77777777" w:rsidR="00F235AA" w:rsidRDefault="00740AF3" w:rsidP="00753955">
      <w:pPr>
        <w:pStyle w:val="Heading1"/>
      </w:pPr>
      <w:bookmarkStart w:id="0" w:name="_Toc123921570"/>
      <w:r>
        <w:lastRenderedPageBreak/>
        <w:t>Introduction</w:t>
      </w:r>
      <w:bookmarkEnd w:id="0"/>
    </w:p>
    <w:p w14:paraId="172123BF" w14:textId="086E2622" w:rsidR="00F235AA" w:rsidRDefault="00146F7F" w:rsidP="00753955">
      <w:pPr>
        <w:pStyle w:val="Normal1"/>
        <w:spacing w:before="240" w:after="240" w:line="360" w:lineRule="auto"/>
        <w:jc w:val="both"/>
        <w:rPr>
          <w:rFonts w:ascii="Times New Roman" w:eastAsia="Times New Roman" w:hAnsi="Times New Roman" w:cs="Times New Roman"/>
          <w:sz w:val="24"/>
          <w:szCs w:val="24"/>
        </w:rPr>
      </w:pPr>
      <w:r w:rsidRPr="00C464C7">
        <w:rPr>
          <w:rFonts w:ascii="Times New Roman" w:eastAsia="Times New Roman" w:hAnsi="Times New Roman" w:cs="Times New Roman"/>
          <w:sz w:val="24"/>
          <w:szCs w:val="24"/>
        </w:rPr>
        <w:t xml:space="preserve">In the economy there are various changes in the market due to the supply and demand of the product. This can bring change in the global context due to the fall or rise in the demand or supply. Suppose in the case of the logistic company when any natural disaster occurs then it impact the company’s supply chain and operation which create huge change in the market and economy. </w:t>
      </w:r>
      <w:r w:rsidR="00740AF3" w:rsidRPr="00C464C7">
        <w:rPr>
          <w:rFonts w:ascii="Times New Roman" w:eastAsia="Times New Roman" w:hAnsi="Times New Roman" w:cs="Times New Roman"/>
          <w:sz w:val="24"/>
          <w:szCs w:val="24"/>
        </w:rPr>
        <w:t xml:space="preserve">It </w:t>
      </w:r>
      <w:r w:rsidRPr="00C464C7">
        <w:rPr>
          <w:rFonts w:ascii="Times New Roman" w:eastAsia="Times New Roman" w:hAnsi="Times New Roman" w:cs="Times New Roman"/>
          <w:sz w:val="24"/>
          <w:szCs w:val="24"/>
        </w:rPr>
        <w:t>then</w:t>
      </w:r>
      <w:r w:rsidR="00740AF3" w:rsidRPr="00C464C7">
        <w:rPr>
          <w:rFonts w:ascii="Times New Roman" w:eastAsia="Times New Roman" w:hAnsi="Times New Roman" w:cs="Times New Roman"/>
          <w:sz w:val="24"/>
          <w:szCs w:val="24"/>
        </w:rPr>
        <w:t xml:space="preserve"> </w:t>
      </w:r>
      <w:r w:rsidR="00740AF3">
        <w:rPr>
          <w:rFonts w:ascii="Times New Roman" w:eastAsia="Times New Roman" w:hAnsi="Times New Roman" w:cs="Times New Roman"/>
          <w:sz w:val="24"/>
          <w:szCs w:val="24"/>
        </w:rPr>
        <w:t xml:space="preserve">creates difficulties for the logistics managers to maintain a stable process of supply and demand (Li </w:t>
      </w:r>
      <w:r w:rsidR="00740AF3">
        <w:rPr>
          <w:rFonts w:ascii="Times New Roman" w:eastAsia="Times New Roman" w:hAnsi="Times New Roman" w:cs="Times New Roman"/>
          <w:i/>
          <w:sz w:val="24"/>
          <w:szCs w:val="24"/>
        </w:rPr>
        <w:t>et al</w:t>
      </w:r>
      <w:r w:rsidR="00740AF3">
        <w:rPr>
          <w:rFonts w:ascii="Times New Roman" w:eastAsia="Times New Roman" w:hAnsi="Times New Roman" w:cs="Times New Roman"/>
          <w:sz w:val="24"/>
          <w:szCs w:val="24"/>
        </w:rPr>
        <w:t xml:space="preserve">., 2018). In this context, management economics has gained significant attention as it suggests the application of economic theory to deal with the problem of business economics. The purpose of this essay is to describe the business of IKEA in the United Kingdom by identifying its demand and market equilibrium. Furthermore, this study indicates the elastic or inelastic demand of IKEA’s products in the context of the study.    </w:t>
      </w:r>
    </w:p>
    <w:p w14:paraId="6D650C8F" w14:textId="77777777" w:rsidR="00F235AA" w:rsidRDefault="00740AF3" w:rsidP="00753955">
      <w:pPr>
        <w:pStyle w:val="Heading1"/>
      </w:pPr>
      <w:bookmarkStart w:id="1" w:name="_Toc123921571"/>
      <w:r>
        <w:t>Main body</w:t>
      </w:r>
      <w:bookmarkEnd w:id="1"/>
    </w:p>
    <w:p w14:paraId="039A9378" w14:textId="2BFA0C58" w:rsidR="00442ECF" w:rsidRPr="00442ECF"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 of the business – IKEA</w:t>
      </w:r>
    </w:p>
    <w:p w14:paraId="013B589C"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IKEA is selected as the business firm operating in the furniture market of the United Kingdom and selling a wide range of conventional as well as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furniture products.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a renowned home-furnishing retailer popular for its easy assemble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recognized as the largest seller of furniture across the globe in the early phase of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IKEA is particularly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in selling low-price products in the compact “flat-pack” form, which is easy to assemble by consumers at home. The flat-packing aspect of furniture is an innovative approach introduced initially by IKEA in 1956, which served as a key factor in reducing the operational costs for the company.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of IKEA is identified as a hierarchical, demonstrating substantial size of business, which integrates eleven franchisees functioning in more than 500 locations across 63 nations (Ngai and </w:t>
      </w:r>
      <w:proofErr w:type="spellStart"/>
      <w:r>
        <w:rPr>
          <w:rFonts w:ascii="Times New Roman" w:eastAsia="Times New Roman" w:hAnsi="Times New Roman" w:cs="Times New Roman"/>
          <w:sz w:val="24"/>
          <w:szCs w:val="24"/>
        </w:rPr>
        <w:t>Falkheimer</w:t>
      </w:r>
      <w:proofErr w:type="spellEnd"/>
      <w:r>
        <w:rPr>
          <w:rFonts w:ascii="Times New Roman" w:eastAsia="Times New Roman" w:hAnsi="Times New Roman" w:cs="Times New Roman"/>
          <w:sz w:val="24"/>
          <w:szCs w:val="24"/>
        </w:rPr>
        <w:t xml:space="preserve">, 2017).  </w:t>
      </w:r>
    </w:p>
    <w:p w14:paraId="5CC31BF5" w14:textId="77777777" w:rsidR="00F235AA" w:rsidRDefault="00740AF3" w:rsidP="00753955">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14:anchorId="10458EA3" wp14:editId="577DC620">
            <wp:extent cx="4703076" cy="3821373"/>
            <wp:effectExtent l="19050" t="0" r="2274"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07352" cy="3824847"/>
                    </a:xfrm>
                    <a:prstGeom prst="rect">
                      <a:avLst/>
                    </a:prstGeom>
                    <a:ln/>
                  </pic:spPr>
                </pic:pic>
              </a:graphicData>
            </a:graphic>
          </wp:inline>
        </w:drawing>
      </w:r>
    </w:p>
    <w:p w14:paraId="44146431" w14:textId="77777777" w:rsidR="00F235AA" w:rsidRDefault="00740AF3" w:rsidP="00753955">
      <w:pPr>
        <w:pStyle w:val="Normal1"/>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Consolidated income statement of IKEA in 2021 and 2022</w:t>
      </w:r>
    </w:p>
    <w:p w14:paraId="5D54771A" w14:textId="77777777" w:rsidR="00F235AA" w:rsidRDefault="00740AF3" w:rsidP="00753955">
      <w:pPr>
        <w:pStyle w:val="Normal1"/>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Inter IKEA Group., 2022)</w:t>
      </w:r>
    </w:p>
    <w:p w14:paraId="0C6A0F58"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IKEA is controlled and regulated through a large number of holding companies, non-profit foundations and operating companies instead of shareholders in case of the other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corporate structure of  IKEA was developed partly in response to the high Swedish taxation. Extensive knowledge about the purchasing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preferences of consumers constitutes one of the competitive advantages for IKEA.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understands the buying factors, which influence the consumers to purchase and implements the preeminent practices to induce customer decision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In addition, low pricing of products served as the cornerstone for IKEA as the company always seeks to adopt cost-efficient and efficient procedures in its business (Lewis, 2022). In the post pandemic period, IKEA has witnessed an increase in revenue generation of 27,578 million Euros in 2022 compared to revenue of 25,615 million Euros generated in the fiscal year 2021. However, increased operational cost and rate of goods sold decreased the total operating income of 1034 million Euros and net income of 710 million Euros of the company compared to previous year net income of 1856 million Euros and net income of </w:t>
      </w:r>
      <w:r>
        <w:rPr>
          <w:rFonts w:ascii="Times New Roman" w:eastAsia="Times New Roman" w:hAnsi="Times New Roman" w:cs="Times New Roman"/>
          <w:sz w:val="24"/>
          <w:szCs w:val="24"/>
        </w:rPr>
        <w:lastRenderedPageBreak/>
        <w:t>1433 million Euros. The gross profit margin of IKEA decreased from 13 percent in 2021 to 10.6 percent in 2022 due to the imbalance in the market and demand equilibrium generated as a result of changing demographics, consumer preferences and price of substitutes (Inter IKEA Group., 2022).</w:t>
      </w:r>
    </w:p>
    <w:p w14:paraId="5BDB4FD9" w14:textId="32B85433" w:rsidR="00F235AA"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Identification of the demand and market equilibrium</w:t>
      </w:r>
    </w:p>
    <w:p w14:paraId="11941B19" w14:textId="77777777" w:rsidR="00442ECF" w:rsidRDefault="00442ECF" w:rsidP="00442ECF">
      <w:pPr>
        <w:spacing w:before="240"/>
        <w:rPr>
          <w:rFonts w:cs="Times New Roman"/>
          <w:szCs w:val="24"/>
        </w:rPr>
      </w:pPr>
      <w:r>
        <w:rPr>
          <w:rFonts w:cs="Times New Roman"/>
          <w:szCs w:val="24"/>
        </w:rPr>
        <w:t>Price of Substitute</w:t>
      </w:r>
    </w:p>
    <w:tbl>
      <w:tblPr>
        <w:tblW w:w="3840" w:type="dxa"/>
        <w:tblLook w:val="04A0" w:firstRow="1" w:lastRow="0" w:firstColumn="1" w:lastColumn="0" w:noHBand="0" w:noVBand="1"/>
      </w:tblPr>
      <w:tblGrid>
        <w:gridCol w:w="710"/>
        <w:gridCol w:w="1256"/>
        <w:gridCol w:w="1070"/>
        <w:gridCol w:w="1256"/>
      </w:tblGrid>
      <w:tr w:rsidR="00442ECF" w:rsidRPr="00A24A1F" w14:paraId="1197AB76" w14:textId="77777777" w:rsidTr="001C09C0">
        <w:trPr>
          <w:trHeight w:val="945"/>
        </w:trPr>
        <w:tc>
          <w:tcPr>
            <w:tcW w:w="77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9E050FD"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Price</w:t>
            </w:r>
          </w:p>
        </w:tc>
        <w:tc>
          <w:tcPr>
            <w:tcW w:w="1070" w:type="dxa"/>
            <w:tcBorders>
              <w:top w:val="single" w:sz="8" w:space="0" w:color="auto"/>
              <w:left w:val="nil"/>
              <w:bottom w:val="single" w:sz="4" w:space="0" w:color="auto"/>
              <w:right w:val="single" w:sz="4" w:space="0" w:color="auto"/>
            </w:tcBorders>
            <w:shd w:val="clear" w:color="auto" w:fill="auto"/>
            <w:vAlign w:val="center"/>
            <w:hideMark/>
          </w:tcPr>
          <w:p w14:paraId="2D9001FB"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Q. Demanded</w:t>
            </w:r>
          </w:p>
        </w:tc>
        <w:tc>
          <w:tcPr>
            <w:tcW w:w="927" w:type="dxa"/>
            <w:tcBorders>
              <w:top w:val="single" w:sz="8" w:space="0" w:color="auto"/>
              <w:left w:val="nil"/>
              <w:bottom w:val="single" w:sz="4" w:space="0" w:color="auto"/>
              <w:right w:val="single" w:sz="4" w:space="0" w:color="auto"/>
            </w:tcBorders>
            <w:shd w:val="clear" w:color="auto" w:fill="auto"/>
            <w:vAlign w:val="center"/>
            <w:hideMark/>
          </w:tcPr>
          <w:p w14:paraId="08A8CEA2"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Q. Supplied</w:t>
            </w:r>
          </w:p>
        </w:tc>
        <w:tc>
          <w:tcPr>
            <w:tcW w:w="1070" w:type="dxa"/>
            <w:tcBorders>
              <w:top w:val="single" w:sz="8" w:space="0" w:color="auto"/>
              <w:left w:val="nil"/>
              <w:bottom w:val="single" w:sz="4" w:space="0" w:color="auto"/>
              <w:right w:val="single" w:sz="8" w:space="0" w:color="auto"/>
            </w:tcBorders>
            <w:shd w:val="clear" w:color="auto" w:fill="auto"/>
            <w:vAlign w:val="center"/>
            <w:hideMark/>
          </w:tcPr>
          <w:p w14:paraId="4F0BC52A"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Q. Demanded 2</w:t>
            </w:r>
          </w:p>
        </w:tc>
      </w:tr>
      <w:tr w:rsidR="00442ECF" w:rsidRPr="00A24A1F" w14:paraId="094141BC"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0299811F"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12</w:t>
            </w:r>
          </w:p>
        </w:tc>
        <w:tc>
          <w:tcPr>
            <w:tcW w:w="1070" w:type="dxa"/>
            <w:tcBorders>
              <w:top w:val="nil"/>
              <w:left w:val="nil"/>
              <w:bottom w:val="single" w:sz="4" w:space="0" w:color="auto"/>
              <w:right w:val="single" w:sz="4" w:space="0" w:color="auto"/>
            </w:tcBorders>
            <w:shd w:val="clear" w:color="auto" w:fill="auto"/>
            <w:vAlign w:val="center"/>
            <w:hideMark/>
          </w:tcPr>
          <w:p w14:paraId="55FB3F07"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42</w:t>
            </w:r>
          </w:p>
        </w:tc>
        <w:tc>
          <w:tcPr>
            <w:tcW w:w="927" w:type="dxa"/>
            <w:tcBorders>
              <w:top w:val="nil"/>
              <w:left w:val="nil"/>
              <w:bottom w:val="single" w:sz="4" w:space="0" w:color="auto"/>
              <w:right w:val="single" w:sz="4" w:space="0" w:color="auto"/>
            </w:tcBorders>
            <w:shd w:val="clear" w:color="auto" w:fill="auto"/>
            <w:vAlign w:val="center"/>
            <w:hideMark/>
          </w:tcPr>
          <w:p w14:paraId="22ADD54D"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6</w:t>
            </w:r>
          </w:p>
        </w:tc>
        <w:tc>
          <w:tcPr>
            <w:tcW w:w="1070" w:type="dxa"/>
            <w:tcBorders>
              <w:top w:val="nil"/>
              <w:left w:val="nil"/>
              <w:bottom w:val="single" w:sz="4" w:space="0" w:color="auto"/>
              <w:right w:val="single" w:sz="8" w:space="0" w:color="auto"/>
            </w:tcBorders>
            <w:shd w:val="clear" w:color="auto" w:fill="auto"/>
            <w:vAlign w:val="center"/>
            <w:hideMark/>
          </w:tcPr>
          <w:p w14:paraId="01DCA8B8"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35</w:t>
            </w:r>
          </w:p>
        </w:tc>
      </w:tr>
      <w:tr w:rsidR="00442ECF" w:rsidRPr="00A24A1F" w14:paraId="20DAA809"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27838731"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15</w:t>
            </w:r>
          </w:p>
        </w:tc>
        <w:tc>
          <w:tcPr>
            <w:tcW w:w="1070" w:type="dxa"/>
            <w:tcBorders>
              <w:top w:val="nil"/>
              <w:left w:val="nil"/>
              <w:bottom w:val="single" w:sz="4" w:space="0" w:color="auto"/>
              <w:right w:val="single" w:sz="4" w:space="0" w:color="auto"/>
            </w:tcBorders>
            <w:shd w:val="clear" w:color="auto" w:fill="auto"/>
            <w:vAlign w:val="center"/>
            <w:hideMark/>
          </w:tcPr>
          <w:p w14:paraId="7BE62E9E"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36</w:t>
            </w:r>
          </w:p>
        </w:tc>
        <w:tc>
          <w:tcPr>
            <w:tcW w:w="927" w:type="dxa"/>
            <w:tcBorders>
              <w:top w:val="nil"/>
              <w:left w:val="nil"/>
              <w:bottom w:val="single" w:sz="4" w:space="0" w:color="auto"/>
              <w:right w:val="single" w:sz="4" w:space="0" w:color="auto"/>
            </w:tcBorders>
            <w:shd w:val="clear" w:color="auto" w:fill="auto"/>
            <w:vAlign w:val="center"/>
            <w:hideMark/>
          </w:tcPr>
          <w:p w14:paraId="48974D76"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13</w:t>
            </w:r>
          </w:p>
        </w:tc>
        <w:tc>
          <w:tcPr>
            <w:tcW w:w="1070" w:type="dxa"/>
            <w:tcBorders>
              <w:top w:val="nil"/>
              <w:left w:val="nil"/>
              <w:bottom w:val="single" w:sz="4" w:space="0" w:color="auto"/>
              <w:right w:val="single" w:sz="8" w:space="0" w:color="auto"/>
            </w:tcBorders>
            <w:shd w:val="clear" w:color="auto" w:fill="auto"/>
            <w:vAlign w:val="center"/>
            <w:hideMark/>
          </w:tcPr>
          <w:p w14:paraId="6F8372DE"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29</w:t>
            </w:r>
          </w:p>
        </w:tc>
      </w:tr>
      <w:tr w:rsidR="00442ECF" w:rsidRPr="00A24A1F" w14:paraId="3296F845"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7F6D1EA2"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18</w:t>
            </w:r>
          </w:p>
        </w:tc>
        <w:tc>
          <w:tcPr>
            <w:tcW w:w="1070" w:type="dxa"/>
            <w:tcBorders>
              <w:top w:val="nil"/>
              <w:left w:val="nil"/>
              <w:bottom w:val="single" w:sz="4" w:space="0" w:color="auto"/>
              <w:right w:val="single" w:sz="4" w:space="0" w:color="auto"/>
            </w:tcBorders>
            <w:shd w:val="clear" w:color="auto" w:fill="auto"/>
            <w:vAlign w:val="center"/>
            <w:hideMark/>
          </w:tcPr>
          <w:p w14:paraId="183D23FE"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30</w:t>
            </w:r>
          </w:p>
        </w:tc>
        <w:tc>
          <w:tcPr>
            <w:tcW w:w="927" w:type="dxa"/>
            <w:tcBorders>
              <w:top w:val="nil"/>
              <w:left w:val="nil"/>
              <w:bottom w:val="single" w:sz="4" w:space="0" w:color="auto"/>
              <w:right w:val="single" w:sz="4" w:space="0" w:color="auto"/>
            </w:tcBorders>
            <w:shd w:val="clear" w:color="auto" w:fill="auto"/>
            <w:vAlign w:val="center"/>
            <w:hideMark/>
          </w:tcPr>
          <w:p w14:paraId="7C9A738D"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20</w:t>
            </w:r>
          </w:p>
        </w:tc>
        <w:tc>
          <w:tcPr>
            <w:tcW w:w="1070" w:type="dxa"/>
            <w:tcBorders>
              <w:top w:val="nil"/>
              <w:left w:val="nil"/>
              <w:bottom w:val="single" w:sz="4" w:space="0" w:color="auto"/>
              <w:right w:val="single" w:sz="8" w:space="0" w:color="auto"/>
            </w:tcBorders>
            <w:shd w:val="clear" w:color="auto" w:fill="auto"/>
            <w:vAlign w:val="center"/>
            <w:hideMark/>
          </w:tcPr>
          <w:p w14:paraId="4C4FF5D6"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23</w:t>
            </w:r>
          </w:p>
        </w:tc>
      </w:tr>
      <w:tr w:rsidR="00442ECF" w:rsidRPr="00A24A1F" w14:paraId="49692C5A" w14:textId="77777777" w:rsidTr="001C09C0">
        <w:trPr>
          <w:trHeight w:val="315"/>
        </w:trPr>
        <w:tc>
          <w:tcPr>
            <w:tcW w:w="773" w:type="dxa"/>
            <w:tcBorders>
              <w:top w:val="nil"/>
              <w:left w:val="single" w:sz="8" w:space="0" w:color="auto"/>
              <w:bottom w:val="single" w:sz="4" w:space="0" w:color="auto"/>
              <w:right w:val="single" w:sz="4" w:space="0" w:color="auto"/>
            </w:tcBorders>
            <w:shd w:val="clear" w:color="auto" w:fill="auto"/>
            <w:vAlign w:val="center"/>
            <w:hideMark/>
          </w:tcPr>
          <w:p w14:paraId="64BF4DA0"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21</w:t>
            </w:r>
          </w:p>
        </w:tc>
        <w:tc>
          <w:tcPr>
            <w:tcW w:w="1070" w:type="dxa"/>
            <w:tcBorders>
              <w:top w:val="nil"/>
              <w:left w:val="nil"/>
              <w:bottom w:val="single" w:sz="4" w:space="0" w:color="auto"/>
              <w:right w:val="single" w:sz="4" w:space="0" w:color="auto"/>
            </w:tcBorders>
            <w:shd w:val="clear" w:color="auto" w:fill="auto"/>
            <w:vAlign w:val="center"/>
            <w:hideMark/>
          </w:tcPr>
          <w:p w14:paraId="1A11D5CF"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24</w:t>
            </w:r>
          </w:p>
        </w:tc>
        <w:tc>
          <w:tcPr>
            <w:tcW w:w="927" w:type="dxa"/>
            <w:tcBorders>
              <w:top w:val="nil"/>
              <w:left w:val="nil"/>
              <w:bottom w:val="single" w:sz="4" w:space="0" w:color="auto"/>
              <w:right w:val="single" w:sz="4" w:space="0" w:color="auto"/>
            </w:tcBorders>
            <w:shd w:val="clear" w:color="auto" w:fill="auto"/>
            <w:vAlign w:val="center"/>
            <w:hideMark/>
          </w:tcPr>
          <w:p w14:paraId="39442225"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27</w:t>
            </w:r>
          </w:p>
        </w:tc>
        <w:tc>
          <w:tcPr>
            <w:tcW w:w="1070" w:type="dxa"/>
            <w:tcBorders>
              <w:top w:val="nil"/>
              <w:left w:val="nil"/>
              <w:bottom w:val="single" w:sz="4" w:space="0" w:color="auto"/>
              <w:right w:val="single" w:sz="8" w:space="0" w:color="auto"/>
            </w:tcBorders>
            <w:shd w:val="clear" w:color="auto" w:fill="auto"/>
            <w:vAlign w:val="center"/>
            <w:hideMark/>
          </w:tcPr>
          <w:p w14:paraId="05DEA4E9" w14:textId="77777777" w:rsidR="00442ECF" w:rsidRPr="00A24A1F" w:rsidRDefault="00442ECF" w:rsidP="001C09C0">
            <w:pPr>
              <w:spacing w:line="240" w:lineRule="auto"/>
              <w:rPr>
                <w:rFonts w:eastAsia="Times New Roman" w:cs="Times New Roman"/>
                <w:color w:val="000000"/>
                <w:szCs w:val="24"/>
                <w:lang w:eastAsia="en-IN"/>
              </w:rPr>
            </w:pPr>
            <w:r w:rsidRPr="00A24A1F">
              <w:rPr>
                <w:rFonts w:eastAsia="Times New Roman" w:cs="Times New Roman"/>
                <w:color w:val="000000"/>
                <w:szCs w:val="24"/>
                <w:lang w:eastAsia="en-IN"/>
              </w:rPr>
              <w:t>17</w:t>
            </w:r>
          </w:p>
        </w:tc>
      </w:tr>
      <w:tr w:rsidR="00C464C7" w:rsidRPr="00C464C7" w14:paraId="3DE0DFC7" w14:textId="77777777" w:rsidTr="001C09C0">
        <w:trPr>
          <w:trHeight w:val="330"/>
        </w:trPr>
        <w:tc>
          <w:tcPr>
            <w:tcW w:w="773" w:type="dxa"/>
            <w:tcBorders>
              <w:top w:val="nil"/>
              <w:left w:val="single" w:sz="8" w:space="0" w:color="auto"/>
              <w:bottom w:val="single" w:sz="8" w:space="0" w:color="auto"/>
              <w:right w:val="single" w:sz="4" w:space="0" w:color="auto"/>
            </w:tcBorders>
            <w:shd w:val="clear" w:color="auto" w:fill="auto"/>
            <w:vAlign w:val="center"/>
            <w:hideMark/>
          </w:tcPr>
          <w:p w14:paraId="62D74AE4" w14:textId="77777777" w:rsidR="00442ECF" w:rsidRPr="00C464C7" w:rsidRDefault="00442ECF" w:rsidP="001C09C0">
            <w:pPr>
              <w:spacing w:line="240" w:lineRule="auto"/>
              <w:rPr>
                <w:rFonts w:eastAsia="Times New Roman" w:cs="Times New Roman"/>
                <w:szCs w:val="24"/>
                <w:lang w:eastAsia="en-IN"/>
              </w:rPr>
            </w:pPr>
            <w:r w:rsidRPr="00C464C7">
              <w:rPr>
                <w:rFonts w:eastAsia="Times New Roman" w:cs="Times New Roman"/>
                <w:szCs w:val="24"/>
                <w:lang w:eastAsia="en-IN"/>
              </w:rPr>
              <w:t>24</w:t>
            </w:r>
          </w:p>
        </w:tc>
        <w:tc>
          <w:tcPr>
            <w:tcW w:w="1070" w:type="dxa"/>
            <w:tcBorders>
              <w:top w:val="nil"/>
              <w:left w:val="nil"/>
              <w:bottom w:val="single" w:sz="8" w:space="0" w:color="auto"/>
              <w:right w:val="single" w:sz="4" w:space="0" w:color="auto"/>
            </w:tcBorders>
            <w:shd w:val="clear" w:color="auto" w:fill="auto"/>
            <w:vAlign w:val="center"/>
            <w:hideMark/>
          </w:tcPr>
          <w:p w14:paraId="7860F0A1" w14:textId="77777777" w:rsidR="00442ECF" w:rsidRPr="00C464C7" w:rsidRDefault="00442ECF" w:rsidP="001C09C0">
            <w:pPr>
              <w:spacing w:line="240" w:lineRule="auto"/>
              <w:rPr>
                <w:rFonts w:eastAsia="Times New Roman" w:cs="Times New Roman"/>
                <w:szCs w:val="24"/>
                <w:lang w:eastAsia="en-IN"/>
              </w:rPr>
            </w:pPr>
            <w:r w:rsidRPr="00C464C7">
              <w:rPr>
                <w:rFonts w:eastAsia="Times New Roman" w:cs="Times New Roman"/>
                <w:szCs w:val="24"/>
                <w:lang w:eastAsia="en-IN"/>
              </w:rPr>
              <w:t>18</w:t>
            </w:r>
          </w:p>
        </w:tc>
        <w:tc>
          <w:tcPr>
            <w:tcW w:w="927" w:type="dxa"/>
            <w:tcBorders>
              <w:top w:val="nil"/>
              <w:left w:val="nil"/>
              <w:bottom w:val="single" w:sz="8" w:space="0" w:color="auto"/>
              <w:right w:val="single" w:sz="4" w:space="0" w:color="auto"/>
            </w:tcBorders>
            <w:shd w:val="clear" w:color="auto" w:fill="auto"/>
            <w:vAlign w:val="center"/>
            <w:hideMark/>
          </w:tcPr>
          <w:p w14:paraId="39FC4E98" w14:textId="77777777" w:rsidR="00442ECF" w:rsidRPr="00C464C7" w:rsidRDefault="00442ECF" w:rsidP="001C09C0">
            <w:pPr>
              <w:spacing w:line="240" w:lineRule="auto"/>
              <w:rPr>
                <w:rFonts w:eastAsia="Times New Roman" w:cs="Times New Roman"/>
                <w:szCs w:val="24"/>
                <w:lang w:eastAsia="en-IN"/>
              </w:rPr>
            </w:pPr>
            <w:r w:rsidRPr="00C464C7">
              <w:rPr>
                <w:rFonts w:eastAsia="Times New Roman" w:cs="Times New Roman"/>
                <w:szCs w:val="24"/>
                <w:lang w:eastAsia="en-IN"/>
              </w:rPr>
              <w:t>34</w:t>
            </w:r>
          </w:p>
        </w:tc>
        <w:tc>
          <w:tcPr>
            <w:tcW w:w="1070" w:type="dxa"/>
            <w:tcBorders>
              <w:top w:val="nil"/>
              <w:left w:val="nil"/>
              <w:bottom w:val="single" w:sz="8" w:space="0" w:color="auto"/>
              <w:right w:val="single" w:sz="8" w:space="0" w:color="auto"/>
            </w:tcBorders>
            <w:shd w:val="clear" w:color="auto" w:fill="auto"/>
            <w:vAlign w:val="center"/>
            <w:hideMark/>
          </w:tcPr>
          <w:p w14:paraId="1F5FEBAC" w14:textId="77777777" w:rsidR="00442ECF" w:rsidRPr="00C464C7" w:rsidRDefault="00442ECF" w:rsidP="001C09C0">
            <w:pPr>
              <w:spacing w:line="240" w:lineRule="auto"/>
              <w:rPr>
                <w:rFonts w:eastAsia="Times New Roman" w:cs="Times New Roman"/>
                <w:szCs w:val="24"/>
                <w:lang w:eastAsia="en-IN"/>
              </w:rPr>
            </w:pPr>
            <w:r w:rsidRPr="00C464C7">
              <w:rPr>
                <w:rFonts w:eastAsia="Times New Roman" w:cs="Times New Roman"/>
                <w:szCs w:val="24"/>
                <w:lang w:eastAsia="en-IN"/>
              </w:rPr>
              <w:t>11</w:t>
            </w:r>
          </w:p>
        </w:tc>
      </w:tr>
    </w:tbl>
    <w:p w14:paraId="76F5BB44" w14:textId="79CBC11A" w:rsidR="00442ECF" w:rsidRPr="00C464C7" w:rsidRDefault="00146F7F" w:rsidP="00442ECF">
      <w:pPr>
        <w:spacing w:before="240"/>
        <w:rPr>
          <w:rFonts w:cs="Times New Roman"/>
          <w:szCs w:val="24"/>
        </w:rPr>
      </w:pPr>
      <w:r w:rsidRPr="00C464C7">
        <w:rPr>
          <w:rFonts w:cs="Times New Roman"/>
          <w:szCs w:val="24"/>
        </w:rPr>
        <w:t>Table 1: price, demand, supply and change in demand</w:t>
      </w:r>
    </w:p>
    <w:p w14:paraId="4C1E2812" w14:textId="6C3D54BC" w:rsidR="00442ECF" w:rsidRDefault="00442ECF" w:rsidP="00442ECF">
      <w:pPr>
        <w:spacing w:before="240"/>
        <w:rPr>
          <w:rFonts w:cs="Times New Roman"/>
          <w:szCs w:val="24"/>
        </w:rPr>
      </w:pPr>
      <w:r>
        <w:rPr>
          <w:noProof/>
          <w:lang w:val="en-GB" w:eastAsia="en-GB"/>
        </w:rPr>
        <w:drawing>
          <wp:inline distT="0" distB="0" distL="0" distR="0" wp14:anchorId="211CF81D" wp14:editId="6F67413B">
            <wp:extent cx="5695950" cy="3467100"/>
            <wp:effectExtent l="0" t="0" r="0" b="0"/>
            <wp:docPr id="3" name="Chart 3">
              <a:extLst xmlns:a="http://schemas.openxmlformats.org/drawingml/2006/main">
                <a:ext uri="{FF2B5EF4-FFF2-40B4-BE49-F238E27FC236}">
                  <a16:creationId xmlns:a16="http://schemas.microsoft.com/office/drawing/2014/main" id="{20175E85-AF16-9325-3FDB-930318D8E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6F989D" w14:textId="78FF28E4" w:rsidR="00146F7F" w:rsidRPr="00C464C7" w:rsidRDefault="00146F7F" w:rsidP="00146F7F">
      <w:pPr>
        <w:spacing w:before="240"/>
        <w:rPr>
          <w:rFonts w:cs="Times New Roman"/>
          <w:szCs w:val="24"/>
        </w:rPr>
      </w:pPr>
      <w:r w:rsidRPr="00C464C7">
        <w:rPr>
          <w:rFonts w:cs="Times New Roman"/>
          <w:szCs w:val="24"/>
        </w:rPr>
        <w:t>Figure 1: demand and supply equilibrium</w:t>
      </w:r>
    </w:p>
    <w:p w14:paraId="6FD0B7E7" w14:textId="1AFBD57F" w:rsidR="00146F7F" w:rsidRPr="00C464C7" w:rsidRDefault="00146F7F" w:rsidP="00146F7F">
      <w:pPr>
        <w:spacing w:before="240"/>
        <w:rPr>
          <w:rFonts w:cs="Times New Roman"/>
          <w:i/>
          <w:iCs/>
          <w:szCs w:val="24"/>
        </w:rPr>
      </w:pPr>
      <w:r w:rsidRPr="00C464C7">
        <w:rPr>
          <w:rFonts w:cs="Times New Roman"/>
          <w:i/>
          <w:iCs/>
          <w:szCs w:val="24"/>
        </w:rPr>
        <w:lastRenderedPageBreak/>
        <w:t xml:space="preserve">Source : self </w:t>
      </w:r>
    </w:p>
    <w:p w14:paraId="07E897A1" w14:textId="583EA04A" w:rsidR="00146F7F" w:rsidRDefault="00146F7F" w:rsidP="00442ECF">
      <w:pPr>
        <w:spacing w:before="240"/>
        <w:rPr>
          <w:rFonts w:cs="Times New Roman"/>
          <w:szCs w:val="24"/>
        </w:rPr>
      </w:pPr>
    </w:p>
    <w:p w14:paraId="531832A6" w14:textId="25C68E44" w:rsidR="00442ECF" w:rsidRPr="00442ECF" w:rsidRDefault="00442ECF" w:rsidP="00442ECF">
      <w:pPr>
        <w:spacing w:before="240"/>
        <w:rPr>
          <w:rFonts w:cs="Times New Roman"/>
          <w:szCs w:val="24"/>
        </w:rPr>
      </w:pPr>
      <w:r>
        <w:rPr>
          <w:rFonts w:cs="Times New Roman"/>
          <w:szCs w:val="24"/>
        </w:rPr>
        <w:t>The above diagram is showing the shifting of the demand curve. The shifting of the demand curve occurs when the price of the substitute products changes. If the price of the substitute product rises it will lead to increase the demand for that product. Similarly, if the price of substitute products falls, then it will lead to decrease the quantity demanded for that product. In this given case, the data has been obtained regarding the selected countries to show the new equilibrium that has been obtained after the shifting the demand curve to the right ward. The table that is shown above is used to derive the demand and supply curve. Here from the given data set, the initial equilibrium is mentioned at the point Q1 where the demand and supply curve intersect each other. After rising the price of the substitute product, the quantity demanded for product at given price of level has been increased. This increment of the price of the substitute products have led to shift of the demand curve to the right. As a result, the new equilibrium of market has been obtained at the Q2. At the point Q2, both of the quantity and price of the products have increased due to rise of the quantity demanded at given price level.</w:t>
      </w:r>
    </w:p>
    <w:p w14:paraId="07933078" w14:textId="0FEA51B2"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Wessels (2018), the substitution effect is defined as the alteration in demand for a product as a result of a transformation in the relative price of products when compared to price of other substitute goods. Although IKEA possesses a strong credibility of brand through its products such as easy to assemble home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subjected to stiff competition from different competitors in retail furniture offering similar products and services such as Wayfair, Tesco, American </w:t>
      </w:r>
      <w:proofErr w:type="spellStart"/>
      <w:r>
        <w:rPr>
          <w:rFonts w:ascii="Times New Roman" w:eastAsia="Times New Roman" w:hAnsi="Times New Roman" w:cs="Times New Roman"/>
          <w:sz w:val="24"/>
          <w:szCs w:val="24"/>
        </w:rPr>
        <w:t>Woodmark</w:t>
      </w:r>
      <w:proofErr w:type="spellEnd"/>
      <w:r>
        <w:rPr>
          <w:rFonts w:ascii="Times New Roman" w:eastAsia="Times New Roman" w:hAnsi="Times New Roman" w:cs="Times New Roman"/>
          <w:sz w:val="24"/>
          <w:szCs w:val="24"/>
        </w:rPr>
        <w:t xml:space="preserve"> and Home Depot. For instance, Wayfair generated revenue of $14.145 billion along with net profit of $9.127 billion in 2020. The price of a wide range of substitute products offered by Wayfair ranges from 120 Euros to 4000Euros, whereas the retail furniture provided by IKEA ranges from 150 Euros to 3000 Euros. Availability of the substitute product at comparatively low prices has created a negative impact on the demand of products and services provided by IKEA in the retail furniture industry (</w:t>
      </w: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and Salter, 2022). In other words, the decreasing price of Wayfair has reduced the demand for IKEA's products.   </w:t>
      </w:r>
    </w:p>
    <w:p w14:paraId="2B4CCF17" w14:textId="3CB16C63"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p w14:paraId="7D97F34B" w14:textId="77777777"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tbl>
      <w:tblPr>
        <w:tblW w:w="4292" w:type="dxa"/>
        <w:tblLook w:val="04A0" w:firstRow="1" w:lastRow="0" w:firstColumn="1" w:lastColumn="0" w:noHBand="0" w:noVBand="1"/>
      </w:tblPr>
      <w:tblGrid>
        <w:gridCol w:w="710"/>
        <w:gridCol w:w="1256"/>
        <w:gridCol w:w="1070"/>
        <w:gridCol w:w="1256"/>
      </w:tblGrid>
      <w:tr w:rsidR="00442ECF" w:rsidRPr="006B5DD5" w14:paraId="5EEE6607" w14:textId="77777777" w:rsidTr="00146F7F">
        <w:trPr>
          <w:trHeight w:val="945"/>
        </w:trPr>
        <w:tc>
          <w:tcPr>
            <w:tcW w:w="71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4F58672"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Price</w:t>
            </w:r>
          </w:p>
        </w:tc>
        <w:tc>
          <w:tcPr>
            <w:tcW w:w="1256" w:type="dxa"/>
            <w:tcBorders>
              <w:top w:val="single" w:sz="8" w:space="0" w:color="auto"/>
              <w:left w:val="nil"/>
              <w:bottom w:val="single" w:sz="4" w:space="0" w:color="auto"/>
              <w:right w:val="single" w:sz="4" w:space="0" w:color="auto"/>
            </w:tcBorders>
            <w:shd w:val="clear" w:color="auto" w:fill="auto"/>
            <w:vAlign w:val="center"/>
            <w:hideMark/>
          </w:tcPr>
          <w:p w14:paraId="0A33AB58"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Q. Demanded</w:t>
            </w:r>
          </w:p>
        </w:tc>
        <w:tc>
          <w:tcPr>
            <w:tcW w:w="1070" w:type="dxa"/>
            <w:tcBorders>
              <w:top w:val="single" w:sz="8" w:space="0" w:color="auto"/>
              <w:left w:val="nil"/>
              <w:bottom w:val="single" w:sz="4" w:space="0" w:color="auto"/>
              <w:right w:val="single" w:sz="4" w:space="0" w:color="auto"/>
            </w:tcBorders>
            <w:shd w:val="clear" w:color="auto" w:fill="auto"/>
            <w:vAlign w:val="center"/>
            <w:hideMark/>
          </w:tcPr>
          <w:p w14:paraId="7B41000B"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Q. Supplied</w:t>
            </w:r>
          </w:p>
        </w:tc>
        <w:tc>
          <w:tcPr>
            <w:tcW w:w="1256" w:type="dxa"/>
            <w:tcBorders>
              <w:top w:val="single" w:sz="8" w:space="0" w:color="auto"/>
              <w:left w:val="nil"/>
              <w:bottom w:val="single" w:sz="4" w:space="0" w:color="auto"/>
              <w:right w:val="single" w:sz="8" w:space="0" w:color="auto"/>
            </w:tcBorders>
            <w:shd w:val="clear" w:color="auto" w:fill="auto"/>
            <w:vAlign w:val="center"/>
            <w:hideMark/>
          </w:tcPr>
          <w:p w14:paraId="07ABA53A"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Q. Demanded 2</w:t>
            </w:r>
          </w:p>
        </w:tc>
      </w:tr>
      <w:tr w:rsidR="00442ECF" w:rsidRPr="006B5DD5" w14:paraId="1E23E0ED" w14:textId="77777777" w:rsidTr="00146F7F">
        <w:trPr>
          <w:trHeight w:val="315"/>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7ACD1114"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12</w:t>
            </w:r>
          </w:p>
        </w:tc>
        <w:tc>
          <w:tcPr>
            <w:tcW w:w="1256" w:type="dxa"/>
            <w:tcBorders>
              <w:top w:val="nil"/>
              <w:left w:val="nil"/>
              <w:bottom w:val="single" w:sz="4" w:space="0" w:color="auto"/>
              <w:right w:val="single" w:sz="4" w:space="0" w:color="auto"/>
            </w:tcBorders>
            <w:shd w:val="clear" w:color="auto" w:fill="auto"/>
            <w:vAlign w:val="center"/>
            <w:hideMark/>
          </w:tcPr>
          <w:p w14:paraId="281513BE"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32</w:t>
            </w:r>
          </w:p>
        </w:tc>
        <w:tc>
          <w:tcPr>
            <w:tcW w:w="1070" w:type="dxa"/>
            <w:tcBorders>
              <w:top w:val="nil"/>
              <w:left w:val="nil"/>
              <w:bottom w:val="single" w:sz="4" w:space="0" w:color="auto"/>
              <w:right w:val="single" w:sz="4" w:space="0" w:color="auto"/>
            </w:tcBorders>
            <w:shd w:val="clear" w:color="auto" w:fill="auto"/>
            <w:vAlign w:val="center"/>
            <w:hideMark/>
          </w:tcPr>
          <w:p w14:paraId="4BA33405"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6</w:t>
            </w:r>
          </w:p>
        </w:tc>
        <w:tc>
          <w:tcPr>
            <w:tcW w:w="1256" w:type="dxa"/>
            <w:tcBorders>
              <w:top w:val="nil"/>
              <w:left w:val="nil"/>
              <w:bottom w:val="single" w:sz="4" w:space="0" w:color="auto"/>
              <w:right w:val="single" w:sz="8" w:space="0" w:color="auto"/>
            </w:tcBorders>
            <w:shd w:val="clear" w:color="auto" w:fill="auto"/>
            <w:vAlign w:val="center"/>
            <w:hideMark/>
          </w:tcPr>
          <w:p w14:paraId="4F0F6F0B"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35</w:t>
            </w:r>
          </w:p>
        </w:tc>
      </w:tr>
      <w:tr w:rsidR="00442ECF" w:rsidRPr="006B5DD5" w14:paraId="61E86F88" w14:textId="77777777" w:rsidTr="00146F7F">
        <w:trPr>
          <w:trHeight w:val="315"/>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61789519"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15</w:t>
            </w:r>
          </w:p>
        </w:tc>
        <w:tc>
          <w:tcPr>
            <w:tcW w:w="1256" w:type="dxa"/>
            <w:tcBorders>
              <w:top w:val="nil"/>
              <w:left w:val="nil"/>
              <w:bottom w:val="single" w:sz="4" w:space="0" w:color="auto"/>
              <w:right w:val="single" w:sz="4" w:space="0" w:color="auto"/>
            </w:tcBorders>
            <w:shd w:val="clear" w:color="auto" w:fill="auto"/>
            <w:vAlign w:val="center"/>
            <w:hideMark/>
          </w:tcPr>
          <w:p w14:paraId="69FCD857"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28</w:t>
            </w:r>
          </w:p>
        </w:tc>
        <w:tc>
          <w:tcPr>
            <w:tcW w:w="1070" w:type="dxa"/>
            <w:tcBorders>
              <w:top w:val="nil"/>
              <w:left w:val="nil"/>
              <w:bottom w:val="single" w:sz="4" w:space="0" w:color="auto"/>
              <w:right w:val="single" w:sz="4" w:space="0" w:color="auto"/>
            </w:tcBorders>
            <w:shd w:val="clear" w:color="auto" w:fill="auto"/>
            <w:vAlign w:val="center"/>
            <w:hideMark/>
          </w:tcPr>
          <w:p w14:paraId="24046FE7"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13</w:t>
            </w:r>
          </w:p>
        </w:tc>
        <w:tc>
          <w:tcPr>
            <w:tcW w:w="1256" w:type="dxa"/>
            <w:tcBorders>
              <w:top w:val="nil"/>
              <w:left w:val="nil"/>
              <w:bottom w:val="single" w:sz="4" w:space="0" w:color="auto"/>
              <w:right w:val="single" w:sz="8" w:space="0" w:color="auto"/>
            </w:tcBorders>
            <w:shd w:val="clear" w:color="auto" w:fill="auto"/>
            <w:vAlign w:val="center"/>
            <w:hideMark/>
          </w:tcPr>
          <w:p w14:paraId="5945B2C7"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31</w:t>
            </w:r>
          </w:p>
        </w:tc>
      </w:tr>
      <w:tr w:rsidR="00442ECF" w:rsidRPr="006B5DD5" w14:paraId="2D3B43C4" w14:textId="77777777" w:rsidTr="00146F7F">
        <w:trPr>
          <w:trHeight w:val="315"/>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2D0B9C2F"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18</w:t>
            </w:r>
          </w:p>
        </w:tc>
        <w:tc>
          <w:tcPr>
            <w:tcW w:w="1256" w:type="dxa"/>
            <w:tcBorders>
              <w:top w:val="nil"/>
              <w:left w:val="nil"/>
              <w:bottom w:val="single" w:sz="4" w:space="0" w:color="auto"/>
              <w:right w:val="single" w:sz="4" w:space="0" w:color="auto"/>
            </w:tcBorders>
            <w:shd w:val="clear" w:color="auto" w:fill="auto"/>
            <w:vAlign w:val="center"/>
            <w:hideMark/>
          </w:tcPr>
          <w:p w14:paraId="31738081"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24</w:t>
            </w:r>
          </w:p>
        </w:tc>
        <w:tc>
          <w:tcPr>
            <w:tcW w:w="1070" w:type="dxa"/>
            <w:tcBorders>
              <w:top w:val="nil"/>
              <w:left w:val="nil"/>
              <w:bottom w:val="single" w:sz="4" w:space="0" w:color="auto"/>
              <w:right w:val="single" w:sz="4" w:space="0" w:color="auto"/>
            </w:tcBorders>
            <w:shd w:val="clear" w:color="auto" w:fill="auto"/>
            <w:vAlign w:val="center"/>
            <w:hideMark/>
          </w:tcPr>
          <w:p w14:paraId="3715AF01"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20</w:t>
            </w:r>
          </w:p>
        </w:tc>
        <w:tc>
          <w:tcPr>
            <w:tcW w:w="1256" w:type="dxa"/>
            <w:tcBorders>
              <w:top w:val="nil"/>
              <w:left w:val="nil"/>
              <w:bottom w:val="single" w:sz="4" w:space="0" w:color="auto"/>
              <w:right w:val="single" w:sz="8" w:space="0" w:color="auto"/>
            </w:tcBorders>
            <w:shd w:val="clear" w:color="auto" w:fill="auto"/>
            <w:vAlign w:val="center"/>
            <w:hideMark/>
          </w:tcPr>
          <w:p w14:paraId="55E7808B"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27</w:t>
            </w:r>
          </w:p>
        </w:tc>
      </w:tr>
      <w:tr w:rsidR="00442ECF" w:rsidRPr="006B5DD5" w14:paraId="69E5819A" w14:textId="77777777" w:rsidTr="00146F7F">
        <w:trPr>
          <w:trHeight w:val="315"/>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55A385ED"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21</w:t>
            </w:r>
          </w:p>
        </w:tc>
        <w:tc>
          <w:tcPr>
            <w:tcW w:w="1256" w:type="dxa"/>
            <w:tcBorders>
              <w:top w:val="nil"/>
              <w:left w:val="nil"/>
              <w:bottom w:val="single" w:sz="4" w:space="0" w:color="auto"/>
              <w:right w:val="single" w:sz="4" w:space="0" w:color="auto"/>
            </w:tcBorders>
            <w:shd w:val="clear" w:color="auto" w:fill="auto"/>
            <w:vAlign w:val="center"/>
            <w:hideMark/>
          </w:tcPr>
          <w:p w14:paraId="7D55B920"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20</w:t>
            </w:r>
          </w:p>
        </w:tc>
        <w:tc>
          <w:tcPr>
            <w:tcW w:w="1070" w:type="dxa"/>
            <w:tcBorders>
              <w:top w:val="nil"/>
              <w:left w:val="nil"/>
              <w:bottom w:val="single" w:sz="4" w:space="0" w:color="auto"/>
              <w:right w:val="single" w:sz="4" w:space="0" w:color="auto"/>
            </w:tcBorders>
            <w:shd w:val="clear" w:color="auto" w:fill="auto"/>
            <w:vAlign w:val="center"/>
            <w:hideMark/>
          </w:tcPr>
          <w:p w14:paraId="5CABED45"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27</w:t>
            </w:r>
          </w:p>
        </w:tc>
        <w:tc>
          <w:tcPr>
            <w:tcW w:w="1256" w:type="dxa"/>
            <w:tcBorders>
              <w:top w:val="nil"/>
              <w:left w:val="nil"/>
              <w:bottom w:val="single" w:sz="4" w:space="0" w:color="auto"/>
              <w:right w:val="single" w:sz="8" w:space="0" w:color="auto"/>
            </w:tcBorders>
            <w:shd w:val="clear" w:color="auto" w:fill="auto"/>
            <w:vAlign w:val="center"/>
            <w:hideMark/>
          </w:tcPr>
          <w:p w14:paraId="4ABA5897"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23</w:t>
            </w:r>
          </w:p>
        </w:tc>
      </w:tr>
      <w:tr w:rsidR="00442ECF" w:rsidRPr="006B5DD5" w14:paraId="557BDE2D" w14:textId="77777777" w:rsidTr="00146F7F">
        <w:trPr>
          <w:trHeight w:val="330"/>
        </w:trPr>
        <w:tc>
          <w:tcPr>
            <w:tcW w:w="710" w:type="dxa"/>
            <w:tcBorders>
              <w:top w:val="nil"/>
              <w:left w:val="single" w:sz="8" w:space="0" w:color="auto"/>
              <w:bottom w:val="single" w:sz="8" w:space="0" w:color="auto"/>
              <w:right w:val="single" w:sz="4" w:space="0" w:color="auto"/>
            </w:tcBorders>
            <w:shd w:val="clear" w:color="auto" w:fill="auto"/>
            <w:vAlign w:val="center"/>
            <w:hideMark/>
          </w:tcPr>
          <w:p w14:paraId="24A9EE9A"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24</w:t>
            </w:r>
          </w:p>
        </w:tc>
        <w:tc>
          <w:tcPr>
            <w:tcW w:w="1256" w:type="dxa"/>
            <w:tcBorders>
              <w:top w:val="nil"/>
              <w:left w:val="nil"/>
              <w:bottom w:val="single" w:sz="8" w:space="0" w:color="auto"/>
              <w:right w:val="single" w:sz="4" w:space="0" w:color="auto"/>
            </w:tcBorders>
            <w:shd w:val="clear" w:color="auto" w:fill="auto"/>
            <w:vAlign w:val="center"/>
            <w:hideMark/>
          </w:tcPr>
          <w:p w14:paraId="263354E0"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16</w:t>
            </w:r>
          </w:p>
        </w:tc>
        <w:tc>
          <w:tcPr>
            <w:tcW w:w="1070" w:type="dxa"/>
            <w:tcBorders>
              <w:top w:val="nil"/>
              <w:left w:val="nil"/>
              <w:bottom w:val="single" w:sz="8" w:space="0" w:color="auto"/>
              <w:right w:val="single" w:sz="4" w:space="0" w:color="auto"/>
            </w:tcBorders>
            <w:shd w:val="clear" w:color="auto" w:fill="auto"/>
            <w:vAlign w:val="center"/>
            <w:hideMark/>
          </w:tcPr>
          <w:p w14:paraId="1A4BE16E"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34</w:t>
            </w:r>
          </w:p>
        </w:tc>
        <w:tc>
          <w:tcPr>
            <w:tcW w:w="1256" w:type="dxa"/>
            <w:tcBorders>
              <w:top w:val="nil"/>
              <w:left w:val="nil"/>
              <w:bottom w:val="single" w:sz="8" w:space="0" w:color="auto"/>
              <w:right w:val="single" w:sz="8" w:space="0" w:color="auto"/>
            </w:tcBorders>
            <w:shd w:val="clear" w:color="auto" w:fill="auto"/>
            <w:vAlign w:val="center"/>
            <w:hideMark/>
          </w:tcPr>
          <w:p w14:paraId="6C13FA72" w14:textId="77777777" w:rsidR="00442ECF" w:rsidRPr="006B5DD5" w:rsidRDefault="00442ECF" w:rsidP="001C09C0">
            <w:pPr>
              <w:spacing w:line="240" w:lineRule="auto"/>
              <w:rPr>
                <w:rFonts w:eastAsia="Times New Roman" w:cs="Times New Roman"/>
                <w:color w:val="000000"/>
                <w:szCs w:val="24"/>
                <w:lang w:eastAsia="en-IN"/>
              </w:rPr>
            </w:pPr>
            <w:r w:rsidRPr="006B5DD5">
              <w:rPr>
                <w:rFonts w:eastAsia="Times New Roman" w:cs="Times New Roman"/>
                <w:color w:val="000000"/>
                <w:szCs w:val="24"/>
                <w:lang w:eastAsia="en-IN"/>
              </w:rPr>
              <w:t>19</w:t>
            </w:r>
          </w:p>
        </w:tc>
      </w:tr>
    </w:tbl>
    <w:p w14:paraId="0C073A72" w14:textId="2A5B2025" w:rsidR="00442ECF" w:rsidRPr="00C464C7" w:rsidRDefault="00146F7F" w:rsidP="00442ECF">
      <w:pPr>
        <w:spacing w:before="240"/>
        <w:rPr>
          <w:rFonts w:cs="Times New Roman"/>
          <w:szCs w:val="24"/>
        </w:rPr>
      </w:pPr>
      <w:r w:rsidRPr="00C464C7">
        <w:rPr>
          <w:rFonts w:cs="Times New Roman"/>
          <w:szCs w:val="24"/>
        </w:rPr>
        <w:t>Table 2: price, demand, supply and change in demand</w:t>
      </w:r>
    </w:p>
    <w:p w14:paraId="0C59CF94" w14:textId="77777777" w:rsidR="00442ECF" w:rsidRDefault="00442ECF" w:rsidP="00442ECF">
      <w:pPr>
        <w:spacing w:before="240"/>
        <w:rPr>
          <w:rFonts w:cs="Times New Roman"/>
          <w:szCs w:val="24"/>
        </w:rPr>
      </w:pPr>
      <w:r>
        <w:rPr>
          <w:rFonts w:cs="Times New Roman"/>
          <w:szCs w:val="24"/>
        </w:rPr>
        <w:t xml:space="preserve">The complementary products are considered to those products that are consumed simultaneously with that product. Therefore, the increment of the price of the complementary products leads to fall the quantity demanded for the product. </w:t>
      </w:r>
    </w:p>
    <w:p w14:paraId="6C7D2207" w14:textId="1C062F8E" w:rsidR="00442ECF" w:rsidRPr="00515427" w:rsidRDefault="00442ECF" w:rsidP="00442ECF">
      <w:pPr>
        <w:spacing w:before="240"/>
        <w:rPr>
          <w:rFonts w:cs="Times New Roman"/>
          <w:szCs w:val="24"/>
        </w:rPr>
      </w:pPr>
      <w:r>
        <w:rPr>
          <w:noProof/>
          <w:lang w:val="en-GB" w:eastAsia="en-GB"/>
        </w:rPr>
        <mc:AlternateContent>
          <mc:Choice Requires="wps">
            <w:drawing>
              <wp:anchor distT="0" distB="0" distL="114300" distR="114300" simplePos="0" relativeHeight="251658240" behindDoc="0" locked="0" layoutInCell="1" allowOverlap="1" wp14:anchorId="7643D7EE" wp14:editId="7E6C4E56">
                <wp:simplePos x="0" y="0"/>
                <wp:positionH relativeFrom="column">
                  <wp:posOffset>5143500</wp:posOffset>
                </wp:positionH>
                <wp:positionV relativeFrom="paragraph">
                  <wp:posOffset>1777365</wp:posOffset>
                </wp:positionV>
                <wp:extent cx="285750" cy="495300"/>
                <wp:effectExtent l="114300" t="28575" r="28575" b="85725"/>
                <wp:wrapNone/>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495300"/>
                        </a:xfrm>
                        <a:prstGeom prst="straightConnector1">
                          <a:avLst/>
                        </a:prstGeom>
                        <a:noFill/>
                        <a:ln w="57150"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BB1DE1" id="_x0000_t32" coordsize="21600,21600" o:spt="32" o:oned="t" path="m,l21600,21600e" filled="f">
                <v:path arrowok="t" fillok="f" o:connecttype="none"/>
                <o:lock v:ext="edit" shapetype="t"/>
              </v:shapetype>
              <v:shape id="AutoShape 2" o:spid="_x0000_s1026" type="#_x0000_t32" style="position:absolute;margin-left:405pt;margin-top:139.95pt;width:22.5pt;height:39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" strokeweight="4.5pt">
                <v:stroke endarrow="block"/>
              </v:shape>
            </w:pict>
          </mc:Fallback>
        </mc:AlternateContent>
      </w:r>
      <w:r>
        <w:rPr>
          <w:noProof/>
          <w:lang w:val="en-GB" w:eastAsia="en-GB"/>
        </w:rPr>
        <w:drawing>
          <wp:inline distT="0" distB="0" distL="0" distR="0" wp14:anchorId="178F4867" wp14:editId="6ED95395">
            <wp:extent cx="5695950" cy="3419475"/>
            <wp:effectExtent l="0" t="0" r="0" b="9525"/>
            <wp:docPr id="2" name="Chart 2">
              <a:extLst xmlns:a="http://schemas.openxmlformats.org/drawingml/2006/main">
                <a:ext uri="{FF2B5EF4-FFF2-40B4-BE49-F238E27FC236}">
                  <a16:creationId xmlns:a16="http://schemas.microsoft.com/office/drawing/2014/main" id="{20175E85-AF16-9325-3FDB-930318D8E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408E40" w14:textId="74C64FFD" w:rsidR="00146F7F" w:rsidRPr="00C464C7" w:rsidRDefault="00146F7F" w:rsidP="00146F7F">
      <w:pPr>
        <w:spacing w:before="240"/>
        <w:rPr>
          <w:rFonts w:cs="Times New Roman"/>
          <w:szCs w:val="24"/>
        </w:rPr>
      </w:pPr>
      <w:r w:rsidRPr="00C464C7">
        <w:rPr>
          <w:rFonts w:cs="Times New Roman"/>
          <w:szCs w:val="24"/>
        </w:rPr>
        <w:t xml:space="preserve">Figure </w:t>
      </w:r>
      <w:r w:rsidR="002002EA" w:rsidRPr="00C464C7">
        <w:rPr>
          <w:rFonts w:cs="Times New Roman"/>
          <w:szCs w:val="24"/>
        </w:rPr>
        <w:t>2</w:t>
      </w:r>
      <w:r w:rsidRPr="00C464C7">
        <w:rPr>
          <w:rFonts w:cs="Times New Roman"/>
          <w:szCs w:val="24"/>
        </w:rPr>
        <w:t>: demand and supply equilibrium for complement product</w:t>
      </w:r>
    </w:p>
    <w:p w14:paraId="499E3000" w14:textId="77777777" w:rsidR="00146F7F" w:rsidRPr="00C464C7" w:rsidRDefault="00146F7F" w:rsidP="00146F7F">
      <w:pPr>
        <w:spacing w:before="240"/>
        <w:rPr>
          <w:rFonts w:cs="Times New Roman"/>
          <w:i/>
          <w:iCs/>
          <w:szCs w:val="24"/>
        </w:rPr>
      </w:pPr>
      <w:r w:rsidRPr="00C464C7">
        <w:rPr>
          <w:rFonts w:cs="Times New Roman"/>
          <w:i/>
          <w:iCs/>
          <w:szCs w:val="24"/>
        </w:rPr>
        <w:t xml:space="preserve">Source : self </w:t>
      </w:r>
    </w:p>
    <w:p w14:paraId="13A89010" w14:textId="77777777" w:rsidR="00146F7F" w:rsidRDefault="00146F7F" w:rsidP="00753955">
      <w:pPr>
        <w:pStyle w:val="Normal1"/>
        <w:spacing w:before="240" w:after="240" w:line="360" w:lineRule="auto"/>
        <w:jc w:val="both"/>
        <w:rPr>
          <w:rFonts w:ascii="Times New Roman" w:eastAsia="Times New Roman" w:hAnsi="Times New Roman" w:cs="Times New Roman"/>
          <w:sz w:val="24"/>
          <w:szCs w:val="24"/>
        </w:rPr>
      </w:pPr>
    </w:p>
    <w:p w14:paraId="34B73001" w14:textId="04ED0369"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Complement price refers to the pricing of a product at the most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level, regardless of profit or cost considerations in order to raise the demand of other products which is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with it, thus, it ensures maximum profit from both the products. Complement products are items, which are often brought together with the main primary product (Wang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 In contrast to its competitors, IKEA went one-step further by selling complementary items with its furniture products such as batteries for electrical items and light bulbs for light fittings. Although the price of complement products are increasing, however, it did not create much impact on the demand of the retail furniture (</w:t>
      </w:r>
      <w:proofErr w:type="spellStart"/>
      <w:r>
        <w:rPr>
          <w:rFonts w:ascii="Times New Roman" w:eastAsia="Times New Roman" w:hAnsi="Times New Roman" w:cs="Times New Roman"/>
          <w:sz w:val="24"/>
          <w:szCs w:val="24"/>
        </w:rPr>
        <w:t>Varn</w:t>
      </w:r>
      <w:proofErr w:type="spellEnd"/>
      <w:r>
        <w:rPr>
          <w:rFonts w:ascii="Times New Roman" w:eastAsia="Times New Roman" w:hAnsi="Times New Roman" w:cs="Times New Roman"/>
          <w:sz w:val="24"/>
          <w:szCs w:val="24"/>
        </w:rPr>
        <w:t>, 2022).</w:t>
      </w:r>
    </w:p>
    <w:p w14:paraId="72B969FB"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income is defined as the amount of capital, which a consumer earns either from employment or from investment such as dividends of shareholders. Although the average consumer income across the U.K decreased significantly due to the emergence of the pandemic, however, recuperates the initial state of the business industry reflected in the increased rate of consumer income in the post-pandemic period (Cranfield, 2020). Increased rate of consumer income has impacted the business of IKEA in a positive way as the revenue generated in the fiscal year of 2021 and 2022 are comparatively higher compared to the revenue generated during pandemic.  </w:t>
      </w:r>
    </w:p>
    <w:p w14:paraId="4E23B74C"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w:t>
      </w:r>
      <w:proofErr w:type="spellStart"/>
      <w:r>
        <w:rPr>
          <w:rFonts w:ascii="Times New Roman" w:eastAsia="Times New Roman" w:hAnsi="Times New Roman" w:cs="Times New Roman"/>
          <w:i/>
          <w:sz w:val="24"/>
          <w:szCs w:val="24"/>
        </w:rPr>
        <w:t>Khojasteh-Khosro</w:t>
      </w:r>
      <w:proofErr w:type="spellEnd"/>
      <w:r>
        <w:rPr>
          <w:rFonts w:ascii="Times New Roman" w:eastAsia="Times New Roman" w:hAnsi="Times New Roman" w:cs="Times New Roman"/>
          <w:sz w:val="24"/>
          <w:szCs w:val="24"/>
        </w:rPr>
        <w:t xml:space="preserve"> et al., (2022), consumer preferences are the subjective tastes, predispositions, likes and dislikes of an individual, which influences their preferences and purchasing habits. The consumer preferences are transforming from luxurious lifestyles to more towards necessity such as health related processes as the pandemic has made people more aware and cautious regarding maintenance of safe health amidst challenging circumstances. However, widespread </w:t>
      </w:r>
      <w:proofErr w:type="spellStart"/>
      <w:r>
        <w:rPr>
          <w:rFonts w:ascii="Times New Roman" w:eastAsia="Times New Roman" w:hAnsi="Times New Roman" w:cs="Times New Roman"/>
          <w:sz w:val="24"/>
          <w:szCs w:val="24"/>
        </w:rPr>
        <w:t>globalisation</w:t>
      </w:r>
      <w:proofErr w:type="spellEnd"/>
      <w:r>
        <w:rPr>
          <w:rFonts w:ascii="Times New Roman" w:eastAsia="Times New Roman" w:hAnsi="Times New Roman" w:cs="Times New Roman"/>
          <w:sz w:val="24"/>
          <w:szCs w:val="24"/>
        </w:rPr>
        <w:t xml:space="preserve"> and current trends has inspired a small base of customers towards luxury and comfort standard of living in the United Kingdom (</w:t>
      </w: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2021). The change in consumer preferences has affected the demand of easy to assemble furniture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 to a certain extent as an increased rate of product sales of IKEA is witnessed in 2021 followed by slight decrease in sales and profitability in 2022.</w:t>
      </w:r>
    </w:p>
    <w:p w14:paraId="4B3BB4DA" w14:textId="76F79791"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 low proportion of individuals belonging from high class society still prefer quality over price and intend to purchase the easy to assemble table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of IKEA, however, </w:t>
      </w:r>
      <w:r>
        <w:rPr>
          <w:rFonts w:ascii="Times New Roman" w:eastAsia="Times New Roman" w:hAnsi="Times New Roman" w:cs="Times New Roman"/>
          <w:sz w:val="24"/>
          <w:szCs w:val="24"/>
        </w:rPr>
        <w:lastRenderedPageBreak/>
        <w:t>the majority of the consumers expect to purchase retail furniture available at reasonable and comparatively low prices. For instance, Wayfair instigated to sell its products considering the consumer expectation of price, which aided them to gain significant profit margin in 2021 and 2022 (</w:t>
      </w: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and Salter, 2022).  </w:t>
      </w:r>
    </w:p>
    <w:p w14:paraId="4C95EBA8"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Demographics are the study of statistics, which describes the characteristics of populations such as age, gender, income or interest toward high standards of living. Despite the barriers posed by the several catastrophes, the number of consumers responsible for purchasing the easy to assemble furniture has increased to a certain extent. However, external and internal factors are affecting the purchasing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IKEA’s consumers, which is reflected in the annual performance of the company in terms of sales of furniture such as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 and modern fittings (</w:t>
      </w:r>
      <w:proofErr w:type="spellStart"/>
      <w:r>
        <w:rPr>
          <w:rFonts w:ascii="Times New Roman" w:eastAsia="Times New Roman" w:hAnsi="Times New Roman" w:cs="Times New Roman"/>
          <w:sz w:val="24"/>
          <w:szCs w:val="24"/>
        </w:rPr>
        <w:t>Varn</w:t>
      </w:r>
      <w:proofErr w:type="spellEnd"/>
      <w:r>
        <w:rPr>
          <w:rFonts w:ascii="Times New Roman" w:eastAsia="Times New Roman" w:hAnsi="Times New Roman" w:cs="Times New Roman"/>
          <w:sz w:val="24"/>
          <w:szCs w:val="24"/>
        </w:rPr>
        <w:t>, 2022). As a result, the demand of the product in the current times failed to attend stability in the competitive market.</w:t>
      </w:r>
    </w:p>
    <w:p w14:paraId="236724D6" w14:textId="3D307A1A" w:rsidR="00442ECF" w:rsidRDefault="00740AF3" w:rsidP="00753955">
      <w:pPr>
        <w:pStyle w:val="Normal1"/>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Indication of demand in terms of more elastic or more inelastic </w:t>
      </w:r>
    </w:p>
    <w:p w14:paraId="07C907EC" w14:textId="120E6BE8" w:rsidR="00442ECF" w:rsidRDefault="002002EA" w:rsidP="00753955">
      <w:pPr>
        <w:pStyle w:val="Normal1"/>
        <w:spacing w:before="240" w:after="240" w:line="360" w:lineRule="auto"/>
        <w:jc w:val="both"/>
        <w:rPr>
          <w:rFonts w:ascii="Times New Roman" w:eastAsia="Times New Roman" w:hAnsi="Times New Roman" w:cs="Times New Roman"/>
          <w:b/>
          <w:i/>
          <w:sz w:val="24"/>
          <w:szCs w:val="24"/>
        </w:rPr>
      </w:pPr>
      <w:r w:rsidRPr="002002EA">
        <w:rPr>
          <w:rFonts w:ascii="Times New Roman" w:eastAsia="Times New Roman" w:hAnsi="Times New Roman" w:cs="Times New Roman"/>
          <w:b/>
          <w:i/>
          <w:noProof/>
          <w:sz w:val="24"/>
          <w:szCs w:val="24"/>
        </w:rPr>
        <w:drawing>
          <wp:inline distT="0" distB="0" distL="0" distR="0" wp14:anchorId="43EB3F0C" wp14:editId="186C6940">
            <wp:extent cx="5943600" cy="15748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574800"/>
                    </a:xfrm>
                    <a:prstGeom prst="rect">
                      <a:avLst/>
                    </a:prstGeom>
                  </pic:spPr>
                </pic:pic>
              </a:graphicData>
            </a:graphic>
          </wp:inline>
        </w:drawing>
      </w:r>
    </w:p>
    <w:p w14:paraId="4E4E6AD6" w14:textId="1C9E52C8" w:rsidR="002002EA" w:rsidRDefault="002002EA" w:rsidP="00753955">
      <w:pPr>
        <w:pStyle w:val="Normal1"/>
        <w:spacing w:before="240" w:after="240" w:line="360" w:lineRule="auto"/>
        <w:jc w:val="both"/>
        <w:rPr>
          <w:rFonts w:ascii="Times New Roman" w:eastAsia="Times New Roman" w:hAnsi="Times New Roman" w:cs="Times New Roman"/>
          <w:b/>
          <w:i/>
          <w:sz w:val="24"/>
          <w:szCs w:val="24"/>
        </w:rPr>
      </w:pPr>
      <w:r w:rsidRPr="002002EA">
        <w:rPr>
          <w:rFonts w:ascii="Times New Roman" w:eastAsia="Times New Roman" w:hAnsi="Times New Roman" w:cs="Times New Roman"/>
          <w:b/>
          <w:i/>
          <w:noProof/>
          <w:sz w:val="24"/>
          <w:szCs w:val="24"/>
        </w:rPr>
        <w:drawing>
          <wp:inline distT="0" distB="0" distL="0" distR="0" wp14:anchorId="7BE19671" wp14:editId="185554AE">
            <wp:extent cx="4705592" cy="208290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05592" cy="2082907"/>
                    </a:xfrm>
                    <a:prstGeom prst="rect">
                      <a:avLst/>
                    </a:prstGeom>
                  </pic:spPr>
                </pic:pic>
              </a:graphicData>
            </a:graphic>
          </wp:inline>
        </w:drawing>
      </w:r>
    </w:p>
    <w:p w14:paraId="0181B7AD" w14:textId="4C9883E7" w:rsidR="006D4779" w:rsidRPr="00C464C7" w:rsidRDefault="002002EA" w:rsidP="00753955">
      <w:pPr>
        <w:pStyle w:val="Normal1"/>
        <w:spacing w:before="240" w:after="240" w:line="360" w:lineRule="auto"/>
        <w:jc w:val="both"/>
        <w:rPr>
          <w:rFonts w:ascii="Times New Roman" w:eastAsia="Times New Roman" w:hAnsi="Times New Roman" w:cs="Times New Roman"/>
          <w:b/>
          <w:i/>
          <w:sz w:val="24"/>
          <w:szCs w:val="24"/>
        </w:rPr>
      </w:pPr>
      <w:r w:rsidRPr="00C464C7">
        <w:rPr>
          <w:rFonts w:ascii="Times New Roman" w:eastAsia="Times New Roman" w:hAnsi="Times New Roman" w:cs="Times New Roman"/>
          <w:b/>
          <w:i/>
          <w:sz w:val="24"/>
          <w:szCs w:val="24"/>
        </w:rPr>
        <w:t xml:space="preserve">Figure </w:t>
      </w:r>
      <w:r w:rsidR="00055AD0" w:rsidRPr="00C464C7">
        <w:rPr>
          <w:rFonts w:ascii="Times New Roman" w:eastAsia="Times New Roman" w:hAnsi="Times New Roman" w:cs="Times New Roman"/>
          <w:b/>
          <w:i/>
          <w:sz w:val="24"/>
          <w:szCs w:val="24"/>
        </w:rPr>
        <w:t xml:space="preserve">3: </w:t>
      </w:r>
      <w:r w:rsidR="006D4779" w:rsidRPr="00C464C7">
        <w:rPr>
          <w:rFonts w:ascii="Times New Roman" w:eastAsia="Times New Roman" w:hAnsi="Times New Roman" w:cs="Times New Roman"/>
          <w:b/>
          <w:i/>
          <w:sz w:val="24"/>
          <w:szCs w:val="24"/>
        </w:rPr>
        <w:t>T</w:t>
      </w:r>
      <w:r w:rsidR="00055AD0" w:rsidRPr="00C464C7">
        <w:rPr>
          <w:rFonts w:ascii="Times New Roman" w:eastAsia="Times New Roman" w:hAnsi="Times New Roman" w:cs="Times New Roman"/>
          <w:b/>
          <w:i/>
          <w:sz w:val="24"/>
          <w:szCs w:val="24"/>
        </w:rPr>
        <w:t>ypes of price elasticity of demand</w:t>
      </w:r>
    </w:p>
    <w:p w14:paraId="12090BD7" w14:textId="34C14656" w:rsidR="006D4779" w:rsidRPr="00C464C7" w:rsidRDefault="006D4779" w:rsidP="00753955">
      <w:pPr>
        <w:pStyle w:val="Normal1"/>
        <w:spacing w:before="240" w:after="240" w:line="360" w:lineRule="auto"/>
        <w:jc w:val="both"/>
        <w:rPr>
          <w:rFonts w:ascii="Times New Roman" w:eastAsia="Times New Roman" w:hAnsi="Times New Roman" w:cs="Times New Roman"/>
          <w:b/>
          <w:i/>
          <w:sz w:val="24"/>
          <w:szCs w:val="24"/>
        </w:rPr>
      </w:pPr>
      <w:r w:rsidRPr="00C464C7">
        <w:rPr>
          <w:rFonts w:ascii="Times New Roman" w:eastAsia="Times New Roman" w:hAnsi="Times New Roman" w:cs="Times New Roman"/>
          <w:b/>
          <w:i/>
          <w:sz w:val="24"/>
          <w:szCs w:val="24"/>
        </w:rPr>
        <w:lastRenderedPageBreak/>
        <w:t>Source: RUSITH, (2021).</w:t>
      </w:r>
    </w:p>
    <w:p w14:paraId="5117296D" w14:textId="2AA32D8C" w:rsidR="00442ECF" w:rsidRPr="00C464C7" w:rsidRDefault="00442ECF" w:rsidP="00753955">
      <w:pPr>
        <w:pStyle w:val="Normal1"/>
        <w:spacing w:before="240" w:after="240" w:line="36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The price elasticity of demand can be defined as the measurement of the consumer preferences to buying the products to the change in the price of the products. The price elasticity of demand is calculated as the percentage change in the quantity demanded for the products due to the percentage change in the price of that product. On the basis value, the price elasticity demand is </w:t>
      </w:r>
      <w:proofErr w:type="spellStart"/>
      <w:r>
        <w:rPr>
          <w:rFonts w:ascii="Times New Roman" w:eastAsia="Times New Roman" w:hAnsi="Times New Roman" w:cs="Times New Roman"/>
          <w:bCs/>
          <w:iCs/>
          <w:sz w:val="24"/>
          <w:szCs w:val="24"/>
        </w:rPr>
        <w:t>categorised</w:t>
      </w:r>
      <w:proofErr w:type="spellEnd"/>
      <w:r>
        <w:rPr>
          <w:rFonts w:ascii="Times New Roman" w:eastAsia="Times New Roman" w:hAnsi="Times New Roman" w:cs="Times New Roman"/>
          <w:bCs/>
          <w:iCs/>
          <w:sz w:val="24"/>
          <w:szCs w:val="24"/>
        </w:rPr>
        <w:t xml:space="preserve"> into five components such as inelastic, elastic, perfectly elastic, perfectly inelastic, unitary elastic. The value of the price elasticity lies between negative infinity to positive infinity. </w:t>
      </w:r>
      <w:r w:rsidRPr="00C464C7">
        <w:rPr>
          <w:rFonts w:ascii="Times New Roman" w:eastAsia="Times New Roman" w:hAnsi="Times New Roman" w:cs="Times New Roman"/>
          <w:bCs/>
          <w:iCs/>
          <w:sz w:val="24"/>
          <w:szCs w:val="24"/>
        </w:rPr>
        <w:t>If the value of the price elasticity is 1, then demand curve is treated as the unitary elastic.</w:t>
      </w:r>
    </w:p>
    <w:p w14:paraId="42EBA41D" w14:textId="77510CD5" w:rsidR="00F235AA" w:rsidRDefault="006D4779" w:rsidP="00753955">
      <w:pPr>
        <w:pStyle w:val="Normal1"/>
        <w:spacing w:before="240" w:after="240" w:line="360" w:lineRule="auto"/>
        <w:jc w:val="both"/>
        <w:rPr>
          <w:rFonts w:ascii="Times New Roman" w:eastAsia="Times New Roman" w:hAnsi="Times New Roman" w:cs="Times New Roman"/>
          <w:sz w:val="24"/>
          <w:szCs w:val="24"/>
        </w:rPr>
      </w:pPr>
      <w:r w:rsidRPr="00C464C7">
        <w:rPr>
          <w:rFonts w:ascii="Times New Roman" w:eastAsia="Times New Roman" w:hAnsi="Times New Roman" w:cs="Times New Roman"/>
          <w:sz w:val="24"/>
          <w:szCs w:val="24"/>
        </w:rPr>
        <w:t>S</w:t>
      </w:r>
      <w:r w:rsidR="00740AF3" w:rsidRPr="00C464C7">
        <w:rPr>
          <w:rFonts w:ascii="Times New Roman" w:eastAsia="Times New Roman" w:hAnsi="Times New Roman" w:cs="Times New Roman"/>
          <w:sz w:val="24"/>
          <w:szCs w:val="24"/>
        </w:rPr>
        <w:t xml:space="preserve">ubstitution </w:t>
      </w:r>
      <w:r w:rsidRPr="00C464C7">
        <w:rPr>
          <w:rFonts w:ascii="Times New Roman" w:eastAsia="Times New Roman" w:hAnsi="Times New Roman" w:cs="Times New Roman"/>
          <w:sz w:val="24"/>
          <w:szCs w:val="24"/>
        </w:rPr>
        <w:t xml:space="preserve">product </w:t>
      </w:r>
      <w:r w:rsidR="00740AF3" w:rsidRPr="00C464C7">
        <w:rPr>
          <w:rFonts w:ascii="Times New Roman" w:eastAsia="Times New Roman" w:hAnsi="Times New Roman" w:cs="Times New Roman"/>
          <w:sz w:val="24"/>
          <w:szCs w:val="24"/>
        </w:rPr>
        <w:t xml:space="preserve">provides an opportunity to the customers to have access to a better product </w:t>
      </w:r>
      <w:r w:rsidR="00740AF3">
        <w:rPr>
          <w:rFonts w:ascii="Times New Roman" w:eastAsia="Times New Roman" w:hAnsi="Times New Roman" w:cs="Times New Roman"/>
          <w:sz w:val="24"/>
          <w:szCs w:val="24"/>
        </w:rPr>
        <w:t xml:space="preserve">and lower prices as it provides alternatives and choices for the customers while maintaining competition and lower prices in the marketplace (Cullen and </w:t>
      </w:r>
      <w:proofErr w:type="spellStart"/>
      <w:r w:rsidR="00740AF3">
        <w:rPr>
          <w:rFonts w:ascii="Times New Roman" w:eastAsia="Times New Roman" w:hAnsi="Times New Roman" w:cs="Times New Roman"/>
          <w:sz w:val="24"/>
          <w:szCs w:val="24"/>
        </w:rPr>
        <w:t>Farronato</w:t>
      </w:r>
      <w:proofErr w:type="spellEnd"/>
      <w:r w:rsidR="00740AF3">
        <w:rPr>
          <w:rFonts w:ascii="Times New Roman" w:eastAsia="Times New Roman" w:hAnsi="Times New Roman" w:cs="Times New Roman"/>
          <w:sz w:val="24"/>
          <w:szCs w:val="24"/>
        </w:rPr>
        <w:t xml:space="preserve">, 2021). For instance, the rise in the price of </w:t>
      </w:r>
      <w:proofErr w:type="spellStart"/>
      <w:r w:rsidR="00740AF3">
        <w:rPr>
          <w:rFonts w:ascii="Times New Roman" w:eastAsia="Times New Roman" w:hAnsi="Times New Roman" w:cs="Times New Roman"/>
          <w:sz w:val="24"/>
          <w:szCs w:val="24"/>
        </w:rPr>
        <w:t>customised</w:t>
      </w:r>
      <w:proofErr w:type="spellEnd"/>
      <w:r w:rsidR="00740AF3">
        <w:rPr>
          <w:rFonts w:ascii="Times New Roman" w:eastAsia="Times New Roman" w:hAnsi="Times New Roman" w:cs="Times New Roman"/>
          <w:sz w:val="24"/>
          <w:szCs w:val="24"/>
        </w:rPr>
        <w:t xml:space="preserve"> sofas and easy to assemble furniture of IKEA shifted the consumer base towards the substituted products of Wayfair and Amazon. Substitution effect is viewed as a process of decreased rate of sales for a product, which is caused due to customers switching to better alternatives offering similar products at low prices. In the case of IKEA, the substitution effect has been identified as the majority of the consumers view the </w:t>
      </w:r>
      <w:proofErr w:type="spellStart"/>
      <w:r w:rsidR="00740AF3">
        <w:rPr>
          <w:rFonts w:ascii="Times New Roman" w:eastAsia="Times New Roman" w:hAnsi="Times New Roman" w:cs="Times New Roman"/>
          <w:sz w:val="24"/>
          <w:szCs w:val="24"/>
        </w:rPr>
        <w:t>customised</w:t>
      </w:r>
      <w:proofErr w:type="spellEnd"/>
      <w:r w:rsidR="00740AF3">
        <w:rPr>
          <w:rFonts w:ascii="Times New Roman" w:eastAsia="Times New Roman" w:hAnsi="Times New Roman" w:cs="Times New Roman"/>
          <w:sz w:val="24"/>
          <w:szCs w:val="24"/>
        </w:rPr>
        <w:t xml:space="preserve"> sofas and easy to assemble furniture as luxury in the post pandemic period, however a small portion of the consumer base considered it as a necessity for living a decent lifestyle (Inter IKEA Group., 2022). Demand elasticity takes place when demand for a particular product changes in response to alteration in price and other factors, whereas inelasticity of demand indicates that demand for a product remains constant despite transformation in economic factors such as price range. Based on the substitute effect experienced by IKEA in terms of demand for their </w:t>
      </w:r>
      <w:proofErr w:type="spellStart"/>
      <w:r w:rsidR="00740AF3">
        <w:rPr>
          <w:rFonts w:ascii="Times New Roman" w:eastAsia="Times New Roman" w:hAnsi="Times New Roman" w:cs="Times New Roman"/>
          <w:sz w:val="24"/>
          <w:szCs w:val="24"/>
        </w:rPr>
        <w:t>customised</w:t>
      </w:r>
      <w:proofErr w:type="spellEnd"/>
      <w:r w:rsidR="00740AF3">
        <w:rPr>
          <w:rFonts w:ascii="Times New Roman" w:eastAsia="Times New Roman" w:hAnsi="Times New Roman" w:cs="Times New Roman"/>
          <w:sz w:val="24"/>
          <w:szCs w:val="24"/>
        </w:rPr>
        <w:t xml:space="preserve"> sofas and easy assemble of furniture, it can be stated that demand is more elastic, which tends to change  with alteration in diverse factors including pricing of products. As the strong competitor of IKEA offered substituted products at comparatively low price ranges than IKEA by addressing the concern of consumers in the post-pandemic era; a large proportion of IKEA’s consumer base switched to the well-equipped furniture of Wayfair (Lewis, 2022).   </w:t>
      </w:r>
    </w:p>
    <w:p w14:paraId="6503C7DF"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Haig (2020), the effect of income in microeconomics refers to the resultant alteration in demand for a service or good, which is stimulated by an elevation or reduction in real income </w:t>
      </w:r>
      <w:r>
        <w:rPr>
          <w:rFonts w:ascii="Times New Roman" w:eastAsia="Times New Roman" w:hAnsi="Times New Roman" w:cs="Times New Roman"/>
          <w:sz w:val="24"/>
          <w:szCs w:val="24"/>
        </w:rPr>
        <w:lastRenderedPageBreak/>
        <w:t xml:space="preserve">or purchasing power of the consumer. It can be further </w:t>
      </w:r>
      <w:proofErr w:type="spellStart"/>
      <w:r>
        <w:rPr>
          <w:rFonts w:ascii="Times New Roman" w:eastAsia="Times New Roman" w:hAnsi="Times New Roman" w:cs="Times New Roman"/>
          <w:sz w:val="24"/>
          <w:szCs w:val="24"/>
        </w:rPr>
        <w:t>categorised</w:t>
      </w:r>
      <w:proofErr w:type="spellEnd"/>
      <w:r>
        <w:rPr>
          <w:rFonts w:ascii="Times New Roman" w:eastAsia="Times New Roman" w:hAnsi="Times New Roman" w:cs="Times New Roman"/>
          <w:sz w:val="24"/>
          <w:szCs w:val="24"/>
        </w:rPr>
        <w:t xml:space="preserve"> into two types of effect – positive effect of income and negative effect of income. For instance, as the income grows as a result of increased employment opportunities, the income effect predicts that consumers of IKEA will initiate to demand more diversified products by demonstrating their purchasing power. The higher the amount of income spent on a particular product, the more elastic the demand for that good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Percentage of income plays a vital role in determining the capacity of the consumer in terms of making a purchase. For instance, an individual responsible for earning a substantial amount of capital is likely to spend a greater amount on purchasing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whereas an individual earning an insignificant amount of capital is likely to spend minimum expenses on purchasing furniture products. Therefore, it can be stated that purchase of the retail furniture represents the status of consumer income, which can be significantly large or inconsequentially low.  Highly elastic products will experience their demanded quantity changes rapidly with income effect, whereas inelastic products will witness the similar demanded quantity even after changes in income status (Miah and Fatema, 2021). Analysis of these factors indicates that the demand for easy to assemble fittings and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of IKEA is more elastic, which tends to alters with respect to the changes in consumer’s income     </w:t>
      </w:r>
    </w:p>
    <w:p w14:paraId="5D179FF5"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substitution and income effects on the demand of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IKEA needs to consider the pricing policy of dynamic strategy, which will enable them to adjust the price according to the demand of the products. Demand pricing, also known as time-based pricing, is a pricing strategy in which businesses such as IKEA are provided with the opportunity to adjust the prices of a wide range of retail furniture to account for the changing demand caused due to substitution and income effects. Implementation of dynamic pricing policy will aid IKEA to maintain the optimal balance between the number of products sold and profit acquired per good (Chen and Farias, 2018).</w:t>
      </w:r>
    </w:p>
    <w:p w14:paraId="6E60740F" w14:textId="77777777" w:rsidR="00F235AA" w:rsidRDefault="00740AF3" w:rsidP="00753955">
      <w:pPr>
        <w:pStyle w:val="Heading1"/>
      </w:pPr>
      <w:bookmarkStart w:id="2" w:name="_Toc123921572"/>
      <w:r>
        <w:t>Conclusion</w:t>
      </w:r>
      <w:bookmarkEnd w:id="2"/>
    </w:p>
    <w:p w14:paraId="05515F89" w14:textId="77777777" w:rsidR="00F235AA" w:rsidRDefault="00740AF3"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highlights the important role of managing different components economics by demonstrating the business operations of IKEA in terms of identifying market and demand equilibrium and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elasticity and inelasticity of demand. Price of substitution product, complementary product pricing, consumer income, preferences of consumer along with </w:t>
      </w:r>
      <w:r>
        <w:rPr>
          <w:rFonts w:ascii="Times New Roman" w:eastAsia="Times New Roman" w:hAnsi="Times New Roman" w:cs="Times New Roman"/>
          <w:sz w:val="24"/>
          <w:szCs w:val="24"/>
        </w:rPr>
        <w:lastRenderedPageBreak/>
        <w:t xml:space="preserve">demographics plays an essential role in regulating the demand of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sofas and easy to assemble furniture in the competitive industry. Furthermore, both substitution and income effects on the demand of IKEA’s product suggest that demand is more elastic and recommends the implementation of dynamic pricing policy to overcome the problem. </w:t>
      </w:r>
    </w:p>
    <w:p w14:paraId="1DCAB675" w14:textId="77777777" w:rsidR="00F235AA" w:rsidRDefault="00740AF3">
      <w:pPr>
        <w:pStyle w:val="Normal1"/>
        <w:spacing w:before="240" w:after="240"/>
        <w:jc w:val="both"/>
        <w:rPr>
          <w:rFonts w:ascii="Times New Roman" w:eastAsia="Times New Roman" w:hAnsi="Times New Roman" w:cs="Times New Roman"/>
          <w:b/>
          <w:sz w:val="24"/>
          <w:szCs w:val="24"/>
        </w:rPr>
      </w:pPr>
      <w:r>
        <w:br w:type="page"/>
      </w:r>
    </w:p>
    <w:p w14:paraId="04C65603" w14:textId="77777777" w:rsidR="00F235AA" w:rsidRDefault="00740AF3" w:rsidP="00753955">
      <w:pPr>
        <w:pStyle w:val="Heading1"/>
        <w:rPr>
          <w:b w:val="0"/>
        </w:rPr>
      </w:pPr>
      <w:bookmarkStart w:id="3" w:name="_Toc123921573"/>
      <w:r>
        <w:lastRenderedPageBreak/>
        <w:t>Reference list</w:t>
      </w:r>
      <w:bookmarkEnd w:id="3"/>
    </w:p>
    <w:p w14:paraId="31C8697B"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Arnold, R.A., Arnold, D.R. and Arnold, D.H., ()2022. </w:t>
      </w:r>
      <w:r w:rsidRPr="00E1568D">
        <w:rPr>
          <w:rFonts w:cs="Times New Roman"/>
          <w:i/>
          <w:iCs/>
          <w:color w:val="222222"/>
          <w:szCs w:val="24"/>
          <w:shd w:val="clear" w:color="auto" w:fill="FFFFFF"/>
        </w:rPr>
        <w:t>Microeconomics</w:t>
      </w:r>
      <w:r w:rsidRPr="00E1568D">
        <w:rPr>
          <w:rFonts w:cs="Times New Roman"/>
          <w:color w:val="222222"/>
          <w:szCs w:val="24"/>
          <w:shd w:val="clear" w:color="auto" w:fill="FFFFFF"/>
        </w:rPr>
        <w:t>. Cengage Learning.</w:t>
      </w:r>
    </w:p>
    <w:p w14:paraId="708358D7" w14:textId="77777777" w:rsidR="006D4779" w:rsidRPr="00E1568D" w:rsidRDefault="006D4779"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 xml:space="preserve">Baglioni, S. and Sinclair, S., (2018). </w:t>
      </w:r>
      <w:r w:rsidRPr="00E1568D">
        <w:rPr>
          <w:rFonts w:ascii="Times New Roman" w:eastAsia="Times New Roman" w:hAnsi="Times New Roman" w:cs="Times New Roman"/>
          <w:i/>
          <w:color w:val="222222"/>
          <w:sz w:val="24"/>
          <w:szCs w:val="24"/>
          <w:highlight w:val="white"/>
          <w:lang w:val="en-GB"/>
        </w:rPr>
        <w:t>Social innovation and social policy: Theory, policy and practice</w:t>
      </w:r>
      <w:r w:rsidRPr="00E1568D">
        <w:rPr>
          <w:rFonts w:ascii="Times New Roman" w:eastAsia="Times New Roman" w:hAnsi="Times New Roman" w:cs="Times New Roman"/>
          <w:color w:val="222222"/>
          <w:sz w:val="24"/>
          <w:szCs w:val="24"/>
          <w:highlight w:val="white"/>
          <w:lang w:val="en-GB"/>
        </w:rPr>
        <w:t>. Policy Press.</w:t>
      </w:r>
    </w:p>
    <w:p w14:paraId="79F4230B"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 xml:space="preserve">Besanko, D. and </w:t>
      </w:r>
      <w:proofErr w:type="spellStart"/>
      <w:r w:rsidRPr="00E1568D">
        <w:rPr>
          <w:rFonts w:cs="Times New Roman"/>
          <w:color w:val="222222"/>
          <w:szCs w:val="24"/>
          <w:shd w:val="clear" w:color="auto" w:fill="FFFFFF"/>
        </w:rPr>
        <w:t>Braeutigam</w:t>
      </w:r>
      <w:proofErr w:type="spellEnd"/>
      <w:r w:rsidRPr="00E1568D">
        <w:rPr>
          <w:rFonts w:cs="Times New Roman"/>
          <w:color w:val="222222"/>
          <w:szCs w:val="24"/>
          <w:shd w:val="clear" w:color="auto" w:fill="FFFFFF"/>
        </w:rPr>
        <w:t>, R., (2020). </w:t>
      </w:r>
      <w:r w:rsidRPr="00E1568D">
        <w:rPr>
          <w:rFonts w:cs="Times New Roman"/>
          <w:i/>
          <w:iCs/>
          <w:color w:val="222222"/>
          <w:szCs w:val="24"/>
          <w:shd w:val="clear" w:color="auto" w:fill="FFFFFF"/>
        </w:rPr>
        <w:t>Microeconomics</w:t>
      </w:r>
      <w:r w:rsidRPr="00E1568D">
        <w:rPr>
          <w:rFonts w:cs="Times New Roman"/>
          <w:color w:val="222222"/>
          <w:szCs w:val="24"/>
          <w:shd w:val="clear" w:color="auto" w:fill="FFFFFF"/>
        </w:rPr>
        <w:t>. John Wiley &amp; Sons.</w:t>
      </w:r>
    </w:p>
    <w:p w14:paraId="25F14F6A"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Browning, E.K. and Zupan, M.A., (2020). </w:t>
      </w:r>
      <w:r w:rsidRPr="00E1568D">
        <w:rPr>
          <w:rFonts w:cs="Times New Roman"/>
          <w:i/>
          <w:iCs/>
          <w:color w:val="222222"/>
          <w:szCs w:val="24"/>
          <w:shd w:val="clear" w:color="auto" w:fill="FFFFFF"/>
        </w:rPr>
        <w:t>Microeconomics: Theory and applications</w:t>
      </w:r>
      <w:r w:rsidRPr="00E1568D">
        <w:rPr>
          <w:rFonts w:cs="Times New Roman"/>
          <w:color w:val="222222"/>
          <w:szCs w:val="24"/>
          <w:shd w:val="clear" w:color="auto" w:fill="FFFFFF"/>
        </w:rPr>
        <w:t>. John Wiley &amp; Sons.</w:t>
      </w:r>
    </w:p>
    <w:p w14:paraId="35805712"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 xml:space="preserve">Carney, M., (2016). The </w:t>
      </w:r>
      <w:proofErr w:type="spellStart"/>
      <w:r w:rsidRPr="00E1568D">
        <w:rPr>
          <w:rFonts w:cs="Times New Roman"/>
          <w:color w:val="222222"/>
          <w:szCs w:val="24"/>
          <w:shd w:val="clear" w:color="auto" w:fill="FFFFFF"/>
        </w:rPr>
        <w:t>spectre</w:t>
      </w:r>
      <w:proofErr w:type="spellEnd"/>
      <w:r w:rsidRPr="00E1568D">
        <w:rPr>
          <w:rFonts w:cs="Times New Roman"/>
          <w:color w:val="222222"/>
          <w:szCs w:val="24"/>
          <w:shd w:val="clear" w:color="auto" w:fill="FFFFFF"/>
        </w:rPr>
        <w:t xml:space="preserve"> of monetarism. </w:t>
      </w:r>
      <w:r w:rsidRPr="00E1568D">
        <w:rPr>
          <w:rFonts w:cs="Times New Roman"/>
          <w:i/>
          <w:iCs/>
          <w:color w:val="222222"/>
          <w:szCs w:val="24"/>
          <w:shd w:val="clear" w:color="auto" w:fill="FFFFFF"/>
        </w:rPr>
        <w:t xml:space="preserve">Speech presented at Roscoe Lecture at Liverpool John </w:t>
      </w:r>
      <w:proofErr w:type="spellStart"/>
      <w:r w:rsidRPr="00E1568D">
        <w:rPr>
          <w:rFonts w:cs="Times New Roman"/>
          <w:i/>
          <w:iCs/>
          <w:color w:val="222222"/>
          <w:szCs w:val="24"/>
          <w:shd w:val="clear" w:color="auto" w:fill="FFFFFF"/>
        </w:rPr>
        <w:t>Moores</w:t>
      </w:r>
      <w:proofErr w:type="spellEnd"/>
      <w:r w:rsidRPr="00E1568D">
        <w:rPr>
          <w:rFonts w:cs="Times New Roman"/>
          <w:i/>
          <w:iCs/>
          <w:color w:val="222222"/>
          <w:szCs w:val="24"/>
          <w:shd w:val="clear" w:color="auto" w:fill="FFFFFF"/>
        </w:rPr>
        <w:t xml:space="preserve"> University in Liverpool, UK</w:t>
      </w:r>
      <w:r w:rsidRPr="00E1568D">
        <w:rPr>
          <w:rFonts w:cs="Times New Roman"/>
          <w:color w:val="222222"/>
          <w:szCs w:val="24"/>
          <w:shd w:val="clear" w:color="auto" w:fill="FFFFFF"/>
        </w:rPr>
        <w:t>.</w:t>
      </w:r>
    </w:p>
    <w:p w14:paraId="179924E9"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and Farias, V.F., (2018). Robust dynamic pricing with strategic customers. </w:t>
      </w:r>
      <w:r>
        <w:rPr>
          <w:rFonts w:ascii="Times New Roman" w:eastAsia="Times New Roman" w:hAnsi="Times New Roman" w:cs="Times New Roman"/>
          <w:i/>
          <w:sz w:val="24"/>
          <w:szCs w:val="24"/>
        </w:rPr>
        <w:t>Mathematics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(4), pp.1119-1142.</w:t>
      </w:r>
    </w:p>
    <w:p w14:paraId="6929AA2D"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Cranfield, J.A., (2020). Framing consumer food demand responses in a viral pandemic. </w:t>
      </w:r>
      <w:r>
        <w:rPr>
          <w:rFonts w:ascii="Times New Roman" w:eastAsia="Times New Roman" w:hAnsi="Times New Roman" w:cs="Times New Roman"/>
          <w:i/>
          <w:sz w:val="24"/>
          <w:szCs w:val="24"/>
        </w:rPr>
        <w:t xml:space="preserve">Canadian Journal of Agricultural Economics/Revue </w:t>
      </w:r>
      <w:proofErr w:type="spellStart"/>
      <w:r>
        <w:rPr>
          <w:rFonts w:ascii="Times New Roman" w:eastAsia="Times New Roman" w:hAnsi="Times New Roman" w:cs="Times New Roman"/>
          <w:i/>
          <w:sz w:val="24"/>
          <w:szCs w:val="24"/>
        </w:rPr>
        <w:t>canadienne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d'agroeconomie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68</w:t>
      </w:r>
      <w:r>
        <w:rPr>
          <w:rFonts w:ascii="Times New Roman" w:eastAsia="Times New Roman" w:hAnsi="Times New Roman" w:cs="Times New Roman"/>
          <w:sz w:val="24"/>
          <w:szCs w:val="24"/>
        </w:rPr>
        <w:t>(2), pp.151-156.</w:t>
      </w:r>
    </w:p>
    <w:p w14:paraId="7E726EA3"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Cullen, Z. and </w:t>
      </w:r>
      <w:proofErr w:type="spellStart"/>
      <w:r>
        <w:rPr>
          <w:rFonts w:ascii="Times New Roman" w:eastAsia="Times New Roman" w:hAnsi="Times New Roman" w:cs="Times New Roman"/>
          <w:sz w:val="24"/>
          <w:szCs w:val="24"/>
        </w:rPr>
        <w:t>Farronato</w:t>
      </w:r>
      <w:proofErr w:type="spellEnd"/>
      <w:r>
        <w:rPr>
          <w:rFonts w:ascii="Times New Roman" w:eastAsia="Times New Roman" w:hAnsi="Times New Roman" w:cs="Times New Roman"/>
          <w:sz w:val="24"/>
          <w:szCs w:val="24"/>
        </w:rPr>
        <w:t xml:space="preserve">, C., (2021). Outsourcing tasks online: Matching supply and demand on peer-to-peer internet platforms. </w:t>
      </w:r>
      <w:r>
        <w:rPr>
          <w:rFonts w:ascii="Times New Roman" w:eastAsia="Times New Roman" w:hAnsi="Times New Roman" w:cs="Times New Roman"/>
          <w:i/>
          <w:sz w:val="24"/>
          <w:szCs w:val="24"/>
        </w:rPr>
        <w:t>Management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67</w:t>
      </w:r>
      <w:r>
        <w:rPr>
          <w:rFonts w:ascii="Times New Roman" w:eastAsia="Times New Roman" w:hAnsi="Times New Roman" w:cs="Times New Roman"/>
          <w:sz w:val="24"/>
          <w:szCs w:val="24"/>
        </w:rPr>
        <w:t>(7), pp.3985-4003.</w:t>
      </w:r>
    </w:p>
    <w:p w14:paraId="070B71CF" w14:textId="77777777" w:rsidR="006D4779" w:rsidRPr="00E1568D" w:rsidRDefault="006D4779"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Erixon, L., (2018). Progressive supply-side economics: an explanation and update of the Rehn-</w:t>
      </w:r>
      <w:proofErr w:type="spellStart"/>
      <w:r w:rsidRPr="00E1568D">
        <w:rPr>
          <w:rFonts w:ascii="Times New Roman" w:eastAsia="Times New Roman" w:hAnsi="Times New Roman" w:cs="Times New Roman"/>
          <w:color w:val="222222"/>
          <w:sz w:val="24"/>
          <w:szCs w:val="24"/>
          <w:highlight w:val="white"/>
          <w:lang w:val="en-GB"/>
        </w:rPr>
        <w:t>Meidner</w:t>
      </w:r>
      <w:proofErr w:type="spellEnd"/>
      <w:r w:rsidRPr="00E1568D">
        <w:rPr>
          <w:rFonts w:ascii="Times New Roman" w:eastAsia="Times New Roman" w:hAnsi="Times New Roman" w:cs="Times New Roman"/>
          <w:color w:val="222222"/>
          <w:sz w:val="24"/>
          <w:szCs w:val="24"/>
          <w:highlight w:val="white"/>
          <w:lang w:val="en-GB"/>
        </w:rPr>
        <w:t xml:space="preserve"> model. </w:t>
      </w:r>
      <w:r w:rsidRPr="00E1568D">
        <w:rPr>
          <w:rFonts w:ascii="Times New Roman" w:eastAsia="Times New Roman" w:hAnsi="Times New Roman" w:cs="Times New Roman"/>
          <w:i/>
          <w:color w:val="222222"/>
          <w:sz w:val="24"/>
          <w:szCs w:val="24"/>
          <w:highlight w:val="white"/>
          <w:lang w:val="en-GB"/>
        </w:rPr>
        <w:t>Cambridge Journal of Economics</w:t>
      </w:r>
      <w:r w:rsidRPr="00E1568D">
        <w:rPr>
          <w:rFonts w:ascii="Times New Roman" w:eastAsia="Times New Roman" w:hAnsi="Times New Roman" w:cs="Times New Roman"/>
          <w:color w:val="222222"/>
          <w:sz w:val="24"/>
          <w:szCs w:val="24"/>
          <w:highlight w:val="white"/>
          <w:lang w:val="en-GB"/>
        </w:rPr>
        <w:t xml:space="preserve">, </w:t>
      </w:r>
      <w:r w:rsidRPr="00E1568D">
        <w:rPr>
          <w:rFonts w:ascii="Times New Roman" w:eastAsia="Times New Roman" w:hAnsi="Times New Roman" w:cs="Times New Roman"/>
          <w:i/>
          <w:color w:val="222222"/>
          <w:sz w:val="24"/>
          <w:szCs w:val="24"/>
          <w:highlight w:val="white"/>
          <w:lang w:val="en-GB"/>
        </w:rPr>
        <w:t>42</w:t>
      </w:r>
      <w:r w:rsidRPr="00E1568D">
        <w:rPr>
          <w:rFonts w:ascii="Times New Roman" w:eastAsia="Times New Roman" w:hAnsi="Times New Roman" w:cs="Times New Roman"/>
          <w:color w:val="222222"/>
          <w:sz w:val="24"/>
          <w:szCs w:val="24"/>
          <w:highlight w:val="white"/>
          <w:lang w:val="en-GB"/>
        </w:rPr>
        <w:t>(3), pp.653-697.</w:t>
      </w:r>
    </w:p>
    <w:p w14:paraId="5D19B8C9"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 IKEA Group. (2022) Financial Year 2022 (</w:t>
      </w:r>
      <w:r>
        <w:rPr>
          <w:rFonts w:ascii="Times New Roman" w:eastAsia="Times New Roman" w:hAnsi="Times New Roman" w:cs="Times New Roman"/>
          <w:i/>
          <w:sz w:val="24"/>
          <w:szCs w:val="24"/>
        </w:rPr>
        <w:t>FY22) financial results.</w:t>
      </w:r>
      <w:r>
        <w:rPr>
          <w:rFonts w:ascii="Times New Roman" w:eastAsia="Times New Roman" w:hAnsi="Times New Roman" w:cs="Times New Roman"/>
          <w:sz w:val="24"/>
          <w:szCs w:val="24"/>
        </w:rPr>
        <w:t xml:space="preserve"> Available at: https://www.inter.ikea.com/en/performance/fy22-financial-results.</w:t>
      </w:r>
    </w:p>
    <w:p w14:paraId="3ED2E5C4"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Kaldor, N., (2015). Keynesian economics after fifty years. In </w:t>
      </w:r>
      <w:r w:rsidRPr="00E1568D">
        <w:rPr>
          <w:rFonts w:cs="Times New Roman"/>
          <w:i/>
          <w:iCs/>
          <w:color w:val="222222"/>
          <w:szCs w:val="24"/>
          <w:shd w:val="clear" w:color="auto" w:fill="FFFFFF"/>
        </w:rPr>
        <w:t xml:space="preserve">Essays on Keynesian and </w:t>
      </w:r>
      <w:proofErr w:type="spellStart"/>
      <w:r w:rsidRPr="00E1568D">
        <w:rPr>
          <w:rFonts w:cs="Times New Roman"/>
          <w:i/>
          <w:iCs/>
          <w:color w:val="222222"/>
          <w:szCs w:val="24"/>
          <w:shd w:val="clear" w:color="auto" w:fill="FFFFFF"/>
        </w:rPr>
        <w:t>Kaldorian</w:t>
      </w:r>
      <w:proofErr w:type="spellEnd"/>
      <w:r w:rsidRPr="00E1568D">
        <w:rPr>
          <w:rFonts w:cs="Times New Roman"/>
          <w:i/>
          <w:iCs/>
          <w:color w:val="222222"/>
          <w:szCs w:val="24"/>
          <w:shd w:val="clear" w:color="auto" w:fill="FFFFFF"/>
        </w:rPr>
        <w:t xml:space="preserve"> Economics</w:t>
      </w:r>
      <w:r w:rsidRPr="00E1568D">
        <w:rPr>
          <w:rFonts w:cs="Times New Roman"/>
          <w:color w:val="222222"/>
          <w:szCs w:val="24"/>
          <w:shd w:val="clear" w:color="auto" w:fill="FFFFFF"/>
        </w:rPr>
        <w:t> (pp. 27-74). Palgrave Macmillan, London.</w:t>
      </w:r>
    </w:p>
    <w:p w14:paraId="3BC55583"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Khojasteh-Khosro</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Shalbafan</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Thoemen</w:t>
      </w:r>
      <w:proofErr w:type="spellEnd"/>
      <w:r>
        <w:rPr>
          <w:rFonts w:ascii="Times New Roman" w:eastAsia="Times New Roman" w:hAnsi="Times New Roman" w:cs="Times New Roman"/>
          <w:sz w:val="24"/>
          <w:szCs w:val="24"/>
        </w:rPr>
        <w:t xml:space="preserve">, H., (2022). Consumer behavior assessment regarding lightweight furniture as an environmentally-friendly product. </w:t>
      </w:r>
      <w:r>
        <w:rPr>
          <w:rFonts w:ascii="Times New Roman" w:eastAsia="Times New Roman" w:hAnsi="Times New Roman" w:cs="Times New Roman"/>
          <w:i/>
          <w:sz w:val="24"/>
          <w:szCs w:val="24"/>
        </w:rPr>
        <w:t>Wood Material Science &amp;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(3), pp.192-201.</w:t>
      </w:r>
    </w:p>
    <w:p w14:paraId="1C6E5D1B"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lastRenderedPageBreak/>
        <w:t>Lavoie, M., (2022). Post-Keynesian Economics. </w:t>
      </w:r>
      <w:r w:rsidRPr="00E1568D">
        <w:rPr>
          <w:rFonts w:cs="Times New Roman"/>
          <w:i/>
          <w:iCs/>
          <w:color w:val="222222"/>
          <w:szCs w:val="24"/>
          <w:shd w:val="clear" w:color="auto" w:fill="FFFFFF"/>
        </w:rPr>
        <w:t>Books</w:t>
      </w:r>
      <w:r w:rsidRPr="00E1568D">
        <w:rPr>
          <w:rFonts w:cs="Times New Roman"/>
          <w:color w:val="222222"/>
          <w:szCs w:val="24"/>
          <w:shd w:val="clear" w:color="auto" w:fill="FFFFFF"/>
        </w:rPr>
        <w:t>.</w:t>
      </w:r>
    </w:p>
    <w:p w14:paraId="50F69878"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R. (2022) </w:t>
      </w:r>
      <w:r>
        <w:rPr>
          <w:rFonts w:ascii="Times New Roman" w:eastAsia="Times New Roman" w:hAnsi="Times New Roman" w:cs="Times New Roman"/>
          <w:i/>
          <w:sz w:val="24"/>
          <w:szCs w:val="24"/>
        </w:rPr>
        <w:t>Furniture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Britannica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Encyclopædia</w:t>
      </w:r>
      <w:proofErr w:type="spellEnd"/>
      <w:r>
        <w:rPr>
          <w:rFonts w:ascii="Times New Roman" w:eastAsia="Times New Roman" w:hAnsi="Times New Roman" w:cs="Times New Roman"/>
          <w:sz w:val="24"/>
          <w:szCs w:val="24"/>
        </w:rPr>
        <w:t xml:space="preserve"> Britannica, inc. Available at: https://www.britannica.com/technology/furniture.</w:t>
      </w:r>
    </w:p>
    <w:p w14:paraId="1F440E42"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L., Chi, T., Hao, T. and Yu, T., (2018). Customer demand analysis of the electronic commerce supply chain using Big Data. </w:t>
      </w:r>
      <w:r>
        <w:rPr>
          <w:rFonts w:ascii="Times New Roman" w:eastAsia="Times New Roman" w:hAnsi="Times New Roman" w:cs="Times New Roman"/>
          <w:i/>
          <w:sz w:val="24"/>
          <w:szCs w:val="24"/>
        </w:rPr>
        <w:t>Annals of Operations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268</w:t>
      </w:r>
      <w:r>
        <w:rPr>
          <w:rFonts w:ascii="Times New Roman" w:eastAsia="Times New Roman" w:hAnsi="Times New Roman" w:cs="Times New Roman"/>
          <w:sz w:val="24"/>
          <w:szCs w:val="24"/>
        </w:rPr>
        <w:t>(1), pp.113-128.</w:t>
      </w:r>
    </w:p>
    <w:p w14:paraId="10E3CB94"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Miah, M.D. and Fatema, N., (2021). Cross Elasticity of Demand of Selected Wooden Furniture in Respect to Alternative Furniture in Chittagong City. </w:t>
      </w:r>
      <w:r>
        <w:rPr>
          <w:rFonts w:ascii="Times New Roman" w:eastAsia="Times New Roman" w:hAnsi="Times New Roman" w:cs="Times New Roman"/>
          <w:i/>
          <w:sz w:val="24"/>
          <w:szCs w:val="24"/>
        </w:rPr>
        <w:t>The Chittagong University Journal of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pp.1-20.</w:t>
      </w:r>
    </w:p>
    <w:p w14:paraId="0E0598D4"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Ngai, S.B.C. and </w:t>
      </w:r>
      <w:proofErr w:type="spellStart"/>
      <w:r>
        <w:rPr>
          <w:rFonts w:ascii="Times New Roman" w:eastAsia="Times New Roman" w:hAnsi="Times New Roman" w:cs="Times New Roman"/>
          <w:sz w:val="24"/>
          <w:szCs w:val="24"/>
        </w:rPr>
        <w:t>Falkheimer</w:t>
      </w:r>
      <w:proofErr w:type="spellEnd"/>
      <w:r>
        <w:rPr>
          <w:rFonts w:ascii="Times New Roman" w:eastAsia="Times New Roman" w:hAnsi="Times New Roman" w:cs="Times New Roman"/>
          <w:sz w:val="24"/>
          <w:szCs w:val="24"/>
        </w:rPr>
        <w:t xml:space="preserve">, J., (2017). How IKEA turned a crisis into an opportunity. </w:t>
      </w:r>
      <w:r>
        <w:rPr>
          <w:rFonts w:ascii="Times New Roman" w:eastAsia="Times New Roman" w:hAnsi="Times New Roman" w:cs="Times New Roman"/>
          <w:i/>
          <w:sz w:val="24"/>
          <w:szCs w:val="24"/>
        </w:rPr>
        <w:t>Public Relations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pp.246-248.</w:t>
      </w:r>
    </w:p>
    <w:p w14:paraId="07C4A901" w14:textId="77777777" w:rsidR="006D4779" w:rsidRPr="00E1568D" w:rsidRDefault="006D4779"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proofErr w:type="spellStart"/>
      <w:r w:rsidRPr="00E1568D">
        <w:rPr>
          <w:rFonts w:ascii="Times New Roman" w:eastAsia="Times New Roman" w:hAnsi="Times New Roman" w:cs="Times New Roman"/>
          <w:color w:val="222222"/>
          <w:sz w:val="24"/>
          <w:szCs w:val="24"/>
          <w:highlight w:val="white"/>
          <w:lang w:val="en-GB"/>
        </w:rPr>
        <w:t>Nissley</w:t>
      </w:r>
      <w:proofErr w:type="spellEnd"/>
      <w:r w:rsidRPr="00E1568D">
        <w:rPr>
          <w:rFonts w:ascii="Times New Roman" w:eastAsia="Times New Roman" w:hAnsi="Times New Roman" w:cs="Times New Roman"/>
          <w:color w:val="222222"/>
          <w:sz w:val="24"/>
          <w:szCs w:val="24"/>
          <w:highlight w:val="white"/>
          <w:lang w:val="en-GB"/>
        </w:rPr>
        <w:t>, C., (2022). Which System Works for Capitalism?: An Analysis of Supply Side and Demand Side Economics Tax Policy.</w:t>
      </w:r>
    </w:p>
    <w:p w14:paraId="1E943061"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Ozturkcan</w:t>
      </w:r>
      <w:proofErr w:type="spellEnd"/>
      <w:r>
        <w:rPr>
          <w:rFonts w:ascii="Times New Roman" w:eastAsia="Times New Roman" w:hAnsi="Times New Roman" w:cs="Times New Roman"/>
          <w:sz w:val="24"/>
          <w:szCs w:val="24"/>
        </w:rPr>
        <w:t xml:space="preserve">, S., (2021). Service innovation: Using augmented reality in the IKEA Place app. </w:t>
      </w:r>
      <w:r>
        <w:rPr>
          <w:rFonts w:ascii="Times New Roman" w:eastAsia="Times New Roman" w:hAnsi="Times New Roman" w:cs="Times New Roman"/>
          <w:i/>
          <w:sz w:val="24"/>
          <w:szCs w:val="24"/>
        </w:rPr>
        <w:t>Journal of Information Technology Teaching Cases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(1), pp.8-13.</w:t>
      </w:r>
    </w:p>
    <w:p w14:paraId="3610C8BD" w14:textId="77777777" w:rsidR="006D4779" w:rsidRPr="00E1568D" w:rsidRDefault="006D4779" w:rsidP="00442ECF">
      <w:pPr>
        <w:pStyle w:val="Normal1"/>
        <w:spacing w:before="200" w:after="200" w:line="360" w:lineRule="auto"/>
        <w:jc w:val="both"/>
        <w:rPr>
          <w:rFonts w:ascii="Times New Roman" w:eastAsia="Times New Roman" w:hAnsi="Times New Roman" w:cs="Times New Roman"/>
          <w:color w:val="222222"/>
          <w:sz w:val="24"/>
          <w:szCs w:val="24"/>
          <w:highlight w:val="white"/>
          <w:lang w:val="en-GB"/>
        </w:rPr>
      </w:pPr>
      <w:r w:rsidRPr="00E1568D">
        <w:rPr>
          <w:rFonts w:ascii="Times New Roman" w:eastAsia="Times New Roman" w:hAnsi="Times New Roman" w:cs="Times New Roman"/>
          <w:color w:val="222222"/>
          <w:sz w:val="24"/>
          <w:szCs w:val="24"/>
          <w:highlight w:val="white"/>
          <w:lang w:val="en-GB"/>
        </w:rPr>
        <w:t xml:space="preserve">Pinker, R., (2022). </w:t>
      </w:r>
      <w:r w:rsidRPr="00E1568D">
        <w:rPr>
          <w:rFonts w:ascii="Times New Roman" w:eastAsia="Times New Roman" w:hAnsi="Times New Roman" w:cs="Times New Roman"/>
          <w:i/>
          <w:color w:val="222222"/>
          <w:sz w:val="24"/>
          <w:szCs w:val="24"/>
          <w:highlight w:val="white"/>
          <w:lang w:val="en-GB"/>
        </w:rPr>
        <w:t>Social theory and social policy</w:t>
      </w:r>
      <w:r w:rsidRPr="00E1568D">
        <w:rPr>
          <w:rFonts w:ascii="Times New Roman" w:eastAsia="Times New Roman" w:hAnsi="Times New Roman" w:cs="Times New Roman"/>
          <w:color w:val="222222"/>
          <w:sz w:val="24"/>
          <w:szCs w:val="24"/>
          <w:highlight w:val="white"/>
          <w:lang w:val="en-GB"/>
        </w:rPr>
        <w:t>. Taylor &amp; Francis.</w:t>
      </w:r>
    </w:p>
    <w:p w14:paraId="3CF1C9C9" w14:textId="77777777" w:rsidR="006D4779" w:rsidRPr="00C464C7" w:rsidRDefault="006D4779"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Quirino</w:t>
      </w:r>
      <w:proofErr w:type="spellEnd"/>
      <w:r>
        <w:rPr>
          <w:rFonts w:ascii="Times New Roman" w:eastAsia="Times New Roman" w:hAnsi="Times New Roman" w:cs="Times New Roman"/>
          <w:sz w:val="24"/>
          <w:szCs w:val="24"/>
        </w:rPr>
        <w:t xml:space="preserve">, C. and Salter, J. (2022) </w:t>
      </w:r>
      <w:r>
        <w:rPr>
          <w:rFonts w:ascii="Times New Roman" w:eastAsia="Times New Roman" w:hAnsi="Times New Roman" w:cs="Times New Roman"/>
          <w:i/>
          <w:sz w:val="24"/>
          <w:szCs w:val="24"/>
        </w:rPr>
        <w:t>Wayfair vs. IKEA: Which Furniture Giant is better?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Home Of </w:t>
      </w:r>
      <w:r w:rsidRPr="00C464C7">
        <w:rPr>
          <w:rFonts w:ascii="Times New Roman" w:eastAsia="Times New Roman" w:hAnsi="Times New Roman" w:cs="Times New Roman"/>
          <w:i/>
          <w:sz w:val="24"/>
          <w:szCs w:val="24"/>
        </w:rPr>
        <w:t>Cozy</w:t>
      </w:r>
      <w:r w:rsidRPr="00C464C7">
        <w:rPr>
          <w:rFonts w:ascii="Times New Roman" w:eastAsia="Times New Roman" w:hAnsi="Times New Roman" w:cs="Times New Roman"/>
          <w:sz w:val="24"/>
          <w:szCs w:val="24"/>
        </w:rPr>
        <w:t>. Available at: https://homeofcozy.com/brand-comparisons/wayfair-vs-ikea/.</w:t>
      </w:r>
    </w:p>
    <w:p w14:paraId="22D6F6AB" w14:textId="77777777" w:rsidR="006D4779" w:rsidRPr="00C464C7" w:rsidRDefault="00C464C7" w:rsidP="006D4779">
      <w:hyperlink r:id="rId13" w:tooltip="Posts by Rusith" w:history="1">
        <w:r w:rsidR="006D4779" w:rsidRPr="00C464C7">
          <w:t>RUSITH</w:t>
        </w:r>
      </w:hyperlink>
      <w:r w:rsidR="006D4779" w:rsidRPr="00C464C7">
        <w:t>, (2021). 5 Types of Price Elasticity of Demand – Full Explanation (2021). Available at: https://learnbusinessconcepts.com/types-of-price-elasticity-of-demand/ (Accessed: 6 January 2023).</w:t>
      </w:r>
    </w:p>
    <w:p w14:paraId="2BC1BF03" w14:textId="77777777" w:rsidR="006D4779" w:rsidRPr="00E1568D" w:rsidRDefault="006D4779" w:rsidP="00442ECF">
      <w:pPr>
        <w:spacing w:before="240"/>
        <w:rPr>
          <w:rFonts w:cs="Times New Roman"/>
          <w:color w:val="222222"/>
          <w:szCs w:val="24"/>
          <w:shd w:val="clear" w:color="auto" w:fill="FFFFFF"/>
        </w:rPr>
      </w:pPr>
      <w:r w:rsidRPr="00E1568D">
        <w:rPr>
          <w:rFonts w:cs="Times New Roman"/>
          <w:color w:val="222222"/>
          <w:szCs w:val="24"/>
          <w:shd w:val="clear" w:color="auto" w:fill="FFFFFF"/>
        </w:rPr>
        <w:t>Tucker, I.B., (2022). </w:t>
      </w:r>
      <w:r w:rsidRPr="00E1568D">
        <w:rPr>
          <w:rFonts w:cs="Times New Roman"/>
          <w:i/>
          <w:iCs/>
          <w:color w:val="222222"/>
          <w:szCs w:val="24"/>
          <w:shd w:val="clear" w:color="auto" w:fill="FFFFFF"/>
        </w:rPr>
        <w:t>Microeconomics for today</w:t>
      </w:r>
      <w:r w:rsidRPr="00E1568D">
        <w:rPr>
          <w:rFonts w:cs="Times New Roman"/>
          <w:color w:val="222222"/>
          <w:szCs w:val="24"/>
          <w:shd w:val="clear" w:color="auto" w:fill="FFFFFF"/>
        </w:rPr>
        <w:t>. Cengage Learning.</w:t>
      </w:r>
    </w:p>
    <w:p w14:paraId="42C9951B" w14:textId="77777777" w:rsidR="006D4779" w:rsidRPr="00E1568D" w:rsidRDefault="006D4779" w:rsidP="00442ECF">
      <w:pPr>
        <w:spacing w:before="240"/>
        <w:rPr>
          <w:rFonts w:cs="Times New Roman"/>
          <w:color w:val="222222"/>
          <w:szCs w:val="24"/>
          <w:shd w:val="clear" w:color="auto" w:fill="FFFFFF"/>
        </w:rPr>
      </w:pPr>
      <w:proofErr w:type="spellStart"/>
      <w:r w:rsidRPr="00C464C7">
        <w:rPr>
          <w:rFonts w:cs="Times New Roman"/>
          <w:color w:val="222222"/>
          <w:szCs w:val="24"/>
          <w:shd w:val="clear" w:color="auto" w:fill="FFFFFF"/>
          <w:lang w:val="en-GB"/>
        </w:rPr>
        <w:t>Vaggi</w:t>
      </w:r>
      <w:proofErr w:type="spellEnd"/>
      <w:r w:rsidRPr="00C464C7">
        <w:rPr>
          <w:rFonts w:cs="Times New Roman"/>
          <w:color w:val="222222"/>
          <w:szCs w:val="24"/>
          <w:shd w:val="clear" w:color="auto" w:fill="FFFFFF"/>
          <w:lang w:val="en-GB"/>
        </w:rPr>
        <w:t>, G. and Groenewegen, P., (2016). </w:t>
      </w:r>
      <w:r w:rsidRPr="00E1568D">
        <w:rPr>
          <w:rFonts w:cs="Times New Roman"/>
          <w:i/>
          <w:iCs/>
          <w:color w:val="222222"/>
          <w:szCs w:val="24"/>
          <w:shd w:val="clear" w:color="auto" w:fill="FFFFFF"/>
        </w:rPr>
        <w:t>A concise history of economic thought: From mercantilism to monetarism</w:t>
      </w:r>
      <w:r w:rsidRPr="00E1568D">
        <w:rPr>
          <w:rFonts w:cs="Times New Roman"/>
          <w:color w:val="222222"/>
          <w:szCs w:val="24"/>
          <w:shd w:val="clear" w:color="auto" w:fill="FFFFFF"/>
        </w:rPr>
        <w:t>. Springer.</w:t>
      </w:r>
    </w:p>
    <w:p w14:paraId="4A69FD6E"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Varn</w:t>
      </w:r>
      <w:proofErr w:type="spellEnd"/>
      <w:r>
        <w:rPr>
          <w:rFonts w:ascii="Times New Roman" w:eastAsia="Times New Roman" w:hAnsi="Times New Roman" w:cs="Times New Roman"/>
          <w:sz w:val="24"/>
          <w:szCs w:val="24"/>
        </w:rPr>
        <w:t xml:space="preserve">, T. (2022) </w:t>
      </w:r>
      <w:r>
        <w:rPr>
          <w:rFonts w:ascii="Times New Roman" w:eastAsia="Times New Roman" w:hAnsi="Times New Roman" w:cs="Times New Roman"/>
          <w:i/>
          <w:sz w:val="24"/>
          <w:szCs w:val="24"/>
        </w:rPr>
        <w:t>11 tips that a trip to IKEA taught us about web marketing and SEO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Varn</w:t>
      </w:r>
      <w:proofErr w:type="spellEnd"/>
      <w:r>
        <w:rPr>
          <w:rFonts w:ascii="Times New Roman" w:eastAsia="Times New Roman" w:hAnsi="Times New Roman" w:cs="Times New Roman"/>
          <w:sz w:val="24"/>
          <w:szCs w:val="24"/>
        </w:rPr>
        <w:t>. Available at: https://varn.co.uk/08/17/11-tips-trip-ikea-taught-us-web-marketing-seo/.</w:t>
      </w:r>
    </w:p>
    <w:p w14:paraId="5F2C4FE2"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L., Song, H. and Wang, Y., (2017). Pricing and service decisions of complementary products in a dual-channel supply chain. </w:t>
      </w:r>
      <w:r>
        <w:rPr>
          <w:rFonts w:ascii="Times New Roman" w:eastAsia="Times New Roman" w:hAnsi="Times New Roman" w:cs="Times New Roman"/>
          <w:i/>
          <w:sz w:val="24"/>
          <w:szCs w:val="24"/>
        </w:rPr>
        <w:t>Computers &amp; industrial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105</w:t>
      </w:r>
      <w:r>
        <w:rPr>
          <w:rFonts w:ascii="Times New Roman" w:eastAsia="Times New Roman" w:hAnsi="Times New Roman" w:cs="Times New Roman"/>
          <w:sz w:val="24"/>
          <w:szCs w:val="24"/>
        </w:rPr>
        <w:t>, pp.223-233.</w:t>
      </w:r>
    </w:p>
    <w:p w14:paraId="420172A9" w14:textId="77777777" w:rsidR="006D4779" w:rsidRDefault="006D4779" w:rsidP="00753955">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Wessels, W.J., (2018). </w:t>
      </w:r>
      <w:r>
        <w:rPr>
          <w:rFonts w:ascii="Times New Roman" w:eastAsia="Times New Roman" w:hAnsi="Times New Roman" w:cs="Times New Roman"/>
          <w:i/>
          <w:sz w:val="24"/>
          <w:szCs w:val="24"/>
        </w:rPr>
        <w:t>Economics</w:t>
      </w:r>
      <w:r>
        <w:rPr>
          <w:rFonts w:ascii="Times New Roman" w:eastAsia="Times New Roman" w:hAnsi="Times New Roman" w:cs="Times New Roman"/>
          <w:sz w:val="24"/>
          <w:szCs w:val="24"/>
        </w:rPr>
        <w:t>. Simon and Schuster.</w:t>
      </w:r>
    </w:p>
    <w:p w14:paraId="27C233E0" w14:textId="77777777" w:rsidR="00442ECF" w:rsidRDefault="00442ECF" w:rsidP="00753955">
      <w:pPr>
        <w:pStyle w:val="Normal1"/>
        <w:spacing w:before="240" w:after="240" w:line="360" w:lineRule="auto"/>
        <w:jc w:val="both"/>
        <w:rPr>
          <w:rFonts w:ascii="Times New Roman" w:eastAsia="Times New Roman" w:hAnsi="Times New Roman" w:cs="Times New Roman"/>
          <w:sz w:val="24"/>
          <w:szCs w:val="24"/>
        </w:rPr>
      </w:pPr>
    </w:p>
    <w:p w14:paraId="2D1F286D" w14:textId="77777777" w:rsidR="00F235AA" w:rsidRDefault="00F235AA">
      <w:pPr>
        <w:pStyle w:val="Normal1"/>
        <w:spacing w:before="240" w:after="240"/>
        <w:jc w:val="both"/>
        <w:rPr>
          <w:rFonts w:ascii="Times New Roman" w:eastAsia="Times New Roman" w:hAnsi="Times New Roman" w:cs="Times New Roman"/>
          <w:b/>
          <w:sz w:val="24"/>
          <w:szCs w:val="24"/>
        </w:rPr>
      </w:pPr>
    </w:p>
    <w:p w14:paraId="1F5EBB56" w14:textId="77777777" w:rsidR="00F235AA" w:rsidRDefault="00F235AA">
      <w:pPr>
        <w:pStyle w:val="Normal1"/>
        <w:rPr>
          <w:rFonts w:ascii="Times New Roman" w:eastAsia="Times New Roman" w:hAnsi="Times New Roman" w:cs="Times New Roman"/>
          <w:sz w:val="24"/>
          <w:szCs w:val="24"/>
        </w:rPr>
      </w:pPr>
    </w:p>
    <w:sectPr w:rsidR="00F235AA" w:rsidSect="00753955">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49284" w14:textId="77777777" w:rsidR="009A2D12" w:rsidRDefault="009A2D12" w:rsidP="00F235AA">
      <w:pPr>
        <w:spacing w:line="240" w:lineRule="auto"/>
      </w:pPr>
      <w:r>
        <w:separator/>
      </w:r>
    </w:p>
  </w:endnote>
  <w:endnote w:type="continuationSeparator" w:id="0">
    <w:p w14:paraId="54021C29" w14:textId="77777777" w:rsidR="009A2D12" w:rsidRDefault="009A2D12" w:rsidP="00F235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Cs w:val="24"/>
      </w:rPr>
      <w:id w:val="21617987"/>
      <w:docPartObj>
        <w:docPartGallery w:val="Page Numbers (Bottom of Page)"/>
        <w:docPartUnique/>
      </w:docPartObj>
    </w:sdtPr>
    <w:sdtEndPr/>
    <w:sdtContent>
      <w:p w14:paraId="2D332B0A" w14:textId="11AD2B6E" w:rsidR="00753955" w:rsidRPr="00753955" w:rsidRDefault="00753955">
        <w:pPr>
          <w:pStyle w:val="Footer"/>
          <w:jc w:val="right"/>
          <w:rPr>
            <w:rFonts w:cs="Times New Roman"/>
            <w:szCs w:val="24"/>
          </w:rPr>
        </w:pPr>
        <w:r w:rsidRPr="00753955">
          <w:rPr>
            <w:rFonts w:cs="Times New Roman"/>
            <w:szCs w:val="24"/>
          </w:rPr>
          <w:t xml:space="preserve">Page | </w:t>
        </w:r>
        <w:r w:rsidRPr="00753955">
          <w:rPr>
            <w:rFonts w:cs="Times New Roman"/>
            <w:szCs w:val="24"/>
          </w:rPr>
          <w:fldChar w:fldCharType="begin"/>
        </w:r>
        <w:r w:rsidRPr="00753955">
          <w:rPr>
            <w:rFonts w:cs="Times New Roman"/>
            <w:szCs w:val="24"/>
          </w:rPr>
          <w:instrText xml:space="preserve"> PAGE   \* MERGEFORMAT </w:instrText>
        </w:r>
        <w:r w:rsidRPr="00753955">
          <w:rPr>
            <w:rFonts w:cs="Times New Roman"/>
            <w:szCs w:val="24"/>
          </w:rPr>
          <w:fldChar w:fldCharType="separate"/>
        </w:r>
        <w:r w:rsidR="00A70206">
          <w:rPr>
            <w:rFonts w:cs="Times New Roman"/>
            <w:noProof/>
            <w:szCs w:val="24"/>
          </w:rPr>
          <w:t>12</w:t>
        </w:r>
        <w:r w:rsidRPr="00753955">
          <w:rPr>
            <w:rFonts w:cs="Times New Roman"/>
            <w:szCs w:val="24"/>
          </w:rPr>
          <w:fldChar w:fldCharType="end"/>
        </w:r>
        <w:r w:rsidRPr="00753955">
          <w:rPr>
            <w:rFonts w:cs="Times New Roman"/>
            <w:szCs w:val="24"/>
          </w:rPr>
          <w:t xml:space="preserve"> </w:t>
        </w:r>
      </w:p>
    </w:sdtContent>
  </w:sdt>
  <w:p w14:paraId="1F06DBB4" w14:textId="77777777" w:rsidR="00753955" w:rsidRDefault="00753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35080" w14:textId="77777777" w:rsidR="009A2D12" w:rsidRDefault="009A2D12" w:rsidP="00F235AA">
      <w:pPr>
        <w:spacing w:line="240" w:lineRule="auto"/>
      </w:pPr>
      <w:r>
        <w:separator/>
      </w:r>
    </w:p>
  </w:footnote>
  <w:footnote w:type="continuationSeparator" w:id="0">
    <w:p w14:paraId="66E80E90" w14:textId="77777777" w:rsidR="009A2D12" w:rsidRDefault="009A2D12" w:rsidP="00F235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9181F"/>
    <w:multiLevelType w:val="hybridMultilevel"/>
    <w:tmpl w:val="06C06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6486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5AA"/>
    <w:rsid w:val="000172CE"/>
    <w:rsid w:val="00055AD0"/>
    <w:rsid w:val="000C7F70"/>
    <w:rsid w:val="00146F7F"/>
    <w:rsid w:val="002002EA"/>
    <w:rsid w:val="002B5037"/>
    <w:rsid w:val="00315E81"/>
    <w:rsid w:val="00442ECF"/>
    <w:rsid w:val="006C525A"/>
    <w:rsid w:val="006D4779"/>
    <w:rsid w:val="00740AF3"/>
    <w:rsid w:val="00753955"/>
    <w:rsid w:val="00816C02"/>
    <w:rsid w:val="009A2D12"/>
    <w:rsid w:val="009F6B15"/>
    <w:rsid w:val="00A416CA"/>
    <w:rsid w:val="00A70206"/>
    <w:rsid w:val="00C464C7"/>
    <w:rsid w:val="00C95750"/>
    <w:rsid w:val="00E86B4C"/>
    <w:rsid w:val="00F23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ACAC9"/>
  <w15:docId w15:val="{9A7CB295-A64B-4614-A150-91FC29981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779"/>
    <w:pPr>
      <w:spacing w:line="360" w:lineRule="auto"/>
      <w:jc w:val="both"/>
    </w:pPr>
    <w:rPr>
      <w:rFonts w:ascii="Times New Roman" w:hAnsi="Times New Roman"/>
      <w:sz w:val="24"/>
    </w:rPr>
  </w:style>
  <w:style w:type="paragraph" w:styleId="Heading1">
    <w:name w:val="heading 1"/>
    <w:basedOn w:val="Normal1"/>
    <w:next w:val="Normal1"/>
    <w:rsid w:val="00753955"/>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F235AA"/>
    <w:pPr>
      <w:keepNext/>
      <w:keepLines/>
      <w:spacing w:before="360" w:after="120"/>
      <w:outlineLvl w:val="1"/>
    </w:pPr>
    <w:rPr>
      <w:sz w:val="32"/>
      <w:szCs w:val="32"/>
    </w:rPr>
  </w:style>
  <w:style w:type="paragraph" w:styleId="Heading3">
    <w:name w:val="heading 3"/>
    <w:basedOn w:val="Normal1"/>
    <w:next w:val="Normal1"/>
    <w:rsid w:val="00F235AA"/>
    <w:pPr>
      <w:keepNext/>
      <w:keepLines/>
      <w:spacing w:before="320" w:after="80"/>
      <w:outlineLvl w:val="2"/>
    </w:pPr>
    <w:rPr>
      <w:color w:val="434343"/>
      <w:sz w:val="28"/>
      <w:szCs w:val="28"/>
    </w:rPr>
  </w:style>
  <w:style w:type="paragraph" w:styleId="Heading4">
    <w:name w:val="heading 4"/>
    <w:basedOn w:val="Normal1"/>
    <w:next w:val="Normal1"/>
    <w:rsid w:val="00F235AA"/>
    <w:pPr>
      <w:keepNext/>
      <w:keepLines/>
      <w:spacing w:before="280" w:after="80"/>
      <w:outlineLvl w:val="3"/>
    </w:pPr>
    <w:rPr>
      <w:color w:val="666666"/>
      <w:sz w:val="24"/>
      <w:szCs w:val="24"/>
    </w:rPr>
  </w:style>
  <w:style w:type="paragraph" w:styleId="Heading5">
    <w:name w:val="heading 5"/>
    <w:basedOn w:val="Normal1"/>
    <w:next w:val="Normal1"/>
    <w:rsid w:val="00F235AA"/>
    <w:pPr>
      <w:keepNext/>
      <w:keepLines/>
      <w:spacing w:before="240" w:after="80"/>
      <w:outlineLvl w:val="4"/>
    </w:pPr>
    <w:rPr>
      <w:color w:val="666666"/>
    </w:rPr>
  </w:style>
  <w:style w:type="paragraph" w:styleId="Heading6">
    <w:name w:val="heading 6"/>
    <w:basedOn w:val="Normal1"/>
    <w:next w:val="Normal1"/>
    <w:rsid w:val="00F235A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35AA"/>
  </w:style>
  <w:style w:type="paragraph" w:styleId="Title">
    <w:name w:val="Title"/>
    <w:basedOn w:val="Normal1"/>
    <w:next w:val="Normal1"/>
    <w:rsid w:val="00F235AA"/>
    <w:pPr>
      <w:keepNext/>
      <w:keepLines/>
      <w:spacing w:after="60"/>
    </w:pPr>
    <w:rPr>
      <w:sz w:val="52"/>
      <w:szCs w:val="52"/>
    </w:rPr>
  </w:style>
  <w:style w:type="paragraph" w:styleId="Subtitle">
    <w:name w:val="Subtitle"/>
    <w:basedOn w:val="Normal1"/>
    <w:next w:val="Normal1"/>
    <w:rsid w:val="00F235A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539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955"/>
    <w:rPr>
      <w:rFonts w:ascii="Tahoma" w:hAnsi="Tahoma" w:cs="Tahoma"/>
      <w:sz w:val="16"/>
      <w:szCs w:val="16"/>
    </w:rPr>
  </w:style>
  <w:style w:type="paragraph" w:styleId="TOCHeading">
    <w:name w:val="TOC Heading"/>
    <w:basedOn w:val="Heading1"/>
    <w:next w:val="Normal"/>
    <w:uiPriority w:val="39"/>
    <w:semiHidden/>
    <w:unhideWhenUsed/>
    <w:qFormat/>
    <w:rsid w:val="00753955"/>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53955"/>
    <w:pPr>
      <w:spacing w:after="100"/>
    </w:pPr>
  </w:style>
  <w:style w:type="character" w:styleId="Hyperlink">
    <w:name w:val="Hyperlink"/>
    <w:basedOn w:val="DefaultParagraphFont"/>
    <w:uiPriority w:val="99"/>
    <w:unhideWhenUsed/>
    <w:rsid w:val="00753955"/>
    <w:rPr>
      <w:color w:val="0000FF" w:themeColor="hyperlink"/>
      <w:u w:val="single"/>
    </w:rPr>
  </w:style>
  <w:style w:type="paragraph" w:styleId="Header">
    <w:name w:val="header"/>
    <w:basedOn w:val="Normal"/>
    <w:link w:val="HeaderChar"/>
    <w:uiPriority w:val="99"/>
    <w:semiHidden/>
    <w:unhideWhenUsed/>
    <w:rsid w:val="007539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3955"/>
  </w:style>
  <w:style w:type="paragraph" w:styleId="Footer">
    <w:name w:val="footer"/>
    <w:basedOn w:val="Normal"/>
    <w:link w:val="FooterChar"/>
    <w:uiPriority w:val="99"/>
    <w:unhideWhenUsed/>
    <w:rsid w:val="00753955"/>
    <w:pPr>
      <w:tabs>
        <w:tab w:val="center" w:pos="4680"/>
        <w:tab w:val="right" w:pos="9360"/>
      </w:tabs>
      <w:spacing w:line="240" w:lineRule="auto"/>
    </w:pPr>
  </w:style>
  <w:style w:type="character" w:customStyle="1" w:styleId="FooterChar">
    <w:name w:val="Footer Char"/>
    <w:basedOn w:val="DefaultParagraphFont"/>
    <w:link w:val="Footer"/>
    <w:uiPriority w:val="99"/>
    <w:rsid w:val="00753955"/>
  </w:style>
  <w:style w:type="character" w:styleId="FollowedHyperlink">
    <w:name w:val="FollowedHyperlink"/>
    <w:basedOn w:val="DefaultParagraphFont"/>
    <w:uiPriority w:val="99"/>
    <w:semiHidden/>
    <w:unhideWhenUsed/>
    <w:rsid w:val="006C525A"/>
    <w:rPr>
      <w:color w:val="800080" w:themeColor="followedHyperlink"/>
      <w:u w:val="single"/>
    </w:rPr>
  </w:style>
  <w:style w:type="character" w:styleId="CommentReference">
    <w:name w:val="annotation reference"/>
    <w:basedOn w:val="DefaultParagraphFont"/>
    <w:uiPriority w:val="99"/>
    <w:semiHidden/>
    <w:unhideWhenUsed/>
    <w:rsid w:val="00A70206"/>
    <w:rPr>
      <w:sz w:val="16"/>
      <w:szCs w:val="16"/>
    </w:rPr>
  </w:style>
  <w:style w:type="paragraph" w:styleId="CommentText">
    <w:name w:val="annotation text"/>
    <w:basedOn w:val="Normal"/>
    <w:link w:val="CommentTextChar"/>
    <w:uiPriority w:val="99"/>
    <w:semiHidden/>
    <w:unhideWhenUsed/>
    <w:rsid w:val="00A70206"/>
    <w:pPr>
      <w:spacing w:line="240" w:lineRule="auto"/>
    </w:pPr>
    <w:rPr>
      <w:sz w:val="20"/>
      <w:szCs w:val="20"/>
    </w:rPr>
  </w:style>
  <w:style w:type="character" w:customStyle="1" w:styleId="CommentTextChar">
    <w:name w:val="Comment Text Char"/>
    <w:basedOn w:val="DefaultParagraphFont"/>
    <w:link w:val="CommentText"/>
    <w:uiPriority w:val="99"/>
    <w:semiHidden/>
    <w:rsid w:val="00A70206"/>
    <w:rPr>
      <w:sz w:val="20"/>
      <w:szCs w:val="20"/>
    </w:rPr>
  </w:style>
  <w:style w:type="paragraph" w:styleId="CommentSubject">
    <w:name w:val="annotation subject"/>
    <w:basedOn w:val="CommentText"/>
    <w:next w:val="CommentText"/>
    <w:link w:val="CommentSubjectChar"/>
    <w:uiPriority w:val="99"/>
    <w:semiHidden/>
    <w:unhideWhenUsed/>
    <w:rsid w:val="00A70206"/>
    <w:rPr>
      <w:b/>
      <w:bCs/>
    </w:rPr>
  </w:style>
  <w:style w:type="character" w:customStyle="1" w:styleId="CommentSubjectChar">
    <w:name w:val="Comment Subject Char"/>
    <w:basedOn w:val="CommentTextChar"/>
    <w:link w:val="CommentSubject"/>
    <w:uiPriority w:val="99"/>
    <w:semiHidden/>
    <w:rsid w:val="00A70206"/>
    <w:rPr>
      <w:b/>
      <w:bCs/>
      <w:sz w:val="20"/>
      <w:szCs w:val="20"/>
    </w:rPr>
  </w:style>
  <w:style w:type="character" w:styleId="UnresolvedMention">
    <w:name w:val="Unresolved Mention"/>
    <w:basedOn w:val="DefaultParagraphFont"/>
    <w:uiPriority w:val="99"/>
    <w:semiHidden/>
    <w:unhideWhenUsed/>
    <w:rsid w:val="006D4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164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businessconcepts.com/author/rusi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Dwipayan%20Elite\Anca%20Oglan_Job%202_BM533_Contemporary%20Economic%20Analysis_05.12.22.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Dwipayan%20Elite\Anca%20Oglan_Job%202_BM533_Contemporary%20Economic%20Analysis_05.12.2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Equilibrium</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0156943553632919"/>
          <c:y val="0.15524793760284153"/>
          <c:w val="0.86366426033834154"/>
          <c:h val="0.67515632842126616"/>
        </c:manualLayout>
      </c:layout>
      <c:lineChart>
        <c:grouping val="standard"/>
        <c:varyColors val="0"/>
        <c:ser>
          <c:idx val="0"/>
          <c:order val="0"/>
          <c:tx>
            <c:strRef>
              <c:f>Sheet1!$B$19</c:f>
              <c:strCache>
                <c:ptCount val="1"/>
                <c:pt idx="0">
                  <c:v>Q. Demanded</c:v>
                </c:pt>
              </c:strCache>
            </c:strRef>
          </c:tx>
          <c:spPr>
            <a:ln w="22225" cap="rnd">
              <a:solidFill>
                <a:schemeClr val="accent1"/>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Sheet1!$B$20:$B$24</c:f>
              <c:numCache>
                <c:formatCode>General</c:formatCode>
                <c:ptCount val="5"/>
                <c:pt idx="0">
                  <c:v>32</c:v>
                </c:pt>
                <c:pt idx="1">
                  <c:v>28</c:v>
                </c:pt>
                <c:pt idx="2">
                  <c:v>24</c:v>
                </c:pt>
                <c:pt idx="3">
                  <c:v>20</c:v>
                </c:pt>
                <c:pt idx="4">
                  <c:v>16</c:v>
                </c:pt>
              </c:numCache>
            </c:numRef>
          </c:val>
          <c:smooth val="0"/>
          <c:extLst>
            <c:ext xmlns:c16="http://schemas.microsoft.com/office/drawing/2014/chart" uri="{C3380CC4-5D6E-409C-BE32-E72D297353CC}">
              <c16:uniqueId val="{00000000-014F-46DB-974E-70D24FD16F84}"/>
            </c:ext>
          </c:extLst>
        </c:ser>
        <c:ser>
          <c:idx val="1"/>
          <c:order val="1"/>
          <c:tx>
            <c:strRef>
              <c:f>Sheet1!$C$19</c:f>
              <c:strCache>
                <c:ptCount val="1"/>
                <c:pt idx="0">
                  <c:v>Q. Supplied</c:v>
                </c:pt>
              </c:strCache>
            </c:strRef>
          </c:tx>
          <c:spPr>
            <a:ln w="22225" cap="rnd">
              <a:solidFill>
                <a:schemeClr val="accent2"/>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Sheet1!$C$20:$C$24</c:f>
              <c:numCache>
                <c:formatCode>General</c:formatCode>
                <c:ptCount val="5"/>
                <c:pt idx="0">
                  <c:v>6</c:v>
                </c:pt>
                <c:pt idx="1">
                  <c:v>13</c:v>
                </c:pt>
                <c:pt idx="2">
                  <c:v>20</c:v>
                </c:pt>
                <c:pt idx="3">
                  <c:v>27</c:v>
                </c:pt>
                <c:pt idx="4">
                  <c:v>34</c:v>
                </c:pt>
              </c:numCache>
            </c:numRef>
          </c:val>
          <c:smooth val="0"/>
          <c:extLst>
            <c:ext xmlns:c16="http://schemas.microsoft.com/office/drawing/2014/chart" uri="{C3380CC4-5D6E-409C-BE32-E72D297353CC}">
              <c16:uniqueId val="{00000001-014F-46DB-974E-70D24FD16F84}"/>
            </c:ext>
          </c:extLst>
        </c:ser>
        <c:ser>
          <c:idx val="2"/>
          <c:order val="2"/>
          <c:tx>
            <c:strRef>
              <c:f>Sheet1!$D$19</c:f>
              <c:strCache>
                <c:ptCount val="1"/>
                <c:pt idx="0">
                  <c:v>Q. Demanded 2</c:v>
                </c:pt>
              </c:strCache>
            </c:strRef>
          </c:tx>
          <c:spPr>
            <a:ln w="22225" cap="rnd">
              <a:solidFill>
                <a:schemeClr val="accent3"/>
              </a:solidFill>
              <a:round/>
            </a:ln>
            <a:effectLst/>
          </c:spPr>
          <c:marker>
            <c:symbol val="none"/>
          </c:marker>
          <c:val>
            <c:numRef>
              <c:f>Sheet1!$D$20:$D$24</c:f>
              <c:numCache>
                <c:formatCode>General</c:formatCode>
                <c:ptCount val="5"/>
                <c:pt idx="0">
                  <c:v>35</c:v>
                </c:pt>
                <c:pt idx="1">
                  <c:v>31</c:v>
                </c:pt>
                <c:pt idx="2">
                  <c:v>27</c:v>
                </c:pt>
                <c:pt idx="3">
                  <c:v>23</c:v>
                </c:pt>
                <c:pt idx="4">
                  <c:v>19</c:v>
                </c:pt>
              </c:numCache>
            </c:numRef>
          </c:val>
          <c:smooth val="0"/>
          <c:extLst>
            <c:ext xmlns:c16="http://schemas.microsoft.com/office/drawing/2014/chart" uri="{C3380CC4-5D6E-409C-BE32-E72D297353CC}">
              <c16:uniqueId val="{00000002-014F-46DB-974E-70D24FD16F84}"/>
            </c:ext>
          </c:extLst>
        </c:ser>
        <c:dLbls>
          <c:showLegendKey val="0"/>
          <c:showVal val="0"/>
          <c:showCatName val="0"/>
          <c:showSerName val="0"/>
          <c:showPercent val="0"/>
          <c:showBubbleSize val="0"/>
        </c:dLbls>
        <c:smooth val="0"/>
        <c:axId val="2024955023"/>
        <c:axId val="2024947535"/>
      </c:lineChart>
      <c:catAx>
        <c:axId val="202495502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4947535"/>
        <c:crosses val="autoZero"/>
        <c:auto val="1"/>
        <c:lblAlgn val="ctr"/>
        <c:lblOffset val="100"/>
        <c:noMultiLvlLbl val="0"/>
      </c:catAx>
      <c:valAx>
        <c:axId val="202494753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4955023"/>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Equilibrium</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0156943553632919"/>
          <c:y val="0.15524793760284153"/>
          <c:w val="0.86366426033834154"/>
          <c:h val="0.67515632842126616"/>
        </c:manualLayout>
      </c:layout>
      <c:lineChart>
        <c:grouping val="standard"/>
        <c:varyColors val="0"/>
        <c:ser>
          <c:idx val="0"/>
          <c:order val="0"/>
          <c:tx>
            <c:strRef>
              <c:f>Sheet1!$B$19</c:f>
              <c:strCache>
                <c:ptCount val="1"/>
                <c:pt idx="0">
                  <c:v>Q. Demanded</c:v>
                </c:pt>
              </c:strCache>
            </c:strRef>
          </c:tx>
          <c:spPr>
            <a:ln w="22225" cap="rnd">
              <a:solidFill>
                <a:schemeClr val="accent1"/>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Sheet1!$B$20:$B$24</c:f>
              <c:numCache>
                <c:formatCode>General</c:formatCode>
                <c:ptCount val="5"/>
                <c:pt idx="0">
                  <c:v>32</c:v>
                </c:pt>
                <c:pt idx="1">
                  <c:v>28</c:v>
                </c:pt>
                <c:pt idx="2">
                  <c:v>24</c:v>
                </c:pt>
                <c:pt idx="3">
                  <c:v>20</c:v>
                </c:pt>
                <c:pt idx="4">
                  <c:v>16</c:v>
                </c:pt>
              </c:numCache>
            </c:numRef>
          </c:val>
          <c:smooth val="0"/>
          <c:extLst>
            <c:ext xmlns:c16="http://schemas.microsoft.com/office/drawing/2014/chart" uri="{C3380CC4-5D6E-409C-BE32-E72D297353CC}">
              <c16:uniqueId val="{00000000-C59F-4602-B8CC-A585253970BE}"/>
            </c:ext>
          </c:extLst>
        </c:ser>
        <c:ser>
          <c:idx val="1"/>
          <c:order val="1"/>
          <c:tx>
            <c:strRef>
              <c:f>Sheet1!$C$19</c:f>
              <c:strCache>
                <c:ptCount val="1"/>
                <c:pt idx="0">
                  <c:v>Q. Supplied</c:v>
                </c:pt>
              </c:strCache>
            </c:strRef>
          </c:tx>
          <c:spPr>
            <a:ln w="22225" cap="rnd">
              <a:solidFill>
                <a:schemeClr val="accent2"/>
              </a:solidFill>
              <a:round/>
            </a:ln>
            <a:effectLst/>
          </c:spPr>
          <c:marker>
            <c:symbol val="none"/>
          </c:marker>
          <c:cat>
            <c:numRef>
              <c:f>Sheet1!$A$20:$A$24</c:f>
              <c:numCache>
                <c:formatCode>General</c:formatCode>
                <c:ptCount val="5"/>
                <c:pt idx="0">
                  <c:v>12</c:v>
                </c:pt>
                <c:pt idx="1">
                  <c:v>15</c:v>
                </c:pt>
                <c:pt idx="2">
                  <c:v>18</c:v>
                </c:pt>
                <c:pt idx="3">
                  <c:v>21</c:v>
                </c:pt>
                <c:pt idx="4">
                  <c:v>24</c:v>
                </c:pt>
              </c:numCache>
            </c:numRef>
          </c:cat>
          <c:val>
            <c:numRef>
              <c:f>Sheet1!$C$20:$C$24</c:f>
              <c:numCache>
                <c:formatCode>General</c:formatCode>
                <c:ptCount val="5"/>
                <c:pt idx="0">
                  <c:v>6</c:v>
                </c:pt>
                <c:pt idx="1">
                  <c:v>13</c:v>
                </c:pt>
                <c:pt idx="2">
                  <c:v>20</c:v>
                </c:pt>
                <c:pt idx="3">
                  <c:v>27</c:v>
                </c:pt>
                <c:pt idx="4">
                  <c:v>34</c:v>
                </c:pt>
              </c:numCache>
            </c:numRef>
          </c:val>
          <c:smooth val="0"/>
          <c:extLst>
            <c:ext xmlns:c16="http://schemas.microsoft.com/office/drawing/2014/chart" uri="{C3380CC4-5D6E-409C-BE32-E72D297353CC}">
              <c16:uniqueId val="{00000001-C59F-4602-B8CC-A585253970BE}"/>
            </c:ext>
          </c:extLst>
        </c:ser>
        <c:ser>
          <c:idx val="2"/>
          <c:order val="2"/>
          <c:tx>
            <c:strRef>
              <c:f>Sheet1!$D$19</c:f>
              <c:strCache>
                <c:ptCount val="1"/>
                <c:pt idx="0">
                  <c:v>Q. Demanded 2</c:v>
                </c:pt>
              </c:strCache>
            </c:strRef>
          </c:tx>
          <c:spPr>
            <a:ln w="22225" cap="rnd">
              <a:solidFill>
                <a:schemeClr val="accent3"/>
              </a:solidFill>
              <a:round/>
            </a:ln>
            <a:effectLst/>
          </c:spPr>
          <c:marker>
            <c:symbol val="none"/>
          </c:marker>
          <c:val>
            <c:numRef>
              <c:f>Sheet1!$D$20:$D$24</c:f>
              <c:numCache>
                <c:formatCode>General</c:formatCode>
                <c:ptCount val="5"/>
                <c:pt idx="0">
                  <c:v>35</c:v>
                </c:pt>
                <c:pt idx="1">
                  <c:v>31</c:v>
                </c:pt>
                <c:pt idx="2">
                  <c:v>27</c:v>
                </c:pt>
                <c:pt idx="3">
                  <c:v>23</c:v>
                </c:pt>
                <c:pt idx="4">
                  <c:v>19</c:v>
                </c:pt>
              </c:numCache>
            </c:numRef>
          </c:val>
          <c:smooth val="0"/>
          <c:extLst>
            <c:ext xmlns:c16="http://schemas.microsoft.com/office/drawing/2014/chart" uri="{C3380CC4-5D6E-409C-BE32-E72D297353CC}">
              <c16:uniqueId val="{00000002-C59F-4602-B8CC-A585253970BE}"/>
            </c:ext>
          </c:extLst>
        </c:ser>
        <c:dLbls>
          <c:showLegendKey val="0"/>
          <c:showVal val="0"/>
          <c:showCatName val="0"/>
          <c:showSerName val="0"/>
          <c:showPercent val="0"/>
          <c:showBubbleSize val="0"/>
        </c:dLbls>
        <c:smooth val="0"/>
        <c:axId val="2024955023"/>
        <c:axId val="2024947535"/>
      </c:lineChart>
      <c:catAx>
        <c:axId val="202495502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Quantity</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4947535"/>
        <c:crosses val="autoZero"/>
        <c:auto val="1"/>
        <c:lblAlgn val="ctr"/>
        <c:lblOffset val="100"/>
        <c:noMultiLvlLbl val="0"/>
      </c:catAx>
      <c:valAx>
        <c:axId val="2024947535"/>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Price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4955023"/>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rawings/drawing1.xml><?xml version="1.0" encoding="utf-8"?>
<c:userShapes xmlns:c="http://schemas.openxmlformats.org/drawingml/2006/chart">
  <cdr:relSizeAnchor xmlns:cdr="http://schemas.openxmlformats.org/drawingml/2006/chartDrawing">
    <cdr:from>
      <cdr:x>0.55609</cdr:x>
      <cdr:y>0.5231</cdr:y>
    </cdr:from>
    <cdr:to>
      <cdr:x>0.62298</cdr:x>
      <cdr:y>0.68384</cdr:y>
    </cdr:to>
    <cdr:sp macro="" textlink="">
      <cdr:nvSpPr>
        <cdr:cNvPr id="2" name="Arrow: Right 1"/>
        <cdr:cNvSpPr/>
      </cdr:nvSpPr>
      <cdr:spPr>
        <a:xfrm xmlns:a="http://schemas.openxmlformats.org/drawingml/2006/main" rot="14970273">
          <a:off x="3079284" y="1901797"/>
          <a:ext cx="557315" cy="381000"/>
        </a:xfrm>
        <a:prstGeom xmlns:a="http://schemas.openxmlformats.org/drawingml/2006/main" prst="right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t>Q1</a:t>
          </a:r>
        </a:p>
      </cdr:txBody>
    </cdr:sp>
  </cdr:relSizeAnchor>
  <cdr:relSizeAnchor xmlns:cdr="http://schemas.openxmlformats.org/drawingml/2006/chartDrawing">
    <cdr:from>
      <cdr:x>0.66555</cdr:x>
      <cdr:y>0.25275</cdr:y>
    </cdr:from>
    <cdr:to>
      <cdr:x>0.7291</cdr:x>
      <cdr:y>0.40659</cdr:y>
    </cdr:to>
    <cdr:sp macro="" textlink="">
      <cdr:nvSpPr>
        <cdr:cNvPr id="3" name="Arrow: Down 2"/>
        <cdr:cNvSpPr/>
      </cdr:nvSpPr>
      <cdr:spPr>
        <a:xfrm xmlns:a="http://schemas.openxmlformats.org/drawingml/2006/main">
          <a:off x="3790950" y="876300"/>
          <a:ext cx="361950" cy="533400"/>
        </a:xfrm>
        <a:prstGeom xmlns:a="http://schemas.openxmlformats.org/drawingml/2006/main" prst="downArrow">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t>Q2</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37D70-8F33-4D52-881F-A7C61668AE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3027</Words>
  <Characters>17259</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Svetoslav Radev</dc:creator>
  <cp:lastModifiedBy>Svetoslav Radev</cp:lastModifiedBy>
  <cp:revision>2</cp:revision>
  <dcterms:created xsi:type="dcterms:W3CDTF">2023-01-09T16:21:00Z</dcterms:created>
  <dcterms:modified xsi:type="dcterms:W3CDTF">2023-01-09T16:21:00Z</dcterms:modified>
</cp:coreProperties>
</file>