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05C138" wp14:paraId="41E52D50" wp14:textId="684427EB">
      <w:pPr>
        <w:jc w:val="center"/>
      </w:pPr>
    </w:p>
    <w:p xmlns:wp14="http://schemas.microsoft.com/office/word/2010/wordml" w:rsidP="0F05C138" wp14:paraId="44A304F3" wp14:textId="57CB854A">
      <w:pPr>
        <w:jc w:val="center"/>
      </w:pPr>
    </w:p>
    <w:p xmlns:wp14="http://schemas.microsoft.com/office/word/2010/wordml" w:rsidP="0F05C138" wp14:paraId="76168B72" wp14:textId="6CD79CE9">
      <w:pPr>
        <w:jc w:val="center"/>
      </w:pPr>
    </w:p>
    <w:p xmlns:wp14="http://schemas.microsoft.com/office/word/2010/wordml" w:rsidP="0F05C138" wp14:paraId="24585CF0" wp14:textId="46672793">
      <w:pPr>
        <w:jc w:val="center"/>
      </w:pPr>
    </w:p>
    <w:p xmlns:wp14="http://schemas.microsoft.com/office/word/2010/wordml" w:rsidP="0F05C138" wp14:paraId="116790EC" wp14:textId="5113CC5B">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7DF527F1">
        <w:drawing>
          <wp:inline xmlns:wp14="http://schemas.microsoft.com/office/word/2010/wordprocessingDrawing" wp14:editId="15A1FEA8" wp14:anchorId="49AE05FE">
            <wp:extent cx="5114925" cy="2000250"/>
            <wp:effectExtent l="0" t="0" r="0" b="0"/>
            <wp:docPr id="3649809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4980918" name="Picture 364980918"/>
                    <pic:cNvPicPr/>
                  </pic:nvPicPr>
                  <pic:blipFill>
                    <a:blip xmlns:r="http://schemas.openxmlformats.org/officeDocument/2006/relationships" r:embed="rId1415277693">
                      <a:extLst>
                        <a:ext uri="{28A0092B-C50C-407E-A947-70E740481C1C}">
                          <a14:useLocalDpi xmlns:a14="http://schemas.microsoft.com/office/drawing/2010/main"/>
                        </a:ext>
                      </a:extLst>
                    </a:blip>
                    <a:stretch>
                      <a:fillRect/>
                    </a:stretch>
                  </pic:blipFill>
                  <pic:spPr>
                    <a:xfrm>
                      <a:off x="0" y="0"/>
                      <a:ext cx="5114925" cy="2000250"/>
                    </a:xfrm>
                    <a:prstGeom prst="rect">
                      <a:avLst/>
                    </a:prstGeom>
                  </pic:spPr>
                </pic:pic>
              </a:graphicData>
            </a:graphic>
          </wp:inline>
        </w:drawing>
      </w:r>
    </w:p>
    <w:p xmlns:wp14="http://schemas.microsoft.com/office/word/2010/wordml" w:rsidP="0F05C138" wp14:paraId="7FD1F2D5" wp14:textId="596E34C7">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Name: Patrick Dickinson</w:t>
      </w:r>
    </w:p>
    <w:p xmlns:wp14="http://schemas.microsoft.com/office/word/2010/wordml" w:rsidP="0F05C138" wp14:paraId="26D48E02" wp14:textId="329B49CE">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Student ID: 2508174</w:t>
      </w:r>
    </w:p>
    <w:p xmlns:wp14="http://schemas.microsoft.com/office/word/2010/wordml" w:rsidP="0F05C138" wp14:paraId="1221C5E6" wp14:textId="298F92F4">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Module Code: LCHS4008</w:t>
      </w:r>
    </w:p>
    <w:p xmlns:wp14="http://schemas.microsoft.com/office/word/2010/wordml" w:rsidP="0F05C138" wp14:paraId="5D45E28A" wp14:textId="1185D4EF">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Module: Public Health</w:t>
      </w:r>
      <w:r w:rsidRPr="0F05C138" w:rsidR="3575A74F">
        <w:rPr>
          <w:rFonts w:ascii="Aptos" w:hAnsi="Aptos" w:eastAsia="Aptos" w:cs="Aptos"/>
          <w:b w:val="0"/>
          <w:bCs w:val="0"/>
          <w:i w:val="0"/>
          <w:iCs w:val="0"/>
          <w:caps w:val="0"/>
          <w:smallCaps w:val="0"/>
          <w:noProof w:val="0"/>
          <w:color w:val="000000" w:themeColor="text1" w:themeTint="FF" w:themeShade="FF"/>
          <w:sz w:val="24"/>
          <w:szCs w:val="24"/>
          <w:lang w:val="en-GB"/>
        </w:rPr>
        <w:t xml:space="preserve"> (Component 2)</w:t>
      </w:r>
    </w:p>
    <w:p xmlns:wp14="http://schemas.microsoft.com/office/word/2010/wordml" w:rsidP="0F05C138" wp14:paraId="35B71EB2" wp14:textId="29B4D297">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Lecturer: Debrah Odeh</w:t>
      </w:r>
    </w:p>
    <w:p xmlns:wp14="http://schemas.microsoft.com/office/word/2010/wordml" w:rsidP="0F05C138" wp14:paraId="069378DB" wp14:textId="722AAD07">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Word Count: </w:t>
      </w:r>
      <w:r w:rsidRPr="0F05C138" w:rsidR="515A3058">
        <w:rPr>
          <w:rFonts w:ascii="Aptos" w:hAnsi="Aptos" w:eastAsia="Aptos" w:cs="Aptos"/>
          <w:b w:val="0"/>
          <w:bCs w:val="0"/>
          <w:i w:val="0"/>
          <w:iCs w:val="0"/>
          <w:caps w:val="0"/>
          <w:smallCaps w:val="0"/>
          <w:noProof w:val="0"/>
          <w:color w:val="000000" w:themeColor="text1" w:themeTint="FF" w:themeShade="FF"/>
          <w:sz w:val="24"/>
          <w:szCs w:val="24"/>
          <w:lang w:val="en-GB"/>
        </w:rPr>
        <w:t xml:space="preserve"> 1,549</w:t>
      </w:r>
    </w:p>
    <w:p xmlns:wp14="http://schemas.microsoft.com/office/word/2010/wordml" w:rsidP="0F05C138" wp14:paraId="04496278" wp14:textId="4065A00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351E23ED" wp14:textId="0354121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0ECB62B0" wp14:textId="1A09CF7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11AAAD36" wp14:textId="2DF6823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6008ADDC" wp14:textId="574C7D9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05A74B49" wp14:textId="32E2795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0E8A3B79" wp14:textId="691A7A2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46B5AE94" wp14:textId="43BC41F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522D3FE7" wp14:textId="0B51850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0A585B20" wp14:textId="58F64AB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545E44E7" wp14:textId="0C515E07">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0F05C138" wp14:paraId="57F7A13D" wp14:textId="258ED67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0F05C138" wp14:paraId="3D441BB7" wp14:textId="49850BB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1"/>
          <w:bCs w:val="1"/>
          <w:i w:val="0"/>
          <w:iCs w:val="0"/>
          <w:caps w:val="0"/>
          <w:smallCaps w:val="0"/>
          <w:noProof w:val="0"/>
          <w:color w:val="000000" w:themeColor="text1" w:themeTint="FF" w:themeShade="FF"/>
          <w:sz w:val="24"/>
          <w:szCs w:val="24"/>
          <w:lang w:val="en-GB"/>
        </w:rPr>
        <w:t>Stroke Prevention, Management, and Policy: A Global and UK Perspective</w:t>
      </w:r>
    </w:p>
    <w:p xmlns:wp14="http://schemas.microsoft.com/office/word/2010/wordml" w:rsidP="0F05C138" wp14:paraId="35786774" wp14:textId="73BB8E6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74980230" wp14:textId="4CA1CD6E">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Contents</w:t>
      </w:r>
    </w:p>
    <w:p xmlns:wp14="http://schemas.microsoft.com/office/word/2010/wordml" w:rsidP="0F05C138" wp14:paraId="0A2ADCCA" wp14:textId="5E1B1A6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1. Introduction................................................................................................3</w:t>
      </w:r>
    </w:p>
    <w:p xmlns:wp14="http://schemas.microsoft.com/office/word/2010/wordml" w:rsidP="0F05C138" wp14:paraId="706FD706" wp14:textId="63F93D7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2. Understanding the Condition and Its Scale................................................4</w:t>
      </w:r>
    </w:p>
    <w:p xmlns:wp14="http://schemas.microsoft.com/office/word/2010/wordml" w:rsidP="0F05C138" wp14:paraId="45FDC2CF" wp14:textId="439D77D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3. Measuring and Monitoring Stroke..............................................................5</w:t>
      </w:r>
    </w:p>
    <w:p xmlns:wp14="http://schemas.microsoft.com/office/word/2010/wordml" w:rsidP="0F05C138" wp14:paraId="3ABFEB53" wp14:textId="1EDAF4D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4. Global and UK Approaches to Control.......................................................5, 6</w:t>
      </w:r>
    </w:p>
    <w:p xmlns:wp14="http://schemas.microsoft.com/office/word/2010/wordml" w:rsidP="0F05C138" wp14:paraId="4376BB0F" wp14:textId="0B0A9A5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5. Comparison and Critical Evaluation...........................................................7</w:t>
      </w:r>
    </w:p>
    <w:p xmlns:wp14="http://schemas.microsoft.com/office/word/2010/wordml" w:rsidP="0F05C138" wp14:paraId="48D31079" wp14:textId="06A3EE4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6. Impacts on Individuals................................................................................7</w:t>
      </w:r>
    </w:p>
    <w:p xmlns:wp14="http://schemas.microsoft.com/office/word/2010/wordml" w:rsidP="0F05C138" wp14:paraId="39C1E382" wp14:textId="0FC4E09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7. Impact on Families, Communities and the Economy.................................8</w:t>
      </w:r>
    </w:p>
    <w:p xmlns:wp14="http://schemas.microsoft.com/office/word/2010/wordml" w:rsidP="0F05C138" wp14:paraId="718FC37E" wp14:textId="52C2ECA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8. Services and Support.................................................................................9, 10</w:t>
      </w:r>
    </w:p>
    <w:p xmlns:wp14="http://schemas.microsoft.com/office/word/2010/wordml" w:rsidP="0F05C138" wp14:paraId="740EAFA5" wp14:textId="4ED95FD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9. Conclusion.................................................................................................10</w:t>
      </w:r>
    </w:p>
    <w:p xmlns:wp14="http://schemas.microsoft.com/office/word/2010/wordml" w:rsidP="0F05C138" wp14:paraId="008E54AA" wp14:textId="02B8DEF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10. Reference List..........................................................................................11, 12, 13</w:t>
      </w:r>
    </w:p>
    <w:p xmlns:wp14="http://schemas.microsoft.com/office/word/2010/wordml" w:rsidP="0F05C138" wp14:paraId="383E25B2" wp14:textId="1802717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10FD162D" wp14:textId="68D1AFF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205BC7AA" wp14:textId="683F13D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711730F1" wp14:textId="4B301EF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27E9DFA7" wp14:textId="6D81428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0EACE316" wp14:textId="732FC73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20C17405" wp14:textId="10D6FAD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3BB5A5E0" wp14:textId="0F40434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31C07373" wp14:textId="50552A3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7C8CEF5F" wp14:textId="4D2C37F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76B2EFCE" wp14:textId="19ED000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05C138" wp14:paraId="78D0AD79" wp14:textId="59FE3224">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05C138" wp14:paraId="12270635" wp14:textId="5A2317A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1"/>
          <w:bCs w:val="1"/>
          <w:i w:val="0"/>
          <w:iCs w:val="0"/>
          <w:caps w:val="0"/>
          <w:smallCaps w:val="0"/>
          <w:noProof w:val="0"/>
          <w:color w:val="000000" w:themeColor="text1" w:themeTint="FF" w:themeShade="FF"/>
          <w:sz w:val="22"/>
          <w:szCs w:val="22"/>
          <w:lang w:val="en-GB"/>
        </w:rPr>
        <w:t>Stroke as a Public Health Issue: Measurement, Impact and Response</w:t>
      </w:r>
    </w:p>
    <w:p xmlns:wp14="http://schemas.microsoft.com/office/word/2010/wordml" w:rsidP="0F05C138" wp14:paraId="71DED47D" wp14:textId="1966FC1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31E30141" wp14:textId="78D8F0B0">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Introduction</w:t>
      </w:r>
    </w:p>
    <w:p xmlns:wp14="http://schemas.microsoft.com/office/word/2010/wordml" w:rsidP="0F05C138" wp14:paraId="3AF5E2F0" wp14:textId="3847F18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Stroke is a serious and often life changing condition that </w:t>
      </w:r>
      <w:r w:rsidRPr="0F05C138" w:rsidR="23250547">
        <w:rPr>
          <w:rFonts w:ascii="Arial" w:hAnsi="Arial" w:eastAsia="Arial" w:cs="Arial"/>
          <w:b w:val="0"/>
          <w:bCs w:val="0"/>
          <w:i w:val="0"/>
          <w:iCs w:val="0"/>
          <w:caps w:val="0"/>
          <w:smallCaps w:val="0"/>
          <w:noProof w:val="0"/>
          <w:color w:val="000000" w:themeColor="text1" w:themeTint="FF" w:themeShade="FF"/>
          <w:sz w:val="22"/>
          <w:szCs w:val="22"/>
          <w:lang w:val="en-GB"/>
        </w:rPr>
        <w:t>happens</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 blood supply to part of the brain is </w:t>
      </w:r>
      <w:r w:rsidRPr="0F05C138" w:rsidR="3DCB1890">
        <w:rPr>
          <w:rFonts w:ascii="Arial" w:hAnsi="Arial" w:eastAsia="Arial" w:cs="Arial"/>
          <w:b w:val="0"/>
          <w:bCs w:val="0"/>
          <w:i w:val="0"/>
          <w:iCs w:val="0"/>
          <w:caps w:val="0"/>
          <w:smallCaps w:val="0"/>
          <w:noProof w:val="0"/>
          <w:color w:val="000000" w:themeColor="text1" w:themeTint="FF" w:themeShade="FF"/>
          <w:sz w:val="22"/>
          <w:szCs w:val="22"/>
          <w:lang w:val="en-GB"/>
        </w:rPr>
        <w:t>halted</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causing brain cells to become damaged or die. There are two main </w:t>
      </w:r>
      <w:r w:rsidRPr="0F05C138" w:rsidR="4A810892">
        <w:rPr>
          <w:rFonts w:ascii="Arial" w:hAnsi="Arial" w:eastAsia="Arial" w:cs="Arial"/>
          <w:b w:val="0"/>
          <w:bCs w:val="0"/>
          <w:i w:val="0"/>
          <w:iCs w:val="0"/>
          <w:caps w:val="0"/>
          <w:smallCaps w:val="0"/>
          <w:noProof w:val="0"/>
          <w:color w:val="000000" w:themeColor="text1" w:themeTint="FF" w:themeShade="FF"/>
          <w:sz w:val="22"/>
          <w:szCs w:val="22"/>
          <w:lang w:val="en-GB"/>
        </w:rPr>
        <w:t>forms</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ischaemic stroke, caused by a blockage, and haemorrhagic stroke, caused by bleeding in the brain. </w:t>
      </w:r>
      <w:r w:rsidRPr="0F05C138" w:rsidR="20AC86DD">
        <w:rPr>
          <w:rFonts w:ascii="Arial" w:hAnsi="Arial" w:eastAsia="Arial" w:cs="Arial"/>
          <w:b w:val="0"/>
          <w:bCs w:val="0"/>
          <w:i w:val="0"/>
          <w:iCs w:val="0"/>
          <w:caps w:val="0"/>
          <w:smallCaps w:val="0"/>
          <w:noProof w:val="0"/>
          <w:color w:val="000000" w:themeColor="text1" w:themeTint="FF" w:themeShade="FF"/>
          <w:sz w:val="22"/>
          <w:szCs w:val="22"/>
          <w:lang w:val="en-GB"/>
        </w:rPr>
        <w:t>Typical</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symptoms include sudden weakness on one side of the body, difficulty speaking, confusion, and problems with vision or coordination whilst the condition often develops fast and requires urgent medical attention.</w:t>
      </w:r>
    </w:p>
    <w:p xmlns:wp14="http://schemas.microsoft.com/office/word/2010/wordml" w:rsidP="0F05C138" wp14:paraId="4478FC1C" wp14:textId="1A06E22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Stroke represents a major public health issue both globally and within the UK. Large numbers of people are affected each year, many of whom are left with long term disabilities that impact their independence and quality of life. I feel that what makes stroke particularly concerning is not only its high mortality rate but also the lasting physical, emotional, and social consequences in the aftermath. This report highlights the importance of understanding how stroke is measured, controlled, and managed within communities, as well as the wider implications for health and social care services. I will also be exploring policy and legislation.</w:t>
      </w:r>
    </w:p>
    <w:p xmlns:wp14="http://schemas.microsoft.com/office/word/2010/wordml" w:rsidP="0F05C138" wp14:paraId="612D9D9E" wp14:textId="15ECFE5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7A267EF1" wp14:textId="0D9DD2E8">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5E985F6A" wp14:textId="0F44859E">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654F1AE0" wp14:textId="21482F81">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2EA1153D" wp14:textId="20D89E44">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4EAB2012" wp14:textId="38F089DC">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37ED6C13" wp14:textId="6F3E4796">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3F3520D0" wp14:textId="5B397F45">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6D022D60" wp14:textId="2E7E3A4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F05C138" wp14:paraId="562C597E" wp14:textId="6714E031">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F05C138" wp14:paraId="1CB9AADE" wp14:textId="382C8C8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Understanding the Condition and Its Scale</w:t>
      </w:r>
    </w:p>
    <w:p xmlns:wp14="http://schemas.microsoft.com/office/word/2010/wordml" w:rsidP="0F05C138" wp14:paraId="0713EA79" wp14:textId="7ADE917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Stroke is universally recognised as a leading cause of death and disability, with its impact extending far beyond the initial medical event. The World Health Organization (2023) lists stroke as a major non-communicable disease and estimates that approximately 12 million people worldwide experience a stroke each year, with around 6.5 million deaths annually, demonstrating its global problem. Meanwhile the World Stroke Association states that 1 in 4 people over the age of 25 will experience stroke in their lifetime.</w:t>
      </w:r>
    </w:p>
    <w:p xmlns:wp14="http://schemas.microsoft.com/office/word/2010/wordml" w:rsidP="0F05C138" wp14:paraId="13237FEA" wp14:textId="2EDECB93">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7DF527F1">
        <w:drawing>
          <wp:inline xmlns:wp14="http://schemas.microsoft.com/office/word/2010/wordprocessingDrawing" wp14:editId="02616511" wp14:anchorId="098CAAFF">
            <wp:extent cx="4429125" cy="3105150"/>
            <wp:effectExtent l="0" t="0" r="0" b="0"/>
            <wp:docPr id="1233994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3994793" name="Picture 1233994793"/>
                    <pic:cNvPicPr/>
                  </pic:nvPicPr>
                  <pic:blipFill>
                    <a:blip xmlns:r="http://schemas.openxmlformats.org/officeDocument/2006/relationships" r:embed="rId176266443">
                      <a:extLst>
                        <a:ext uri="{28A0092B-C50C-407E-A947-70E740481C1C}">
                          <a14:useLocalDpi xmlns:a14="http://schemas.microsoft.com/office/drawing/2010/main"/>
                        </a:ext>
                      </a:extLst>
                    </a:blip>
                    <a:stretch>
                      <a:fillRect/>
                    </a:stretch>
                  </pic:blipFill>
                  <pic:spPr>
                    <a:xfrm>
                      <a:off x="0" y="0"/>
                      <a:ext cx="4429125" cy="3105150"/>
                    </a:xfrm>
                    <a:prstGeom prst="rect">
                      <a:avLst/>
                    </a:prstGeom>
                  </pic:spPr>
                </pic:pic>
              </a:graphicData>
            </a:graphic>
          </wp:inline>
        </w:drawing>
      </w:r>
    </w:p>
    <w:p xmlns:wp14="http://schemas.microsoft.com/office/word/2010/wordml" w:rsidP="0F05C138" wp14:paraId="3F6B5B6B" wp14:textId="1984FBAE">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1"/>
          <w:bCs w:val="1"/>
          <w:i w:val="0"/>
          <w:iCs w:val="0"/>
          <w:caps w:val="0"/>
          <w:smallCaps w:val="0"/>
          <w:noProof w:val="0"/>
          <w:color w:val="000000" w:themeColor="text1" w:themeTint="FF" w:themeShade="FF"/>
          <w:sz w:val="24"/>
          <w:szCs w:val="24"/>
          <w:lang w:val="en-GB"/>
        </w:rPr>
        <w:t>Figure 1.</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Stroke Statistics (World Stroke Organisation, n.d)</w:t>
      </w:r>
    </w:p>
    <w:p xmlns:wp14="http://schemas.microsoft.com/office/word/2010/wordml" w:rsidP="0F05C138" wp14:paraId="4F0A35A3" wp14:textId="3536518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65A34741" wp14:textId="60F5E3D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Within the UK, national data further illustrates the scale of the issue. The Stroke Association (2023) reports that there are over 100,000 strokes each year, which averages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roughly one</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stroke every five minutes. In addition, the British Heart Foundation (2023) estimates that there are currently over 1.3 million stroke survivors living in the UK with many </w:t>
      </w:r>
      <w:r w:rsidRPr="0F05C138" w:rsidR="234C9DBF">
        <w:rPr>
          <w:rFonts w:ascii="Arial" w:hAnsi="Arial" w:eastAsia="Arial" w:cs="Arial"/>
          <w:b w:val="0"/>
          <w:bCs w:val="0"/>
          <w:i w:val="0"/>
          <w:iCs w:val="0"/>
          <w:caps w:val="0"/>
          <w:smallCaps w:val="0"/>
          <w:noProof w:val="0"/>
          <w:color w:val="000000" w:themeColor="text1" w:themeTint="FF" w:themeShade="FF"/>
          <w:sz w:val="22"/>
          <w:szCs w:val="22"/>
          <w:lang w:val="en-GB"/>
        </w:rPr>
        <w:t>needing</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ongoing care and support.</w:t>
      </w:r>
    </w:p>
    <w:p xmlns:wp14="http://schemas.microsoft.com/office/word/2010/wordml" w:rsidP="0F05C138" wp14:paraId="1C494B7C" wp14:textId="6ACCA7F5">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 feel that these statistics</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suggest a shift in stroke as a health issue. While advances in treatment have improved survival rates, they have also contributed to an increasing number of individuals living with long-term consequences. This reinforces the idea that stroke should not only be viewed as an acute medical emergency but also as a persistent condition requiring long-term management.</w:t>
      </w:r>
    </w:p>
    <w:p xmlns:wp14="http://schemas.microsoft.com/office/word/2010/wordml" w:rsidP="0F05C138" wp14:paraId="6704AB12" wp14:textId="06F07EDE">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F05C138" wp14:paraId="40E93311" wp14:textId="76EE4203">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Measuring and Monitoring Stroke</w:t>
      </w:r>
    </w:p>
    <w:p xmlns:wp14="http://schemas.microsoft.com/office/word/2010/wordml" w:rsidP="0F05C138" wp14:paraId="1FE26904" wp14:textId="6D2A9B9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The measurement and monitoring of stroke rely heavily on epidemiological methods such as incidence, prevalence, and mortality rates. Schneider (2020, p. 45) notes that “epidemiology is central to understanding patterns of disease through careful measurement and analysis,” which is essential for tracking trends in conditions such as stroke.</w:t>
      </w:r>
    </w:p>
    <w:p xmlns:wp14="http://schemas.microsoft.com/office/word/2010/wordml" w:rsidP="0F05C138" wp14:paraId="21B3432D" wp14:textId="0A594B6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At a global level the World Health Organization (2023) uses surveillance systems to track non-communicable diseases allowing comparisons across populations and informing international health strategies meanwhile in the UK, monitoring is more detailed and system focused. The Intercollegiate Stroke Working Party (2022), through the Sentinel Stroke National Audit Programme (SSNAP), provides data on patient outcomes and quality of care. Their findings indicate that over 85% of stroke patients in England are treated in specialist stroke units which has been associated with improved survival and recovery outcomes.</w:t>
      </w:r>
    </w:p>
    <w:p xmlns:wp14="http://schemas.microsoft.com/office/word/2010/wordml" w:rsidP="0F05C138" wp14:paraId="354ECEC5" wp14:textId="00CE377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Despite these strengths, monitoring systems are not without limitations. The King’s Fund (2021) highlights that individuals living in more d</w:t>
      </w:r>
      <w:r w:rsidRPr="0F05C138" w:rsidR="17D3C924">
        <w:rPr>
          <w:rFonts w:ascii="Arial" w:hAnsi="Arial" w:eastAsia="Arial" w:cs="Arial"/>
          <w:b w:val="0"/>
          <w:bCs w:val="0"/>
          <w:i w:val="0"/>
          <w:iCs w:val="0"/>
          <w:caps w:val="0"/>
          <w:smallCaps w:val="0"/>
          <w:noProof w:val="0"/>
          <w:color w:val="000000" w:themeColor="text1" w:themeTint="FF" w:themeShade="FF"/>
          <w:sz w:val="22"/>
          <w:szCs w:val="22"/>
          <w:lang w:val="en-GB"/>
        </w:rPr>
        <w:t>isadvantaged</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areas are more likely to e</w:t>
      </w:r>
      <w:r w:rsidRPr="0F05C138" w:rsidR="03C603C7">
        <w:rPr>
          <w:rFonts w:ascii="Arial" w:hAnsi="Arial" w:eastAsia="Arial" w:cs="Arial"/>
          <w:b w:val="0"/>
          <w:bCs w:val="0"/>
          <w:i w:val="0"/>
          <w:iCs w:val="0"/>
          <w:caps w:val="0"/>
          <w:smallCaps w:val="0"/>
          <w:noProof w:val="0"/>
          <w:color w:val="000000" w:themeColor="text1" w:themeTint="FF" w:themeShade="FF"/>
          <w:sz w:val="22"/>
          <w:szCs w:val="22"/>
          <w:lang w:val="en-GB"/>
        </w:rPr>
        <w:t>ncounter</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a stroke, suggesting that social determinants play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a</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big role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in disease patterns. I</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feel that this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ndicates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a gap in current monitoring approaches, as quantitative data alone may not fully record the bigger social and environmental factors influencing stroke incidence.</w:t>
      </w:r>
    </w:p>
    <w:p xmlns:wp14="http://schemas.microsoft.com/office/word/2010/wordml" w:rsidP="0F05C138" wp14:paraId="0BAF6493" wp14:textId="768DCB21">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69C694DE" wp14:textId="1904907B">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Global and UK Approaches to Control</w:t>
      </w:r>
    </w:p>
    <w:p xmlns:wp14="http://schemas.microsoft.com/office/word/2010/wordml" w:rsidP="0F05C138" wp14:paraId="2FD5119A" wp14:textId="11CEF76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Globally, the WHO focuses on prevention through its Global Action Plan for non-communicable diseases, targeting key risk factors such as smoking, poor diet, and physical inactivity. The plan aimed to reduce </w:t>
      </w:r>
      <w:r w:rsidRPr="0F05C138" w:rsidR="005E2525">
        <w:rPr>
          <w:rFonts w:ascii="Arial" w:hAnsi="Arial" w:eastAsia="Arial" w:cs="Arial"/>
          <w:b w:val="0"/>
          <w:bCs w:val="0"/>
          <w:i w:val="0"/>
          <w:iCs w:val="0"/>
          <w:caps w:val="0"/>
          <w:smallCaps w:val="0"/>
          <w:noProof w:val="0"/>
          <w:color w:val="000000" w:themeColor="text1" w:themeTint="FF" w:themeShade="FF"/>
          <w:sz w:val="22"/>
          <w:szCs w:val="22"/>
          <w:lang w:val="en-GB"/>
        </w:rPr>
        <w:t>early</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mortality from non-communicable diseases by 25% by 2025 (WHO, 2013), suggesting a strong emphasis on long-term prevention.</w:t>
      </w:r>
    </w:p>
    <w:p xmlns:wp14="http://schemas.microsoft.com/office/word/2010/wordml" w:rsidP="0F05C138" wp14:paraId="435E7394" wp14:textId="2B8E7B0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In contrast, the UK adopts a healthcare delivery approach. NHS England (2019) prioritises fast diagnosis, access to specialist stroke units, and improved rehabilitation services. Legislative frameworks, such as the Health and Social Care Act 2012, support integrated care systems to ensure coordinated service delivery (Department of Health, 2012).</w:t>
      </w:r>
    </w:p>
    <w:p xmlns:wp14="http://schemas.microsoft.com/office/word/2010/wordml" w:rsidP="0F05C138" wp14:paraId="5BC74075" wp14:textId="22FA44D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354E71DF" wp14:textId="23DBD26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575BD0AD" wp14:textId="7F3DFB5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7121C17F" wp14:textId="76A6C3E7">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7DF527F1">
        <w:drawing>
          <wp:inline xmlns:wp14="http://schemas.microsoft.com/office/word/2010/wordprocessingDrawing" wp14:editId="1EEBC62A" wp14:anchorId="643FA21E">
            <wp:extent cx="5724525" cy="4048125"/>
            <wp:effectExtent l="0" t="0" r="0" b="0"/>
            <wp:docPr id="1616508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6508353" name="Picture 1616508353"/>
                    <pic:cNvPicPr/>
                  </pic:nvPicPr>
                  <pic:blipFill>
                    <a:blip xmlns:r="http://schemas.openxmlformats.org/officeDocument/2006/relationships" r:embed="rId586326044">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xmlns:wp14="http://schemas.microsoft.com/office/word/2010/wordml" w:rsidP="0F05C138" wp14:paraId="03F85A06" wp14:textId="2BF5E838">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1"/>
          <w:bCs w:val="1"/>
          <w:i w:val="0"/>
          <w:iCs w:val="0"/>
          <w:caps w:val="0"/>
          <w:smallCaps w:val="0"/>
          <w:noProof w:val="0"/>
          <w:color w:val="000000" w:themeColor="text1" w:themeTint="FF" w:themeShade="FF"/>
          <w:sz w:val="24"/>
          <w:szCs w:val="24"/>
          <w:lang w:val="en-GB"/>
        </w:rPr>
        <w:t>Figure 2.</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NHS Integrated Stroke Delivery Networks (Health Innovation East, 2025)</w:t>
      </w:r>
    </w:p>
    <w:p xmlns:wp14="http://schemas.microsoft.com/office/word/2010/wordml" w:rsidP="0F05C138" wp14:paraId="1D003E88" wp14:textId="16D351D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7E9C2F5B" wp14:textId="06A2340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In addition to healthcare delivery, UK policy frameworks also support stroke prevention and management. The Public Health Outcomes Framework (Department of Health and Social Care, 2022) includes evidence linked to cardiovascular disease, focusing on reducing premature mortality and addressing risk factors such as smoking and physical inactivity. This reflects a preventative approach that aligns more closely with global strategies.</w:t>
      </w:r>
    </w:p>
    <w:p xmlns:wp14="http://schemas.microsoft.com/office/word/2010/wordml" w:rsidP="0F05C138" wp14:paraId="79451641" wp14:textId="2780A3E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The NHS Long Term Plan (NHS England, 2019) further strengthens stroke services through pledges to integrated stroke delivery networks and improved access to specialist treatments. I feel that these policies demonstrate an increasing focus on both prevention and service collaboration across the UK.</w:t>
      </w:r>
    </w:p>
    <w:p xmlns:wp14="http://schemas.microsoft.com/office/word/2010/wordml" w:rsidP="0F05C138" wp14:paraId="2223AFB4" wp14:textId="6B61B36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While both strategies aim to reduce the long-term effects of stroke their focus is different. The WHO emphasises on prevention, whereas the UK prioritises acute treatment and rehabilitation.</w:t>
      </w:r>
    </w:p>
    <w:p xmlns:wp14="http://schemas.microsoft.com/office/word/2010/wordml" w:rsidP="0F05C138" wp14:paraId="55638CDF" wp14:textId="20DE484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F05C138" wp14:paraId="7C149F65" wp14:textId="33F0CC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Comparison and Critical Evaluation</w:t>
      </w:r>
    </w:p>
    <w:p xmlns:wp14="http://schemas.microsoft.com/office/word/2010/wordml" w:rsidP="0F05C138" wp14:paraId="7554F80E" wp14:textId="58B8509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When comparing global and UK strategies, it becomes clear that both have strengths and limitations. The UK’s investment in care has led to improved survival rates, yet Marmot (2020) argues that health outcomes are strongly influenced by social inequalities, suggesting that medical interventions alone are not enough to reduce disease strain.</w:t>
      </w:r>
    </w:p>
    <w:p xmlns:wp14="http://schemas.microsoft.com/office/word/2010/wordml" w:rsidP="0F05C138" wp14:paraId="1575303B" wp14:textId="134139D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This is in also in line with Farmer (2013) in Reimagining Global Health, who emphasises that effective global health strategies must address structural inequalities rather than focusing mainly on clinical interventions.</w:t>
      </w:r>
    </w:p>
    <w:p xmlns:wp14="http://schemas.microsoft.com/office/word/2010/wordml" w:rsidP="0F05C138" wp14:paraId="76B7A475" wp14:textId="2798FE9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The Equality Act 2010 also plays a role in treating stroke care by requiring healthcare services to reduce inequalities and assure fair access. </w:t>
      </w:r>
    </w:p>
    <w:p xmlns:wp14="http://schemas.microsoft.com/office/word/2010/wordml" w:rsidP="0F05C138" wp14:paraId="33757C7D" wp14:textId="7DF66A7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For example, community-based interventions targeting high risk populations and policies to reduce socio-economic differences could help lower stroke incidence. Without these changes, the healthcare system may continue to face rising demand and economic strain.</w:t>
      </w:r>
    </w:p>
    <w:p xmlns:wp14="http://schemas.microsoft.com/office/word/2010/wordml" w:rsidP="0F05C138" wp14:paraId="62B98593" wp14:textId="56369C3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3C1B60A2" wp14:textId="7D6FB63D">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Impacts on Individuals</w:t>
      </w:r>
    </w:p>
    <w:p xmlns:wp14="http://schemas.microsoft.com/office/word/2010/wordml" w:rsidP="0F05C138" wp14:paraId="5F284567" wp14:textId="3BDAE37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Stroke has significant short-term and long-term effects on individuals. In the immediate aftermath, individuals may experience paralysis, speech difficulties, and cognitive impairments, significantly affecting their ability to perform everyday activities. NICE (2019) emphasises that early rehabilitation is essential in improving recovery outcomes.</w:t>
      </w:r>
    </w:p>
    <w:p xmlns:wp14="http://schemas.microsoft.com/office/word/2010/wordml" w:rsidP="0F05C138" wp14:paraId="4F08EE45" wp14:textId="5B23B91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Long-term effects can be just as significant. Evidence from the Journal of Public Health (Royal College of Physicians, 2021) suggests that around two-thirds of stroke </w:t>
      </w:r>
      <w:r w:rsidRPr="0F05C138" w:rsidR="47DAC586">
        <w:rPr>
          <w:rFonts w:ascii="Arial" w:hAnsi="Arial" w:eastAsia="Arial" w:cs="Arial"/>
          <w:b w:val="0"/>
          <w:bCs w:val="0"/>
          <w:i w:val="0"/>
          <w:iCs w:val="0"/>
          <w:caps w:val="0"/>
          <w:smallCaps w:val="0"/>
          <w:noProof w:val="0"/>
          <w:color w:val="000000" w:themeColor="text1" w:themeTint="FF" w:themeShade="FF"/>
          <w:sz w:val="22"/>
          <w:szCs w:val="22"/>
          <w:lang w:val="en-GB"/>
        </w:rPr>
        <w:t>patients</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05C138" w:rsidR="6228AD50">
        <w:rPr>
          <w:rFonts w:ascii="Arial" w:hAnsi="Arial" w:eastAsia="Arial" w:cs="Arial"/>
          <w:b w:val="0"/>
          <w:bCs w:val="0"/>
          <w:i w:val="0"/>
          <w:iCs w:val="0"/>
          <w:caps w:val="0"/>
          <w:smallCaps w:val="0"/>
          <w:noProof w:val="0"/>
          <w:color w:val="000000" w:themeColor="text1" w:themeTint="FF" w:themeShade="FF"/>
          <w:sz w:val="22"/>
          <w:szCs w:val="22"/>
          <w:lang w:val="en-GB"/>
        </w:rPr>
        <w:t>depart</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hospital with a disability, requiring ongoing support. Many patients also experience emotional challenges such as depression and anxiety.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I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feel that these psychological impacts a</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re often underestimated in healthcare provision, even though they are important for overall wellbeing.</w:t>
      </w:r>
    </w:p>
    <w:p xmlns:wp14="http://schemas.microsoft.com/office/word/2010/wordml" w:rsidP="0F05C138" wp14:paraId="3A8F5608" wp14:textId="22DEEEED">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5C138" wp14:paraId="333B038F" wp14:textId="4E23B09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3B64E8D5" wp14:textId="77042458">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73CEC414" wp14:textId="1E47A5AE">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F05C138" wp14:paraId="64E680C6" wp14:textId="4AB19768">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Impact on Families, Communities and the Economy</w:t>
      </w:r>
    </w:p>
    <w:p xmlns:wp14="http://schemas.microsoft.com/office/word/2010/wordml" w:rsidP="0F05C138" wp14:paraId="732A287C" wp14:textId="3DDE971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The impact of stroke expands beyond the individual, affecting families and the wider communities. Carers UK (2022) highlights that many family members take on unpaid care roles, often leading to emotional strain and financial hardship.</w:t>
      </w:r>
    </w:p>
    <w:p xmlns:wp14="http://schemas.microsoft.com/office/word/2010/wordml" w:rsidP="0F05C138" wp14:paraId="2DEEF27B" wp14:textId="49B5763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From an economic view, stroke costs the UK approximately £26 billion annually, including healthcare, social care, and lost productivity according to (Stroke Association, 2023). Similarly, the National Audit Office (2020) emphasises the increasing pressure on NHS services due to increased demand. I feel that these statistics underscore the importance of prevention and the need to view stroke as a societal issue rather than just a medical problem.</w:t>
      </w:r>
    </w:p>
    <w:p xmlns:wp14="http://schemas.microsoft.com/office/word/2010/wordml" w:rsidP="0F05C138" wp14:paraId="2553F71E" wp14:textId="5E93F995">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0D51BADA" wp14:textId="20FD7749">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72E4FBEC" wp14:textId="28E8B6D1">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15BC99CF" wp14:textId="0AD3FD57">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1F320F8F" wp14:textId="1F0AE283">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05132940" wp14:textId="053806B2">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21ECF6BF" wp14:textId="0C6CDDBB">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657C7D6F" wp14:textId="09E6BD1C">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34E06217" wp14:textId="3FDE6349">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1B66A5A4" wp14:textId="3C21BFC9">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11F850B5" wp14:textId="26D49D93">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2272A2EF" wp14:textId="2231A6D4">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770ADB13" wp14:textId="3203841D">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3BA150B8" wp14:textId="14ED59D3">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05C138" wp14:paraId="69C5ADE1" wp14:textId="54357B88">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F05C138" wp14:paraId="4195646C" wp14:textId="5150558E">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Services and Support</w:t>
      </w:r>
    </w:p>
    <w:p xmlns:wp14="http://schemas.microsoft.com/office/word/2010/wordml" w:rsidP="0F05C138" wp14:paraId="5C651063" wp14:textId="7238328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A wide range of services support individuals affected by stroke, including acute hospital care, rehabilitation, and community-based programs.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0F05C138" w:rsidR="1717150C">
        <w:rPr>
          <w:rFonts w:ascii="Arial" w:hAnsi="Arial" w:eastAsia="Arial" w:cs="Arial"/>
          <w:b w:val="0"/>
          <w:bCs w:val="0"/>
          <w:i w:val="0"/>
          <w:iCs w:val="0"/>
          <w:caps w:val="0"/>
          <w:smallCaps w:val="0"/>
          <w:noProof w:val="0"/>
          <w:color w:val="000000" w:themeColor="text1" w:themeTint="FF" w:themeShade="FF"/>
          <w:sz w:val="22"/>
          <w:szCs w:val="22"/>
          <w:lang w:val="en-GB"/>
        </w:rPr>
        <w:t>professional</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teams </w:t>
      </w:r>
      <w:r w:rsidRPr="0F05C138" w:rsidR="5C7490D9">
        <w:rPr>
          <w:rFonts w:ascii="Arial" w:hAnsi="Arial" w:eastAsia="Arial" w:cs="Arial"/>
          <w:b w:val="0"/>
          <w:bCs w:val="0"/>
          <w:i w:val="0"/>
          <w:iCs w:val="0"/>
          <w:caps w:val="0"/>
          <w:smallCaps w:val="0"/>
          <w:noProof w:val="0"/>
          <w:color w:val="000000" w:themeColor="text1" w:themeTint="FF" w:themeShade="FF"/>
          <w:sz w:val="22"/>
          <w:szCs w:val="22"/>
          <w:lang w:val="en-GB"/>
        </w:rPr>
        <w:t>consisting of</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occupational therapists, </w:t>
      </w:r>
      <w:r w:rsidRPr="0F05C138" w:rsidR="31EA682E">
        <w:rPr>
          <w:rFonts w:ascii="Arial" w:hAnsi="Arial" w:eastAsia="Arial" w:cs="Arial"/>
          <w:b w:val="0"/>
          <w:bCs w:val="0"/>
          <w:i w:val="0"/>
          <w:iCs w:val="0"/>
          <w:caps w:val="0"/>
          <w:smallCaps w:val="0"/>
          <w:noProof w:val="0"/>
          <w:color w:val="000000" w:themeColor="text1" w:themeTint="FF" w:themeShade="FF"/>
          <w:sz w:val="22"/>
          <w:szCs w:val="22"/>
          <w:lang w:val="en-GB"/>
        </w:rPr>
        <w:t xml:space="preserve">physiotherapists </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and speech and language therapists, are vital for recovery.</w:t>
      </w:r>
    </w:p>
    <w:p xmlns:wp14="http://schemas.microsoft.com/office/word/2010/wordml" w:rsidP="0F05C138" wp14:paraId="4A520E43" wp14:textId="757E2264">
      <w:pPr>
        <w:pStyle w:val="Normal"/>
        <w:spacing w:line="360" w:lineRule="auto"/>
        <w:jc w:val="center"/>
      </w:pPr>
      <w:r w:rsidR="28AD01E2">
        <w:drawing>
          <wp:inline xmlns:wp14="http://schemas.microsoft.com/office/word/2010/wordprocessingDrawing" wp14:editId="53BB3A3B" wp14:anchorId="1C12B2F4">
            <wp:extent cx="3760348" cy="3695700"/>
            <wp:effectExtent l="0" t="0" r="0" b="0"/>
            <wp:docPr id="15298330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9833095" name="Picture 1529833095"/>
                    <pic:cNvPicPr/>
                  </pic:nvPicPr>
                  <pic:blipFill>
                    <a:blip xmlns:r="http://schemas.openxmlformats.org/officeDocument/2006/relationships" r:embed="rId1936325495">
                      <a:extLst>
                        <a:ext uri="{28A0092B-C50C-407E-A947-70E740481C1C}">
                          <a14:useLocalDpi xmlns:a14="http://schemas.microsoft.com/office/drawing/2010/main"/>
                        </a:ext>
                      </a:extLst>
                    </a:blip>
                    <a:stretch>
                      <a:fillRect/>
                    </a:stretch>
                  </pic:blipFill>
                  <pic:spPr>
                    <a:xfrm rot="0">
                      <a:off x="0" y="0"/>
                      <a:ext cx="3760348" cy="3695700"/>
                    </a:xfrm>
                    <a:prstGeom prst="rect">
                      <a:avLst/>
                    </a:prstGeom>
                  </pic:spPr>
                </pic:pic>
              </a:graphicData>
            </a:graphic>
          </wp:inline>
        </w:drawing>
      </w:r>
    </w:p>
    <w:p xmlns:wp14="http://schemas.microsoft.com/office/word/2010/wordml" w:rsidP="0F05C138" wp14:paraId="5F8FAD6D" wp14:textId="56AAEA7E">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1"/>
          <w:bCs w:val="1"/>
          <w:i w:val="0"/>
          <w:iCs w:val="0"/>
          <w:caps w:val="0"/>
          <w:smallCaps w:val="0"/>
          <w:noProof w:val="0"/>
          <w:color w:val="000000" w:themeColor="text1" w:themeTint="FF" w:themeShade="FF"/>
          <w:sz w:val="22"/>
          <w:szCs w:val="22"/>
          <w:lang w:val="en-GB"/>
        </w:rPr>
        <w:t>Figure 3.</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05C138" w:rsidR="227DD8A6">
        <w:rPr>
          <w:rFonts w:ascii="Arial" w:hAnsi="Arial" w:eastAsia="Arial" w:cs="Arial"/>
          <w:b w:val="0"/>
          <w:bCs w:val="0"/>
          <w:i w:val="0"/>
          <w:iCs w:val="0"/>
          <w:caps w:val="0"/>
          <w:smallCaps w:val="0"/>
          <w:noProof w:val="0"/>
          <w:color w:val="000000" w:themeColor="text1" w:themeTint="FF" w:themeShade="FF"/>
          <w:sz w:val="22"/>
          <w:szCs w:val="22"/>
          <w:lang w:val="en-GB"/>
        </w:rPr>
        <w:t>Multi-disciplinary teams involved in the recovery care for stroke survivors.</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Data </w:t>
      </w:r>
      <w:r w:rsidRPr="0F05C138" w:rsidR="30CED98B">
        <w:rPr>
          <w:rFonts w:ascii="Arial" w:hAnsi="Arial" w:eastAsia="Arial" w:cs="Arial"/>
          <w:b w:val="0"/>
          <w:bCs w:val="0"/>
          <w:i w:val="0"/>
          <w:iCs w:val="0"/>
          <w:caps w:val="0"/>
          <w:smallCaps w:val="0"/>
          <w:noProof w:val="0"/>
          <w:color w:val="000000" w:themeColor="text1" w:themeTint="FF" w:themeShade="FF"/>
          <w:sz w:val="22"/>
          <w:szCs w:val="22"/>
          <w:lang w:val="en-GB"/>
        </w:rPr>
        <w:t>consists of different professions</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across hospital, rehabilitation, and transition planning. Source: NICE (2023); chart by Patrick Dickinson.</w:t>
      </w:r>
    </w:p>
    <w:p xmlns:wp14="http://schemas.microsoft.com/office/word/2010/wordml" w:rsidP="0F05C138" wp14:paraId="3EF43370" wp14:textId="2B6EEE4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126060E0" wp14:textId="18942C8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The Care Act 2014 places a duty on local authorities to assess and meet the needs of individuals requiring care, including stroke survivors. This supports a more person-centred approach, although variations in local resources may affect service delivery.</w:t>
      </w:r>
    </w:p>
    <w:p xmlns:wp14="http://schemas.microsoft.com/office/word/2010/wordml" w:rsidP="0F05C138" wp14:paraId="4158D19E" wp14:textId="08E8F46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In addition, the Health and Care Act 2022 promote greater integration between health and social care services through integrated care systems. This is extremely important for stroke survivors who require coordinated, long-term support across multiple services. I feel that this approach could improve continuity of care and patient outcomes.</w:t>
      </w:r>
    </w:p>
    <w:p xmlns:wp14="http://schemas.microsoft.com/office/word/2010/wordml" w:rsidP="0F05C138" wp14:paraId="1161DA00" wp14:textId="58695C3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21D61DBA" wp14:textId="2DF102A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However, the Care Quality Commission (2021) reports inconsistencies in services, with some patients experiencing delays in accessing rehabilitation. I feel that while current services provide essential support, they may not fully meet the long-term needs of stroke survivors. Enhancements could include increased investment in community rehabilitation, better integration between health and social care</w:t>
      </w:r>
      <w:r w:rsidRPr="0F05C138" w:rsidR="0EFF20A7">
        <w:rPr>
          <w:rFonts w:ascii="Arial" w:hAnsi="Arial" w:eastAsia="Arial" w:cs="Arial"/>
          <w:b w:val="0"/>
          <w:bCs w:val="0"/>
          <w:i w:val="0"/>
          <w:iCs w:val="0"/>
          <w:caps w:val="0"/>
          <w:smallCaps w:val="0"/>
          <w:noProof w:val="0"/>
          <w:color w:val="000000" w:themeColor="text1" w:themeTint="FF" w:themeShade="FF"/>
          <w:sz w:val="22"/>
          <w:szCs w:val="22"/>
          <w:lang w:val="en-GB"/>
        </w:rPr>
        <w:t xml:space="preserve"> whilst adding</w:t>
      </w: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 xml:space="preserve"> the use of digital technologies to improve accessibility, especially if individuals have problems living in remote areas or accessing suitable transport. </w:t>
      </w:r>
    </w:p>
    <w:p xmlns:wp14="http://schemas.microsoft.com/office/word/2010/wordml" w:rsidP="0F05C138" wp14:paraId="4E1E3CBC" wp14:textId="33255B2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05C138" wp14:paraId="53EFD54E" wp14:textId="2E8F3876">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F05C138" w:rsidR="7DF527F1">
        <w:rPr>
          <w:rFonts w:ascii="Arial" w:hAnsi="Arial" w:eastAsia="Arial" w:cs="Arial"/>
          <w:b w:val="1"/>
          <w:bCs w:val="1"/>
          <w:i w:val="0"/>
          <w:iCs w:val="0"/>
          <w:caps w:val="0"/>
          <w:smallCaps w:val="0"/>
          <w:noProof w:val="0"/>
          <w:color w:val="000000" w:themeColor="text1" w:themeTint="FF" w:themeShade="FF"/>
          <w:sz w:val="28"/>
          <w:szCs w:val="28"/>
          <w:lang w:val="en-GB"/>
        </w:rPr>
        <w:t>Conclusion</w:t>
      </w:r>
    </w:p>
    <w:p xmlns:wp14="http://schemas.microsoft.com/office/word/2010/wordml" w:rsidP="0F05C138" wp14:paraId="676462FC" wp14:textId="5514F24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Stroke continues to be a major public health challenge with notable consequences for individuals, families, and healthcare systems. Although advances in treatment have improved survival, gaps persist in prevention, long-term support and access to services.</w:t>
      </w:r>
    </w:p>
    <w:p xmlns:wp14="http://schemas.microsoft.com/office/word/2010/wordml" w:rsidP="0F05C138" wp14:paraId="4DA37C24" wp14:textId="4151158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05C138" w:rsidR="7DF527F1">
        <w:rPr>
          <w:rFonts w:ascii="Arial" w:hAnsi="Arial" w:eastAsia="Arial" w:cs="Arial"/>
          <w:b w:val="0"/>
          <w:bCs w:val="0"/>
          <w:i w:val="0"/>
          <w:iCs w:val="0"/>
          <w:caps w:val="0"/>
          <w:smallCaps w:val="0"/>
          <w:noProof w:val="0"/>
          <w:color w:val="000000" w:themeColor="text1" w:themeTint="FF" w:themeShade="FF"/>
          <w:sz w:val="22"/>
          <w:szCs w:val="22"/>
          <w:lang w:val="en-GB"/>
        </w:rPr>
        <w:t>I feel that the most important insight is the need for a more balanced approach that prioritises both prevention and treatment. Addressing determinants of health and reducing inequalities will be important in reducing stroke incidence and improving outcomes. Greater investment in public health strategies, community-based services, and integrated care systems is essential to reduce the overall load of stroke and enhance quality of life for those affected.</w:t>
      </w:r>
    </w:p>
    <w:p xmlns:wp14="http://schemas.microsoft.com/office/word/2010/wordml" wp14:paraId="5E5787A5" wp14:textId="252988EE"/>
    <w:p w:rsidR="0F05C138" w:rsidRDefault="0F05C138" w14:paraId="6D77BE80" w14:textId="6B47C51C"/>
    <w:p w:rsidR="0F05C138" w:rsidRDefault="0F05C138" w14:paraId="0B878373" w14:textId="648A258E"/>
    <w:p w:rsidR="0F05C138" w:rsidRDefault="0F05C138" w14:paraId="632002C5" w14:textId="21ADE3EE"/>
    <w:p w:rsidR="0F05C138" w:rsidRDefault="0F05C138" w14:paraId="7E5DD03A" w14:textId="16CE8AC6"/>
    <w:p w:rsidR="0F05C138" w:rsidRDefault="0F05C138" w14:paraId="338332CA" w14:textId="5C726695"/>
    <w:p w:rsidR="0F05C138" w:rsidRDefault="0F05C138" w14:paraId="4FD7480E" w14:textId="121ADE2D"/>
    <w:p w:rsidR="0F05C138" w:rsidRDefault="0F05C138" w14:paraId="795FA5A7" w14:textId="49304830"/>
    <w:p w:rsidR="0F05C138" w:rsidRDefault="0F05C138" w14:paraId="69494DF0" w14:textId="6D45C753"/>
    <w:p w:rsidR="0F05C138" w:rsidRDefault="0F05C138" w14:paraId="3E360BB1" w14:textId="226B7A17"/>
    <w:p w:rsidR="0F05C138" w:rsidRDefault="0F05C138" w14:paraId="6646FD0D" w14:textId="1FFE17E9"/>
    <w:p w:rsidR="0F05C138" w:rsidP="0F05C138" w:rsidRDefault="0F05C138" w14:paraId="3A584E6C" w14:textId="408912E5">
      <w:pPr>
        <w:pStyle w:val="Normal"/>
        <w:rPr>
          <w:rFonts w:ascii="Aptos" w:hAnsi="Aptos" w:eastAsia="Aptos" w:cs="Aptos"/>
          <w:b w:val="1"/>
          <w:bCs w:val="1"/>
          <w:i w:val="0"/>
          <w:iCs w:val="0"/>
          <w:caps w:val="0"/>
          <w:smallCaps w:val="0"/>
          <w:noProof w:val="0"/>
          <w:color w:val="000000" w:themeColor="text1" w:themeTint="FF" w:themeShade="FF"/>
          <w:sz w:val="28"/>
          <w:szCs w:val="28"/>
          <w:lang w:val="en-GB"/>
        </w:rPr>
      </w:pPr>
    </w:p>
    <w:p w:rsidR="7DF527F1" w:rsidP="0F05C138" w:rsidRDefault="7DF527F1" w14:paraId="17AC97A2" w14:textId="7231ED12">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0F05C138" w:rsidR="7DF527F1">
        <w:rPr>
          <w:rFonts w:ascii="Aptos" w:hAnsi="Aptos" w:eastAsia="Aptos" w:cs="Aptos"/>
          <w:b w:val="1"/>
          <w:bCs w:val="1"/>
          <w:i w:val="0"/>
          <w:iCs w:val="0"/>
          <w:caps w:val="0"/>
          <w:smallCaps w:val="0"/>
          <w:noProof w:val="0"/>
          <w:color w:val="000000" w:themeColor="text1" w:themeTint="FF" w:themeShade="FF"/>
          <w:sz w:val="28"/>
          <w:szCs w:val="28"/>
          <w:lang w:val="en-GB"/>
        </w:rPr>
        <w:t>Reference List</w:t>
      </w:r>
    </w:p>
    <w:p w:rsidR="7DF527F1" w:rsidP="0F05C138" w:rsidRDefault="7DF527F1" w14:paraId="6DED4696" w14:textId="4C602E0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BHF (2023)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UK Stroke Statistics</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British Heart Foundation. Available at: </w:t>
      </w:r>
      <w:hyperlink r:id="R25f6b4b965d5470d">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https://www.bhf.org.uk/informationsupport/heart-statistics/stroke-statistics</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7DF527F1" w:rsidP="0F05C138" w:rsidRDefault="7DF527F1" w14:paraId="372DFF7E" w14:textId="2B9D45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Carers UK (2022)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State of Caring Report</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Carers UK. Available at: </w:t>
      </w:r>
      <w:hyperlink r:id="R409d991717b7490f">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https://www.carersuk.org/news-and-campaigns/state-of-caring-report-2022</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17 March 2026).</w:t>
      </w:r>
    </w:p>
    <w:p w:rsidR="7DF527F1" w:rsidP="0F05C138" w:rsidRDefault="7DF527F1" w14:paraId="0D63C579" w14:textId="7446BA9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Care Quality Commission (2021)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Community Health Services Survey</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CQC. Available at: </w:t>
      </w:r>
      <w:hyperlink r:id="Rbb8c53ac48714e15">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https://www.cqc.org.uk/publications/surveys/community-health-services-survey</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7DF527F1" w:rsidP="0F05C138" w:rsidRDefault="7DF527F1" w14:paraId="0269D4B5" w14:textId="4B835EB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Health (2012)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Health and Social Care Act 2012</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HMSO. Available at: </w:t>
      </w:r>
      <w:hyperlink r:id="R5a234def7f604078">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https://www.legislation.gov.uk/ukpga/2012/7/contents/enacted</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7DF527F1" w:rsidP="0F05C138" w:rsidRDefault="7DF527F1" w14:paraId="159D6996" w14:textId="1232E9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Health and Social Care (2022)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Public Health Outcomes Framework</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DHSC. Available at: </w:t>
      </w:r>
      <w:hyperlink r:id="R7d9448624ada43d2">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https://www.gov.uk/government/collections/public-health-outcomes-framework</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March 2026).</w:t>
      </w:r>
    </w:p>
    <w:p w:rsidR="7DF527F1" w:rsidP="0F05C138" w:rsidRDefault="7DF527F1" w14:paraId="6DFBD5DE" w14:textId="261D3FC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Farmer, P. (2013)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Reimagining Global Health: An Introduction</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Berkeley: University of California Press. Available at: </w:t>
      </w:r>
      <w:hyperlink r:id="Rc340844cbc674f6e">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https://www.ucpress.edu/book/9780520287026/reimagining-global-health</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7DF527F1" w:rsidP="0F05C138" w:rsidRDefault="7DF527F1" w14:paraId="030232FE" w14:textId="55826A2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Health Innovation East (2025)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NHS Integrated Stroke Delivery Networks</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f12e7826b6c4789">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https://healthinnovationeast.co.uk/wp-content/uploads/2023/10/EoE-stroke-forum-conference-Deb-Lowe.pdf</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29 February 2026).</w:t>
      </w:r>
    </w:p>
    <w:p w:rsidR="7DF527F1" w:rsidP="0F05C138" w:rsidRDefault="7DF527F1" w14:paraId="4B682FE2" w14:textId="19D82B0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Intercollegiate Stroke Working Party (2022)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SSNAP Annual Report</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Royal College of Physicians. Available at: </w:t>
      </w:r>
      <w:hyperlink r:id="Rc1992e72883b482d">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https://www.rcplondon.ac.uk/projects/outputs/sentinel-stroke-national-audit-programme-ssnap</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March 2026).</w:t>
      </w:r>
    </w:p>
    <w:p w:rsidR="7DF527F1" w:rsidP="0F05C138" w:rsidRDefault="7DF527F1" w14:paraId="099BD9AC" w14:textId="32EFF97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King’s Fund (2021)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Health Inequalities in England</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King’s Fund. Available at: </w:t>
      </w:r>
      <w:hyperlink r:id="R686522985ab44964">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https://www.kingsfund.org.uk/publications/health-inequalities-england</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0F05C138" w:rsidP="0F05C138" w:rsidRDefault="0F05C138" w14:paraId="4FF5D6E4" w14:textId="103633AA">
      <w:pPr>
        <w:keepLines w:val="1"/>
        <w:widowControl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F05C138" w:rsidP="0F05C138" w:rsidRDefault="0F05C138" w14:paraId="22278A44" w14:textId="3F194145">
      <w:pPr>
        <w:keepLines w:val="1"/>
        <w:widowControl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DF527F1" w:rsidP="0F05C138" w:rsidRDefault="7DF527F1" w14:paraId="1519C990" w14:textId="7CC82D84">
      <w:pPr>
        <w:keepLines w:val="1"/>
        <w:widowControl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Marmot, M. (2020) </w:t>
      </w:r>
      <w:r w:rsidRPr="0F05C138" w:rsidR="7DF527F1">
        <w:rPr>
          <w:rFonts w:ascii="Aptos" w:hAnsi="Aptos" w:eastAsia="Aptos" w:cs="Aptos"/>
          <w:b w:val="0"/>
          <w:bCs w:val="0"/>
          <w:i w:val="1"/>
          <w:iCs w:val="1"/>
          <w:caps w:val="0"/>
          <w:smallCaps w:val="0"/>
          <w:noProof w:val="0"/>
          <w:color w:val="000000" w:themeColor="text1" w:themeTint="FF" w:themeShade="FF"/>
          <w:sz w:val="24"/>
          <w:szCs w:val="24"/>
          <w:lang w:val="en-GB"/>
        </w:rPr>
        <w:t>Health Equity in England: The Marmot Review 10 Years On</w:t>
      </w:r>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Institute of Health Equity. Available at: </w:t>
      </w:r>
      <w:hyperlink r:id="R8e9b6dbb0b0443eb">
        <w:r w:rsidRPr="0F05C138" w:rsidR="7DF527F1">
          <w:rPr>
            <w:rStyle w:val="Hyperlink"/>
            <w:rFonts w:ascii="Aptos" w:hAnsi="Aptos" w:eastAsia="Aptos" w:cs="Aptos"/>
            <w:b w:val="0"/>
            <w:bCs w:val="0"/>
            <w:i w:val="0"/>
            <w:iCs w:val="0"/>
            <w:caps w:val="0"/>
            <w:smallCaps w:val="0"/>
            <w:strike w:val="0"/>
            <w:dstrike w:val="0"/>
            <w:noProof w:val="0"/>
            <w:sz w:val="24"/>
            <w:szCs w:val="24"/>
            <w:lang w:val="en-GB"/>
          </w:rPr>
          <w:t>https://www.instituteofhealthequity.org/resources-reports/the-marmot-review-10-years-on</w:t>
        </w:r>
      </w:hyperlink>
      <w:r w:rsidRPr="0F05C138" w:rsidR="7DF527F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March 2026).</w:t>
      </w:r>
    </w:p>
    <w:p w:rsidR="01414C26" w:rsidP="0F05C138" w:rsidRDefault="01414C26" w14:paraId="77A42644" w14:textId="08F99D83">
      <w:pPr>
        <w:keepLines w:val="1"/>
        <w:widowControl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(2019)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The NHS Long Term Plan</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NHS. Available at: </w:t>
      </w:r>
      <w:hyperlink r:id="Ra018d1592727413e">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https://www.longtermplan.nhs.uk/</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1414C26" w:rsidP="0F05C138" w:rsidRDefault="01414C26" w14:paraId="2EFB74C0" w14:textId="7476DE0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NHS (2022)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Stroke Overview</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f3271a9407b34a47">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https://www.nhs.uk/conditions/stroke/</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1414C26" w:rsidP="0F05C138" w:rsidRDefault="01414C26" w14:paraId="4D975464" w14:textId="2E994B7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Audit Office (2020)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Healthcare System Pressures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NAO. Available at: </w:t>
      </w:r>
      <w:hyperlink r:id="Ra1b2d52538ff4d94">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https://www.nao.org.uk/report/pressures-in-the-nhs/</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March 2026).</w:t>
      </w:r>
    </w:p>
    <w:p w:rsidR="01414C26" w:rsidP="0F05C138" w:rsidRDefault="01414C26" w14:paraId="7C62B93E" w14:textId="5CEE7C7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Institute for Health and Care Excellence (NICE) (2023)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Stroke rehabilitation in adults (NG236)</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NICE. Available at: </w:t>
      </w:r>
      <w:hyperlink r:id="R803331c4f6ad4145">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https://www.nice.org.uk/guidance/ng236</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March 2026).</w:t>
      </w:r>
    </w:p>
    <w:p w:rsidR="01414C26" w:rsidP="0F05C138" w:rsidRDefault="01414C26" w14:paraId="1400253C" w14:textId="0749D6D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NHS Digital (2022)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Health Survey for England</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NHS Digital. Available at: </w:t>
      </w:r>
      <w:hyperlink r:id="R0e6aa52eccd34fce">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https://digital.nhs.uk/data-and-information/publications/statistical/health-survey-for-england</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01414C26" w:rsidP="0F05C138" w:rsidRDefault="01414C26" w14:paraId="0A37C70A" w14:textId="000BA96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NICE (2019)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Stroke Rehabilitation Guidelines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NICE. Available at: </w:t>
      </w:r>
      <w:hyperlink r:id="R0ca3934757b94341">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https://www.nice.org.uk/guidance/cg162</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March 2026).</w:t>
      </w:r>
    </w:p>
    <w:p w:rsidR="01414C26" w:rsidP="0F05C138" w:rsidRDefault="01414C26" w14:paraId="5A7F4162" w14:textId="30FFD9F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Office for National Statistics (2022)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Mortality Statistics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ONS. Available at: </w:t>
      </w:r>
      <w:hyperlink r:id="Re637dfff5ed140a3">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https://www.ons.gov.uk/peoplepopulationandcommunity/birthsdeathsandmarriages/deaths</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March 2026).</w:t>
      </w:r>
    </w:p>
    <w:p w:rsidR="01414C26" w:rsidP="0F05C138" w:rsidRDefault="01414C26" w14:paraId="34EF6598" w14:textId="5DC688E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Public Health England (2020)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Cardiovascular Disease Prevention</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PHE. Available at: </w:t>
      </w:r>
      <w:hyperlink r:id="Rc05f2083668f4469">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https://www.gov.uk/government/publications/cardiovascular-disease-prevention</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01414C26" w:rsidP="0F05C138" w:rsidRDefault="01414C26" w14:paraId="464A1C85" w14:textId="3504C44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Royal College of Physicians (2021) ‘Stroke outcomes and long-term care’,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Journal of Public Health</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43(2), pp. 250–258. Available at: </w:t>
      </w:r>
      <w:hyperlink r:id="R44ca883f49a342d0">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https://academic.oup.com/jpubhealth/article/43/2/250/6243532</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March 2026).</w:t>
      </w:r>
    </w:p>
    <w:p w:rsidR="01414C26" w:rsidP="0F05C138" w:rsidRDefault="01414C26" w14:paraId="3378D589" w14:textId="47956DD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Royal College of Physicians (2022)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Stroke Care Reports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RCP. Available at: </w:t>
      </w:r>
      <w:hyperlink r:id="R0ed9d64f088947d2">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https://www.rcplondon.ac.uk/projects/outputs/national-stroke-audit-reports</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0F05C138" w:rsidP="0F05C138" w:rsidRDefault="0F05C138" w14:paraId="614B3D99" w14:textId="4523386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F05C138" w:rsidP="0F05C138" w:rsidRDefault="0F05C138" w14:paraId="02E2E71C" w14:textId="1EAEE1E3">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1414C26" w:rsidP="0F05C138" w:rsidRDefault="01414C26" w14:paraId="182E0896" w14:textId="73398346">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05C138" w:rsidR="01414C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Schneider, M.-J. (2020) </w:t>
      </w:r>
      <w:r w:rsidRPr="0F05C138" w:rsidR="01414C2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Introduction to Public Health</w:t>
      </w:r>
      <w:r w:rsidRPr="0F05C138" w:rsidR="01414C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6th </w:t>
      </w:r>
      <w:r w:rsidRPr="0F05C138" w:rsidR="01414C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edn</w:t>
      </w:r>
      <w:r w:rsidRPr="0F05C138" w:rsidR="01414C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Burlington, MA: Jones &amp; </w:t>
      </w:r>
      <w:r w:rsidRPr="0F05C138" w:rsidR="01414C26">
        <w:rPr>
          <w:rFonts w:ascii="Arial" w:hAnsi="Arial" w:eastAsia="Arial" w:cs="Arial" w:asciiTheme="minorAscii" w:hAnsiTheme="minorAscii" w:eastAsiaTheme="minorAscii" w:cstheme="minorAscii"/>
          <w:noProof w:val="0"/>
          <w:sz w:val="22"/>
          <w:szCs w:val="22"/>
          <w:lang w:val="en-GB"/>
        </w:rPr>
        <w:t>Bartlett Learning. Available</w:t>
      </w:r>
      <w:r w:rsidRPr="0F05C138" w:rsidR="74C20E68">
        <w:rPr>
          <w:rFonts w:ascii="Arial" w:hAnsi="Arial" w:eastAsia="Arial" w:cs="Arial" w:asciiTheme="minorAscii" w:hAnsiTheme="minorAscii" w:eastAsiaTheme="minorAscii" w:cstheme="minorAscii"/>
          <w:noProof w:val="0"/>
          <w:sz w:val="22"/>
          <w:szCs w:val="22"/>
          <w:lang w:val="en-GB"/>
        </w:rPr>
        <w:t xml:space="preserve"> </w:t>
      </w:r>
      <w:r w:rsidRPr="0F05C138" w:rsidR="01414C26">
        <w:rPr>
          <w:rFonts w:ascii="Arial" w:hAnsi="Arial" w:eastAsia="Arial" w:cs="Arial" w:asciiTheme="minorAscii" w:hAnsiTheme="minorAscii" w:eastAsiaTheme="minorAscii" w:cstheme="minorAscii"/>
          <w:noProof w:val="0"/>
          <w:sz w:val="22"/>
          <w:szCs w:val="22"/>
          <w:lang w:val="en-GB"/>
        </w:rPr>
        <w:t xml:space="preserve">at: </w:t>
      </w:r>
      <w:hyperlink r:id="R9b9b1fc862c34370">
        <w:r w:rsidRPr="0F05C138" w:rsidR="01414C26">
          <w:rPr>
            <w:rStyle w:val="Hyperlink"/>
            <w:rFonts w:ascii="Arial" w:hAnsi="Arial" w:eastAsia="Arial" w:cs="Arial" w:asciiTheme="minorAscii" w:hAnsiTheme="minorAscii" w:eastAsiaTheme="minorAscii" w:cstheme="minorAscii"/>
            <w:noProof w:val="0"/>
            <w:sz w:val="22"/>
            <w:szCs w:val="22"/>
            <w:lang w:val="en-GB"/>
          </w:rPr>
          <w:t>https://www.jblearning.com/catalog/productdetails/9781284167891</w:t>
        </w:r>
      </w:hyperlink>
      <w:r w:rsidRPr="0F05C138" w:rsidR="01414C26">
        <w:rPr>
          <w:rFonts w:ascii="Arial" w:hAnsi="Arial" w:eastAsia="Arial" w:cs="Arial" w:asciiTheme="minorAscii" w:hAnsiTheme="minorAscii" w:eastAsiaTheme="minorAscii" w:cstheme="minorAscii"/>
          <w:noProof w:val="0"/>
          <w:sz w:val="22"/>
          <w:szCs w:val="22"/>
          <w:lang w:val="en-GB"/>
        </w:rPr>
        <w:t xml:space="preserve"> (Accessed: 8 March 2026).</w:t>
      </w:r>
    </w:p>
    <w:p w:rsidR="01414C26" w:rsidP="0F05C138" w:rsidRDefault="01414C26" w14:paraId="290FDC89" w14:textId="1A7609C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Stroke Association (2023)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State of the Nation: Stroke Statistics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Stroke Association. Available at: </w:t>
      </w:r>
      <w:hyperlink r:id="R387cdcaf6acf49b7">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https://www.stroke.org.uk/resources/state-nation-stroke-statistics-2023</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01414C26" w:rsidP="0F05C138" w:rsidRDefault="01414C26" w14:paraId="220079F7" w14:textId="0590C38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(2010)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Equality Act 2010</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HMSO. Available at: </w:t>
      </w:r>
      <w:hyperlink r:id="R62e99da389694302">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https://www.legislation.gov.uk/ukpga/2010/15/contents</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1414C26" w:rsidP="0F05C138" w:rsidRDefault="01414C26" w14:paraId="7E26F5E4" w14:textId="247C340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(2014)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Care Act 2014</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HMSO. Available at: </w:t>
      </w:r>
      <w:hyperlink r:id="R35aaae786efb4e04">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https://www.legislation.gov.uk/ukpga/2014/23/contents</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1414C26" w:rsidP="0F05C138" w:rsidRDefault="01414C26" w14:paraId="62D051D9" w14:textId="40C4238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UK Government (2022)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Health and Care Act 2022</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HMSO. Available at: </w:t>
      </w:r>
      <w:hyperlink r:id="Rd70be7fd9ad94be2">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https://www.legislation.gov.uk/ukpga/2022/31/contents</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1414C26" w:rsidP="0F05C138" w:rsidRDefault="01414C26" w14:paraId="5BF6E997" w14:textId="3AA493A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UK Health Security Agency (2022)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Public Health Profiles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UKHSA. Available at: </w:t>
      </w:r>
      <w:hyperlink r:id="R460631228df64237">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https://fingertips.phe.org.uk/</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March 2026).</w:t>
      </w:r>
    </w:p>
    <w:p w:rsidR="01414C26" w:rsidP="0F05C138" w:rsidRDefault="01414C26" w14:paraId="0CE12E6C" w14:textId="3477721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WHO (2013)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Global Action Plan for NCDs</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Geneva: WHO. Available at: </w:t>
      </w:r>
      <w:hyperlink r:id="R3add72139f9b4320">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https://www.who.int/publications/i/item/9789241506236</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1414C26" w:rsidP="0F05C138" w:rsidRDefault="01414C26" w14:paraId="5F162A2A" w14:textId="1F59A24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WHO (2023) </w:t>
      </w:r>
      <w:r w:rsidRPr="0F05C138" w:rsidR="01414C26">
        <w:rPr>
          <w:rFonts w:ascii="Aptos" w:hAnsi="Aptos" w:eastAsia="Aptos" w:cs="Aptos"/>
          <w:b w:val="0"/>
          <w:bCs w:val="0"/>
          <w:i w:val="1"/>
          <w:iCs w:val="1"/>
          <w:caps w:val="0"/>
          <w:smallCaps w:val="0"/>
          <w:noProof w:val="0"/>
          <w:color w:val="000000" w:themeColor="text1" w:themeTint="FF" w:themeShade="FF"/>
          <w:sz w:val="24"/>
          <w:szCs w:val="24"/>
          <w:lang w:val="en-GB"/>
        </w:rPr>
        <w:t>Stroke Factsheet</w:t>
      </w:r>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Geneva: WHO. Available at: </w:t>
      </w:r>
      <w:hyperlink r:id="R6d3d17bb70cb47ea">
        <w:r w:rsidRPr="0F05C138" w:rsidR="01414C26">
          <w:rPr>
            <w:rStyle w:val="Hyperlink"/>
            <w:rFonts w:ascii="Aptos" w:hAnsi="Aptos" w:eastAsia="Aptos" w:cs="Aptos"/>
            <w:b w:val="0"/>
            <w:bCs w:val="0"/>
            <w:i w:val="0"/>
            <w:iCs w:val="0"/>
            <w:caps w:val="0"/>
            <w:smallCaps w:val="0"/>
            <w:strike w:val="0"/>
            <w:dstrike w:val="0"/>
            <w:noProof w:val="0"/>
            <w:sz w:val="24"/>
            <w:szCs w:val="24"/>
            <w:lang w:val="en-GB"/>
          </w:rPr>
          <w:t>https://www.who.int/news-room/fact-sheets/detail/stroke</w:t>
        </w:r>
      </w:hyperlink>
      <w:r w:rsidRPr="0F05C138" w:rsidR="01414C2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8 March 2026).</w:t>
      </w:r>
    </w:p>
    <w:p w:rsidR="0F05C138" w:rsidP="0F05C138" w:rsidRDefault="0F05C138" w14:paraId="06658A7E" w14:textId="4106E470">
      <w:pPr>
        <w:pStyle w:val="Normal"/>
      </w:pPr>
    </w:p>
    <w:sectPr>
      <w:pgSz w:w="11906" w:h="16838" w:orient="portrait"/>
      <w:pgMar w:top="1440" w:right="1440" w:bottom="1440" w:left="1440" w:header="720" w:footer="720" w:gutter="0"/>
      <w:cols w:space="720"/>
      <w:docGrid w:linePitch="360"/>
      <w:headerReference w:type="default" r:id="R9a66948786bc47fd"/>
      <w:footerReference w:type="default" r:id="R40f2b872b045462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05C138" w:rsidTr="0F05C138" w14:paraId="57543201">
      <w:trPr>
        <w:trHeight w:val="300"/>
      </w:trPr>
      <w:tc>
        <w:tcPr>
          <w:tcW w:w="3005" w:type="dxa"/>
          <w:tcMar/>
        </w:tcPr>
        <w:p w:rsidR="0F05C138" w:rsidP="0F05C138" w:rsidRDefault="0F05C138" w14:paraId="1B8EFD92" w14:textId="3F0A84FA">
          <w:pPr>
            <w:pStyle w:val="Header"/>
            <w:bidi w:val="0"/>
            <w:ind w:left="-115"/>
            <w:jc w:val="left"/>
          </w:pPr>
        </w:p>
      </w:tc>
      <w:tc>
        <w:tcPr>
          <w:tcW w:w="3005" w:type="dxa"/>
          <w:tcMar/>
        </w:tcPr>
        <w:p w:rsidR="0F05C138" w:rsidP="0F05C138" w:rsidRDefault="0F05C138" w14:paraId="1A59087C" w14:textId="2D47EFAE">
          <w:pPr>
            <w:pStyle w:val="Header"/>
            <w:bidi w:val="0"/>
            <w:jc w:val="center"/>
          </w:pPr>
          <w:r>
            <w:fldChar w:fldCharType="begin"/>
          </w:r>
          <w:r>
            <w:instrText xml:space="preserve">PAGE</w:instrText>
          </w:r>
          <w:r>
            <w:fldChar w:fldCharType="separate"/>
          </w:r>
          <w:r>
            <w:fldChar w:fldCharType="end"/>
          </w:r>
        </w:p>
      </w:tc>
      <w:tc>
        <w:tcPr>
          <w:tcW w:w="3005" w:type="dxa"/>
          <w:tcMar/>
        </w:tcPr>
        <w:p w:rsidR="0F05C138" w:rsidP="0F05C138" w:rsidRDefault="0F05C138" w14:paraId="3A77BEEA" w14:textId="021C01FD">
          <w:pPr>
            <w:pStyle w:val="Header"/>
            <w:bidi w:val="0"/>
            <w:ind w:right="-115"/>
            <w:jc w:val="right"/>
          </w:pPr>
        </w:p>
      </w:tc>
    </w:tr>
  </w:tbl>
  <w:p w:rsidR="0F05C138" w:rsidP="0F05C138" w:rsidRDefault="0F05C138" w14:paraId="3989C4C8" w14:textId="004B22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05C138" w:rsidTr="0F05C138" w14:paraId="2E3CE944">
      <w:trPr>
        <w:trHeight w:val="300"/>
      </w:trPr>
      <w:tc>
        <w:tcPr>
          <w:tcW w:w="3005" w:type="dxa"/>
          <w:tcMar/>
        </w:tcPr>
        <w:p w:rsidR="0F05C138" w:rsidP="0F05C138" w:rsidRDefault="0F05C138" w14:paraId="52C53BA2" w14:textId="3F96F43B">
          <w:pPr>
            <w:pStyle w:val="Header"/>
            <w:bidi w:val="0"/>
            <w:ind w:left="-115"/>
            <w:jc w:val="left"/>
          </w:pPr>
        </w:p>
      </w:tc>
      <w:tc>
        <w:tcPr>
          <w:tcW w:w="3005" w:type="dxa"/>
          <w:tcMar/>
        </w:tcPr>
        <w:p w:rsidR="0F05C138" w:rsidP="0F05C138" w:rsidRDefault="0F05C138" w14:paraId="1C50785E" w14:textId="06759034">
          <w:pPr>
            <w:pStyle w:val="Header"/>
            <w:bidi w:val="0"/>
            <w:jc w:val="center"/>
          </w:pPr>
        </w:p>
      </w:tc>
      <w:tc>
        <w:tcPr>
          <w:tcW w:w="3005" w:type="dxa"/>
          <w:tcMar/>
        </w:tcPr>
        <w:p w:rsidR="0F05C138" w:rsidP="0F05C138" w:rsidRDefault="0F05C138" w14:paraId="526B48D3" w14:textId="008C9547">
          <w:pPr>
            <w:pStyle w:val="Header"/>
            <w:bidi w:val="0"/>
            <w:ind w:right="-115"/>
            <w:jc w:val="right"/>
          </w:pPr>
        </w:p>
      </w:tc>
    </w:tr>
  </w:tbl>
  <w:p w:rsidR="0F05C138" w:rsidP="0F05C138" w:rsidRDefault="0F05C138" w14:paraId="5C7F759C" w14:textId="2BDA6E3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F2878C"/>
    <w:rsid w:val="005E2525"/>
    <w:rsid w:val="01414C26"/>
    <w:rsid w:val="03C603C7"/>
    <w:rsid w:val="04858E76"/>
    <w:rsid w:val="048F912C"/>
    <w:rsid w:val="0A3C519C"/>
    <w:rsid w:val="0EFF20A7"/>
    <w:rsid w:val="0F05C138"/>
    <w:rsid w:val="1717150C"/>
    <w:rsid w:val="17D3C924"/>
    <w:rsid w:val="1C0FAF1E"/>
    <w:rsid w:val="1C50D059"/>
    <w:rsid w:val="1CCDF1B2"/>
    <w:rsid w:val="1D9148AD"/>
    <w:rsid w:val="20AC86DD"/>
    <w:rsid w:val="224CE4BE"/>
    <w:rsid w:val="227DD8A6"/>
    <w:rsid w:val="23250547"/>
    <w:rsid w:val="234C9DBF"/>
    <w:rsid w:val="24FCB332"/>
    <w:rsid w:val="28AD01E2"/>
    <w:rsid w:val="2942F374"/>
    <w:rsid w:val="30355613"/>
    <w:rsid w:val="30CED98B"/>
    <w:rsid w:val="31EA682E"/>
    <w:rsid w:val="3575A74F"/>
    <w:rsid w:val="35851910"/>
    <w:rsid w:val="37D76083"/>
    <w:rsid w:val="3AFA0B4B"/>
    <w:rsid w:val="3DCB1890"/>
    <w:rsid w:val="42087CAD"/>
    <w:rsid w:val="47DAC586"/>
    <w:rsid w:val="49D11131"/>
    <w:rsid w:val="4A810892"/>
    <w:rsid w:val="4CA5AF4B"/>
    <w:rsid w:val="504CC61E"/>
    <w:rsid w:val="5122EB63"/>
    <w:rsid w:val="515A3058"/>
    <w:rsid w:val="517ABDF4"/>
    <w:rsid w:val="51A81B0C"/>
    <w:rsid w:val="58E0F63C"/>
    <w:rsid w:val="5C7490D9"/>
    <w:rsid w:val="6228AD50"/>
    <w:rsid w:val="63005081"/>
    <w:rsid w:val="654D0BE6"/>
    <w:rsid w:val="6AA8E924"/>
    <w:rsid w:val="6D1A7909"/>
    <w:rsid w:val="71B00953"/>
    <w:rsid w:val="74C20E68"/>
    <w:rsid w:val="78F2878C"/>
    <w:rsid w:val="7DF527F1"/>
    <w:rsid w:val="7E00D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2878C"/>
  <w15:chartTrackingRefBased/>
  <w15:docId w15:val="{D0C18CB4-9EF8-4896-8042-0E6E70E0B1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F05C138"/>
    <w:rPr>
      <w:color w:val="467886"/>
      <w:u w:val="single"/>
    </w:rPr>
  </w:style>
  <w:style w:type="paragraph" w:styleId="Header">
    <w:uiPriority w:val="99"/>
    <w:name w:val="header"/>
    <w:basedOn w:val="Normal"/>
    <w:unhideWhenUsed/>
    <w:rsid w:val="0F05C138"/>
    <w:pPr>
      <w:tabs>
        <w:tab w:val="center" w:leader="none" w:pos="4680"/>
        <w:tab w:val="right" w:leader="none" w:pos="9360"/>
      </w:tabs>
      <w:spacing w:after="0" w:line="240" w:lineRule="auto"/>
    </w:pPr>
  </w:style>
  <w:style w:type="paragraph" w:styleId="Footer">
    <w:uiPriority w:val="99"/>
    <w:name w:val="footer"/>
    <w:basedOn w:val="Normal"/>
    <w:unhideWhenUsed/>
    <w:rsid w:val="0F05C13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15277693" /><Relationship Type="http://schemas.openxmlformats.org/officeDocument/2006/relationships/image" Target="/media/image2.png" Id="rId176266443" /><Relationship Type="http://schemas.openxmlformats.org/officeDocument/2006/relationships/image" Target="/media/image3.png" Id="rId586326044" /><Relationship Type="http://schemas.openxmlformats.org/officeDocument/2006/relationships/image" Target="/media/image4.png" Id="rId1936325495" /><Relationship Type="http://schemas.openxmlformats.org/officeDocument/2006/relationships/hyperlink" Target="https://www.bhf.org.uk/informationsupport/heart-statistics/stroke-statistics" TargetMode="External" Id="R25f6b4b965d5470d" /><Relationship Type="http://schemas.openxmlformats.org/officeDocument/2006/relationships/hyperlink" Target="https://www.carersuk.org/news-and-campaigns/state-of-caring-report-2022" TargetMode="External" Id="R409d991717b7490f" /><Relationship Type="http://schemas.openxmlformats.org/officeDocument/2006/relationships/hyperlink" Target="https://www.cqc.org.uk/publications/surveys/community-health-services-survey" TargetMode="External" Id="Rbb8c53ac48714e15" /><Relationship Type="http://schemas.openxmlformats.org/officeDocument/2006/relationships/hyperlink" Target="https://www.legislation.gov.uk/ukpga/2012/7/contents/enacted" TargetMode="External" Id="R5a234def7f604078" /><Relationship Type="http://schemas.openxmlformats.org/officeDocument/2006/relationships/hyperlink" Target="https://www.gov.uk/government/collections/public-health-outcomes-framework" TargetMode="External" Id="R7d9448624ada43d2" /><Relationship Type="http://schemas.openxmlformats.org/officeDocument/2006/relationships/hyperlink" Target="https://www.ucpress.edu/book/9780520287026/reimagining-global-health" TargetMode="External" Id="Rc340844cbc674f6e" /><Relationship Type="http://schemas.openxmlformats.org/officeDocument/2006/relationships/hyperlink" Target="https://healthinnovationeast.co.uk/wp-content/uploads/2023/10/EoE-stroke-forum-conference-Deb-Lowe.pdf" TargetMode="External" Id="Rcf12e7826b6c4789" /><Relationship Type="http://schemas.openxmlformats.org/officeDocument/2006/relationships/hyperlink" Target="https://www.rcplondon.ac.uk/projects/outputs/sentinel-stroke-national-audit-programme-ssnap" TargetMode="External" Id="Rc1992e72883b482d" /><Relationship Type="http://schemas.openxmlformats.org/officeDocument/2006/relationships/hyperlink" Target="https://www.kingsfund.org.uk/publications/health-inequalities-england" TargetMode="External" Id="R686522985ab44964" /><Relationship Type="http://schemas.openxmlformats.org/officeDocument/2006/relationships/hyperlink" Target="https://www.instituteofhealthequity.org/resources-reports/the-marmot-review-10-years-on" TargetMode="External" Id="R8e9b6dbb0b0443eb" /><Relationship Type="http://schemas.openxmlformats.org/officeDocument/2006/relationships/hyperlink" Target="https://www.longtermplan.nhs.uk/" TargetMode="External" Id="Ra018d1592727413e" /><Relationship Type="http://schemas.openxmlformats.org/officeDocument/2006/relationships/hyperlink" Target="https://www.nhs.uk/conditions/stroke/" TargetMode="External" Id="Rf3271a9407b34a47" /><Relationship Type="http://schemas.openxmlformats.org/officeDocument/2006/relationships/hyperlink" Target="https://www.nao.org.uk/report/pressures-in-the-nhs/" TargetMode="External" Id="Ra1b2d52538ff4d94" /><Relationship Type="http://schemas.openxmlformats.org/officeDocument/2006/relationships/hyperlink" Target="https://www.nice.org.uk/guidance/ng236" TargetMode="External" Id="R803331c4f6ad4145" /><Relationship Type="http://schemas.openxmlformats.org/officeDocument/2006/relationships/hyperlink" Target="https://digital.nhs.uk/data-and-information/publications/statistical/health-survey-for-england" TargetMode="External" Id="R0e6aa52eccd34fce" /><Relationship Type="http://schemas.openxmlformats.org/officeDocument/2006/relationships/hyperlink" Target="https://www.nice.org.uk/guidance/cg162" TargetMode="External" Id="R0ca3934757b94341" /><Relationship Type="http://schemas.openxmlformats.org/officeDocument/2006/relationships/hyperlink" Target="https://www.ons.gov.uk/peoplepopulationandcommunity/birthsdeathsandmarriages/deaths" TargetMode="External" Id="Re637dfff5ed140a3" /><Relationship Type="http://schemas.openxmlformats.org/officeDocument/2006/relationships/hyperlink" Target="https://www.gov.uk/government/publications/cardiovascular-disease-prevention" TargetMode="External" Id="Rc05f2083668f4469" /><Relationship Type="http://schemas.openxmlformats.org/officeDocument/2006/relationships/hyperlink" Target="https://academic.oup.com/jpubhealth/article/43/2/250/6243532" TargetMode="External" Id="R44ca883f49a342d0" /><Relationship Type="http://schemas.openxmlformats.org/officeDocument/2006/relationships/hyperlink" Target="https://www.rcplondon.ac.uk/projects/outputs/national-stroke-audit-reports" TargetMode="External" Id="R0ed9d64f088947d2" /><Relationship Type="http://schemas.openxmlformats.org/officeDocument/2006/relationships/hyperlink" Target="https://www.jblearning.com/catalog/productdetails/9781284167891" TargetMode="External" Id="R9b9b1fc862c34370" /><Relationship Type="http://schemas.openxmlformats.org/officeDocument/2006/relationships/hyperlink" Target="https://www.stroke.org.uk/resources/state-nation-stroke-statistics-2023" TargetMode="External" Id="R387cdcaf6acf49b7" /><Relationship Type="http://schemas.openxmlformats.org/officeDocument/2006/relationships/hyperlink" Target="https://www.legislation.gov.uk/ukpga/2010/15/contents" TargetMode="External" Id="R62e99da389694302" /><Relationship Type="http://schemas.openxmlformats.org/officeDocument/2006/relationships/hyperlink" Target="https://www.legislation.gov.uk/ukpga/2014/23/contents" TargetMode="External" Id="R35aaae786efb4e04" /><Relationship Type="http://schemas.openxmlformats.org/officeDocument/2006/relationships/hyperlink" Target="https://www.legislation.gov.uk/ukpga/2022/31/contents" TargetMode="External" Id="Rd70be7fd9ad94be2" /><Relationship Type="http://schemas.openxmlformats.org/officeDocument/2006/relationships/hyperlink" Target="https://fingertips.phe.org.uk/" TargetMode="External" Id="R460631228df64237" /><Relationship Type="http://schemas.openxmlformats.org/officeDocument/2006/relationships/hyperlink" Target="https://www.who.int/publications/i/item/9789241506236" TargetMode="External" Id="R3add72139f9b4320" /><Relationship Type="http://schemas.openxmlformats.org/officeDocument/2006/relationships/hyperlink" Target="https://www.who.int/news-room/fact-sheets/detail/stroke" TargetMode="External" Id="R6d3d17bb70cb47ea" /><Relationship Type="http://schemas.openxmlformats.org/officeDocument/2006/relationships/header" Target="/word/header.xml" Id="R9a66948786bc47fd" /><Relationship Type="http://schemas.openxmlformats.org/officeDocument/2006/relationships/footer" Target="/word/footer.xml" Id="R40f2b872b04546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2</revision>
  <dcterms:created xsi:type="dcterms:W3CDTF">2026-03-23T14:00:55.1661520Z</dcterms:created>
  <dcterms:modified xsi:type="dcterms:W3CDTF">2026-03-23T14:34:38.4229219Z</dcterms:modified>
</coreProperties>
</file>