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17E99" w:rsidRDefault="00E17E99"/>
    <w:p w14:paraId="1DC7EC3E" w14:textId="77777777" w:rsidR="007B53A1" w:rsidRDefault="007B53A1" w:rsidP="007B53A1">
      <w:pPr>
        <w:jc w:val="center"/>
        <w:rPr>
          <w:b/>
          <w:bCs/>
          <w:sz w:val="40"/>
          <w:szCs w:val="40"/>
        </w:rPr>
      </w:pPr>
    </w:p>
    <w:p w14:paraId="00000002" w14:textId="6FFB7BC3" w:rsidR="00E17E99" w:rsidRPr="007B53A1" w:rsidRDefault="007B53A1" w:rsidP="007B53A1">
      <w:pPr>
        <w:jc w:val="center"/>
        <w:rPr>
          <w:b/>
          <w:bCs/>
          <w:sz w:val="40"/>
          <w:szCs w:val="40"/>
        </w:rPr>
      </w:pPr>
      <w:r w:rsidRPr="007B53A1">
        <w:rPr>
          <w:b/>
          <w:bCs/>
          <w:sz w:val="40"/>
          <w:szCs w:val="40"/>
        </w:rPr>
        <w:t>Assessment 1</w:t>
      </w:r>
    </w:p>
    <w:p w14:paraId="00000003" w14:textId="77777777" w:rsidR="00E17E99" w:rsidRDefault="00644574">
      <w:pPr>
        <w:jc w:val="center"/>
        <w:rPr>
          <w:b/>
          <w:sz w:val="36"/>
          <w:szCs w:val="36"/>
        </w:rPr>
      </w:pPr>
      <w:r>
        <w:rPr>
          <w:b/>
          <w:sz w:val="36"/>
          <w:szCs w:val="36"/>
        </w:rPr>
        <w:t>Community Engagement</w:t>
      </w:r>
    </w:p>
    <w:p w14:paraId="0CC68F5E" w14:textId="3876B402" w:rsidR="0008692E" w:rsidRDefault="0008692E" w:rsidP="0008692E">
      <w:pPr>
        <w:tabs>
          <w:tab w:val="left" w:pos="5775"/>
        </w:tabs>
      </w:pPr>
      <w:r>
        <w:tab/>
      </w:r>
    </w:p>
    <w:p w14:paraId="786FAE19" w14:textId="7D4334BF" w:rsidR="009F7FE7" w:rsidRDefault="009F7FE7" w:rsidP="009F7FE7">
      <w:pPr>
        <w:rPr>
          <w:b/>
        </w:rPr>
      </w:pPr>
      <w:r>
        <w:rPr>
          <w:b/>
        </w:rPr>
        <w:t xml:space="preserve">Student Name: </w:t>
      </w:r>
      <w:proofErr w:type="spellStart"/>
      <w:r>
        <w:rPr>
          <w:b/>
        </w:rPr>
        <w:t>Andra</w:t>
      </w:r>
      <w:proofErr w:type="spellEnd"/>
      <w:r>
        <w:rPr>
          <w:b/>
        </w:rPr>
        <w:t xml:space="preserve"> Maria </w:t>
      </w:r>
      <w:proofErr w:type="spellStart"/>
      <w:r>
        <w:rPr>
          <w:b/>
        </w:rPr>
        <w:t>Daniliuc</w:t>
      </w:r>
      <w:proofErr w:type="spellEnd"/>
    </w:p>
    <w:p w14:paraId="00000004" w14:textId="164B6E2A" w:rsidR="003A441F" w:rsidRDefault="009F7FE7" w:rsidP="009F7FE7">
      <w:pPr>
        <w:tabs>
          <w:tab w:val="left" w:pos="5775"/>
        </w:tabs>
        <w:rPr>
          <w:b/>
        </w:rPr>
      </w:pPr>
      <w:r>
        <w:rPr>
          <w:b/>
        </w:rPr>
        <w:t>Student Number:2030171</w:t>
      </w:r>
    </w:p>
    <w:p w14:paraId="66CDEE96" w14:textId="0546EC94" w:rsidR="009F7FE7" w:rsidRDefault="009F7FE7" w:rsidP="009F7FE7">
      <w:pPr>
        <w:tabs>
          <w:tab w:val="left" w:pos="5775"/>
        </w:tabs>
        <w:rPr>
          <w:b/>
        </w:rPr>
      </w:pPr>
    </w:p>
    <w:p w14:paraId="0CEE9574" w14:textId="37E832A5" w:rsidR="009F7FE7" w:rsidRDefault="009F7FE7" w:rsidP="009F7FE7">
      <w:pPr>
        <w:tabs>
          <w:tab w:val="left" w:pos="5775"/>
        </w:tabs>
        <w:rPr>
          <w:b/>
        </w:rPr>
      </w:pPr>
    </w:p>
    <w:p w14:paraId="61EBC3EC" w14:textId="2CC828BA" w:rsidR="009F7FE7" w:rsidRDefault="009F7FE7" w:rsidP="009F7FE7">
      <w:pPr>
        <w:tabs>
          <w:tab w:val="left" w:pos="5775"/>
        </w:tabs>
        <w:rPr>
          <w:b/>
        </w:rPr>
      </w:pPr>
    </w:p>
    <w:p w14:paraId="15CF21F1" w14:textId="4655E122" w:rsidR="009F7FE7" w:rsidRDefault="009F7FE7" w:rsidP="009F7FE7">
      <w:pPr>
        <w:tabs>
          <w:tab w:val="left" w:pos="5775"/>
        </w:tabs>
        <w:rPr>
          <w:b/>
        </w:rPr>
      </w:pPr>
    </w:p>
    <w:p w14:paraId="67AAB33C" w14:textId="1AAAF57E" w:rsidR="009F7FE7" w:rsidRDefault="009F7FE7" w:rsidP="009F7FE7">
      <w:pPr>
        <w:tabs>
          <w:tab w:val="left" w:pos="5775"/>
        </w:tabs>
        <w:rPr>
          <w:b/>
        </w:rPr>
      </w:pPr>
    </w:p>
    <w:p w14:paraId="2B989D72" w14:textId="18DCDA82" w:rsidR="009F7FE7" w:rsidRDefault="009F7FE7" w:rsidP="009F7FE7">
      <w:pPr>
        <w:tabs>
          <w:tab w:val="left" w:pos="5775"/>
        </w:tabs>
        <w:rPr>
          <w:b/>
        </w:rPr>
      </w:pPr>
    </w:p>
    <w:p w14:paraId="6BB77AA0" w14:textId="78E83E50" w:rsidR="009F7FE7" w:rsidRDefault="009F7FE7" w:rsidP="009F7FE7">
      <w:pPr>
        <w:tabs>
          <w:tab w:val="left" w:pos="5775"/>
        </w:tabs>
        <w:rPr>
          <w:b/>
        </w:rPr>
      </w:pPr>
    </w:p>
    <w:p w14:paraId="00AB7C60" w14:textId="4DCF2559" w:rsidR="009F7FE7" w:rsidRDefault="009F7FE7" w:rsidP="009F7FE7">
      <w:pPr>
        <w:tabs>
          <w:tab w:val="left" w:pos="5775"/>
        </w:tabs>
        <w:rPr>
          <w:b/>
        </w:rPr>
      </w:pPr>
    </w:p>
    <w:p w14:paraId="1ED8A333" w14:textId="77F98EA0" w:rsidR="009F7FE7" w:rsidRDefault="009F7FE7" w:rsidP="009F7FE7">
      <w:pPr>
        <w:tabs>
          <w:tab w:val="left" w:pos="5775"/>
        </w:tabs>
        <w:rPr>
          <w:b/>
        </w:rPr>
      </w:pPr>
    </w:p>
    <w:p w14:paraId="3BE18BAF" w14:textId="56B88048" w:rsidR="009F7FE7" w:rsidRDefault="009F7FE7" w:rsidP="009F7FE7">
      <w:pPr>
        <w:tabs>
          <w:tab w:val="left" w:pos="5775"/>
        </w:tabs>
        <w:rPr>
          <w:b/>
        </w:rPr>
      </w:pPr>
    </w:p>
    <w:p w14:paraId="7F1E1D79" w14:textId="416516AD" w:rsidR="009F7FE7" w:rsidRDefault="009F7FE7" w:rsidP="009F7FE7">
      <w:pPr>
        <w:tabs>
          <w:tab w:val="left" w:pos="5775"/>
        </w:tabs>
        <w:rPr>
          <w:b/>
        </w:rPr>
      </w:pPr>
      <w:r>
        <w:rPr>
          <w:b/>
        </w:rPr>
        <w:t>\</w:t>
      </w:r>
    </w:p>
    <w:p w14:paraId="5E23C5CF" w14:textId="1D6883AC" w:rsidR="009F7FE7" w:rsidRDefault="009F7FE7" w:rsidP="009F7FE7">
      <w:pPr>
        <w:tabs>
          <w:tab w:val="left" w:pos="5775"/>
        </w:tabs>
        <w:rPr>
          <w:b/>
        </w:rPr>
      </w:pPr>
    </w:p>
    <w:p w14:paraId="4D901F6C" w14:textId="2D124615" w:rsidR="009F7FE7" w:rsidRDefault="009F7FE7" w:rsidP="009F7FE7">
      <w:pPr>
        <w:tabs>
          <w:tab w:val="left" w:pos="5775"/>
        </w:tabs>
        <w:rPr>
          <w:b/>
        </w:rPr>
      </w:pPr>
    </w:p>
    <w:p w14:paraId="311750EC" w14:textId="77777777" w:rsidR="009F7FE7" w:rsidRDefault="009F7FE7" w:rsidP="009F7FE7">
      <w:pPr>
        <w:tabs>
          <w:tab w:val="left" w:pos="5775"/>
        </w:tabs>
      </w:pPr>
    </w:p>
    <w:sdt>
      <w:sdtPr>
        <w:rPr>
          <w:rFonts w:ascii="Times New Roman" w:eastAsiaTheme="minorEastAsia" w:hAnsi="Times New Roman" w:cs="Times New Roman"/>
          <w:color w:val="auto"/>
          <w:sz w:val="24"/>
          <w:szCs w:val="24"/>
          <w:lang w:val="en-GB"/>
        </w:rPr>
        <w:id w:val="-1258445198"/>
        <w:docPartObj>
          <w:docPartGallery w:val="Table of Contents"/>
          <w:docPartUnique/>
        </w:docPartObj>
      </w:sdtPr>
      <w:sdtEndPr>
        <w:rPr>
          <w:b/>
          <w:bCs/>
          <w:noProof/>
        </w:rPr>
      </w:sdtEndPr>
      <w:sdtContent>
        <w:p w14:paraId="22B98773" w14:textId="7BB23CDF" w:rsidR="003A441F" w:rsidRPr="003A441F" w:rsidRDefault="003A441F" w:rsidP="003A441F">
          <w:pPr>
            <w:pStyle w:val="TOCHeading"/>
            <w:jc w:val="center"/>
            <w:rPr>
              <w:rFonts w:ascii="Times New Roman" w:hAnsi="Times New Roman" w:cs="Times New Roman"/>
              <w:b/>
              <w:bCs/>
              <w:i/>
              <w:iCs/>
              <w:u w:val="single"/>
            </w:rPr>
          </w:pPr>
          <w:r w:rsidRPr="003A441F">
            <w:rPr>
              <w:rFonts w:ascii="Times New Roman" w:hAnsi="Times New Roman" w:cs="Times New Roman"/>
              <w:b/>
              <w:bCs/>
              <w:i/>
              <w:iCs/>
              <w:u w:val="single"/>
            </w:rPr>
            <w:t>Table of Contents</w:t>
          </w:r>
        </w:p>
        <w:p w14:paraId="0C9593D4" w14:textId="4F11A53C" w:rsidR="00E420EF" w:rsidRDefault="003A441F">
          <w:pPr>
            <w:pStyle w:val="TOC1"/>
            <w:tabs>
              <w:tab w:val="right" w:leader="dot" w:pos="9350"/>
            </w:tabs>
            <w:rPr>
              <w:rFonts w:asciiTheme="minorHAnsi" w:hAnsiTheme="minorHAnsi" w:cstheme="minorBidi"/>
              <w:noProof/>
              <w:sz w:val="22"/>
              <w:szCs w:val="22"/>
              <w:lang w:val="en-US"/>
            </w:rPr>
          </w:pPr>
          <w:r>
            <w:fldChar w:fldCharType="begin"/>
          </w:r>
          <w:r>
            <w:instrText xml:space="preserve"> TOC \o "1-3" \h \z \u </w:instrText>
          </w:r>
          <w:r>
            <w:fldChar w:fldCharType="separate"/>
          </w:r>
          <w:hyperlink w:anchor="_Toc100439196" w:history="1">
            <w:r w:rsidR="00E420EF" w:rsidRPr="00F00937">
              <w:rPr>
                <w:rStyle w:val="Hyperlink"/>
                <w:noProof/>
              </w:rPr>
              <w:t>Introduction</w:t>
            </w:r>
            <w:r w:rsidR="00E420EF">
              <w:rPr>
                <w:noProof/>
                <w:webHidden/>
              </w:rPr>
              <w:tab/>
            </w:r>
            <w:r w:rsidR="00E420EF">
              <w:rPr>
                <w:noProof/>
                <w:webHidden/>
              </w:rPr>
              <w:fldChar w:fldCharType="begin"/>
            </w:r>
            <w:r w:rsidR="00E420EF">
              <w:rPr>
                <w:noProof/>
                <w:webHidden/>
              </w:rPr>
              <w:instrText xml:space="preserve"> PAGEREF _Toc100439196 \h </w:instrText>
            </w:r>
            <w:r w:rsidR="00E420EF">
              <w:rPr>
                <w:noProof/>
                <w:webHidden/>
              </w:rPr>
            </w:r>
            <w:r w:rsidR="00E420EF">
              <w:rPr>
                <w:noProof/>
                <w:webHidden/>
              </w:rPr>
              <w:fldChar w:fldCharType="separate"/>
            </w:r>
            <w:r w:rsidR="00E420EF">
              <w:rPr>
                <w:noProof/>
                <w:webHidden/>
              </w:rPr>
              <w:t>3</w:t>
            </w:r>
            <w:r w:rsidR="00E420EF">
              <w:rPr>
                <w:noProof/>
                <w:webHidden/>
              </w:rPr>
              <w:fldChar w:fldCharType="end"/>
            </w:r>
          </w:hyperlink>
        </w:p>
        <w:p w14:paraId="6154F020" w14:textId="36163A87" w:rsidR="00E420EF" w:rsidRDefault="00E2329D">
          <w:pPr>
            <w:pStyle w:val="TOC1"/>
            <w:tabs>
              <w:tab w:val="right" w:leader="dot" w:pos="9350"/>
            </w:tabs>
            <w:rPr>
              <w:rFonts w:asciiTheme="minorHAnsi" w:hAnsiTheme="minorHAnsi" w:cstheme="minorBidi"/>
              <w:noProof/>
              <w:sz w:val="22"/>
              <w:szCs w:val="22"/>
              <w:lang w:val="en-US"/>
            </w:rPr>
          </w:pPr>
          <w:hyperlink w:anchor="_Toc100439197" w:history="1">
            <w:r w:rsidR="00E420EF" w:rsidRPr="00F00937">
              <w:rPr>
                <w:rStyle w:val="Hyperlink"/>
                <w:noProof/>
              </w:rPr>
              <w:t>Description</w:t>
            </w:r>
            <w:r w:rsidR="00E420EF">
              <w:rPr>
                <w:noProof/>
                <w:webHidden/>
              </w:rPr>
              <w:tab/>
            </w:r>
            <w:r w:rsidR="00E420EF">
              <w:rPr>
                <w:noProof/>
                <w:webHidden/>
              </w:rPr>
              <w:fldChar w:fldCharType="begin"/>
            </w:r>
            <w:r w:rsidR="00E420EF">
              <w:rPr>
                <w:noProof/>
                <w:webHidden/>
              </w:rPr>
              <w:instrText xml:space="preserve"> PAGEREF _Toc100439197 \h </w:instrText>
            </w:r>
            <w:r w:rsidR="00E420EF">
              <w:rPr>
                <w:noProof/>
                <w:webHidden/>
              </w:rPr>
            </w:r>
            <w:r w:rsidR="00E420EF">
              <w:rPr>
                <w:noProof/>
                <w:webHidden/>
              </w:rPr>
              <w:fldChar w:fldCharType="separate"/>
            </w:r>
            <w:r w:rsidR="00E420EF">
              <w:rPr>
                <w:noProof/>
                <w:webHidden/>
              </w:rPr>
              <w:t>4</w:t>
            </w:r>
            <w:r w:rsidR="00E420EF">
              <w:rPr>
                <w:noProof/>
                <w:webHidden/>
              </w:rPr>
              <w:fldChar w:fldCharType="end"/>
            </w:r>
          </w:hyperlink>
        </w:p>
        <w:p w14:paraId="128CD9BD" w14:textId="7BCF3A12" w:rsidR="00E420EF" w:rsidRDefault="00E2329D">
          <w:pPr>
            <w:pStyle w:val="TOC1"/>
            <w:tabs>
              <w:tab w:val="right" w:leader="dot" w:pos="9350"/>
            </w:tabs>
            <w:rPr>
              <w:rFonts w:asciiTheme="minorHAnsi" w:hAnsiTheme="minorHAnsi" w:cstheme="minorBidi"/>
              <w:noProof/>
              <w:sz w:val="22"/>
              <w:szCs w:val="22"/>
              <w:lang w:val="en-US"/>
            </w:rPr>
          </w:pPr>
          <w:hyperlink w:anchor="_Toc100439198" w:history="1">
            <w:r w:rsidR="00E420EF" w:rsidRPr="00F00937">
              <w:rPr>
                <w:rStyle w:val="Hyperlink"/>
                <w:noProof/>
              </w:rPr>
              <w:t>Best Practices on Community Engagement Principles and Standards</w:t>
            </w:r>
            <w:r w:rsidR="00E420EF">
              <w:rPr>
                <w:noProof/>
                <w:webHidden/>
              </w:rPr>
              <w:tab/>
            </w:r>
            <w:r w:rsidR="00E420EF">
              <w:rPr>
                <w:noProof/>
                <w:webHidden/>
              </w:rPr>
              <w:fldChar w:fldCharType="begin"/>
            </w:r>
            <w:r w:rsidR="00E420EF">
              <w:rPr>
                <w:noProof/>
                <w:webHidden/>
              </w:rPr>
              <w:instrText xml:space="preserve"> PAGEREF _Toc100439198 \h </w:instrText>
            </w:r>
            <w:r w:rsidR="00E420EF">
              <w:rPr>
                <w:noProof/>
                <w:webHidden/>
              </w:rPr>
            </w:r>
            <w:r w:rsidR="00E420EF">
              <w:rPr>
                <w:noProof/>
                <w:webHidden/>
              </w:rPr>
              <w:fldChar w:fldCharType="separate"/>
            </w:r>
            <w:r w:rsidR="00E420EF">
              <w:rPr>
                <w:noProof/>
                <w:webHidden/>
              </w:rPr>
              <w:t>4</w:t>
            </w:r>
            <w:r w:rsidR="00E420EF">
              <w:rPr>
                <w:noProof/>
                <w:webHidden/>
              </w:rPr>
              <w:fldChar w:fldCharType="end"/>
            </w:r>
          </w:hyperlink>
        </w:p>
        <w:p w14:paraId="4089E088" w14:textId="1A102A25" w:rsidR="00E420EF" w:rsidRDefault="00E2329D">
          <w:pPr>
            <w:pStyle w:val="TOC1"/>
            <w:tabs>
              <w:tab w:val="right" w:leader="dot" w:pos="9350"/>
            </w:tabs>
            <w:rPr>
              <w:rFonts w:asciiTheme="minorHAnsi" w:hAnsiTheme="minorHAnsi" w:cstheme="minorBidi"/>
              <w:noProof/>
              <w:sz w:val="22"/>
              <w:szCs w:val="22"/>
              <w:lang w:val="en-US"/>
            </w:rPr>
          </w:pPr>
          <w:hyperlink w:anchor="_Toc100439199" w:history="1">
            <w:r w:rsidR="00E420EF" w:rsidRPr="00F00937">
              <w:rPr>
                <w:rStyle w:val="Hyperlink"/>
                <w:noProof/>
              </w:rPr>
              <w:t>Benefits of Stakeholders Participation</w:t>
            </w:r>
            <w:r w:rsidR="00E420EF">
              <w:rPr>
                <w:noProof/>
                <w:webHidden/>
              </w:rPr>
              <w:tab/>
            </w:r>
            <w:r w:rsidR="00E420EF">
              <w:rPr>
                <w:noProof/>
                <w:webHidden/>
              </w:rPr>
              <w:fldChar w:fldCharType="begin"/>
            </w:r>
            <w:r w:rsidR="00E420EF">
              <w:rPr>
                <w:noProof/>
                <w:webHidden/>
              </w:rPr>
              <w:instrText xml:space="preserve"> PAGEREF _Toc100439199 \h </w:instrText>
            </w:r>
            <w:r w:rsidR="00E420EF">
              <w:rPr>
                <w:noProof/>
                <w:webHidden/>
              </w:rPr>
            </w:r>
            <w:r w:rsidR="00E420EF">
              <w:rPr>
                <w:noProof/>
                <w:webHidden/>
              </w:rPr>
              <w:fldChar w:fldCharType="separate"/>
            </w:r>
            <w:r w:rsidR="00E420EF">
              <w:rPr>
                <w:noProof/>
                <w:webHidden/>
              </w:rPr>
              <w:t>5</w:t>
            </w:r>
            <w:r w:rsidR="00E420EF">
              <w:rPr>
                <w:noProof/>
                <w:webHidden/>
              </w:rPr>
              <w:fldChar w:fldCharType="end"/>
            </w:r>
          </w:hyperlink>
        </w:p>
        <w:p w14:paraId="04779614" w14:textId="32E418B5" w:rsidR="00E420EF" w:rsidRDefault="00E2329D">
          <w:pPr>
            <w:pStyle w:val="TOC1"/>
            <w:tabs>
              <w:tab w:val="right" w:leader="dot" w:pos="9350"/>
            </w:tabs>
            <w:rPr>
              <w:rFonts w:asciiTheme="minorHAnsi" w:hAnsiTheme="minorHAnsi" w:cstheme="minorBidi"/>
              <w:noProof/>
              <w:sz w:val="22"/>
              <w:szCs w:val="22"/>
              <w:lang w:val="en-US"/>
            </w:rPr>
          </w:pPr>
          <w:hyperlink w:anchor="_Toc100439200" w:history="1">
            <w:r w:rsidR="00E420EF" w:rsidRPr="00F00937">
              <w:rPr>
                <w:rStyle w:val="Hyperlink"/>
                <w:noProof/>
              </w:rPr>
              <w:t>Social Media Platforms to Support the Project</w:t>
            </w:r>
            <w:r w:rsidR="00E420EF">
              <w:rPr>
                <w:noProof/>
                <w:webHidden/>
              </w:rPr>
              <w:tab/>
            </w:r>
            <w:r w:rsidR="00E420EF">
              <w:rPr>
                <w:noProof/>
                <w:webHidden/>
              </w:rPr>
              <w:fldChar w:fldCharType="begin"/>
            </w:r>
            <w:r w:rsidR="00E420EF">
              <w:rPr>
                <w:noProof/>
                <w:webHidden/>
              </w:rPr>
              <w:instrText xml:space="preserve"> PAGEREF _Toc100439200 \h </w:instrText>
            </w:r>
            <w:r w:rsidR="00E420EF">
              <w:rPr>
                <w:noProof/>
                <w:webHidden/>
              </w:rPr>
            </w:r>
            <w:r w:rsidR="00E420EF">
              <w:rPr>
                <w:noProof/>
                <w:webHidden/>
              </w:rPr>
              <w:fldChar w:fldCharType="separate"/>
            </w:r>
            <w:r w:rsidR="00E420EF">
              <w:rPr>
                <w:noProof/>
                <w:webHidden/>
              </w:rPr>
              <w:t>7</w:t>
            </w:r>
            <w:r w:rsidR="00E420EF">
              <w:rPr>
                <w:noProof/>
                <w:webHidden/>
              </w:rPr>
              <w:fldChar w:fldCharType="end"/>
            </w:r>
          </w:hyperlink>
        </w:p>
        <w:p w14:paraId="7AC53A7B" w14:textId="5D652A03" w:rsidR="00E420EF" w:rsidRDefault="00E2329D">
          <w:pPr>
            <w:pStyle w:val="TOC1"/>
            <w:tabs>
              <w:tab w:val="right" w:leader="dot" w:pos="9350"/>
            </w:tabs>
            <w:rPr>
              <w:rFonts w:asciiTheme="minorHAnsi" w:hAnsiTheme="minorHAnsi" w:cstheme="minorBidi"/>
              <w:noProof/>
              <w:sz w:val="22"/>
              <w:szCs w:val="22"/>
              <w:lang w:val="en-US"/>
            </w:rPr>
          </w:pPr>
          <w:hyperlink w:anchor="_Toc100439201" w:history="1">
            <w:r w:rsidR="00E420EF" w:rsidRPr="00F00937">
              <w:rPr>
                <w:rStyle w:val="Hyperlink"/>
                <w:noProof/>
              </w:rPr>
              <w:t>Forward Looking Approach to Increase Interpersonal Skills</w:t>
            </w:r>
            <w:r w:rsidR="00E420EF">
              <w:rPr>
                <w:noProof/>
                <w:webHidden/>
              </w:rPr>
              <w:tab/>
            </w:r>
            <w:r w:rsidR="00E420EF">
              <w:rPr>
                <w:noProof/>
                <w:webHidden/>
              </w:rPr>
              <w:fldChar w:fldCharType="begin"/>
            </w:r>
            <w:r w:rsidR="00E420EF">
              <w:rPr>
                <w:noProof/>
                <w:webHidden/>
              </w:rPr>
              <w:instrText xml:space="preserve"> PAGEREF _Toc100439201 \h </w:instrText>
            </w:r>
            <w:r w:rsidR="00E420EF">
              <w:rPr>
                <w:noProof/>
                <w:webHidden/>
              </w:rPr>
            </w:r>
            <w:r w:rsidR="00E420EF">
              <w:rPr>
                <w:noProof/>
                <w:webHidden/>
              </w:rPr>
              <w:fldChar w:fldCharType="separate"/>
            </w:r>
            <w:r w:rsidR="00E420EF">
              <w:rPr>
                <w:noProof/>
                <w:webHidden/>
              </w:rPr>
              <w:t>8</w:t>
            </w:r>
            <w:r w:rsidR="00E420EF">
              <w:rPr>
                <w:noProof/>
                <w:webHidden/>
              </w:rPr>
              <w:fldChar w:fldCharType="end"/>
            </w:r>
          </w:hyperlink>
        </w:p>
        <w:p w14:paraId="7B6169E1" w14:textId="619BE6E0" w:rsidR="00E420EF" w:rsidRDefault="00E2329D">
          <w:pPr>
            <w:pStyle w:val="TOC1"/>
            <w:tabs>
              <w:tab w:val="right" w:leader="dot" w:pos="9350"/>
            </w:tabs>
            <w:rPr>
              <w:rFonts w:asciiTheme="minorHAnsi" w:hAnsiTheme="minorHAnsi" w:cstheme="minorBidi"/>
              <w:noProof/>
              <w:sz w:val="22"/>
              <w:szCs w:val="22"/>
              <w:lang w:val="en-US"/>
            </w:rPr>
          </w:pPr>
          <w:hyperlink w:anchor="_Toc100439202" w:history="1">
            <w:r w:rsidR="00E420EF" w:rsidRPr="00F00937">
              <w:rPr>
                <w:rStyle w:val="Hyperlink"/>
                <w:noProof/>
              </w:rPr>
              <w:t>Conclusion</w:t>
            </w:r>
            <w:r w:rsidR="00E420EF">
              <w:rPr>
                <w:noProof/>
                <w:webHidden/>
              </w:rPr>
              <w:tab/>
            </w:r>
            <w:r w:rsidR="00E420EF">
              <w:rPr>
                <w:noProof/>
                <w:webHidden/>
              </w:rPr>
              <w:fldChar w:fldCharType="begin"/>
            </w:r>
            <w:r w:rsidR="00E420EF">
              <w:rPr>
                <w:noProof/>
                <w:webHidden/>
              </w:rPr>
              <w:instrText xml:space="preserve"> PAGEREF _Toc100439202 \h </w:instrText>
            </w:r>
            <w:r w:rsidR="00E420EF">
              <w:rPr>
                <w:noProof/>
                <w:webHidden/>
              </w:rPr>
            </w:r>
            <w:r w:rsidR="00E420EF">
              <w:rPr>
                <w:noProof/>
                <w:webHidden/>
              </w:rPr>
              <w:fldChar w:fldCharType="separate"/>
            </w:r>
            <w:r w:rsidR="00E420EF">
              <w:rPr>
                <w:noProof/>
                <w:webHidden/>
              </w:rPr>
              <w:t>8</w:t>
            </w:r>
            <w:r w:rsidR="00E420EF">
              <w:rPr>
                <w:noProof/>
                <w:webHidden/>
              </w:rPr>
              <w:fldChar w:fldCharType="end"/>
            </w:r>
          </w:hyperlink>
        </w:p>
        <w:p w14:paraId="6327DDD7" w14:textId="32496933" w:rsidR="00E420EF" w:rsidRDefault="00E2329D">
          <w:pPr>
            <w:pStyle w:val="TOC1"/>
            <w:tabs>
              <w:tab w:val="right" w:leader="dot" w:pos="9350"/>
            </w:tabs>
            <w:rPr>
              <w:rFonts w:asciiTheme="minorHAnsi" w:hAnsiTheme="minorHAnsi" w:cstheme="minorBidi"/>
              <w:noProof/>
              <w:sz w:val="22"/>
              <w:szCs w:val="22"/>
              <w:lang w:val="en-US"/>
            </w:rPr>
          </w:pPr>
          <w:hyperlink w:anchor="_Toc100439203" w:history="1">
            <w:r w:rsidR="00E420EF" w:rsidRPr="00F00937">
              <w:rPr>
                <w:rStyle w:val="Hyperlink"/>
                <w:noProof/>
              </w:rPr>
              <w:t>References</w:t>
            </w:r>
            <w:r w:rsidR="00E420EF">
              <w:rPr>
                <w:noProof/>
                <w:webHidden/>
              </w:rPr>
              <w:tab/>
            </w:r>
            <w:r w:rsidR="00E420EF">
              <w:rPr>
                <w:noProof/>
                <w:webHidden/>
              </w:rPr>
              <w:fldChar w:fldCharType="begin"/>
            </w:r>
            <w:r w:rsidR="00E420EF">
              <w:rPr>
                <w:noProof/>
                <w:webHidden/>
              </w:rPr>
              <w:instrText xml:space="preserve"> PAGEREF _Toc100439203 \h </w:instrText>
            </w:r>
            <w:r w:rsidR="00E420EF">
              <w:rPr>
                <w:noProof/>
                <w:webHidden/>
              </w:rPr>
            </w:r>
            <w:r w:rsidR="00E420EF">
              <w:rPr>
                <w:noProof/>
                <w:webHidden/>
              </w:rPr>
              <w:fldChar w:fldCharType="separate"/>
            </w:r>
            <w:r w:rsidR="00E420EF">
              <w:rPr>
                <w:noProof/>
                <w:webHidden/>
              </w:rPr>
              <w:t>10</w:t>
            </w:r>
            <w:r w:rsidR="00E420EF">
              <w:rPr>
                <w:noProof/>
                <w:webHidden/>
              </w:rPr>
              <w:fldChar w:fldCharType="end"/>
            </w:r>
          </w:hyperlink>
        </w:p>
        <w:p w14:paraId="428E038B" w14:textId="0B7659C0" w:rsidR="003A441F" w:rsidRDefault="003A441F">
          <w:r>
            <w:rPr>
              <w:b/>
              <w:bCs/>
              <w:noProof/>
            </w:rPr>
            <w:fldChar w:fldCharType="end"/>
          </w:r>
        </w:p>
      </w:sdtContent>
    </w:sdt>
    <w:p w14:paraId="5D19DE9D" w14:textId="0886E6E5" w:rsidR="00E17E99" w:rsidRPr="003A441F" w:rsidRDefault="003A441F" w:rsidP="003A441F">
      <w:r>
        <w:br w:type="page"/>
      </w:r>
    </w:p>
    <w:p w14:paraId="00000005" w14:textId="77777777" w:rsidR="00E17E99" w:rsidRDefault="00644574">
      <w:pPr>
        <w:pStyle w:val="Heading1"/>
      </w:pPr>
      <w:bookmarkStart w:id="0" w:name="_Toc100439196"/>
      <w:r>
        <w:lastRenderedPageBreak/>
        <w:t>Introduction</w:t>
      </w:r>
      <w:bookmarkEnd w:id="0"/>
    </w:p>
    <w:p w14:paraId="00000006" w14:textId="77777777" w:rsidR="00E17E99" w:rsidRDefault="00644574">
      <w:r>
        <w:t xml:space="preserve">Community Engagement is the process encouraging people to work collaboratively with groups of people with a common goal and for the interest and welfare of society. Often communities engage themselves in social activities and address certain issues or problems that are affecting the well-being of the people. Charitable or non-profit organisations are involved in bringing about behavioural and environmental changes among the community to engage themselves in social activities. </w:t>
      </w:r>
    </w:p>
    <w:p w14:paraId="00000007" w14:textId="77777777" w:rsidR="00E17E99" w:rsidRDefault="00644574">
      <w:r>
        <w:t xml:space="preserve">This report is involved with the planning and coordinating an ongoing community engagement program named “Marie Curie Cancer Care” run by the Marie Curie charitable organisation. It will establish a relationship between the stakeholders and the campaign strategy and also evaluate the benefits of stakeholders’ participation. It will also assess the needs of adopting a forward-looking approach to educate the members about the impact of internal and external factors that affect community development. The report will conclude with some recommendations for improving community engagement. </w:t>
      </w:r>
    </w:p>
    <w:p w14:paraId="00000008" w14:textId="77777777" w:rsidR="00E17E99" w:rsidRDefault="00644574">
      <w:pPr>
        <w:spacing w:line="259" w:lineRule="auto"/>
        <w:jc w:val="left"/>
      </w:pPr>
      <w:r>
        <w:br w:type="page"/>
      </w:r>
    </w:p>
    <w:p w14:paraId="00000009" w14:textId="30481D6F" w:rsidR="00E17E99" w:rsidRDefault="00644574">
      <w:pPr>
        <w:pStyle w:val="Heading1"/>
      </w:pPr>
      <w:bookmarkStart w:id="1" w:name="_Toc100439197"/>
      <w:r>
        <w:lastRenderedPageBreak/>
        <w:t>Description</w:t>
      </w:r>
      <w:bookmarkEnd w:id="1"/>
      <w:r w:rsidR="00E420EF">
        <w:t xml:space="preserve"> of the Program</w:t>
      </w:r>
    </w:p>
    <w:p w14:paraId="0000000A" w14:textId="77777777" w:rsidR="00E17E99" w:rsidRDefault="00644574">
      <w:r>
        <w:t xml:space="preserve">Marie Curie is one of the largest charitable organisations in the UK which was founded in 1948. The organisation mainly aims at providing care and supporting people with terminal illness and also supporting their families. The organisation provides health care services with a large number of hospital beds. It has more than 4,300 employees, 2700 nurses, doctors and professionals to provide care to the people of the UK (Marie Curie, 2020). More than 11,000 volunteers join with Marie Curie to provide healthcare support. One of the ongoing projects of the organisation is the Marie Curie hospital for Cancer and allied disease. This project aims at providing care and support to the cancer patients and their families throughout the illness period. It offers guidance, support and exert care to them and even support for their </w:t>
      </w:r>
      <w:proofErr w:type="spellStart"/>
      <w:r>
        <w:t>carers</w:t>
      </w:r>
      <w:proofErr w:type="spellEnd"/>
      <w:r>
        <w:t xml:space="preserve">. The hospitals offer different healthcare services such as day services including complementary therapies and in-patient care. It also provides physical, spiritual and emotional care for both the patients and their families. The services are provided by dedicated teams of health and social care professionals, volunteers, doctors, nursing staff, occupational therapists, physiotherapists, chaplains and social workers. During the covid-19 pandemic, the organisation has provided care and supports to more than 40,000 terminally ill people. </w:t>
      </w:r>
    </w:p>
    <w:p w14:paraId="0000000B" w14:textId="77777777" w:rsidR="00E17E99" w:rsidRDefault="00644574">
      <w:pPr>
        <w:pStyle w:val="Heading1"/>
      </w:pPr>
      <w:bookmarkStart w:id="2" w:name="_Toc100439198"/>
      <w:r>
        <w:t>Best Practices on Community Engagement Principles and Standards</w:t>
      </w:r>
      <w:bookmarkEnd w:id="2"/>
    </w:p>
    <w:p w14:paraId="0000000C" w14:textId="77777777" w:rsidR="00E17E99" w:rsidRDefault="00644574">
      <w:r>
        <w:t xml:space="preserve">Community engagement is the systematic way for ensuring members of a community have interest and easy access to social activities. It enables community members to become able to contribute to the society and to improve functional capabilities to engage themselves in social settings and activities (Gray et al., 2021). Marie Curie is such a platform where its members are engaged in providing support and care to the ill people in the society. There are a number of principles that reflect the common understanding and beliefs of the people who are engaged in social activities. Marie curie charity can also follow these principles and apply in different ways. </w:t>
      </w:r>
    </w:p>
    <w:p w14:paraId="0000000D" w14:textId="77777777" w:rsidR="00E17E99" w:rsidRDefault="00644574">
      <w:pPr>
        <w:rPr>
          <w:b/>
          <w:i/>
        </w:rPr>
      </w:pPr>
      <w:r>
        <w:rPr>
          <w:b/>
          <w:i/>
        </w:rPr>
        <w:t>Collaboration and Shared Purpose</w:t>
      </w:r>
    </w:p>
    <w:p w14:paraId="0000000E" w14:textId="77777777" w:rsidR="00E17E99" w:rsidRDefault="00644574">
      <w:r>
        <w:t xml:space="preserve">Marie Curie believes that every person in society has the right to have care and support until the end of their life. More than 2700 nursing staff, doctors, professionals and 11,000 volunteers work together to provide hands-on care and mental support to the ill people and their families </w:t>
      </w:r>
      <w:r>
        <w:lastRenderedPageBreak/>
        <w:t xml:space="preserve">(POLARIS, 2021). With their collaboration, the organisation can be able to provide healthcare services to more than 40,000 people across the UK per year. </w:t>
      </w:r>
    </w:p>
    <w:p w14:paraId="0000000F" w14:textId="77777777" w:rsidR="00E17E99" w:rsidRDefault="00644574">
      <w:pPr>
        <w:rPr>
          <w:b/>
          <w:i/>
        </w:rPr>
      </w:pPr>
      <w:r>
        <w:rPr>
          <w:b/>
          <w:i/>
        </w:rPr>
        <w:t>Consultation and Learning</w:t>
      </w:r>
    </w:p>
    <w:p w14:paraId="00000010" w14:textId="77777777" w:rsidR="00E17E99" w:rsidRDefault="00644574">
      <w:r>
        <w:t xml:space="preserve">Marie Curie charity has many health professionals, doctors, nurses, therapists, employees and general volunteers who all help each other to provide better services to the general people (Martinez et al., 2020). They need to be involved in helping each other to explore new ideas, learn and improve capabilities to ensure the effectiveness of community engagement.  </w:t>
      </w:r>
    </w:p>
    <w:p w14:paraId="00000011" w14:textId="77777777" w:rsidR="00E17E99" w:rsidRDefault="00644574">
      <w:pPr>
        <w:rPr>
          <w:b/>
          <w:i/>
        </w:rPr>
      </w:pPr>
      <w:r>
        <w:rPr>
          <w:b/>
          <w:i/>
        </w:rPr>
        <w:t>Transparency and Trust</w:t>
      </w:r>
    </w:p>
    <w:p w14:paraId="00000012" w14:textId="77777777" w:rsidR="00E17E99" w:rsidRDefault="00644574">
      <w:r>
        <w:t>All the members in the charity organisation work for achieving a common goal which is helping people in terminal illness and mental distress (</w:t>
      </w:r>
      <w:proofErr w:type="spellStart"/>
      <w:r>
        <w:t>Folta</w:t>
      </w:r>
      <w:proofErr w:type="spellEnd"/>
      <w:r>
        <w:t xml:space="preserve"> et al., 2022). Therefore, the organisation will provide clear and defined insights of its process and expose public records of the sponsors, fundraisers, volunteers, mentors and supporters that make successful events. </w:t>
      </w:r>
    </w:p>
    <w:p w14:paraId="00000013" w14:textId="77777777" w:rsidR="00E17E99" w:rsidRDefault="00644574">
      <w:pPr>
        <w:rPr>
          <w:b/>
          <w:i/>
        </w:rPr>
      </w:pPr>
      <w:r>
        <w:rPr>
          <w:b/>
          <w:i/>
        </w:rPr>
        <w:t xml:space="preserve">Communication </w:t>
      </w:r>
    </w:p>
    <w:p w14:paraId="00000014" w14:textId="77777777" w:rsidR="00E17E99" w:rsidRDefault="00644574">
      <w:r>
        <w:t>The charity organisation communicates its plan, objectives and strategies to the members which is essential in community engagement (Rehman and Awuah-</w:t>
      </w:r>
      <w:proofErr w:type="spellStart"/>
      <w:r>
        <w:t>Offei</w:t>
      </w:r>
      <w:proofErr w:type="spellEnd"/>
      <w:r>
        <w:t xml:space="preserve">, 2018). It also communicates organisational reports to the public and thus it became the biggest funder of palliative research and end of life care. </w:t>
      </w:r>
    </w:p>
    <w:p w14:paraId="00000015" w14:textId="77777777" w:rsidR="00E17E99" w:rsidRDefault="00644574">
      <w:r>
        <w:t xml:space="preserve">All the members of Marie Curie believe that everyone should get excellent care and life enriching experience at the times of their illness and until the end of their lives. This means getting healthcare for the pain and other symptoms, care and support for having psychological, spiritual and emotional care and advocacy.  </w:t>
      </w:r>
    </w:p>
    <w:p w14:paraId="00000016" w14:textId="77777777" w:rsidR="00E17E99" w:rsidRDefault="00644574">
      <w:pPr>
        <w:pStyle w:val="Heading1"/>
      </w:pPr>
      <w:bookmarkStart w:id="3" w:name="_Toc100439199"/>
      <w:r>
        <w:t>Benefits of Stakeholders Participation</w:t>
      </w:r>
      <w:bookmarkEnd w:id="3"/>
    </w:p>
    <w:p w14:paraId="00000017" w14:textId="77777777" w:rsidR="00E17E99" w:rsidRDefault="00644574">
      <w:r>
        <w:t xml:space="preserve">Stakeholders are the individuals or group of people who have interest in the non-profit activities in the organisation. These people involve the employees, nurses, doctors, medical associates, volunteers, donors, vendors, community, beneficiaries and partner organisations. These stakeholder group of Marie Curie have direct influence on the ability of the company to fulfil its mission. Their roles are essential to the organisational success as they perform to support the </w:t>
      </w:r>
      <w:r>
        <w:lastRenderedPageBreak/>
        <w:t xml:space="preserve">overall movement of the organisation in different ways. Here are the roles of different stakeholders of Marie Curie which will outline the significance of their involvement.  </w:t>
      </w:r>
    </w:p>
    <w:p w14:paraId="00000018" w14:textId="77777777" w:rsidR="00E17E99" w:rsidRDefault="00644574">
      <w:pPr>
        <w:rPr>
          <w:b/>
          <w:i/>
        </w:rPr>
      </w:pPr>
      <w:r>
        <w:rPr>
          <w:b/>
          <w:i/>
        </w:rPr>
        <w:t>Employees</w:t>
      </w:r>
    </w:p>
    <w:p w14:paraId="00000019" w14:textId="77777777" w:rsidR="00E17E99" w:rsidRDefault="00644574">
      <w:r>
        <w:t xml:space="preserve">According to the organisation’s report, there are 4,314 employees working in Marie Curie (Marie Curie, 2020). These employees are paid and have significant roles in helping others to provide better experience to the ill people. </w:t>
      </w:r>
    </w:p>
    <w:p w14:paraId="0000001A" w14:textId="77777777" w:rsidR="00E17E99" w:rsidRDefault="00644574">
      <w:pPr>
        <w:rPr>
          <w:b/>
          <w:i/>
        </w:rPr>
      </w:pPr>
      <w:r>
        <w:rPr>
          <w:b/>
          <w:i/>
        </w:rPr>
        <w:t>Volunteers</w:t>
      </w:r>
    </w:p>
    <w:p w14:paraId="0000001B" w14:textId="77777777" w:rsidR="00E17E99" w:rsidRDefault="00644574">
      <w:r>
        <w:t xml:space="preserve">There are more than 11,000 volunteers across the UK to support people through terminal illness in the hospitals as well as in their homes. They also offer companionship and support to the patients and their families for up to three hours every week. The 9 hospices could not run without the support of the volunteers. Each hospital has a minimum120 dedicated volunteers who take on a wide range of responsibilities (POLARIS, 2021). In the hospitals of Marie Curie most of the complementary therapies are provided by the volunteer therapists.  </w:t>
      </w:r>
    </w:p>
    <w:p w14:paraId="0000001C" w14:textId="77777777" w:rsidR="00E17E99" w:rsidRDefault="00644574">
      <w:pPr>
        <w:rPr>
          <w:b/>
          <w:i/>
        </w:rPr>
      </w:pPr>
      <w:r>
        <w:rPr>
          <w:b/>
          <w:i/>
        </w:rPr>
        <w:t>Nursing Staff, Doctors and Professionals</w:t>
      </w:r>
    </w:p>
    <w:p w14:paraId="0000001D" w14:textId="77777777" w:rsidR="00E17E99" w:rsidRDefault="00644574">
      <w:r>
        <w:t xml:space="preserve">Over 2,700 nurses, doctors and other health professionals work day and night in the 9 hospitals and also in the peoples’ homes across the UK (Mehta, </w:t>
      </w:r>
      <w:proofErr w:type="spellStart"/>
      <w:r>
        <w:t>Sarvaiya</w:t>
      </w:r>
      <w:proofErr w:type="spellEnd"/>
      <w:r>
        <w:t xml:space="preserve"> and </w:t>
      </w:r>
      <w:proofErr w:type="spellStart"/>
      <w:r>
        <w:t>Chandani</w:t>
      </w:r>
      <w:proofErr w:type="spellEnd"/>
      <w:r>
        <w:t xml:space="preserve">, 2020). The 9 hospices of the organisation offer specialist round the clock support and care to the patient in a welcoming and friendly environment. They also provide help and support to the patients and their families throughout their illness by consulting information and support by the volunteers. </w:t>
      </w:r>
    </w:p>
    <w:p w14:paraId="0000001E" w14:textId="77777777" w:rsidR="00E17E99" w:rsidRDefault="00644574">
      <w:pPr>
        <w:rPr>
          <w:b/>
          <w:i/>
        </w:rPr>
      </w:pPr>
      <w:r>
        <w:rPr>
          <w:b/>
          <w:i/>
        </w:rPr>
        <w:t>Beneficiaries</w:t>
      </w:r>
    </w:p>
    <w:p w14:paraId="0000001F" w14:textId="77777777" w:rsidR="00E17E99" w:rsidRDefault="00644574">
      <w:r>
        <w:t xml:space="preserve">Marie Curie charity provides health care and support to more than 40,000 people across the UK every year. These group of stakeholders are the main concern to serve. Therefore, their engagement is crucial for the charity organisation.  </w:t>
      </w:r>
    </w:p>
    <w:p w14:paraId="00000020" w14:textId="77777777" w:rsidR="00E17E99" w:rsidRDefault="00644574">
      <w:pPr>
        <w:rPr>
          <w:b/>
          <w:i/>
        </w:rPr>
      </w:pPr>
      <w:r>
        <w:rPr>
          <w:b/>
          <w:i/>
        </w:rPr>
        <w:t>Donors</w:t>
      </w:r>
    </w:p>
    <w:p w14:paraId="00000021" w14:textId="77777777" w:rsidR="00E17E99" w:rsidRDefault="00644574">
      <w:r>
        <w:t>The charity organisation is the biggest funder in the field of palliative research and cancer research. Moreover, the organisation reported that it costs £60,000 per day to run all the 9 hospitals of the organisation (</w:t>
      </w:r>
      <w:proofErr w:type="spellStart"/>
      <w:r>
        <w:t>Gasinska</w:t>
      </w:r>
      <w:proofErr w:type="spellEnd"/>
      <w:r>
        <w:t xml:space="preserve">, 2020). It depends on generous fundings from the people, companies, trusts </w:t>
      </w:r>
      <w:r>
        <w:lastRenderedPageBreak/>
        <w:t xml:space="preserve">and other organisations who decide to support the organisation.  Other funds are raised from the NHS which provide one-third of total fundraising. </w:t>
      </w:r>
    </w:p>
    <w:p w14:paraId="00000022" w14:textId="77777777" w:rsidR="00E17E99" w:rsidRDefault="00644574">
      <w:r>
        <w:t xml:space="preserve">Along with these stakeholders, the charity organisation is highly dependent on the support from general people, volunteers, individuals, local groups, governmental agencies and businesses (Johnston and Lane, 2018).  These stakeholders have their own roles and responsibilities in the organisation to establish and collaborative and interactive environment. Therefore, increasing the effort in developing stakeholders’ relationships and participation in the organisational activities can enable the organisation to increase confidence, minimise uncertainty and resolve issues to make effective effort in community service. </w:t>
      </w:r>
    </w:p>
    <w:p w14:paraId="00000023" w14:textId="77777777" w:rsidR="00E17E99" w:rsidRDefault="00644574">
      <w:pPr>
        <w:pStyle w:val="Heading1"/>
      </w:pPr>
      <w:bookmarkStart w:id="4" w:name="_Toc100439200"/>
      <w:r>
        <w:t>Social Media Platforms to Support the Project</w:t>
      </w:r>
      <w:bookmarkEnd w:id="4"/>
    </w:p>
    <w:p w14:paraId="00000024" w14:textId="77777777" w:rsidR="00E17E99" w:rsidRDefault="00644574">
      <w:r>
        <w:t xml:space="preserve">In the digital era the social media platforms are the most effective means for reaching more audience at minimum time. Marie Curie can also use different social media platforms as an outreach to support its program of cancer support. The organisation can launch a multimedia campaign to reach people to encourage them to talk about death and dying. It uses online resources, TV advertising and social media platforms to get people planning and talking about their plan for the end of their life (Tembo et al., 2021). The organisation thus encourages people to get care and support throughout their terminal illness. </w:t>
      </w:r>
    </w:p>
    <w:p w14:paraId="00000025" w14:textId="77777777" w:rsidR="00E17E99" w:rsidRDefault="00644574">
      <w:pPr>
        <w:rPr>
          <w:highlight w:val="white"/>
        </w:rPr>
      </w:pPr>
      <w:r>
        <w:rPr>
          <w:highlight w:val="white"/>
        </w:rPr>
        <w:t>One of the campaigns of the organisation is the promotion of radiotherapy in different social media platforms especially in Twitter. The organisation observed that Radiotherapy is undervalued and also requires greater investment for the research. About 40% of all cancers are cured and treated with the help of Radiotherapy. It is expected that by 2035, if cancer patients have access to radiotherapy, more than 1 million of lives around the world will be saved (</w:t>
      </w:r>
      <w:proofErr w:type="spellStart"/>
      <w:r>
        <w:t>Butu</w:t>
      </w:r>
      <w:proofErr w:type="spellEnd"/>
      <w:r>
        <w:t xml:space="preserve"> and Strachan, 2022)</w:t>
      </w:r>
      <w:r>
        <w:rPr>
          <w:highlight w:val="white"/>
        </w:rPr>
        <w:t>. Therefore, the Marie Curies has launched a campaign using #RadiotherapySavesLives on Twitter. As a part of the campaign ECF and ESTRO have launched a new white paper, promoting the message “Radiotherapy: Seizing the opportunity in cancer care.”</w:t>
      </w:r>
    </w:p>
    <w:p w14:paraId="00000026" w14:textId="77777777" w:rsidR="00E17E99" w:rsidRDefault="00644574">
      <w:pPr>
        <w:rPr>
          <w:highlight w:val="white"/>
        </w:rPr>
      </w:pPr>
      <w:r>
        <w:rPr>
          <w:highlight w:val="white"/>
        </w:rPr>
        <w:t xml:space="preserve">Due to the Covid-19 pandemic, most of the companies have decreased their donation budgets in 2020. Marie Curie can use user generated content through social media platforms to continue spreading its message through its brand ambassadors. The organisation encourages its employees, </w:t>
      </w:r>
      <w:r>
        <w:rPr>
          <w:highlight w:val="white"/>
        </w:rPr>
        <w:lastRenderedPageBreak/>
        <w:t xml:space="preserve">nurses, volunteers and patients to share their stories across social media, especially stories about how they are coping up with the pandemic and working with the charity. </w:t>
      </w:r>
    </w:p>
    <w:p w14:paraId="00000027" w14:textId="77777777" w:rsidR="00E17E99" w:rsidRDefault="00644574">
      <w:pPr>
        <w:pStyle w:val="Heading1"/>
      </w:pPr>
      <w:bookmarkStart w:id="5" w:name="_Toc100439201"/>
      <w:r>
        <w:t>Forward Looking Approach to Increase Interpersonal Skills</w:t>
      </w:r>
      <w:bookmarkEnd w:id="5"/>
      <w:r>
        <w:t xml:space="preserve"> </w:t>
      </w:r>
    </w:p>
    <w:p w14:paraId="00000028" w14:textId="77777777" w:rsidR="00E17E99" w:rsidRDefault="00644574">
      <w:r>
        <w:t>Marie Curie requires to implement a forward-looking approach to improve knowledge and interpersonal skills on internal and external factors that influence community development. The internal factors are the norms, personal values, likes, dislikes and perceptions of the people. The external factors are culture, family, community members, traditions, technologies and the media (</w:t>
      </w:r>
      <w:proofErr w:type="spellStart"/>
      <w:r>
        <w:t>Vleminck</w:t>
      </w:r>
      <w:proofErr w:type="spellEnd"/>
      <w:r>
        <w:t xml:space="preserve"> et al., 2022). In the forward-looking approach, the organisation will focus on future growth of the organisation and accordingly it will develop its strategy. The internal and external factors in community development are continuously changing over time. Therefore, the organisation requires to consider future possibilities, challenges and opportunities to train its community members. The main goal of community engagement is to encourage its members to create a participatory culture and also to develop meaningful bonds driven by shared values or perceptions (Cohen et al., 2018). It enables the participants to learn about social issues in depth and improve skills in problem solving. This knowledge allows the community members to see multiple sides of the issues and develop themselves for future issues. </w:t>
      </w:r>
    </w:p>
    <w:p w14:paraId="00000029" w14:textId="77777777" w:rsidR="00E17E99" w:rsidRDefault="00644574">
      <w:pPr>
        <w:pStyle w:val="Heading1"/>
      </w:pPr>
      <w:bookmarkStart w:id="6" w:name="_Toc100439202"/>
      <w:r>
        <w:t>Conclusion</w:t>
      </w:r>
      <w:bookmarkEnd w:id="6"/>
      <w:r>
        <w:t xml:space="preserve"> </w:t>
      </w:r>
    </w:p>
    <w:p w14:paraId="0000002A" w14:textId="77777777" w:rsidR="00E17E99" w:rsidRDefault="00644574">
      <w:r>
        <w:t xml:space="preserve">Marie Curie charity offers great scopes for community engagement and work collaboratively with others for the welfare of the people. The charity organisation has run a program to aid, care and support the people through terminal illness. It has run a social media campaign to promote the use of Radiotherapy in the treatment of cancer patients. The campaign was successful to drive attention of the patients, volunteers and the donors. However, several recommendations are provided below to develop and coordinate future events successfully. </w:t>
      </w:r>
    </w:p>
    <w:p w14:paraId="0000002B" w14:textId="77777777" w:rsidR="00E17E99" w:rsidRDefault="00644574">
      <w:pPr>
        <w:numPr>
          <w:ilvl w:val="0"/>
          <w:numId w:val="1"/>
        </w:numPr>
        <w:pBdr>
          <w:top w:val="nil"/>
          <w:left w:val="nil"/>
          <w:bottom w:val="nil"/>
          <w:right w:val="nil"/>
          <w:between w:val="nil"/>
        </w:pBdr>
        <w:spacing w:after="0"/>
      </w:pPr>
      <w:r>
        <w:rPr>
          <w:rFonts w:eastAsia="Times New Roman"/>
          <w:color w:val="000000"/>
        </w:rPr>
        <w:t xml:space="preserve">The organisation can arrange more social campaigns to promote the treatment of other diseases. It can use user generated content by encouraging social media users to post their stories about their disease and the experience in their journey. </w:t>
      </w:r>
    </w:p>
    <w:p w14:paraId="0000002C" w14:textId="77777777" w:rsidR="00E17E99" w:rsidRDefault="00644574">
      <w:pPr>
        <w:numPr>
          <w:ilvl w:val="0"/>
          <w:numId w:val="1"/>
        </w:numPr>
        <w:pBdr>
          <w:top w:val="nil"/>
          <w:left w:val="nil"/>
          <w:bottom w:val="nil"/>
          <w:right w:val="nil"/>
          <w:between w:val="nil"/>
        </w:pBdr>
        <w:spacing w:after="0"/>
      </w:pPr>
      <w:r>
        <w:rPr>
          <w:rFonts w:eastAsia="Times New Roman"/>
          <w:color w:val="000000"/>
        </w:rPr>
        <w:lastRenderedPageBreak/>
        <w:t xml:space="preserve">By increasing the social media presence, it can be more engaged with the social media users as well as with the volunteers and the patients. It can attract more volunteers and </w:t>
      </w:r>
      <w:r>
        <w:t>donors</w:t>
      </w:r>
      <w:r>
        <w:rPr>
          <w:rFonts w:eastAsia="Times New Roman"/>
          <w:color w:val="000000"/>
        </w:rPr>
        <w:t xml:space="preserve"> who are interested in social activities.   </w:t>
      </w:r>
    </w:p>
    <w:p w14:paraId="0000002D" w14:textId="77777777" w:rsidR="00E17E99" w:rsidRDefault="00644574">
      <w:pPr>
        <w:numPr>
          <w:ilvl w:val="0"/>
          <w:numId w:val="1"/>
        </w:numPr>
        <w:pBdr>
          <w:top w:val="nil"/>
          <w:left w:val="nil"/>
          <w:bottom w:val="nil"/>
          <w:right w:val="nil"/>
          <w:between w:val="nil"/>
        </w:pBdr>
        <w:spacing w:after="0"/>
      </w:pPr>
      <w:r>
        <w:rPr>
          <w:rFonts w:eastAsia="Times New Roman"/>
          <w:color w:val="000000"/>
        </w:rPr>
        <w:t xml:space="preserve">Marie Curie should provide training and development </w:t>
      </w:r>
      <w:r>
        <w:t>programs</w:t>
      </w:r>
      <w:r>
        <w:rPr>
          <w:rFonts w:eastAsia="Times New Roman"/>
          <w:color w:val="000000"/>
        </w:rPr>
        <w:t xml:space="preserve"> to its employees, nurses and volunteers so that they can improve their capabilities to serve the people in terminal illness. </w:t>
      </w:r>
    </w:p>
    <w:p w14:paraId="0000002E" w14:textId="77777777" w:rsidR="00E17E99" w:rsidRDefault="00644574">
      <w:pPr>
        <w:numPr>
          <w:ilvl w:val="0"/>
          <w:numId w:val="1"/>
        </w:numPr>
        <w:pBdr>
          <w:top w:val="nil"/>
          <w:left w:val="nil"/>
          <w:bottom w:val="nil"/>
          <w:right w:val="nil"/>
          <w:between w:val="nil"/>
        </w:pBdr>
        <w:spacing w:after="0"/>
      </w:pPr>
      <w:r>
        <w:rPr>
          <w:rFonts w:eastAsia="Times New Roman"/>
          <w:color w:val="000000"/>
        </w:rPr>
        <w:t xml:space="preserve">During the Covid-19 era, the charity organisation can serve the covid-19 patients across the UK. </w:t>
      </w:r>
      <w:r>
        <w:t>Cancer</w:t>
      </w:r>
      <w:r>
        <w:rPr>
          <w:rFonts w:eastAsia="Times New Roman"/>
          <w:color w:val="000000"/>
        </w:rPr>
        <w:t xml:space="preserve"> patients are </w:t>
      </w:r>
      <w:r>
        <w:t>at severe</w:t>
      </w:r>
      <w:r>
        <w:rPr>
          <w:rFonts w:eastAsia="Times New Roman"/>
          <w:color w:val="000000"/>
        </w:rPr>
        <w:t xml:space="preserve"> risks during the pandemic. Therefore, it can take measures to ensure involvement of the nurses, volunteers and patients. </w:t>
      </w:r>
    </w:p>
    <w:p w14:paraId="0000002F" w14:textId="77777777" w:rsidR="00E17E99" w:rsidRDefault="00644574">
      <w:pPr>
        <w:numPr>
          <w:ilvl w:val="0"/>
          <w:numId w:val="1"/>
        </w:numPr>
        <w:pBdr>
          <w:top w:val="nil"/>
          <w:left w:val="nil"/>
          <w:bottom w:val="nil"/>
          <w:right w:val="nil"/>
          <w:between w:val="nil"/>
        </w:pBdr>
        <w:spacing w:after="0"/>
      </w:pPr>
      <w:r>
        <w:rPr>
          <w:rFonts w:eastAsia="Times New Roman"/>
          <w:color w:val="000000"/>
        </w:rPr>
        <w:t xml:space="preserve">Social media is a very effective tool for charity fundraisers. Therefore, Marie and Curie can use Facebook, Twitter, Instagram, Snapchat, LinkedIn, TikTok etc. to promote its campaigns and encourage donations from the audiences. </w:t>
      </w:r>
    </w:p>
    <w:p w14:paraId="00000030" w14:textId="77777777" w:rsidR="00E17E99" w:rsidRDefault="00644574">
      <w:pPr>
        <w:numPr>
          <w:ilvl w:val="0"/>
          <w:numId w:val="1"/>
        </w:numPr>
        <w:pBdr>
          <w:top w:val="nil"/>
          <w:left w:val="nil"/>
          <w:bottom w:val="nil"/>
          <w:right w:val="nil"/>
          <w:between w:val="nil"/>
        </w:pBdr>
      </w:pPr>
      <w:r>
        <w:rPr>
          <w:rFonts w:eastAsia="Times New Roman"/>
          <w:color w:val="000000"/>
        </w:rPr>
        <w:t xml:space="preserve">Marie Curie charitable organisation can develop tools and resources and share the campaigns through its own network to influence more people to think and talk about death and dying so that people can prepare for a better end of life. </w:t>
      </w:r>
    </w:p>
    <w:p w14:paraId="00000031" w14:textId="77777777" w:rsidR="00E17E99" w:rsidRDefault="00E17E99"/>
    <w:p w14:paraId="00000032" w14:textId="77777777" w:rsidR="00E17E99" w:rsidRDefault="00644574">
      <w:pPr>
        <w:spacing w:line="259" w:lineRule="auto"/>
        <w:jc w:val="left"/>
      </w:pPr>
      <w:r>
        <w:br w:type="page"/>
      </w:r>
    </w:p>
    <w:p w14:paraId="00000033" w14:textId="77777777" w:rsidR="00E17E99" w:rsidRDefault="00644574">
      <w:pPr>
        <w:pStyle w:val="Heading1"/>
      </w:pPr>
      <w:bookmarkStart w:id="7" w:name="_Toc100439203"/>
      <w:r>
        <w:lastRenderedPageBreak/>
        <w:t>References</w:t>
      </w:r>
      <w:bookmarkEnd w:id="7"/>
    </w:p>
    <w:p w14:paraId="00000034" w14:textId="77777777" w:rsidR="00E17E99" w:rsidRDefault="00644574">
      <w:pPr>
        <w:numPr>
          <w:ilvl w:val="0"/>
          <w:numId w:val="2"/>
        </w:numPr>
        <w:pBdr>
          <w:top w:val="nil"/>
          <w:left w:val="nil"/>
          <w:bottom w:val="nil"/>
          <w:right w:val="nil"/>
          <w:between w:val="nil"/>
        </w:pBdr>
        <w:spacing w:after="0"/>
      </w:pPr>
      <w:proofErr w:type="spellStart"/>
      <w:r>
        <w:rPr>
          <w:rFonts w:eastAsia="Times New Roman"/>
          <w:color w:val="000000"/>
        </w:rPr>
        <w:t>Butu</w:t>
      </w:r>
      <w:proofErr w:type="spellEnd"/>
      <w:r>
        <w:rPr>
          <w:rFonts w:eastAsia="Times New Roman"/>
          <w:color w:val="000000"/>
        </w:rPr>
        <w:t>, A.I. and Strachan, P., 2022. Navigating Pathways for Community Renewable Electricity in Rural Areas: Exploring Stakeholders’ Perspectives on Shape Community Project. International Journal of Sustainable Energy Planning and Management, 33, pp.19-34.</w:t>
      </w:r>
    </w:p>
    <w:p w14:paraId="00000035" w14:textId="77777777" w:rsidR="00E17E99" w:rsidRDefault="00644574">
      <w:pPr>
        <w:numPr>
          <w:ilvl w:val="0"/>
          <w:numId w:val="2"/>
        </w:numPr>
        <w:pBdr>
          <w:top w:val="nil"/>
          <w:left w:val="nil"/>
          <w:bottom w:val="nil"/>
          <w:right w:val="nil"/>
          <w:between w:val="nil"/>
        </w:pBdr>
        <w:spacing w:after="0"/>
      </w:pPr>
      <w:r>
        <w:rPr>
          <w:rFonts w:eastAsia="Times New Roman"/>
          <w:color w:val="000000"/>
        </w:rPr>
        <w:t xml:space="preserve">Cohen, M., Gajendran, T., Lloyd, J., </w:t>
      </w:r>
      <w:proofErr w:type="spellStart"/>
      <w:r>
        <w:rPr>
          <w:rFonts w:eastAsia="Times New Roman"/>
          <w:color w:val="000000"/>
        </w:rPr>
        <w:t>Maund</w:t>
      </w:r>
      <w:proofErr w:type="spellEnd"/>
      <w:r>
        <w:rPr>
          <w:rFonts w:eastAsia="Times New Roman"/>
          <w:color w:val="000000"/>
        </w:rPr>
        <w:t xml:space="preserve">, K., Smith, C., </w:t>
      </w:r>
      <w:proofErr w:type="spellStart"/>
      <w:r>
        <w:rPr>
          <w:rFonts w:eastAsia="Times New Roman"/>
          <w:color w:val="000000"/>
        </w:rPr>
        <w:t>Bhim</w:t>
      </w:r>
      <w:proofErr w:type="spellEnd"/>
      <w:r>
        <w:rPr>
          <w:rFonts w:eastAsia="Times New Roman"/>
          <w:color w:val="000000"/>
        </w:rPr>
        <w:t>, S. and Vaughan, J., 2018. Valuing creative placemaking: development of a toolkit for public and private stakeholders. NSW Government: Sydney, Australia.</w:t>
      </w:r>
    </w:p>
    <w:p w14:paraId="00000036" w14:textId="77777777" w:rsidR="00E17E99" w:rsidRDefault="00644574">
      <w:pPr>
        <w:numPr>
          <w:ilvl w:val="0"/>
          <w:numId w:val="2"/>
        </w:numPr>
        <w:pBdr>
          <w:top w:val="nil"/>
          <w:left w:val="nil"/>
          <w:bottom w:val="nil"/>
          <w:right w:val="nil"/>
          <w:between w:val="nil"/>
        </w:pBdr>
        <w:spacing w:after="0"/>
      </w:pPr>
      <w:proofErr w:type="spellStart"/>
      <w:r>
        <w:rPr>
          <w:rFonts w:eastAsia="Times New Roman"/>
          <w:color w:val="000000"/>
        </w:rPr>
        <w:t>Folta</w:t>
      </w:r>
      <w:proofErr w:type="spellEnd"/>
      <w:r>
        <w:rPr>
          <w:rFonts w:eastAsia="Times New Roman"/>
          <w:color w:val="000000"/>
        </w:rPr>
        <w:t xml:space="preserve">, S., Hudson, L.B., Cohen, B. and </w:t>
      </w:r>
      <w:proofErr w:type="spellStart"/>
      <w:r>
        <w:rPr>
          <w:rFonts w:eastAsia="Times New Roman"/>
          <w:color w:val="000000"/>
        </w:rPr>
        <w:t>Cátala</w:t>
      </w:r>
      <w:proofErr w:type="spellEnd"/>
      <w:r>
        <w:rPr>
          <w:rFonts w:eastAsia="Times New Roman"/>
          <w:color w:val="000000"/>
        </w:rPr>
        <w:t xml:space="preserve">, A., 2022. </w:t>
      </w:r>
      <w:proofErr w:type="spellStart"/>
      <w:r>
        <w:rPr>
          <w:rFonts w:eastAsia="Times New Roman"/>
          <w:color w:val="000000"/>
        </w:rPr>
        <w:t>Leveling</w:t>
      </w:r>
      <w:proofErr w:type="spellEnd"/>
      <w:r>
        <w:rPr>
          <w:rFonts w:eastAsia="Times New Roman"/>
          <w:color w:val="000000"/>
        </w:rPr>
        <w:t xml:space="preserve"> the Playing Field for Community Stakeholders: Examining Practices to Improve Engagement and Address Power Dynamics. In Broadly Engaged Team Science in Clinical and Translational Research (pp. 97-105). Springer, Cham.</w:t>
      </w:r>
    </w:p>
    <w:p w14:paraId="00000037" w14:textId="77777777" w:rsidR="00E17E99" w:rsidRDefault="00644574">
      <w:pPr>
        <w:numPr>
          <w:ilvl w:val="0"/>
          <w:numId w:val="2"/>
        </w:numPr>
        <w:pBdr>
          <w:top w:val="nil"/>
          <w:left w:val="nil"/>
          <w:bottom w:val="nil"/>
          <w:right w:val="nil"/>
          <w:between w:val="nil"/>
        </w:pBdr>
        <w:spacing w:after="0"/>
      </w:pPr>
      <w:bookmarkStart w:id="8" w:name="_heading=h.gjdgxs" w:colFirst="0" w:colLast="0"/>
      <w:bookmarkEnd w:id="8"/>
      <w:proofErr w:type="spellStart"/>
      <w:r>
        <w:rPr>
          <w:rFonts w:eastAsia="Times New Roman"/>
          <w:color w:val="000000"/>
        </w:rPr>
        <w:t>Gasinska</w:t>
      </w:r>
      <w:proofErr w:type="spellEnd"/>
      <w:r>
        <w:rPr>
          <w:rFonts w:eastAsia="Times New Roman"/>
          <w:color w:val="000000"/>
        </w:rPr>
        <w:t xml:space="preserve">, A. 2020. The contribution of women to radiobiology: Marie Curie and beyond. Reports of Practical Oncology &amp; Radiotherapy, [online] 21(3), pp.250–258. Available at: </w:t>
      </w:r>
      <w:hyperlink r:id="rId9">
        <w:r>
          <w:rPr>
            <w:rFonts w:eastAsia="Times New Roman"/>
            <w:color w:val="0000FF"/>
            <w:u w:val="single"/>
          </w:rPr>
          <w:t>https://www.ncbi.nlm.nih.gov/pmc/articles/PMC5002019/</w:t>
        </w:r>
      </w:hyperlink>
      <w:r>
        <w:rPr>
          <w:rFonts w:eastAsia="Times New Roman"/>
          <w:color w:val="000000"/>
        </w:rPr>
        <w:t>.</w:t>
      </w:r>
    </w:p>
    <w:p w14:paraId="00000038" w14:textId="77777777" w:rsidR="00E17E99" w:rsidRDefault="00644574">
      <w:pPr>
        <w:numPr>
          <w:ilvl w:val="0"/>
          <w:numId w:val="2"/>
        </w:numPr>
        <w:pBdr>
          <w:top w:val="nil"/>
          <w:left w:val="nil"/>
          <w:bottom w:val="nil"/>
          <w:right w:val="nil"/>
          <w:between w:val="nil"/>
        </w:pBdr>
        <w:spacing w:after="0"/>
      </w:pPr>
      <w:r>
        <w:rPr>
          <w:rFonts w:eastAsia="Times New Roman"/>
          <w:color w:val="000000"/>
        </w:rPr>
        <w:t>Gray, D.M., Nolan, T.S., Gregory, J. and Joseph, J.J., 2021. Diversity in clinical trials: an opportunity and imperative for community engagement. The Lancet Gastroenterology &amp; Hepatology, 6(8), pp.605-607.</w:t>
      </w:r>
    </w:p>
    <w:p w14:paraId="00000039" w14:textId="77777777" w:rsidR="00E17E99" w:rsidRDefault="00644574">
      <w:pPr>
        <w:numPr>
          <w:ilvl w:val="0"/>
          <w:numId w:val="2"/>
        </w:numPr>
        <w:pBdr>
          <w:top w:val="nil"/>
          <w:left w:val="nil"/>
          <w:bottom w:val="nil"/>
          <w:right w:val="nil"/>
          <w:between w:val="nil"/>
        </w:pBdr>
        <w:spacing w:after="0"/>
      </w:pPr>
      <w:r>
        <w:rPr>
          <w:rFonts w:eastAsia="Times New Roman"/>
          <w:color w:val="000000"/>
        </w:rPr>
        <w:t>Johnston, K.A. and Lane, A.B., 2018. Building relational capital: The contribution of episodic and relational community engagement. Public Relations Review, 44(5), pp.633-644.</w:t>
      </w:r>
    </w:p>
    <w:p w14:paraId="0000003A" w14:textId="77777777" w:rsidR="00E17E99" w:rsidRDefault="00644574">
      <w:pPr>
        <w:numPr>
          <w:ilvl w:val="0"/>
          <w:numId w:val="2"/>
        </w:numPr>
        <w:pBdr>
          <w:top w:val="nil"/>
          <w:left w:val="nil"/>
          <w:bottom w:val="nil"/>
          <w:right w:val="nil"/>
          <w:between w:val="nil"/>
        </w:pBdr>
        <w:spacing w:after="0"/>
      </w:pPr>
      <w:r>
        <w:rPr>
          <w:rFonts w:eastAsia="Times New Roman"/>
          <w:color w:val="000000"/>
        </w:rPr>
        <w:t xml:space="preserve">Marie Curie 2020. Marie Curie. [online] Marie Curie. Available at: </w:t>
      </w:r>
      <w:hyperlink r:id="rId10">
        <w:r>
          <w:rPr>
            <w:rFonts w:eastAsia="Times New Roman"/>
            <w:color w:val="0000FF"/>
            <w:u w:val="single"/>
          </w:rPr>
          <w:t>https://www.mariecurie.org.uk/</w:t>
        </w:r>
      </w:hyperlink>
      <w:r>
        <w:rPr>
          <w:rFonts w:eastAsia="Times New Roman"/>
          <w:color w:val="000000"/>
        </w:rPr>
        <w:t>.</w:t>
      </w:r>
    </w:p>
    <w:p w14:paraId="0000003B" w14:textId="77777777" w:rsidR="00E17E99" w:rsidRDefault="00644574">
      <w:pPr>
        <w:numPr>
          <w:ilvl w:val="0"/>
          <w:numId w:val="2"/>
        </w:numPr>
        <w:pBdr>
          <w:top w:val="nil"/>
          <w:left w:val="nil"/>
          <w:bottom w:val="nil"/>
          <w:right w:val="nil"/>
          <w:between w:val="nil"/>
        </w:pBdr>
        <w:spacing w:after="0"/>
      </w:pPr>
      <w:r>
        <w:rPr>
          <w:rFonts w:eastAsia="Times New Roman"/>
          <w:color w:val="000000"/>
        </w:rPr>
        <w:t xml:space="preserve">Martinez, L.S., </w:t>
      </w:r>
      <w:proofErr w:type="spellStart"/>
      <w:r>
        <w:rPr>
          <w:rFonts w:eastAsia="Times New Roman"/>
          <w:color w:val="000000"/>
        </w:rPr>
        <w:t>Rapkin</w:t>
      </w:r>
      <w:proofErr w:type="spellEnd"/>
      <w:r>
        <w:rPr>
          <w:rFonts w:eastAsia="Times New Roman"/>
          <w:color w:val="000000"/>
        </w:rPr>
        <w:t xml:space="preserve">, B.D., Young, A., </w:t>
      </w:r>
      <w:proofErr w:type="spellStart"/>
      <w:r>
        <w:rPr>
          <w:rFonts w:eastAsia="Times New Roman"/>
          <w:color w:val="000000"/>
        </w:rPr>
        <w:t>Freisthler</w:t>
      </w:r>
      <w:proofErr w:type="spellEnd"/>
      <w:r>
        <w:rPr>
          <w:rFonts w:eastAsia="Times New Roman"/>
          <w:color w:val="000000"/>
        </w:rPr>
        <w:t xml:space="preserve">, B., Glasgow, L., Hunt, T., </w:t>
      </w:r>
      <w:proofErr w:type="spellStart"/>
      <w:r>
        <w:rPr>
          <w:rFonts w:eastAsia="Times New Roman"/>
          <w:color w:val="000000"/>
        </w:rPr>
        <w:t>Salsberry</w:t>
      </w:r>
      <w:proofErr w:type="spellEnd"/>
      <w:r>
        <w:rPr>
          <w:rFonts w:eastAsia="Times New Roman"/>
          <w:color w:val="000000"/>
        </w:rPr>
        <w:t xml:space="preserve">, P.J., </w:t>
      </w:r>
      <w:proofErr w:type="spellStart"/>
      <w:r>
        <w:rPr>
          <w:rFonts w:eastAsia="Times New Roman"/>
          <w:color w:val="000000"/>
        </w:rPr>
        <w:t>Oga</w:t>
      </w:r>
      <w:proofErr w:type="spellEnd"/>
      <w:r>
        <w:rPr>
          <w:rFonts w:eastAsia="Times New Roman"/>
          <w:color w:val="000000"/>
        </w:rPr>
        <w:t>, E.A., Bennet-</w:t>
      </w:r>
      <w:proofErr w:type="spellStart"/>
      <w:r>
        <w:rPr>
          <w:rFonts w:eastAsia="Times New Roman"/>
          <w:color w:val="000000"/>
        </w:rPr>
        <w:t>Fallin</w:t>
      </w:r>
      <w:proofErr w:type="spellEnd"/>
      <w:r>
        <w:rPr>
          <w:rFonts w:eastAsia="Times New Roman"/>
          <w:color w:val="000000"/>
        </w:rPr>
        <w:t xml:space="preserve">, A., </w:t>
      </w:r>
      <w:proofErr w:type="spellStart"/>
      <w:r>
        <w:rPr>
          <w:rFonts w:eastAsia="Times New Roman"/>
          <w:color w:val="000000"/>
        </w:rPr>
        <w:t>Plouck</w:t>
      </w:r>
      <w:proofErr w:type="spellEnd"/>
      <w:r>
        <w:rPr>
          <w:rFonts w:eastAsia="Times New Roman"/>
          <w:color w:val="000000"/>
        </w:rPr>
        <w:t xml:space="preserve">, T.J. and </w:t>
      </w:r>
      <w:proofErr w:type="spellStart"/>
      <w:r>
        <w:rPr>
          <w:rFonts w:eastAsia="Times New Roman"/>
          <w:color w:val="000000"/>
        </w:rPr>
        <w:t>Drainoni</w:t>
      </w:r>
      <w:proofErr w:type="spellEnd"/>
      <w:r>
        <w:rPr>
          <w:rFonts w:eastAsia="Times New Roman"/>
          <w:color w:val="000000"/>
        </w:rPr>
        <w:t xml:space="preserve">, M.L., 2020. Community engagement to implement evidence-based practices in the </w:t>
      </w:r>
      <w:proofErr w:type="spellStart"/>
      <w:r>
        <w:rPr>
          <w:rFonts w:eastAsia="Times New Roman"/>
          <w:color w:val="000000"/>
        </w:rPr>
        <w:t>HEALing</w:t>
      </w:r>
      <w:proofErr w:type="spellEnd"/>
      <w:r>
        <w:rPr>
          <w:rFonts w:eastAsia="Times New Roman"/>
          <w:color w:val="000000"/>
        </w:rPr>
        <w:t xml:space="preserve"> Communities Study. Drug and Alcohol Dependence, 217, p.108326.</w:t>
      </w:r>
    </w:p>
    <w:p w14:paraId="0000003C" w14:textId="77777777" w:rsidR="00E17E99" w:rsidRDefault="00644574">
      <w:pPr>
        <w:numPr>
          <w:ilvl w:val="0"/>
          <w:numId w:val="2"/>
        </w:numPr>
        <w:pBdr>
          <w:top w:val="nil"/>
          <w:left w:val="nil"/>
          <w:bottom w:val="nil"/>
          <w:right w:val="nil"/>
          <w:between w:val="nil"/>
        </w:pBdr>
        <w:spacing w:after="0"/>
      </w:pPr>
      <w:r>
        <w:rPr>
          <w:rFonts w:eastAsia="Times New Roman"/>
          <w:color w:val="000000"/>
        </w:rPr>
        <w:t xml:space="preserve">Mehta, M., </w:t>
      </w:r>
      <w:proofErr w:type="spellStart"/>
      <w:r>
        <w:rPr>
          <w:rFonts w:eastAsia="Times New Roman"/>
          <w:color w:val="000000"/>
        </w:rPr>
        <w:t>Sarvaiya</w:t>
      </w:r>
      <w:proofErr w:type="spellEnd"/>
      <w:r>
        <w:rPr>
          <w:rFonts w:eastAsia="Times New Roman"/>
          <w:color w:val="000000"/>
        </w:rPr>
        <w:t xml:space="preserve">, H. and </w:t>
      </w:r>
      <w:proofErr w:type="spellStart"/>
      <w:r>
        <w:rPr>
          <w:rFonts w:eastAsia="Times New Roman"/>
          <w:color w:val="000000"/>
        </w:rPr>
        <w:t>Chandani</w:t>
      </w:r>
      <w:proofErr w:type="spellEnd"/>
      <w:r>
        <w:rPr>
          <w:rFonts w:eastAsia="Times New Roman"/>
          <w:color w:val="000000"/>
        </w:rPr>
        <w:t xml:space="preserve">, A., 2020. Community engagement through responsible leadership in managing pandemic: insight from India using </w:t>
      </w:r>
      <w:proofErr w:type="spellStart"/>
      <w:r>
        <w:rPr>
          <w:rFonts w:eastAsia="Times New Roman"/>
          <w:color w:val="000000"/>
        </w:rPr>
        <w:t>netnography</w:t>
      </w:r>
      <w:proofErr w:type="spellEnd"/>
      <w:r>
        <w:rPr>
          <w:rFonts w:eastAsia="Times New Roman"/>
          <w:color w:val="000000"/>
        </w:rPr>
        <w:t>. International Journal of Sociology and Social Policy.</w:t>
      </w:r>
    </w:p>
    <w:p w14:paraId="0000003D" w14:textId="77777777" w:rsidR="00E17E99" w:rsidRDefault="00644574">
      <w:pPr>
        <w:numPr>
          <w:ilvl w:val="0"/>
          <w:numId w:val="2"/>
        </w:numPr>
        <w:pBdr>
          <w:top w:val="nil"/>
          <w:left w:val="nil"/>
          <w:bottom w:val="nil"/>
          <w:right w:val="nil"/>
          <w:between w:val="nil"/>
        </w:pBdr>
        <w:spacing w:after="0"/>
      </w:pPr>
      <w:r>
        <w:rPr>
          <w:rFonts w:eastAsia="Times New Roman"/>
          <w:color w:val="000000"/>
        </w:rPr>
        <w:lastRenderedPageBreak/>
        <w:t>POLARIS. 2021. Marie Curie Charity Digital PR &amp; Outreach. [online] Available at: https://www.polarisagency.com/case-studies/marie-curie-charity-digital-pr-outreach/ [Accessed 9 Apr. 2022].</w:t>
      </w:r>
    </w:p>
    <w:p w14:paraId="0000003E" w14:textId="77777777" w:rsidR="00E17E99" w:rsidRDefault="00644574">
      <w:pPr>
        <w:numPr>
          <w:ilvl w:val="0"/>
          <w:numId w:val="2"/>
        </w:numPr>
        <w:pBdr>
          <w:top w:val="nil"/>
          <w:left w:val="nil"/>
          <w:bottom w:val="nil"/>
          <w:right w:val="nil"/>
          <w:between w:val="nil"/>
        </w:pBdr>
        <w:spacing w:after="0"/>
      </w:pPr>
      <w:r>
        <w:rPr>
          <w:rFonts w:eastAsia="Times New Roman"/>
          <w:color w:val="000000"/>
        </w:rPr>
        <w:t>Rehman, A.U. and Awuah-</w:t>
      </w:r>
      <w:proofErr w:type="spellStart"/>
      <w:r>
        <w:rPr>
          <w:rFonts w:eastAsia="Times New Roman"/>
          <w:color w:val="000000"/>
        </w:rPr>
        <w:t>Offei</w:t>
      </w:r>
      <w:proofErr w:type="spellEnd"/>
      <w:r>
        <w:rPr>
          <w:rFonts w:eastAsia="Times New Roman"/>
          <w:color w:val="000000"/>
        </w:rPr>
        <w:t>, K., 2018. Investigating Information Diffusion Potential of Social Media Networks for Effective Community Engagement.</w:t>
      </w:r>
    </w:p>
    <w:p w14:paraId="0000003F" w14:textId="77777777" w:rsidR="00E17E99" w:rsidRDefault="00644574">
      <w:pPr>
        <w:numPr>
          <w:ilvl w:val="0"/>
          <w:numId w:val="2"/>
        </w:numPr>
        <w:pBdr>
          <w:top w:val="nil"/>
          <w:left w:val="nil"/>
          <w:bottom w:val="nil"/>
          <w:right w:val="nil"/>
          <w:between w:val="nil"/>
        </w:pBdr>
        <w:spacing w:after="0"/>
      </w:pPr>
      <w:r>
        <w:rPr>
          <w:rFonts w:eastAsia="Times New Roman"/>
          <w:color w:val="000000"/>
        </w:rPr>
        <w:t xml:space="preserve">Tembo, D., Hickey, G., Montenegro, C., Chandler, D., Nelson, E., Porter, K., </w:t>
      </w:r>
      <w:proofErr w:type="spellStart"/>
      <w:r>
        <w:rPr>
          <w:rFonts w:eastAsia="Times New Roman"/>
          <w:color w:val="000000"/>
        </w:rPr>
        <w:t>Dikomitis</w:t>
      </w:r>
      <w:proofErr w:type="spellEnd"/>
      <w:r>
        <w:rPr>
          <w:rFonts w:eastAsia="Times New Roman"/>
          <w:color w:val="000000"/>
        </w:rPr>
        <w:t xml:space="preserve">, L., Chambers, M., </w:t>
      </w:r>
      <w:proofErr w:type="spellStart"/>
      <w:r>
        <w:rPr>
          <w:rFonts w:eastAsia="Times New Roman"/>
          <w:color w:val="000000"/>
        </w:rPr>
        <w:t>Chimbari</w:t>
      </w:r>
      <w:proofErr w:type="spellEnd"/>
      <w:r>
        <w:rPr>
          <w:rFonts w:eastAsia="Times New Roman"/>
          <w:color w:val="000000"/>
        </w:rPr>
        <w:t>, M., Mumba, N. and Beresford, P., 2021. Effective engagement and involvement with community stakeholders in the co-production of global health research. </w:t>
      </w:r>
      <w:proofErr w:type="spellStart"/>
      <w:r>
        <w:rPr>
          <w:rFonts w:eastAsia="Times New Roman"/>
          <w:color w:val="000000"/>
        </w:rPr>
        <w:t>bmj</w:t>
      </w:r>
      <w:proofErr w:type="spellEnd"/>
      <w:r>
        <w:rPr>
          <w:rFonts w:eastAsia="Times New Roman"/>
          <w:color w:val="000000"/>
        </w:rPr>
        <w:t>, 372.</w:t>
      </w:r>
    </w:p>
    <w:p w14:paraId="00000040" w14:textId="77777777" w:rsidR="00E17E99" w:rsidRDefault="00644574">
      <w:pPr>
        <w:numPr>
          <w:ilvl w:val="0"/>
          <w:numId w:val="2"/>
        </w:numPr>
        <w:pBdr>
          <w:top w:val="nil"/>
          <w:left w:val="nil"/>
          <w:bottom w:val="nil"/>
          <w:right w:val="nil"/>
          <w:between w:val="nil"/>
        </w:pBdr>
      </w:pPr>
      <w:proofErr w:type="spellStart"/>
      <w:r>
        <w:rPr>
          <w:rFonts w:eastAsia="Times New Roman"/>
          <w:color w:val="000000"/>
        </w:rPr>
        <w:t>Vleminck</w:t>
      </w:r>
      <w:proofErr w:type="spellEnd"/>
      <w:r>
        <w:rPr>
          <w:rFonts w:eastAsia="Times New Roman"/>
          <w:color w:val="000000"/>
        </w:rPr>
        <w:t xml:space="preserve">, A.D., Paul, S., </w:t>
      </w:r>
      <w:proofErr w:type="spellStart"/>
      <w:r>
        <w:rPr>
          <w:rFonts w:eastAsia="Times New Roman"/>
          <w:color w:val="000000"/>
        </w:rPr>
        <w:t>Reinius</w:t>
      </w:r>
      <w:proofErr w:type="spellEnd"/>
      <w:r>
        <w:rPr>
          <w:rFonts w:eastAsia="Times New Roman"/>
          <w:color w:val="000000"/>
        </w:rPr>
        <w:t xml:space="preserve">, M., </w:t>
      </w:r>
      <w:proofErr w:type="spellStart"/>
      <w:r>
        <w:rPr>
          <w:rFonts w:eastAsia="Times New Roman"/>
          <w:color w:val="000000"/>
        </w:rPr>
        <w:t>Sallnow</w:t>
      </w:r>
      <w:proofErr w:type="spellEnd"/>
      <w:r>
        <w:rPr>
          <w:rFonts w:eastAsia="Times New Roman"/>
          <w:color w:val="000000"/>
        </w:rPr>
        <w:t xml:space="preserve">, L., </w:t>
      </w:r>
      <w:proofErr w:type="spellStart"/>
      <w:r>
        <w:rPr>
          <w:rFonts w:eastAsia="Times New Roman"/>
          <w:color w:val="000000"/>
        </w:rPr>
        <w:t>Tishelman</w:t>
      </w:r>
      <w:proofErr w:type="spellEnd"/>
      <w:r>
        <w:rPr>
          <w:rFonts w:eastAsia="Times New Roman"/>
          <w:color w:val="000000"/>
        </w:rPr>
        <w:t>, C. and Cohen, J., 2022. Engagement of specialized palliative care services with the general public: A population-level survey in three European countries. Palliative Medicine, p.02692163221079546.</w:t>
      </w:r>
    </w:p>
    <w:sectPr w:rsidR="00E17E99" w:rsidSect="0008692E">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6C0943" w14:textId="77777777" w:rsidR="00E2329D" w:rsidRDefault="00E2329D" w:rsidP="0008692E">
      <w:pPr>
        <w:spacing w:after="0" w:line="240" w:lineRule="auto"/>
      </w:pPr>
      <w:r>
        <w:separator/>
      </w:r>
    </w:p>
  </w:endnote>
  <w:endnote w:type="continuationSeparator" w:id="0">
    <w:p w14:paraId="33A155D7" w14:textId="77777777" w:rsidR="00E2329D" w:rsidRDefault="00E2329D" w:rsidP="000869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oto Sans Symbols">
    <w:altName w:val="Calibri"/>
    <w:panose1 w:val="020B0604020202020204"/>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74072772"/>
      <w:docPartObj>
        <w:docPartGallery w:val="Page Numbers (Bottom of Page)"/>
        <w:docPartUnique/>
      </w:docPartObj>
    </w:sdtPr>
    <w:sdtEndPr>
      <w:rPr>
        <w:noProof/>
      </w:rPr>
    </w:sdtEndPr>
    <w:sdtContent>
      <w:p w14:paraId="4CF1784B" w14:textId="413C7A20" w:rsidR="0008692E" w:rsidRDefault="0008692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2663DAD" w14:textId="77777777" w:rsidR="0008692E" w:rsidRDefault="000869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3B0AB8" w14:textId="77777777" w:rsidR="00E2329D" w:rsidRDefault="00E2329D" w:rsidP="0008692E">
      <w:pPr>
        <w:spacing w:after="0" w:line="240" w:lineRule="auto"/>
      </w:pPr>
      <w:r>
        <w:separator/>
      </w:r>
    </w:p>
  </w:footnote>
  <w:footnote w:type="continuationSeparator" w:id="0">
    <w:p w14:paraId="05D3F0A0" w14:textId="77777777" w:rsidR="00E2329D" w:rsidRDefault="00E2329D" w:rsidP="0008692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E469B1"/>
    <w:multiLevelType w:val="multilevel"/>
    <w:tmpl w:val="D8CC98F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5E13A35"/>
    <w:multiLevelType w:val="multilevel"/>
    <w:tmpl w:val="7C2E91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602613310">
    <w:abstractNumId w:val="0"/>
  </w:num>
  <w:num w:numId="2" w16cid:durableId="86868832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E99"/>
    <w:rsid w:val="0008692E"/>
    <w:rsid w:val="003A441F"/>
    <w:rsid w:val="00644574"/>
    <w:rsid w:val="007B53A1"/>
    <w:rsid w:val="007F0E1E"/>
    <w:rsid w:val="009F7FE7"/>
    <w:rsid w:val="00AB2F82"/>
    <w:rsid w:val="00BD2E6B"/>
    <w:rsid w:val="00E17E99"/>
    <w:rsid w:val="00E2329D"/>
    <w:rsid w:val="00E420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EBB4E0"/>
  <w15:docId w15:val="{881589C2-CEFB-4E55-84F0-E396DADBB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4C69"/>
    <w:rPr>
      <w:rFonts w:eastAsiaTheme="minorEastAsia"/>
    </w:rPr>
  </w:style>
  <w:style w:type="paragraph" w:styleId="Heading1">
    <w:name w:val="heading 1"/>
    <w:basedOn w:val="Normal"/>
    <w:next w:val="Normal"/>
    <w:link w:val="Heading1Char"/>
    <w:uiPriority w:val="9"/>
    <w:qFormat/>
    <w:rsid w:val="007F0E1E"/>
    <w:pPr>
      <w:keepNext/>
      <w:keepLines/>
      <w:spacing w:before="240"/>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semiHidden/>
    <w:unhideWhenUsed/>
    <w:qFormat/>
    <w:rsid w:val="007F0E1E"/>
    <w:pPr>
      <w:keepNext/>
      <w:keepLines/>
      <w:spacing w:before="40"/>
      <w:outlineLvl w:val="1"/>
    </w:pPr>
    <w:rPr>
      <w:rFonts w:eastAsiaTheme="majorEastAsia" w:cstheme="majorBidi"/>
      <w:b/>
      <w:color w:val="000000" w:themeColor="text1"/>
      <w:sz w:val="28"/>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customStyle="1" w:styleId="Heading1Char">
    <w:name w:val="Heading 1 Char"/>
    <w:basedOn w:val="DefaultParagraphFont"/>
    <w:link w:val="Heading1"/>
    <w:uiPriority w:val="9"/>
    <w:rsid w:val="007F0E1E"/>
    <w:rPr>
      <w:rFonts w:eastAsiaTheme="majorEastAsia" w:cstheme="majorBidi"/>
      <w:b/>
      <w:color w:val="000000" w:themeColor="text1"/>
      <w:sz w:val="32"/>
      <w:szCs w:val="32"/>
    </w:rPr>
  </w:style>
  <w:style w:type="character" w:customStyle="1" w:styleId="Heading2Char">
    <w:name w:val="Heading 2 Char"/>
    <w:basedOn w:val="DefaultParagraphFont"/>
    <w:link w:val="Heading2"/>
    <w:uiPriority w:val="9"/>
    <w:semiHidden/>
    <w:rsid w:val="007F0E1E"/>
    <w:rPr>
      <w:rFonts w:eastAsiaTheme="majorEastAsia" w:cstheme="majorBidi"/>
      <w:b/>
      <w:color w:val="000000" w:themeColor="text1"/>
      <w:sz w:val="28"/>
      <w:szCs w:val="26"/>
    </w:rPr>
  </w:style>
  <w:style w:type="paragraph" w:styleId="NormalWeb">
    <w:name w:val="Normal (Web)"/>
    <w:basedOn w:val="Normal"/>
    <w:uiPriority w:val="99"/>
    <w:semiHidden/>
    <w:unhideWhenUsed/>
    <w:rsid w:val="00924FB8"/>
    <w:pPr>
      <w:spacing w:before="100" w:beforeAutospacing="1" w:after="100" w:afterAutospacing="1" w:line="240" w:lineRule="auto"/>
      <w:jc w:val="left"/>
    </w:pPr>
    <w:rPr>
      <w:rFonts w:eastAsia="Times New Roman"/>
      <w:lang w:val="en-US"/>
    </w:rPr>
  </w:style>
  <w:style w:type="character" w:styleId="Hyperlink">
    <w:name w:val="Hyperlink"/>
    <w:basedOn w:val="DefaultParagraphFont"/>
    <w:uiPriority w:val="99"/>
    <w:unhideWhenUsed/>
    <w:rsid w:val="00924FB8"/>
    <w:rPr>
      <w:color w:val="0000FF"/>
      <w:u w:val="single"/>
    </w:rPr>
  </w:style>
  <w:style w:type="character" w:customStyle="1" w:styleId="hgkelc">
    <w:name w:val="hgkelc"/>
    <w:basedOn w:val="DefaultParagraphFont"/>
    <w:rsid w:val="009C5B99"/>
  </w:style>
  <w:style w:type="paragraph" w:customStyle="1" w:styleId="standardblogposttext">
    <w:name w:val="standardblogposttext"/>
    <w:basedOn w:val="Normal"/>
    <w:rsid w:val="00D42059"/>
    <w:pPr>
      <w:spacing w:before="100" w:beforeAutospacing="1" w:after="100" w:afterAutospacing="1" w:line="240" w:lineRule="auto"/>
      <w:jc w:val="left"/>
    </w:pPr>
    <w:rPr>
      <w:rFonts w:eastAsia="Times New Roman"/>
      <w:lang w:val="en-US"/>
    </w:rPr>
  </w:style>
  <w:style w:type="paragraph" w:customStyle="1" w:styleId="p1">
    <w:name w:val="p1"/>
    <w:basedOn w:val="Normal"/>
    <w:rsid w:val="00F76400"/>
    <w:pPr>
      <w:spacing w:before="100" w:beforeAutospacing="1" w:after="100" w:afterAutospacing="1" w:line="240" w:lineRule="auto"/>
      <w:jc w:val="left"/>
    </w:pPr>
    <w:rPr>
      <w:rFonts w:eastAsia="Times New Roman"/>
      <w:lang w:val="en-US"/>
    </w:rPr>
  </w:style>
  <w:style w:type="paragraph" w:styleId="ListParagraph">
    <w:name w:val="List Paragraph"/>
    <w:basedOn w:val="Normal"/>
    <w:uiPriority w:val="34"/>
    <w:qFormat/>
    <w:rsid w:val="00507EF2"/>
    <w:pPr>
      <w:ind w:left="720"/>
      <w:contextualSpacing/>
    </w:pPr>
  </w:style>
  <w:style w:type="paragraph" w:customStyle="1" w:styleId="myvuie">
    <w:name w:val="myvuie"/>
    <w:basedOn w:val="Normal"/>
    <w:rsid w:val="00EB78DB"/>
    <w:pPr>
      <w:spacing w:before="100" w:beforeAutospacing="1" w:after="100" w:afterAutospacing="1" w:line="240" w:lineRule="auto"/>
      <w:jc w:val="left"/>
    </w:pPr>
    <w:rPr>
      <w:rFonts w:eastAsia="Times New Roman"/>
      <w:lang w:val="en-US"/>
    </w:rPr>
  </w:style>
  <w:style w:type="character" w:styleId="Emphasis">
    <w:name w:val="Emphasis"/>
    <w:basedOn w:val="DefaultParagraphFont"/>
    <w:uiPriority w:val="20"/>
    <w:qFormat/>
    <w:rsid w:val="00EB78DB"/>
    <w:rPr>
      <w:i/>
      <w:iCs/>
    </w:rPr>
  </w:style>
  <w:style w:type="character" w:styleId="UnresolvedMention">
    <w:name w:val="Unresolved Mention"/>
    <w:basedOn w:val="DefaultParagraphFont"/>
    <w:uiPriority w:val="99"/>
    <w:semiHidden/>
    <w:unhideWhenUsed/>
    <w:rsid w:val="00552A99"/>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Heading">
    <w:name w:val="TOC Heading"/>
    <w:basedOn w:val="Heading1"/>
    <w:next w:val="Normal"/>
    <w:uiPriority w:val="39"/>
    <w:unhideWhenUsed/>
    <w:qFormat/>
    <w:rsid w:val="003A441F"/>
    <w:pPr>
      <w:spacing w:after="0"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A441F"/>
    <w:pPr>
      <w:spacing w:after="100"/>
    </w:pPr>
  </w:style>
  <w:style w:type="paragraph" w:styleId="Header">
    <w:name w:val="header"/>
    <w:basedOn w:val="Normal"/>
    <w:link w:val="HeaderChar"/>
    <w:uiPriority w:val="99"/>
    <w:unhideWhenUsed/>
    <w:rsid w:val="0008692E"/>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692E"/>
    <w:rPr>
      <w:rFonts w:eastAsiaTheme="minorEastAsia"/>
    </w:rPr>
  </w:style>
  <w:style w:type="paragraph" w:styleId="Footer">
    <w:name w:val="footer"/>
    <w:basedOn w:val="Normal"/>
    <w:link w:val="FooterChar"/>
    <w:uiPriority w:val="99"/>
    <w:unhideWhenUsed/>
    <w:rsid w:val="0008692E"/>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692E"/>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mariecurie.org.uk/" TargetMode="External"/><Relationship Id="rId4" Type="http://schemas.openxmlformats.org/officeDocument/2006/relationships/styles" Target="styles.xml"/><Relationship Id="rId9" Type="http://schemas.openxmlformats.org/officeDocument/2006/relationships/hyperlink" Target="https://www.ncbi.nlm.nih.gov/pmc/articles/PMC500201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go:gDocsCustomXmlDataStorage xmlns:go="http://customooxmlschemas.google.com/" xmlns:r="http://schemas.openxmlformats.org/officeDocument/2006/relationships">
  <go:docsCustomData xmlns:go="http://customooxmlschemas.google.com/" roundtripDataSignature="AMtx7mhJDvAffJgGoN5TiUM6dKLMLuopEg==">AMUW2mVC4TouniSLwBQQ/VAt7PYZjFIWEwSnjQ0DvggE6+DllH8ba+5Tfw2dfSpz9fyD80jj1FGBem95TTi5xFd7YV1IW484GxF864K1DlZGniR67bhF04vSiQfAjweFPgA1491HBYSs</go:docsCustomData>
</go:gDocsCustomXmlDataStorage>
</file>

<file path=customXml/itemProps1.xml><?xml version="1.0" encoding="utf-8"?>
<ds:datastoreItem xmlns:ds="http://schemas.openxmlformats.org/officeDocument/2006/customXml" ds:itemID="{7248CD5E-7EC0-4306-9986-F5BDFA64CAC9}">
  <ds:schemaRefs>
    <ds:schemaRef ds:uri="http://schemas.openxmlformats.org/officeDocument/2006/bibliography"/>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11</Pages>
  <Words>2599</Words>
  <Characters>14818</Characters>
  <Application>Microsoft Office Word</Application>
  <DocSecurity>0</DocSecurity>
  <Lines>123</Lines>
  <Paragraphs>34</Paragraphs>
  <ScaleCrop>false</ScaleCrop>
  <Company/>
  <LinksUpToDate>false</LinksUpToDate>
  <CharactersWithSpaces>17383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Sabrina Belcianu</cp:lastModifiedBy>
  <cp:revision>2</cp:revision>
  <dcterms:created xsi:type="dcterms:W3CDTF">2022-04-09T08:32:00Z</dcterms:created>
  <dcterms:modified xsi:type="dcterms:W3CDTF">2022-04-29T15:52:00Z</dcterms:modified>
</cp:coreProperties>
</file>