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D51D08" w14:textId="77777777" w:rsidR="004E7C70" w:rsidRDefault="004E7C70" w:rsidP="004E7C70">
      <w:pPr>
        <w:pStyle w:val="Heading1"/>
      </w:pPr>
      <w:r w:rsidRPr="0089231B">
        <w:rPr>
          <w:noProof/>
          <w:shd w:val="clear" w:color="auto" w:fill="8EAADB" w:themeFill="accent1" w:themeFillTint="99"/>
          <w:lang w:eastAsia="en-GB"/>
        </w:rPr>
        <w:drawing>
          <wp:inline distT="0" distB="0" distL="0" distR="0" wp14:anchorId="0180432A" wp14:editId="309D5D61">
            <wp:extent cx="2057400" cy="850900"/>
            <wp:effectExtent l="0" t="0" r="0" b="0"/>
            <wp:docPr id="1" name="Picture 1" descr="C:\Users\ablettm\AppData\Local\Microsoft\Windows\Temporary Internet Files\Content.Outlook\R41HOZLM\UWTSD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400" cy="850900"/>
                    </a:xfrm>
                    <a:prstGeom prst="rect">
                      <a:avLst/>
                    </a:prstGeom>
                    <a:noFill/>
                    <a:ln>
                      <a:noFill/>
                    </a:ln>
                  </pic:spPr>
                </pic:pic>
              </a:graphicData>
            </a:graphic>
          </wp:inline>
        </w:drawing>
      </w:r>
    </w:p>
    <w:p w14:paraId="25C7B36B" w14:textId="77777777" w:rsidR="004E7C70" w:rsidRDefault="004E7C70" w:rsidP="004E7C70">
      <w:pPr>
        <w:pStyle w:val="NormalWeb"/>
        <w:spacing w:before="0" w:beforeAutospacing="0" w:after="0" w:afterAutospacing="0"/>
        <w:ind w:left="-180" w:right="-334"/>
      </w:pPr>
    </w:p>
    <w:p w14:paraId="793ADED8" w14:textId="77777777" w:rsidR="004E7C70" w:rsidRDefault="004E7C70" w:rsidP="004E7C70">
      <w:pPr>
        <w:pStyle w:val="NormalWeb"/>
        <w:spacing w:before="0" w:beforeAutospacing="0" w:after="0" w:afterAutospacing="0"/>
        <w:ind w:left="-180" w:right="-334"/>
      </w:pPr>
    </w:p>
    <w:p w14:paraId="6283EF8A" w14:textId="77777777" w:rsidR="004E7C70" w:rsidRDefault="004E7C70" w:rsidP="004E7C7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A8970B3" w14:textId="77777777" w:rsidR="004E7C70" w:rsidRPr="00230F35" w:rsidRDefault="004E7C70" w:rsidP="004E7C7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5B56EA1" w14:textId="77777777" w:rsidR="004E7C70" w:rsidRPr="00230F35" w:rsidRDefault="004E7C70" w:rsidP="004E7C70">
      <w:pPr>
        <w:rPr>
          <w:rFonts w:ascii="Arial" w:hAnsi="Arial" w:cs="Arial"/>
          <w:sz w:val="28"/>
          <w:szCs w:val="28"/>
          <w:lang w:val="cy-GB"/>
        </w:rPr>
      </w:pPr>
    </w:p>
    <w:p w14:paraId="1C61C3AC" w14:textId="77777777" w:rsidR="004E7C70" w:rsidRDefault="004E7C70" w:rsidP="004E7C70">
      <w:pPr>
        <w:pStyle w:val="Heading3"/>
        <w:jc w:val="center"/>
        <w:rPr>
          <w:lang w:val="cy-GB"/>
        </w:rPr>
      </w:pPr>
      <w:r>
        <w:rPr>
          <w:lang w:val="cy-GB"/>
        </w:rPr>
        <w:t>THIS SHEET MUST BE THE FIRST PAGE OF THE ASSIGNMENT YOU ARE SUBMITTING  (DO NOT SEND AS A SEPARATE FILE)</w:t>
      </w:r>
    </w:p>
    <w:p w14:paraId="6D9C6543" w14:textId="77777777" w:rsidR="004E7C70" w:rsidRDefault="004E7C70" w:rsidP="004E7C7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2266"/>
        <w:gridCol w:w="1802"/>
      </w:tblGrid>
      <w:tr w:rsidR="004E7C70" w:rsidRPr="00230F35" w14:paraId="3F69D478" w14:textId="77777777" w:rsidTr="007E5C76">
        <w:trPr>
          <w:trHeight w:val="511"/>
        </w:trPr>
        <w:tc>
          <w:tcPr>
            <w:tcW w:w="8856" w:type="dxa"/>
            <w:gridSpan w:val="3"/>
          </w:tcPr>
          <w:p w14:paraId="23E5BBFE" w14:textId="77777777" w:rsidR="004E7C70" w:rsidRPr="00230F35"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E7C70" w:rsidRPr="00230F35" w14:paraId="1DCFC86D" w14:textId="77777777" w:rsidTr="00E53C17">
        <w:trPr>
          <w:trHeight w:val="591"/>
        </w:trPr>
        <w:tc>
          <w:tcPr>
            <w:tcW w:w="8856" w:type="dxa"/>
            <w:gridSpan w:val="3"/>
          </w:tcPr>
          <w:p w14:paraId="5A08C739" w14:textId="77777777" w:rsidR="004E7C70" w:rsidRPr="00230F35"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Ian Matthews</w:t>
            </w:r>
          </w:p>
        </w:tc>
      </w:tr>
      <w:tr w:rsidR="004E7C70" w:rsidRPr="00230F35" w14:paraId="5A792421" w14:textId="77777777" w:rsidTr="00246073">
        <w:trPr>
          <w:trHeight w:val="849"/>
        </w:trPr>
        <w:tc>
          <w:tcPr>
            <w:tcW w:w="4788" w:type="dxa"/>
          </w:tcPr>
          <w:p w14:paraId="4748B498" w14:textId="77777777" w:rsidR="004E7C70" w:rsidRPr="00230F35"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CSEN7021</w:t>
            </w:r>
          </w:p>
          <w:p w14:paraId="4B45117F" w14:textId="77777777" w:rsidR="004E7C70" w:rsidRPr="00230F35" w:rsidRDefault="004E7C70" w:rsidP="00E53C17">
            <w:pPr>
              <w:pStyle w:val="NormalWeb"/>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Shock of the New</w:t>
            </w:r>
          </w:p>
        </w:tc>
        <w:tc>
          <w:tcPr>
            <w:tcW w:w="2266" w:type="dxa"/>
          </w:tcPr>
          <w:p w14:paraId="33BD0CA7" w14:textId="77777777" w:rsidR="004E7C70"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69B4280" w14:textId="77777777" w:rsidR="00E53C17" w:rsidRDefault="00E53C17" w:rsidP="00246073">
            <w:pPr>
              <w:pStyle w:val="NormalWeb"/>
              <w:spacing w:before="0" w:beforeAutospacing="0" w:after="0" w:afterAutospacing="0"/>
              <w:ind w:right="34"/>
              <w:rPr>
                <w:rFonts w:ascii="Arial" w:hAnsi="Arial" w:cs="Arial"/>
                <w:sz w:val="22"/>
                <w:szCs w:val="22"/>
              </w:rPr>
            </w:pPr>
          </w:p>
          <w:p w14:paraId="3D530E8E" w14:textId="77777777" w:rsidR="004E7C70" w:rsidRPr="00230F35" w:rsidRDefault="004E7C70" w:rsidP="00246073">
            <w:pPr>
              <w:pStyle w:val="NormalWeb"/>
              <w:spacing w:before="0" w:beforeAutospacing="0" w:after="0" w:afterAutospacing="0"/>
              <w:ind w:right="34"/>
              <w:rPr>
                <w:rFonts w:ascii="Arial" w:hAnsi="Arial" w:cs="Arial"/>
                <w:sz w:val="22"/>
                <w:szCs w:val="22"/>
              </w:rPr>
            </w:pPr>
            <w:r>
              <w:rPr>
                <w:rFonts w:ascii="Arial" w:hAnsi="Arial" w:cs="Arial"/>
                <w:sz w:val="22"/>
                <w:szCs w:val="22"/>
              </w:rPr>
              <w:t>1602111</w:t>
            </w:r>
          </w:p>
        </w:tc>
        <w:tc>
          <w:tcPr>
            <w:tcW w:w="1802" w:type="dxa"/>
          </w:tcPr>
          <w:p w14:paraId="36622059" w14:textId="77777777" w:rsidR="004E7C70" w:rsidRPr="00230F35"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D7FCA19" w14:textId="77777777" w:rsidR="004E7C70" w:rsidRPr="00230F35" w:rsidRDefault="004E7C70" w:rsidP="00246073">
            <w:pPr>
              <w:pStyle w:val="NormalWeb"/>
              <w:spacing w:before="0" w:beforeAutospacing="0" w:after="0" w:afterAutospacing="0"/>
              <w:ind w:right="34"/>
              <w:rPr>
                <w:rFonts w:ascii="Arial" w:hAnsi="Arial" w:cs="Arial"/>
                <w:sz w:val="22"/>
                <w:szCs w:val="22"/>
              </w:rPr>
            </w:pPr>
            <w:r w:rsidRPr="0089733B">
              <w:rPr>
                <w:rFonts w:ascii="Arial" w:hAnsi="Arial" w:cs="Arial"/>
                <w:strike/>
                <w:sz w:val="22"/>
                <w:szCs w:val="22"/>
              </w:rPr>
              <w:t>Yes</w:t>
            </w:r>
            <w:r w:rsidRPr="00230F35">
              <w:rPr>
                <w:rFonts w:ascii="Arial" w:hAnsi="Arial" w:cs="Arial"/>
                <w:sz w:val="22"/>
                <w:szCs w:val="22"/>
              </w:rPr>
              <w:t>/No</w:t>
            </w:r>
          </w:p>
        </w:tc>
      </w:tr>
      <w:tr w:rsidR="004E7C70" w:rsidRPr="00230F35" w14:paraId="02610747" w14:textId="77777777" w:rsidTr="00246073">
        <w:trPr>
          <w:trHeight w:val="1139"/>
        </w:trPr>
        <w:tc>
          <w:tcPr>
            <w:tcW w:w="8856" w:type="dxa"/>
            <w:gridSpan w:val="3"/>
          </w:tcPr>
          <w:p w14:paraId="6D702BE7" w14:textId="4A2905E8" w:rsidR="004E7C70" w:rsidRPr="00230F35" w:rsidRDefault="004E7C70" w:rsidP="00246073">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032574">
              <w:rPr>
                <w:rFonts w:ascii="Arial" w:hAnsi="Arial" w:cs="Arial"/>
                <w:sz w:val="22"/>
                <w:szCs w:val="22"/>
              </w:rPr>
              <w:t xml:space="preserve"> </w:t>
            </w:r>
            <w:r>
              <w:rPr>
                <w:rFonts w:ascii="Arial" w:hAnsi="Arial" w:cs="Arial"/>
                <w:sz w:val="22"/>
                <w:szCs w:val="22"/>
              </w:rPr>
              <w:t xml:space="preserve"> Jeni Williams</w:t>
            </w:r>
          </w:p>
          <w:p w14:paraId="03513BA0" w14:textId="77777777" w:rsidR="004E7C70" w:rsidRDefault="004E7C70" w:rsidP="00246073">
            <w:pPr>
              <w:pStyle w:val="NormalWeb"/>
              <w:spacing w:before="0" w:beforeAutospacing="0" w:after="0" w:afterAutospacing="0"/>
              <w:ind w:right="34"/>
              <w:rPr>
                <w:rFonts w:ascii="Arial" w:hAnsi="Arial" w:cs="Arial"/>
                <w:sz w:val="22"/>
                <w:szCs w:val="22"/>
              </w:rPr>
            </w:pPr>
          </w:p>
          <w:p w14:paraId="5E692298" w14:textId="77777777" w:rsidR="004E7C70" w:rsidRPr="00230F35"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26</w:t>
            </w:r>
            <w:r w:rsidRPr="00CA4BA5">
              <w:rPr>
                <w:rFonts w:ascii="Arial" w:hAnsi="Arial" w:cs="Arial"/>
                <w:sz w:val="22"/>
                <w:szCs w:val="22"/>
                <w:vertAlign w:val="superscript"/>
              </w:rPr>
              <w:t>th</w:t>
            </w:r>
            <w:r>
              <w:rPr>
                <w:rFonts w:ascii="Arial" w:hAnsi="Arial" w:cs="Arial"/>
                <w:sz w:val="22"/>
                <w:szCs w:val="22"/>
              </w:rPr>
              <w:t xml:space="preserve"> </w:t>
            </w:r>
            <w:r w:rsidR="00E53C17">
              <w:rPr>
                <w:rFonts w:ascii="Arial" w:hAnsi="Arial" w:cs="Arial"/>
                <w:sz w:val="22"/>
                <w:szCs w:val="22"/>
              </w:rPr>
              <w:t>May</w:t>
            </w:r>
            <w:r>
              <w:rPr>
                <w:rFonts w:ascii="Arial" w:hAnsi="Arial" w:cs="Arial"/>
                <w:sz w:val="22"/>
                <w:szCs w:val="22"/>
              </w:rPr>
              <w:t xml:space="preserve"> 2018</w:t>
            </w:r>
          </w:p>
        </w:tc>
      </w:tr>
      <w:tr w:rsidR="004E7C70" w:rsidRPr="00230F35" w14:paraId="184416A4" w14:textId="77777777" w:rsidTr="00246073">
        <w:trPr>
          <w:trHeight w:val="978"/>
        </w:trPr>
        <w:tc>
          <w:tcPr>
            <w:tcW w:w="8856" w:type="dxa"/>
            <w:gridSpan w:val="3"/>
            <w:tcBorders>
              <w:bottom w:val="single" w:sz="4" w:space="0" w:color="000000"/>
            </w:tcBorders>
          </w:tcPr>
          <w:p w14:paraId="5F60E20B" w14:textId="77777777" w:rsidR="004E7C70" w:rsidRDefault="004E7C70" w:rsidP="00246073">
            <w:pPr>
              <w:rPr>
                <w:rFonts w:ascii="Arial" w:hAnsi="Arial" w:cs="Arial"/>
                <w:sz w:val="22"/>
                <w:szCs w:val="22"/>
              </w:rPr>
            </w:pPr>
            <w:r>
              <w:rPr>
                <w:rFonts w:ascii="Arial" w:hAnsi="Arial" w:cs="Arial"/>
                <w:sz w:val="22"/>
                <w:szCs w:val="22"/>
              </w:rPr>
              <w:t>If your module has multiple submissions please indicate which piece of work this is.</w:t>
            </w:r>
          </w:p>
          <w:p w14:paraId="22CCA321" w14:textId="77777777" w:rsidR="004E7C70" w:rsidRDefault="004E7C70" w:rsidP="00246073">
            <w:pPr>
              <w:rPr>
                <w:rFonts w:ascii="Arial" w:hAnsi="Arial" w:cs="Arial"/>
                <w:sz w:val="22"/>
                <w:szCs w:val="22"/>
              </w:rPr>
            </w:pPr>
          </w:p>
          <w:p w14:paraId="1F9AFF62" w14:textId="77777777" w:rsidR="004E7C70" w:rsidRPr="00230F35" w:rsidRDefault="004E7C70" w:rsidP="00246073">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r w:rsidRPr="00230F35">
              <w:rPr>
                <w:rFonts w:ascii="Arial" w:hAnsi="Arial" w:cs="Arial"/>
                <w:sz w:val="22"/>
                <w:szCs w:val="22"/>
              </w:rPr>
              <w:instrText xml:space="preserve"> FORMCHECKBOX </w:instrText>
            </w:r>
            <w:r w:rsidR="00692F4A">
              <w:rPr>
                <w:rFonts w:ascii="Arial" w:hAnsi="Arial" w:cs="Arial"/>
                <w:sz w:val="22"/>
                <w:szCs w:val="22"/>
              </w:rPr>
            </w:r>
            <w:r w:rsidR="00692F4A">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Pr="00230F35">
              <w:rPr>
                <w:rFonts w:ascii="Arial" w:hAnsi="Arial" w:cs="Arial"/>
                <w:sz w:val="22"/>
                <w:szCs w:val="22"/>
              </w:rPr>
              <w:instrText xml:space="preserve"> FORMCHECKBOX </w:instrText>
            </w:r>
            <w:r w:rsidR="00692F4A">
              <w:rPr>
                <w:rFonts w:ascii="Arial" w:hAnsi="Arial" w:cs="Arial"/>
                <w:sz w:val="22"/>
                <w:szCs w:val="22"/>
              </w:rPr>
            </w:r>
            <w:r w:rsidR="00692F4A">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230F35">
              <w:rPr>
                <w:rFonts w:ascii="Arial" w:hAnsi="Arial" w:cs="Arial"/>
                <w:sz w:val="22"/>
                <w:szCs w:val="22"/>
              </w:rPr>
              <w:instrText xml:space="preserve"> FORMCHECKBOX </w:instrText>
            </w:r>
            <w:r w:rsidR="00692F4A">
              <w:rPr>
                <w:rFonts w:ascii="Arial" w:hAnsi="Arial" w:cs="Arial"/>
                <w:sz w:val="22"/>
                <w:szCs w:val="22"/>
              </w:rPr>
            </w:r>
            <w:r w:rsidR="00692F4A">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230F35">
              <w:rPr>
                <w:rFonts w:ascii="Arial" w:hAnsi="Arial" w:cs="Arial"/>
                <w:sz w:val="22"/>
                <w:szCs w:val="22"/>
              </w:rPr>
              <w:instrText xml:space="preserve"> FORMCHECKBOX </w:instrText>
            </w:r>
            <w:r w:rsidR="00692F4A">
              <w:rPr>
                <w:rFonts w:ascii="Arial" w:hAnsi="Arial" w:cs="Arial"/>
                <w:sz w:val="22"/>
                <w:szCs w:val="22"/>
              </w:rPr>
            </w:r>
            <w:r w:rsidR="00692F4A">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230F35">
              <w:rPr>
                <w:rFonts w:ascii="Arial" w:hAnsi="Arial" w:cs="Arial"/>
                <w:sz w:val="22"/>
                <w:szCs w:val="22"/>
              </w:rPr>
              <w:instrText xml:space="preserve"> FORMCHECKBOX </w:instrText>
            </w:r>
            <w:r w:rsidR="00692F4A">
              <w:rPr>
                <w:rFonts w:ascii="Arial" w:hAnsi="Arial" w:cs="Arial"/>
                <w:sz w:val="22"/>
                <w:szCs w:val="22"/>
              </w:rPr>
            </w:r>
            <w:r w:rsidR="00692F4A">
              <w:rPr>
                <w:rFonts w:ascii="Arial" w:hAnsi="Arial" w:cs="Arial"/>
                <w:sz w:val="22"/>
                <w:szCs w:val="22"/>
              </w:rPr>
              <w:fldChar w:fldCharType="separate"/>
            </w:r>
            <w:r w:rsidRPr="00230F35">
              <w:rPr>
                <w:rFonts w:ascii="Arial" w:hAnsi="Arial" w:cs="Arial"/>
                <w:sz w:val="22"/>
                <w:szCs w:val="22"/>
              </w:rPr>
              <w:fldChar w:fldCharType="end"/>
            </w:r>
            <w:bookmarkEnd w:id="3"/>
          </w:p>
        </w:tc>
        <w:bookmarkStart w:id="4" w:name="_GoBack"/>
        <w:bookmarkEnd w:id="4"/>
      </w:tr>
      <w:tr w:rsidR="004E7C70" w:rsidRPr="00230F35" w14:paraId="7EAC07D7" w14:textId="77777777" w:rsidTr="008A18E4">
        <w:trPr>
          <w:trHeight w:val="978"/>
        </w:trPr>
        <w:tc>
          <w:tcPr>
            <w:tcW w:w="8856" w:type="dxa"/>
            <w:gridSpan w:val="3"/>
            <w:shd w:val="clear" w:color="auto" w:fill="auto"/>
          </w:tcPr>
          <w:p w14:paraId="0725425C" w14:textId="77777777" w:rsidR="004E7C70" w:rsidRPr="00230F35"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B6F806A" w14:textId="77777777" w:rsidR="004E7C70"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F9E36CD" w14:textId="77777777" w:rsidR="004E7C70" w:rsidRDefault="004E7C70" w:rsidP="00246073">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X</w:t>
            </w:r>
          </w:p>
          <w:p w14:paraId="33A93D93" w14:textId="77777777" w:rsidR="004E7C70" w:rsidRPr="00230F35" w:rsidRDefault="004E7C70" w:rsidP="00246073">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5C242A" w:rsidRPr="00230F35" w14:paraId="14DDF701" w14:textId="77777777" w:rsidTr="004F63DC">
        <w:trPr>
          <w:trHeight w:val="978"/>
        </w:trPr>
        <w:tc>
          <w:tcPr>
            <w:tcW w:w="8856" w:type="dxa"/>
            <w:gridSpan w:val="3"/>
            <w:shd w:val="clear" w:color="auto" w:fill="auto"/>
          </w:tcPr>
          <w:p w14:paraId="22599EBB" w14:textId="77777777" w:rsidR="005C242A" w:rsidRPr="009C14C4" w:rsidRDefault="005C242A" w:rsidP="005C242A">
            <w:pPr>
              <w:rPr>
                <w:rFonts w:ascii="Arial" w:eastAsia="SimSun" w:hAnsi="Arial" w:cs="Times New Roman"/>
                <w:b/>
                <w:lang w:eastAsia="zh-CN"/>
              </w:rPr>
            </w:pPr>
          </w:p>
          <w:p w14:paraId="632B3CB4" w14:textId="5F70EB2E" w:rsidR="005C242A" w:rsidRDefault="005C242A" w:rsidP="005C242A">
            <w:pPr>
              <w:rPr>
                <w:rFonts w:ascii="Arial" w:eastAsia="SimSun" w:hAnsi="Arial" w:cs="Times New Roman"/>
                <w:b/>
                <w:lang w:eastAsia="zh-CN"/>
              </w:rPr>
            </w:pPr>
            <w:r w:rsidRPr="009C14C4">
              <w:rPr>
                <w:rFonts w:ascii="Arial" w:eastAsia="SimSun" w:hAnsi="Arial" w:cs="Times New Roman"/>
                <w:b/>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C242A" w:rsidRPr="009C14C4" w14:paraId="6DEA3580" w14:textId="77777777" w:rsidTr="00377B8A">
              <w:tc>
                <w:tcPr>
                  <w:tcW w:w="6970" w:type="dxa"/>
                </w:tcPr>
                <w:p w14:paraId="0CC4BE41" w14:textId="77777777" w:rsidR="005C242A" w:rsidRPr="009C14C4" w:rsidRDefault="005C242A" w:rsidP="005C242A">
                  <w:pPr>
                    <w:rPr>
                      <w:rFonts w:ascii="Arial" w:eastAsia="SimSun" w:hAnsi="Arial" w:cs="Times New Roman"/>
                      <w:sz w:val="20"/>
                      <w:szCs w:val="20"/>
                      <w:lang w:eastAsia="zh-CN"/>
                    </w:rPr>
                  </w:pPr>
                </w:p>
                <w:p w14:paraId="72C37690" w14:textId="77777777" w:rsidR="005C242A" w:rsidRPr="009C14C4" w:rsidRDefault="005C242A" w:rsidP="005C242A">
                  <w:pPr>
                    <w:rPr>
                      <w:rFonts w:ascii="Arial" w:eastAsia="SimSun" w:hAnsi="Arial" w:cs="Times New Roman"/>
                      <w:sz w:val="20"/>
                      <w:szCs w:val="20"/>
                      <w:lang w:eastAsia="zh-CN"/>
                    </w:rPr>
                  </w:pPr>
                  <w:r w:rsidRPr="009C14C4">
                    <w:rPr>
                      <w:rFonts w:ascii="Arial" w:eastAsia="SimSun" w:hAnsi="Arial" w:cs="Times New Roman"/>
                      <w:sz w:val="20"/>
                      <w:szCs w:val="20"/>
                      <w:lang w:eastAsia="zh-CN"/>
                    </w:rPr>
                    <w:t>1</w:t>
                  </w:r>
                  <w:r w:rsidRPr="009C14C4">
                    <w:rPr>
                      <w:rFonts w:ascii="Arial" w:eastAsia="SimSun" w:hAnsi="Arial" w:cs="Times New Roman"/>
                      <w:sz w:val="20"/>
                      <w:szCs w:val="20"/>
                      <w:vertAlign w:val="superscript"/>
                      <w:lang w:eastAsia="zh-CN"/>
                    </w:rPr>
                    <w:t>st</w:t>
                  </w:r>
                  <w:r w:rsidRPr="009C14C4">
                    <w:rPr>
                      <w:rFonts w:ascii="Arial" w:eastAsia="SimSun" w:hAnsi="Arial" w:cs="Times New Roman"/>
                      <w:sz w:val="20"/>
                      <w:szCs w:val="20"/>
                      <w:lang w:eastAsia="zh-CN"/>
                    </w:rPr>
                    <w:t xml:space="preserve"> Marker’s Provisional mark</w:t>
                  </w:r>
                </w:p>
              </w:tc>
              <w:tc>
                <w:tcPr>
                  <w:tcW w:w="1660" w:type="dxa"/>
                </w:tcPr>
                <w:p w14:paraId="4FA85FEF" w14:textId="07EFEB2E" w:rsidR="005C242A" w:rsidRPr="005C242A" w:rsidRDefault="005C242A" w:rsidP="005C242A">
                  <w:pPr>
                    <w:jc w:val="center"/>
                    <w:rPr>
                      <w:rFonts w:ascii="Palatino Linotype" w:eastAsia="SimSun" w:hAnsi="Palatino Linotype" w:cs="Times New Roman"/>
                      <w:szCs w:val="20"/>
                      <w:lang w:eastAsia="zh-CN"/>
                    </w:rPr>
                  </w:pPr>
                  <w:r>
                    <w:rPr>
                      <w:rFonts w:ascii="Palatino Linotype" w:eastAsia="SimSun" w:hAnsi="Palatino Linotype" w:cs="Times New Roman"/>
                      <w:szCs w:val="20"/>
                      <w:lang w:eastAsia="zh-CN"/>
                    </w:rPr>
                    <w:t>66</w:t>
                  </w:r>
                </w:p>
                <w:p w14:paraId="097523C7" w14:textId="77777777" w:rsidR="005C242A" w:rsidRPr="005C242A" w:rsidRDefault="005C242A" w:rsidP="005C242A">
                  <w:pPr>
                    <w:jc w:val="center"/>
                    <w:rPr>
                      <w:rFonts w:ascii="Palatino Linotype" w:eastAsia="SimSun" w:hAnsi="Palatino Linotype" w:cs="Times New Roman"/>
                      <w:szCs w:val="20"/>
                      <w:lang w:eastAsia="zh-CN"/>
                    </w:rPr>
                  </w:pPr>
                </w:p>
              </w:tc>
            </w:tr>
            <w:tr w:rsidR="005C242A" w:rsidRPr="009C14C4" w14:paraId="7977FDA0" w14:textId="77777777" w:rsidTr="00377B8A">
              <w:tc>
                <w:tcPr>
                  <w:tcW w:w="6970" w:type="dxa"/>
                </w:tcPr>
                <w:p w14:paraId="4D134FC8" w14:textId="77777777" w:rsidR="005C242A" w:rsidRPr="009C14C4" w:rsidRDefault="005C242A" w:rsidP="005C242A">
                  <w:pPr>
                    <w:rPr>
                      <w:rFonts w:ascii="Arial" w:eastAsia="SimSun" w:hAnsi="Arial" w:cs="Times New Roman"/>
                      <w:sz w:val="20"/>
                      <w:szCs w:val="20"/>
                      <w:lang w:eastAsia="zh-CN"/>
                    </w:rPr>
                  </w:pPr>
                </w:p>
                <w:p w14:paraId="7152AADF" w14:textId="77777777" w:rsidR="005C242A" w:rsidRDefault="005C242A" w:rsidP="005C242A">
                  <w:pPr>
                    <w:rPr>
                      <w:rFonts w:ascii="Arial" w:eastAsia="SimSun" w:hAnsi="Arial" w:cs="Times New Roman"/>
                      <w:sz w:val="20"/>
                      <w:szCs w:val="20"/>
                      <w:lang w:eastAsia="zh-CN"/>
                    </w:rPr>
                  </w:pPr>
                  <w:r w:rsidRPr="009C14C4">
                    <w:rPr>
                      <w:rFonts w:ascii="Arial" w:eastAsia="SimSun" w:hAnsi="Arial" w:cs="Times New Roman"/>
                      <w:sz w:val="20"/>
                      <w:szCs w:val="20"/>
                      <w:lang w:eastAsia="zh-CN"/>
                    </w:rPr>
                    <w:t>2</w:t>
                  </w:r>
                  <w:r w:rsidRPr="009C14C4">
                    <w:rPr>
                      <w:rFonts w:ascii="Arial" w:eastAsia="SimSun" w:hAnsi="Arial" w:cs="Times New Roman"/>
                      <w:sz w:val="20"/>
                      <w:szCs w:val="20"/>
                      <w:vertAlign w:val="superscript"/>
                      <w:lang w:eastAsia="zh-CN"/>
                    </w:rPr>
                    <w:t>nd</w:t>
                  </w:r>
                  <w:r w:rsidRPr="009C14C4">
                    <w:rPr>
                      <w:rFonts w:ascii="Arial" w:eastAsia="SimSun" w:hAnsi="Arial" w:cs="Times New Roman"/>
                      <w:sz w:val="20"/>
                      <w:szCs w:val="20"/>
                      <w:lang w:eastAsia="zh-CN"/>
                    </w:rPr>
                    <w:t xml:space="preserve"> Marker’s/Moderator’s provisional mark</w:t>
                  </w:r>
                </w:p>
                <w:p w14:paraId="78E8953A" w14:textId="3F566AF9" w:rsidR="005C242A" w:rsidRPr="009C14C4" w:rsidRDefault="005C242A" w:rsidP="005C242A">
                  <w:pPr>
                    <w:rPr>
                      <w:rFonts w:ascii="Arial" w:eastAsia="SimSun" w:hAnsi="Arial" w:cs="Times New Roman"/>
                      <w:sz w:val="20"/>
                      <w:szCs w:val="20"/>
                      <w:lang w:eastAsia="zh-CN"/>
                    </w:rPr>
                  </w:pPr>
                </w:p>
              </w:tc>
              <w:tc>
                <w:tcPr>
                  <w:tcW w:w="1660" w:type="dxa"/>
                </w:tcPr>
                <w:p w14:paraId="0DB1CFA7" w14:textId="3DD50830" w:rsidR="005C242A" w:rsidRPr="005C242A" w:rsidRDefault="00754F23" w:rsidP="005C242A">
                  <w:pPr>
                    <w:jc w:val="center"/>
                    <w:rPr>
                      <w:rFonts w:ascii="Palatino Linotype" w:eastAsia="SimSun" w:hAnsi="Palatino Linotype" w:cs="Times New Roman"/>
                      <w:szCs w:val="20"/>
                      <w:lang w:eastAsia="zh-CN"/>
                    </w:rPr>
                  </w:pPr>
                  <w:r>
                    <w:rPr>
                      <w:rFonts w:ascii="Palatino Linotype" w:eastAsia="SimSun" w:hAnsi="Palatino Linotype" w:cs="Times New Roman"/>
                      <w:szCs w:val="20"/>
                      <w:lang w:eastAsia="zh-CN"/>
                    </w:rPr>
                    <w:t>66</w:t>
                  </w:r>
                </w:p>
              </w:tc>
            </w:tr>
            <w:tr w:rsidR="005C242A" w:rsidRPr="009C14C4" w14:paraId="498CB5DD" w14:textId="77777777" w:rsidTr="00377B8A">
              <w:tc>
                <w:tcPr>
                  <w:tcW w:w="6970" w:type="dxa"/>
                </w:tcPr>
                <w:p w14:paraId="326C14B3" w14:textId="77777777" w:rsidR="005C242A" w:rsidRDefault="005C242A" w:rsidP="005C242A">
                  <w:pPr>
                    <w:rPr>
                      <w:rFonts w:ascii="Arial" w:eastAsia="SimSun" w:hAnsi="Arial" w:cs="Times New Roman"/>
                      <w:sz w:val="20"/>
                      <w:szCs w:val="20"/>
                      <w:lang w:eastAsia="zh-CN"/>
                    </w:rPr>
                  </w:pPr>
                </w:p>
                <w:p w14:paraId="0B49D9AA" w14:textId="0B7213BE" w:rsidR="005C242A" w:rsidRPr="009C14C4" w:rsidRDefault="005C242A" w:rsidP="005C242A">
                  <w:pPr>
                    <w:rPr>
                      <w:rFonts w:ascii="Arial" w:eastAsia="SimSun" w:hAnsi="Arial" w:cs="Times New Roman"/>
                      <w:sz w:val="20"/>
                      <w:szCs w:val="20"/>
                      <w:lang w:eastAsia="zh-CN"/>
                    </w:rPr>
                  </w:pPr>
                  <w:r w:rsidRPr="009C14C4">
                    <w:rPr>
                      <w:rFonts w:ascii="Arial" w:eastAsia="SimSun" w:hAnsi="Arial" w:cs="Times New Roman"/>
                      <w:sz w:val="20"/>
                      <w:szCs w:val="20"/>
                      <w:lang w:eastAsia="zh-CN"/>
                    </w:rPr>
                    <w:t xml:space="preserve">Agreed Internal Mark: </w:t>
                  </w:r>
                </w:p>
                <w:p w14:paraId="2B301006" w14:textId="77777777" w:rsidR="005C242A" w:rsidRPr="009C14C4" w:rsidRDefault="005C242A" w:rsidP="005C242A">
                  <w:pPr>
                    <w:rPr>
                      <w:rFonts w:ascii="Arial" w:eastAsia="SimSun" w:hAnsi="Arial" w:cs="Times New Roman"/>
                      <w:sz w:val="20"/>
                      <w:szCs w:val="20"/>
                      <w:highlight w:val="yellow"/>
                      <w:lang w:eastAsia="zh-CN"/>
                    </w:rPr>
                  </w:pPr>
                </w:p>
              </w:tc>
              <w:tc>
                <w:tcPr>
                  <w:tcW w:w="1660" w:type="dxa"/>
                </w:tcPr>
                <w:p w14:paraId="6DE371AC" w14:textId="37BC4A7D" w:rsidR="005C242A" w:rsidRPr="005C242A" w:rsidRDefault="00754F23" w:rsidP="005C242A">
                  <w:pPr>
                    <w:jc w:val="center"/>
                    <w:rPr>
                      <w:rFonts w:ascii="Palatino Linotype" w:eastAsia="SimSun" w:hAnsi="Palatino Linotype" w:cs="Times New Roman"/>
                      <w:szCs w:val="20"/>
                      <w:highlight w:val="yellow"/>
                      <w:lang w:eastAsia="zh-CN"/>
                    </w:rPr>
                  </w:pPr>
                  <w:r>
                    <w:rPr>
                      <w:rFonts w:ascii="Palatino Linotype" w:eastAsia="SimSun" w:hAnsi="Palatino Linotype" w:cs="Times New Roman"/>
                      <w:szCs w:val="20"/>
                      <w:highlight w:val="yellow"/>
                      <w:lang w:eastAsia="zh-CN"/>
                    </w:rPr>
                    <w:t>66</w:t>
                  </w:r>
                </w:p>
              </w:tc>
            </w:tr>
            <w:tr w:rsidR="005C242A" w:rsidRPr="009C14C4" w14:paraId="58B66CCD" w14:textId="77777777" w:rsidTr="00377B8A">
              <w:tc>
                <w:tcPr>
                  <w:tcW w:w="6970" w:type="dxa"/>
                </w:tcPr>
                <w:p w14:paraId="3629CC28" w14:textId="77777777" w:rsidR="005C242A" w:rsidRPr="009C14C4" w:rsidRDefault="005C242A" w:rsidP="005C242A">
                  <w:pPr>
                    <w:rPr>
                      <w:rFonts w:ascii="Arial" w:eastAsia="SimSun" w:hAnsi="Arial" w:cs="Times New Roman"/>
                      <w:sz w:val="20"/>
                      <w:szCs w:val="20"/>
                      <w:lang w:eastAsia="zh-CN"/>
                    </w:rPr>
                  </w:pPr>
                </w:p>
                <w:p w14:paraId="27FBFAA0" w14:textId="77777777" w:rsidR="005C242A" w:rsidRDefault="005C242A" w:rsidP="005C242A">
                  <w:pPr>
                    <w:rPr>
                      <w:rFonts w:ascii="Arial" w:eastAsia="SimSun" w:hAnsi="Arial" w:cs="Times New Roman"/>
                      <w:sz w:val="20"/>
                      <w:szCs w:val="20"/>
                      <w:lang w:eastAsia="zh-CN"/>
                    </w:rPr>
                  </w:pPr>
                  <w:r w:rsidRPr="009C14C4">
                    <w:rPr>
                      <w:rFonts w:ascii="Arial" w:eastAsia="SimSun" w:hAnsi="Arial" w:cs="Times New Roman"/>
                      <w:sz w:val="20"/>
                      <w:szCs w:val="20"/>
                      <w:lang w:eastAsia="zh-CN"/>
                    </w:rPr>
                    <w:t>External Examiner’s mark (if relevant)</w:t>
                  </w:r>
                </w:p>
                <w:p w14:paraId="7C89F172" w14:textId="7762E519" w:rsidR="005C242A" w:rsidRPr="009C14C4" w:rsidRDefault="005C242A" w:rsidP="005C242A">
                  <w:pPr>
                    <w:rPr>
                      <w:rFonts w:ascii="Arial" w:eastAsia="SimSun" w:hAnsi="Arial" w:cs="Times New Roman"/>
                      <w:sz w:val="20"/>
                      <w:szCs w:val="20"/>
                      <w:lang w:eastAsia="zh-CN"/>
                    </w:rPr>
                  </w:pPr>
                </w:p>
              </w:tc>
              <w:tc>
                <w:tcPr>
                  <w:tcW w:w="1660" w:type="dxa"/>
                </w:tcPr>
                <w:p w14:paraId="5300973A" w14:textId="77777777" w:rsidR="005C242A" w:rsidRPr="005C242A" w:rsidRDefault="005C242A" w:rsidP="005C242A">
                  <w:pPr>
                    <w:jc w:val="center"/>
                    <w:rPr>
                      <w:rFonts w:ascii="Palatino Linotype" w:eastAsia="SimSun" w:hAnsi="Palatino Linotype" w:cs="Times New Roman"/>
                      <w:szCs w:val="20"/>
                      <w:lang w:eastAsia="zh-CN"/>
                    </w:rPr>
                  </w:pPr>
                </w:p>
              </w:tc>
            </w:tr>
            <w:tr w:rsidR="005C242A" w:rsidRPr="009C14C4" w14:paraId="632D751A" w14:textId="77777777" w:rsidTr="00377B8A">
              <w:tc>
                <w:tcPr>
                  <w:tcW w:w="6970" w:type="dxa"/>
                </w:tcPr>
                <w:p w14:paraId="6978E16B" w14:textId="77777777" w:rsidR="005C242A" w:rsidRPr="009C14C4" w:rsidRDefault="005C242A" w:rsidP="005C242A">
                  <w:pPr>
                    <w:rPr>
                      <w:rFonts w:ascii="Arial" w:eastAsia="SimSun" w:hAnsi="Arial" w:cs="Times New Roman"/>
                      <w:sz w:val="20"/>
                      <w:szCs w:val="20"/>
                      <w:lang w:eastAsia="zh-CN"/>
                    </w:rPr>
                  </w:pPr>
                </w:p>
                <w:p w14:paraId="5D6CA3C1" w14:textId="77777777" w:rsidR="005C242A" w:rsidRPr="009C14C4" w:rsidRDefault="005C242A" w:rsidP="005C242A">
                  <w:pPr>
                    <w:rPr>
                      <w:rFonts w:ascii="Arial" w:eastAsia="SimSun" w:hAnsi="Arial" w:cs="Times New Roman"/>
                      <w:b/>
                      <w:sz w:val="20"/>
                      <w:szCs w:val="20"/>
                      <w:lang w:eastAsia="zh-CN"/>
                    </w:rPr>
                  </w:pPr>
                  <w:r w:rsidRPr="009C14C4">
                    <w:rPr>
                      <w:rFonts w:ascii="Arial" w:eastAsia="SimSun" w:hAnsi="Arial" w:cs="Times New Roman"/>
                      <w:b/>
                      <w:sz w:val="20"/>
                      <w:szCs w:val="20"/>
                      <w:lang w:eastAsia="zh-CN"/>
                    </w:rPr>
                    <w:t>Final Mark</w:t>
                  </w:r>
                </w:p>
                <w:p w14:paraId="2BD313CF" w14:textId="77777777" w:rsidR="005C242A" w:rsidRPr="009C14C4" w:rsidRDefault="005C242A" w:rsidP="005C242A">
                  <w:pPr>
                    <w:rPr>
                      <w:rFonts w:ascii="Arial" w:eastAsia="SimSun" w:hAnsi="Arial" w:cs="Times New Roman"/>
                      <w:sz w:val="20"/>
                      <w:szCs w:val="20"/>
                      <w:lang w:eastAsia="zh-CN"/>
                    </w:rPr>
                  </w:pPr>
                </w:p>
              </w:tc>
              <w:tc>
                <w:tcPr>
                  <w:tcW w:w="1660" w:type="dxa"/>
                </w:tcPr>
                <w:p w14:paraId="5BABA6DE" w14:textId="77777777" w:rsidR="005C242A" w:rsidRPr="005C242A" w:rsidRDefault="005C242A" w:rsidP="005C242A">
                  <w:pPr>
                    <w:jc w:val="center"/>
                    <w:rPr>
                      <w:rFonts w:ascii="Palatino Linotype" w:eastAsia="SimSun" w:hAnsi="Palatino Linotype" w:cs="Times New Roman"/>
                      <w:szCs w:val="20"/>
                      <w:lang w:eastAsia="zh-CN"/>
                    </w:rPr>
                  </w:pPr>
                </w:p>
              </w:tc>
            </w:tr>
          </w:tbl>
          <w:p w14:paraId="61F25A35" w14:textId="77777777" w:rsidR="005C242A" w:rsidRPr="009C14C4" w:rsidRDefault="005C242A" w:rsidP="005C242A">
            <w:pPr>
              <w:ind w:left="142" w:right="34"/>
              <w:rPr>
                <w:rFonts w:ascii="Arial" w:eastAsia="SimSun" w:hAnsi="Arial" w:cs="Arial"/>
                <w:b/>
                <w:color w:val="000000"/>
                <w:lang w:eastAsia="zh-CN"/>
              </w:rPr>
            </w:pPr>
          </w:p>
          <w:p w14:paraId="297B9572" w14:textId="77777777" w:rsidR="005C242A" w:rsidRPr="005C242A" w:rsidRDefault="005C242A" w:rsidP="005C242A">
            <w:pPr>
              <w:ind w:left="142" w:right="34"/>
              <w:rPr>
                <w:rFonts w:ascii="Arial" w:eastAsia="SimSun" w:hAnsi="Arial" w:cs="Arial"/>
                <w:color w:val="000000"/>
                <w:sz w:val="22"/>
                <w:lang w:eastAsia="zh-CN"/>
              </w:rPr>
            </w:pPr>
            <w:r w:rsidRPr="005C242A">
              <w:rPr>
                <w:rFonts w:ascii="Arial" w:eastAsia="SimSun" w:hAnsi="Arial" w:cs="Arial"/>
                <w:b/>
                <w:color w:val="000000"/>
                <w:sz w:val="22"/>
                <w:lang w:eastAsia="zh-CN"/>
              </w:rPr>
              <w:t>NB.</w:t>
            </w:r>
            <w:r w:rsidRPr="005C242A">
              <w:rPr>
                <w:rFonts w:ascii="Arial" w:eastAsia="SimSun" w:hAnsi="Arial" w:cs="Arial"/>
                <w:color w:val="000000"/>
                <w:sz w:val="22"/>
                <w:lang w:eastAsia="zh-CN"/>
              </w:rPr>
              <w:t xml:space="preserve">  All marks are provisional until confirmed by the Final Examination Board.</w:t>
            </w:r>
          </w:p>
          <w:p w14:paraId="7EA82D47" w14:textId="77777777" w:rsidR="005C242A" w:rsidRDefault="005C242A" w:rsidP="007E5C76">
            <w:pPr>
              <w:pStyle w:val="NormalWeb"/>
              <w:spacing w:before="0" w:beforeAutospacing="0" w:after="0" w:afterAutospacing="0"/>
              <w:ind w:right="34"/>
              <w:rPr>
                <w:rFonts w:ascii="Arial" w:hAnsi="Arial" w:cs="Arial"/>
                <w:b/>
                <w:sz w:val="22"/>
                <w:szCs w:val="22"/>
              </w:rPr>
            </w:pPr>
          </w:p>
        </w:tc>
      </w:tr>
    </w:tbl>
    <w:p w14:paraId="2E8BF4FC" w14:textId="77777777" w:rsidR="005C242A" w:rsidRPr="009C14C4" w:rsidRDefault="005C242A" w:rsidP="005C242A">
      <w:pPr>
        <w:rPr>
          <w:rFonts w:ascii="Arial" w:eastAsia="SimSun" w:hAnsi="Arial" w:cs="Times New Roman"/>
          <w:b/>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709"/>
        <w:gridCol w:w="2936"/>
      </w:tblGrid>
      <w:tr w:rsidR="00032574" w:rsidRPr="00C01427" w14:paraId="7EB66C95" w14:textId="77777777" w:rsidTr="00377B8A">
        <w:trPr>
          <w:trHeight w:val="3972"/>
        </w:trPr>
        <w:tc>
          <w:tcPr>
            <w:tcW w:w="8856" w:type="dxa"/>
            <w:gridSpan w:val="3"/>
          </w:tcPr>
          <w:p w14:paraId="180BBC9A" w14:textId="77777777" w:rsidR="00032574" w:rsidRPr="009C14C4" w:rsidRDefault="00032574" w:rsidP="00377B8A">
            <w:pPr>
              <w:rPr>
                <w:rFonts w:ascii="Arial" w:eastAsia="SimSun" w:hAnsi="Arial" w:cs="Times New Roman"/>
                <w:b/>
                <w:lang w:eastAsia="zh-CN"/>
              </w:rPr>
            </w:pPr>
          </w:p>
          <w:p w14:paraId="3F702E47" w14:textId="77777777" w:rsidR="00032574" w:rsidRDefault="00032574" w:rsidP="00377B8A">
            <w:pPr>
              <w:rPr>
                <w:rFonts w:ascii="Arial" w:eastAsia="SimSun" w:hAnsi="Arial" w:cs="Arial"/>
                <w:b/>
                <w:color w:val="000000"/>
                <w:lang w:eastAsia="zh-CN"/>
              </w:rPr>
            </w:pPr>
            <w:r w:rsidRPr="009C14C4">
              <w:rPr>
                <w:rFonts w:ascii="Arial" w:eastAsia="SimSun" w:hAnsi="Arial" w:cs="Arial"/>
                <w:b/>
                <w:color w:val="000000"/>
                <w:lang w:eastAsia="zh-CN"/>
              </w:rPr>
              <w:t>For completion by Marker 1 :</w:t>
            </w:r>
          </w:p>
          <w:p w14:paraId="4DAC3F05" w14:textId="77777777" w:rsidR="00032574" w:rsidRPr="009C14C4" w:rsidRDefault="00032574" w:rsidP="00377B8A">
            <w:pPr>
              <w:rPr>
                <w:rFonts w:ascii="Arial" w:eastAsia="SimSun" w:hAnsi="Arial" w:cs="Arial"/>
                <w:b/>
                <w:color w:val="000000"/>
                <w:lang w:eastAsia="zh-CN"/>
              </w:rPr>
            </w:pPr>
          </w:p>
          <w:p w14:paraId="0A006453" w14:textId="77777777" w:rsidR="00032574" w:rsidRDefault="00032574" w:rsidP="00032574">
            <w:pPr>
              <w:pStyle w:val="NormalWeb"/>
              <w:spacing w:before="0" w:beforeAutospacing="0" w:after="0" w:afterAutospacing="0"/>
              <w:ind w:right="34"/>
              <w:rPr>
                <w:rFonts w:ascii="Arial" w:hAnsi="Arial" w:cs="Arial"/>
                <w:b/>
                <w:sz w:val="22"/>
                <w:szCs w:val="22"/>
              </w:rPr>
            </w:pPr>
            <w:r w:rsidRPr="00E53C17">
              <w:rPr>
                <w:rFonts w:ascii="Arial" w:hAnsi="Arial" w:cs="Arial"/>
                <w:b/>
                <w:sz w:val="22"/>
                <w:szCs w:val="22"/>
              </w:rPr>
              <w:t xml:space="preserve">Comments </w:t>
            </w:r>
          </w:p>
          <w:p w14:paraId="4C156B7D" w14:textId="77777777" w:rsidR="00032574" w:rsidRPr="00E53C17" w:rsidRDefault="00032574" w:rsidP="00032574">
            <w:pPr>
              <w:pStyle w:val="NormalWeb"/>
              <w:spacing w:before="0" w:beforeAutospacing="0" w:after="0" w:afterAutospacing="0"/>
              <w:ind w:right="34"/>
              <w:rPr>
                <w:rFonts w:ascii="Arial" w:hAnsi="Arial" w:cs="Arial"/>
                <w:b/>
                <w:sz w:val="22"/>
                <w:szCs w:val="22"/>
              </w:rPr>
            </w:pPr>
          </w:p>
          <w:p w14:paraId="6CC9821C" w14:textId="77777777" w:rsidR="00032574" w:rsidRDefault="00032574" w:rsidP="00032574">
            <w:pPr>
              <w:pStyle w:val="NormalWeb"/>
              <w:spacing w:before="0" w:beforeAutospacing="0" w:after="0" w:afterAutospacing="0"/>
              <w:ind w:right="34"/>
              <w:rPr>
                <w:rFonts w:ascii="Palatino Linotype" w:hAnsi="Palatino Linotype" w:cs="Arial"/>
                <w:sz w:val="22"/>
                <w:szCs w:val="22"/>
              </w:rPr>
            </w:pPr>
            <w:r>
              <w:rPr>
                <w:rFonts w:ascii="Palatino Linotype" w:hAnsi="Palatino Linotype" w:cs="Arial"/>
                <w:sz w:val="22"/>
                <w:szCs w:val="22"/>
              </w:rPr>
              <w:t xml:space="preserve">This is a substantial and intricately argued essay, impressive in its research and the range of texts it addresses. It is characterised by </w:t>
            </w:r>
            <w:r w:rsidRPr="00E53C17">
              <w:rPr>
                <w:rFonts w:ascii="Palatino Linotype" w:hAnsi="Palatino Linotype" w:cs="Arial"/>
                <w:sz w:val="22"/>
                <w:szCs w:val="22"/>
              </w:rPr>
              <w:t xml:space="preserve">sensitive response to </w:t>
            </w:r>
            <w:r>
              <w:rPr>
                <w:rFonts w:ascii="Palatino Linotype" w:hAnsi="Palatino Linotype" w:cs="Arial"/>
                <w:sz w:val="22"/>
                <w:szCs w:val="22"/>
              </w:rPr>
              <w:t>the</w:t>
            </w:r>
            <w:r w:rsidRPr="00E53C17">
              <w:rPr>
                <w:rFonts w:ascii="Palatino Linotype" w:hAnsi="Palatino Linotype" w:cs="Arial"/>
                <w:sz w:val="22"/>
                <w:szCs w:val="22"/>
              </w:rPr>
              <w:t xml:space="preserve"> texts </w:t>
            </w:r>
            <w:r>
              <w:rPr>
                <w:rFonts w:ascii="Palatino Linotype" w:hAnsi="Palatino Linotype" w:cs="Arial"/>
                <w:sz w:val="22"/>
                <w:szCs w:val="22"/>
              </w:rPr>
              <w:t xml:space="preserve">you have chosen and a </w:t>
            </w:r>
            <w:r w:rsidRPr="00E53C17">
              <w:rPr>
                <w:rFonts w:ascii="Palatino Linotype" w:hAnsi="Palatino Linotype" w:cs="Arial"/>
                <w:sz w:val="22"/>
                <w:szCs w:val="22"/>
              </w:rPr>
              <w:t>discriminating use of secondary material</w:t>
            </w:r>
            <w:r>
              <w:rPr>
                <w:rFonts w:ascii="Palatino Linotype" w:hAnsi="Palatino Linotype" w:cs="Arial"/>
                <w:sz w:val="22"/>
                <w:szCs w:val="22"/>
              </w:rPr>
              <w:t xml:space="preserve">. You demonstrate a grasp of the various positions regarding the continuities between modernist and postmodernist modes of writing and interpreting the world and to critical debates around them. </w:t>
            </w:r>
          </w:p>
          <w:p w14:paraId="09915500" w14:textId="77777777" w:rsidR="00032574" w:rsidRDefault="00032574" w:rsidP="00032574">
            <w:pPr>
              <w:pStyle w:val="NormalWeb"/>
              <w:spacing w:before="0" w:beforeAutospacing="0" w:after="0" w:afterAutospacing="0"/>
              <w:ind w:right="34"/>
              <w:rPr>
                <w:rFonts w:ascii="Palatino Linotype" w:hAnsi="Palatino Linotype" w:cs="Arial"/>
                <w:sz w:val="22"/>
                <w:szCs w:val="22"/>
              </w:rPr>
            </w:pPr>
          </w:p>
          <w:p w14:paraId="277698F9" w14:textId="42A12D26" w:rsidR="00032574" w:rsidRDefault="00032574" w:rsidP="00032574">
            <w:pPr>
              <w:pStyle w:val="NormalWeb"/>
              <w:spacing w:before="0" w:beforeAutospacing="0" w:after="0" w:afterAutospacing="0"/>
              <w:ind w:right="34"/>
              <w:rPr>
                <w:rFonts w:ascii="Palatino Linotype" w:hAnsi="Palatino Linotype" w:cs="Arial"/>
                <w:sz w:val="22"/>
                <w:szCs w:val="22"/>
              </w:rPr>
            </w:pPr>
            <w:r>
              <w:rPr>
                <w:rFonts w:ascii="Palatino Linotype" w:hAnsi="Palatino Linotype" w:cs="Arial"/>
                <w:sz w:val="22"/>
                <w:szCs w:val="22"/>
              </w:rPr>
              <w:t xml:space="preserve">This is all excellent. However there are some issues with structure. </w:t>
            </w:r>
            <w:proofErr w:type="gramStart"/>
            <w:r>
              <w:rPr>
                <w:rFonts w:ascii="Palatino Linotype" w:hAnsi="Palatino Linotype" w:cs="Arial"/>
                <w:sz w:val="22"/>
                <w:szCs w:val="22"/>
              </w:rPr>
              <w:t>the</w:t>
            </w:r>
            <w:proofErr w:type="gramEnd"/>
            <w:r>
              <w:rPr>
                <w:rFonts w:ascii="Palatino Linotype" w:hAnsi="Palatino Linotype" w:cs="Arial"/>
                <w:sz w:val="22"/>
                <w:szCs w:val="22"/>
              </w:rPr>
              <w:t xml:space="preserve"> problem is where to PUT this mass of material and how to relate the various elements to each other. I have added a fair number of marginal notes suggesting structural improvements to your argument – state first, define and then demonstrate being the operative rule. More largely it might help to give yourself some subheadings so the discussion of relations between modernism and postmodernism can be located in one place and the discussions of the texts that establish (if placed before) or challenge (if placed after) will have more solid presence. I think it would also help you in the organisation of what is, after all, a long piece. </w:t>
            </w:r>
          </w:p>
          <w:p w14:paraId="0BD7563C" w14:textId="77777777" w:rsidR="00032574" w:rsidRDefault="00032574" w:rsidP="00032574">
            <w:pPr>
              <w:pStyle w:val="NormalWeb"/>
              <w:spacing w:before="0" w:beforeAutospacing="0" w:after="0" w:afterAutospacing="0"/>
              <w:ind w:right="34"/>
              <w:rPr>
                <w:rFonts w:ascii="Palatino Linotype" w:hAnsi="Palatino Linotype" w:cs="Arial"/>
                <w:sz w:val="22"/>
                <w:szCs w:val="22"/>
              </w:rPr>
            </w:pPr>
          </w:p>
          <w:p w14:paraId="5F14041A" w14:textId="77777777" w:rsidR="00032574" w:rsidRDefault="00032574" w:rsidP="00032574">
            <w:pPr>
              <w:pStyle w:val="NormalWeb"/>
              <w:spacing w:before="0" w:beforeAutospacing="0" w:after="0" w:afterAutospacing="0"/>
              <w:ind w:right="34"/>
              <w:rPr>
                <w:rFonts w:ascii="Palatino Linotype" w:hAnsi="Palatino Linotype" w:cs="Arial"/>
                <w:sz w:val="22"/>
                <w:szCs w:val="22"/>
              </w:rPr>
            </w:pPr>
            <w:r>
              <w:rPr>
                <w:rFonts w:ascii="Palatino Linotype" w:hAnsi="Palatino Linotype" w:cs="Arial"/>
                <w:sz w:val="22"/>
                <w:szCs w:val="22"/>
              </w:rPr>
              <w:t>The one issue that I have with the distinction between modern and postmodern is the small matter of the reader. There are clearly many postmodern techniques in modernist texts (as they are also in an 18</w:t>
            </w:r>
            <w:r w:rsidRPr="00277FDB">
              <w:rPr>
                <w:rFonts w:ascii="Palatino Linotype" w:hAnsi="Palatino Linotype" w:cs="Arial"/>
                <w:sz w:val="22"/>
                <w:szCs w:val="22"/>
                <w:vertAlign w:val="superscript"/>
              </w:rPr>
              <w:t>th</w:t>
            </w:r>
            <w:r>
              <w:rPr>
                <w:rFonts w:ascii="Palatino Linotype" w:hAnsi="Palatino Linotype" w:cs="Arial"/>
                <w:sz w:val="22"/>
                <w:szCs w:val="22"/>
              </w:rPr>
              <w:t xml:space="preserve"> Century text such </w:t>
            </w:r>
            <w:r w:rsidRPr="00277FDB">
              <w:rPr>
                <w:rFonts w:ascii="Palatino Linotype" w:hAnsi="Palatino Linotype" w:cs="Arial"/>
                <w:sz w:val="22"/>
                <w:szCs w:val="22"/>
              </w:rPr>
              <w:t xml:space="preserve">Laurence Sterne's </w:t>
            </w:r>
            <w:r w:rsidRPr="00277FDB">
              <w:rPr>
                <w:rFonts w:ascii="Palatino Linotype" w:hAnsi="Palatino Linotype" w:cs="Arial"/>
                <w:i/>
                <w:sz w:val="22"/>
                <w:szCs w:val="22"/>
              </w:rPr>
              <w:t>The Life and Opinions of Tristram Shandy, Gentleman</w:t>
            </w:r>
            <w:r>
              <w:rPr>
                <w:rFonts w:ascii="Palatino Linotype" w:hAnsi="Palatino Linotype" w:cs="Arial"/>
                <w:i/>
                <w:sz w:val="22"/>
                <w:szCs w:val="22"/>
              </w:rPr>
              <w:t xml:space="preserve"> </w:t>
            </w:r>
            <w:r w:rsidRPr="00277FDB">
              <w:rPr>
                <w:rFonts w:ascii="Palatino Linotype" w:hAnsi="Palatino Linotype" w:cs="Arial"/>
                <w:sz w:val="22"/>
                <w:szCs w:val="22"/>
              </w:rPr>
              <w:t>which has an immensely playful relationship with its implied and multiple readers</w:t>
            </w:r>
            <w:r>
              <w:rPr>
                <w:rFonts w:ascii="Palatino Linotype" w:hAnsi="Palatino Linotype" w:cs="Arial"/>
                <w:sz w:val="22"/>
                <w:szCs w:val="22"/>
              </w:rPr>
              <w:t xml:space="preserve">. always useful to remember when we discuss ‘literary periods’). Is the reader intended to look everything up? (hardly) How does the text address its reader? </w:t>
            </w:r>
            <w:proofErr w:type="gramStart"/>
            <w:r>
              <w:rPr>
                <w:rFonts w:ascii="Palatino Linotype" w:hAnsi="Palatino Linotype" w:cs="Arial"/>
                <w:sz w:val="22"/>
                <w:szCs w:val="22"/>
              </w:rPr>
              <w:t>the</w:t>
            </w:r>
            <w:proofErr w:type="gramEnd"/>
            <w:r>
              <w:rPr>
                <w:rFonts w:ascii="Palatino Linotype" w:hAnsi="Palatino Linotype" w:cs="Arial"/>
                <w:sz w:val="22"/>
                <w:szCs w:val="22"/>
              </w:rPr>
              <w:t xml:space="preserve"> modernist text differs from pulp fiction in its quest to make its readers active, to think; the postmodern text may be just as allusive, fragmentary and inclusive, but it also draws far more widely on the world of entertainment. </w:t>
            </w:r>
            <w:proofErr w:type="gramStart"/>
            <w:r>
              <w:rPr>
                <w:rFonts w:ascii="Palatino Linotype" w:hAnsi="Palatino Linotype" w:cs="Arial"/>
                <w:sz w:val="22"/>
                <w:szCs w:val="22"/>
              </w:rPr>
              <w:t>this</w:t>
            </w:r>
            <w:proofErr w:type="gramEnd"/>
            <w:r>
              <w:rPr>
                <w:rFonts w:ascii="Palatino Linotype" w:hAnsi="Palatino Linotype" w:cs="Arial"/>
                <w:sz w:val="22"/>
                <w:szCs w:val="22"/>
              </w:rPr>
              <w:t xml:space="preserve"> helps establish differences in the use of similar techniques/elements. this would feed well into the ideological construction of a childhood lost in the supermarket in </w:t>
            </w:r>
            <w:r w:rsidRPr="005C242A">
              <w:rPr>
                <w:rFonts w:ascii="Palatino Linotype" w:hAnsi="Palatino Linotype" w:cs="Arial"/>
                <w:i/>
                <w:sz w:val="22"/>
                <w:szCs w:val="22"/>
              </w:rPr>
              <w:t>A Child in Time</w:t>
            </w:r>
          </w:p>
          <w:p w14:paraId="1DEE3E27" w14:textId="77777777" w:rsidR="00032574" w:rsidRPr="00E53C17" w:rsidRDefault="00032574" w:rsidP="00032574">
            <w:pPr>
              <w:pStyle w:val="NoSpacing"/>
              <w:ind w:left="360"/>
              <w:rPr>
                <w:rFonts w:ascii="Palatino Linotype" w:eastAsia="SimSun" w:hAnsi="Palatino Linotype" w:cs="Arial"/>
                <w:color w:val="000000"/>
                <w:lang w:eastAsia="zh-CN"/>
              </w:rPr>
            </w:pPr>
          </w:p>
          <w:p w14:paraId="57D31670" w14:textId="77777777" w:rsidR="00032574" w:rsidRDefault="00032574" w:rsidP="00032574">
            <w:pPr>
              <w:pStyle w:val="NormalWeb"/>
              <w:spacing w:before="0" w:beforeAutospacing="0" w:after="0" w:afterAutospacing="0"/>
              <w:ind w:right="34"/>
              <w:rPr>
                <w:rFonts w:ascii="Palatino Linotype" w:hAnsi="Palatino Linotype" w:cs="Arial"/>
                <w:sz w:val="22"/>
                <w:szCs w:val="22"/>
              </w:rPr>
            </w:pPr>
            <w:r>
              <w:rPr>
                <w:rFonts w:ascii="Palatino Linotype" w:hAnsi="Palatino Linotype" w:cs="Arial"/>
                <w:sz w:val="22"/>
                <w:szCs w:val="22"/>
              </w:rPr>
              <w:t xml:space="preserve">Your </w:t>
            </w:r>
            <w:r w:rsidRPr="00E53C17">
              <w:rPr>
                <w:rFonts w:ascii="Palatino Linotype" w:hAnsi="Palatino Linotype" w:cs="Arial"/>
                <w:sz w:val="22"/>
                <w:szCs w:val="22"/>
              </w:rPr>
              <w:t xml:space="preserve">presentation </w:t>
            </w:r>
            <w:r>
              <w:rPr>
                <w:rFonts w:ascii="Palatino Linotype" w:hAnsi="Palatino Linotype" w:cs="Arial"/>
                <w:sz w:val="22"/>
                <w:szCs w:val="22"/>
              </w:rPr>
              <w:t>and referencing needs a little attention – it is generally ok but not entirely consistent (again see marginal notes)</w:t>
            </w:r>
            <w:r w:rsidRPr="00E53C17">
              <w:rPr>
                <w:rFonts w:ascii="Palatino Linotype" w:hAnsi="Palatino Linotype" w:cs="Arial"/>
                <w:sz w:val="22"/>
                <w:szCs w:val="22"/>
              </w:rPr>
              <w:t>.</w:t>
            </w:r>
            <w:r>
              <w:rPr>
                <w:rFonts w:ascii="Palatino Linotype" w:hAnsi="Palatino Linotype" w:cs="Arial"/>
                <w:sz w:val="22"/>
                <w:szCs w:val="22"/>
              </w:rPr>
              <w:t xml:space="preserve"> </w:t>
            </w:r>
          </w:p>
          <w:p w14:paraId="5810B056" w14:textId="77777777" w:rsidR="00032574" w:rsidRDefault="00032574" w:rsidP="00032574">
            <w:pPr>
              <w:pStyle w:val="NormalWeb"/>
              <w:spacing w:before="0" w:beforeAutospacing="0" w:after="0" w:afterAutospacing="0"/>
              <w:ind w:right="34"/>
              <w:rPr>
                <w:rFonts w:ascii="Palatino Linotype" w:hAnsi="Palatino Linotype" w:cs="Arial"/>
                <w:sz w:val="22"/>
                <w:szCs w:val="22"/>
              </w:rPr>
            </w:pPr>
          </w:p>
          <w:p w14:paraId="1349B16E" w14:textId="77777777" w:rsidR="00032574" w:rsidRDefault="00032574" w:rsidP="00032574">
            <w:pPr>
              <w:pStyle w:val="NormalWeb"/>
              <w:spacing w:before="0" w:beforeAutospacing="0" w:after="0" w:afterAutospacing="0"/>
              <w:ind w:right="34"/>
              <w:rPr>
                <w:rFonts w:ascii="Palatino Linotype" w:hAnsi="Palatino Linotype" w:cs="Arial"/>
                <w:sz w:val="22"/>
                <w:szCs w:val="22"/>
              </w:rPr>
            </w:pPr>
            <w:r>
              <w:rPr>
                <w:rFonts w:ascii="Palatino Linotype" w:hAnsi="Palatino Linotype" w:cs="Arial"/>
                <w:sz w:val="22"/>
                <w:szCs w:val="22"/>
              </w:rPr>
              <w:t xml:space="preserve">A pleasing if slightly unruly essay. </w:t>
            </w:r>
          </w:p>
          <w:p w14:paraId="1DD49074" w14:textId="77777777" w:rsidR="00032574" w:rsidRPr="00C01427" w:rsidRDefault="00032574" w:rsidP="00377B8A">
            <w:pPr>
              <w:spacing w:before="100" w:beforeAutospacing="1" w:after="100" w:afterAutospacing="1"/>
              <w:rPr>
                <w:rFonts w:ascii="Palatino Linotype" w:eastAsia="SimSun" w:hAnsi="Palatino Linotype" w:cs="Arial"/>
                <w:color w:val="000000"/>
                <w:lang w:eastAsia="zh-CN"/>
              </w:rPr>
            </w:pPr>
          </w:p>
        </w:tc>
      </w:tr>
      <w:tr w:rsidR="00032574" w:rsidRPr="009C14C4" w14:paraId="2B16AA6A" w14:textId="77777777" w:rsidTr="00377B8A">
        <w:trPr>
          <w:trHeight w:val="492"/>
        </w:trPr>
        <w:tc>
          <w:tcPr>
            <w:tcW w:w="5920" w:type="dxa"/>
            <w:gridSpan w:val="2"/>
          </w:tcPr>
          <w:p w14:paraId="3770840B" w14:textId="35F4744B" w:rsidR="00032574" w:rsidRPr="009C14C4" w:rsidRDefault="00032574" w:rsidP="00032574">
            <w:pPr>
              <w:spacing w:before="100" w:beforeAutospacing="1" w:after="100" w:afterAutospacing="1"/>
              <w:ind w:left="142" w:right="34"/>
              <w:rPr>
                <w:rFonts w:ascii="Arial" w:eastAsia="SimSun" w:hAnsi="Arial" w:cs="Arial"/>
                <w:color w:val="000000"/>
                <w:lang w:eastAsia="zh-CN"/>
              </w:rPr>
            </w:pPr>
            <w:r w:rsidRPr="009C14C4">
              <w:rPr>
                <w:rFonts w:ascii="Arial" w:eastAsia="SimSun" w:hAnsi="Arial" w:cs="Arial"/>
                <w:color w:val="000000"/>
                <w:lang w:eastAsia="zh-CN"/>
              </w:rPr>
              <w:t>Marker’s signature</w:t>
            </w:r>
            <w:r w:rsidRPr="00032574">
              <w:rPr>
                <w:rFonts w:ascii="Palatino Linotype" w:eastAsia="SimSun" w:hAnsi="Palatino Linotype" w:cs="Arial"/>
                <w:color w:val="000000"/>
                <w:lang w:eastAsia="zh-CN"/>
              </w:rPr>
              <w:t>:   Jeni Williams</w:t>
            </w:r>
          </w:p>
        </w:tc>
        <w:tc>
          <w:tcPr>
            <w:tcW w:w="2936" w:type="dxa"/>
          </w:tcPr>
          <w:p w14:paraId="728673D5" w14:textId="75C3670D" w:rsidR="00032574" w:rsidRPr="009C14C4" w:rsidRDefault="00032574" w:rsidP="00377B8A">
            <w:pPr>
              <w:spacing w:before="100" w:beforeAutospacing="1" w:afterAutospacing="1"/>
              <w:ind w:left="142" w:right="34"/>
              <w:rPr>
                <w:rFonts w:ascii="Arial" w:eastAsia="SimSun" w:hAnsi="Arial" w:cs="Arial"/>
                <w:color w:val="000000"/>
                <w:lang w:eastAsia="zh-CN"/>
              </w:rPr>
            </w:pPr>
            <w:r w:rsidRPr="009C14C4">
              <w:rPr>
                <w:rFonts w:ascii="Arial" w:eastAsia="SimSun" w:hAnsi="Arial" w:cs="Arial"/>
                <w:color w:val="000000"/>
                <w:lang w:eastAsia="zh-CN"/>
              </w:rPr>
              <w:t>Date:</w:t>
            </w:r>
            <w:r w:rsidRPr="004763C0">
              <w:rPr>
                <w:rFonts w:ascii="Palatino Linotype" w:eastAsia="SimSun" w:hAnsi="Palatino Linotype" w:cs="Arial"/>
                <w:color w:val="000000"/>
                <w:lang w:eastAsia="zh-CN"/>
              </w:rPr>
              <w:t xml:space="preserve"> </w:t>
            </w:r>
            <w:r>
              <w:rPr>
                <w:rFonts w:ascii="Palatino Linotype" w:eastAsia="SimSun" w:hAnsi="Palatino Linotype" w:cs="Arial"/>
                <w:color w:val="000000"/>
                <w:lang w:eastAsia="zh-CN"/>
              </w:rPr>
              <w:t>May 2018</w:t>
            </w:r>
          </w:p>
        </w:tc>
      </w:tr>
      <w:tr w:rsidR="00032574" w:rsidRPr="009C14C4" w14:paraId="055D4E18" w14:textId="77777777" w:rsidTr="00377B8A">
        <w:tc>
          <w:tcPr>
            <w:tcW w:w="8856" w:type="dxa"/>
            <w:gridSpan w:val="3"/>
          </w:tcPr>
          <w:p w14:paraId="1F947E0D" w14:textId="77777777" w:rsidR="00032574" w:rsidRPr="009C14C4" w:rsidRDefault="00032574" w:rsidP="00377B8A">
            <w:pPr>
              <w:ind w:right="-334"/>
              <w:rPr>
                <w:rFonts w:ascii="Arial" w:eastAsia="SimSun" w:hAnsi="Arial" w:cs="Arial"/>
                <w:bCs/>
                <w:i/>
                <w:color w:val="000000"/>
                <w:lang w:eastAsia="zh-CN"/>
              </w:rPr>
            </w:pPr>
          </w:p>
          <w:p w14:paraId="1EB46E86" w14:textId="77777777" w:rsidR="00032574" w:rsidRPr="009C14C4" w:rsidRDefault="00032574" w:rsidP="00377B8A">
            <w:pPr>
              <w:ind w:right="-334"/>
              <w:rPr>
                <w:rFonts w:ascii="Arial" w:eastAsia="SimSun" w:hAnsi="Arial" w:cs="Arial"/>
                <w:b/>
                <w:bCs/>
                <w:color w:val="000000"/>
                <w:lang w:eastAsia="zh-CN"/>
              </w:rPr>
            </w:pPr>
            <w:r w:rsidRPr="009C14C4">
              <w:rPr>
                <w:rFonts w:ascii="Arial" w:eastAsia="SimSun" w:hAnsi="Arial" w:cs="Arial"/>
                <w:b/>
                <w:bCs/>
                <w:color w:val="000000"/>
                <w:lang w:eastAsia="zh-CN"/>
              </w:rPr>
              <w:t>For completion by Marker 2/Moderator:</w:t>
            </w:r>
          </w:p>
          <w:p w14:paraId="0B00CE32" w14:textId="77777777" w:rsidR="00032574" w:rsidRPr="009C14C4" w:rsidRDefault="00032574" w:rsidP="00377B8A">
            <w:pPr>
              <w:ind w:right="-334"/>
              <w:rPr>
                <w:rFonts w:ascii="Arial" w:eastAsia="SimSun" w:hAnsi="Arial" w:cs="Arial"/>
                <w:b/>
                <w:bCs/>
                <w:color w:val="000000"/>
                <w:lang w:eastAsia="zh-CN"/>
              </w:rPr>
            </w:pPr>
          </w:p>
          <w:p w14:paraId="38F2FA87" w14:textId="77777777" w:rsidR="00032574" w:rsidRPr="009C14C4" w:rsidRDefault="00032574" w:rsidP="00377B8A">
            <w:pPr>
              <w:ind w:right="-334"/>
              <w:rPr>
                <w:rFonts w:ascii="Arial" w:eastAsia="SimSun" w:hAnsi="Arial" w:cs="Arial"/>
                <w:bCs/>
                <w:color w:val="000000"/>
                <w:lang w:eastAsia="zh-CN"/>
              </w:rPr>
            </w:pPr>
            <w:r w:rsidRPr="009C14C4">
              <w:rPr>
                <w:rFonts w:ascii="Arial" w:eastAsia="SimSun" w:hAnsi="Arial" w:cs="Arial"/>
                <w:bCs/>
                <w:color w:val="000000"/>
                <w:lang w:eastAsia="zh-CN"/>
              </w:rPr>
              <w:t>Comments:</w:t>
            </w:r>
          </w:p>
          <w:p w14:paraId="5C81E6E1" w14:textId="10043BA5" w:rsidR="00032574" w:rsidRDefault="007C5255" w:rsidP="00377B8A">
            <w:pPr>
              <w:ind w:right="-334"/>
              <w:rPr>
                <w:rFonts w:ascii="Arial" w:eastAsia="SimSun" w:hAnsi="Arial" w:cs="Arial"/>
                <w:bCs/>
                <w:color w:val="000000"/>
                <w:lang w:eastAsia="zh-CN"/>
              </w:rPr>
            </w:pPr>
            <w:r>
              <w:rPr>
                <w:rFonts w:ascii="Arial" w:eastAsia="SimSun" w:hAnsi="Arial" w:cs="Arial"/>
                <w:bCs/>
                <w:color w:val="000000"/>
                <w:lang w:eastAsia="zh-CN"/>
              </w:rPr>
              <w:t xml:space="preserve"> </w:t>
            </w:r>
          </w:p>
          <w:p w14:paraId="0D70D993" w14:textId="5E1F49AB" w:rsidR="007C5255" w:rsidRDefault="007C5255" w:rsidP="00377B8A">
            <w:pPr>
              <w:ind w:right="-334"/>
              <w:rPr>
                <w:rFonts w:ascii="Arial" w:eastAsia="SimSun" w:hAnsi="Arial" w:cs="Arial"/>
                <w:bCs/>
                <w:color w:val="000000"/>
                <w:lang w:eastAsia="zh-CN"/>
              </w:rPr>
            </w:pPr>
            <w:r>
              <w:rPr>
                <w:rFonts w:ascii="Arial" w:eastAsia="SimSun" w:hAnsi="Arial" w:cs="Arial"/>
                <w:bCs/>
                <w:color w:val="000000"/>
                <w:lang w:eastAsia="zh-CN"/>
              </w:rPr>
              <w:t>A wide-ranging and intelligent essay at the level of its engagement with individual texts and Pomo ideas and devices. More might have been made explicitly of the idea of the ‘precursor’ in the question.</w:t>
            </w:r>
          </w:p>
          <w:p w14:paraId="7159FE95" w14:textId="39C00D9E" w:rsidR="007C5255" w:rsidRDefault="007C5255" w:rsidP="00377B8A">
            <w:pPr>
              <w:ind w:right="-334"/>
              <w:rPr>
                <w:rFonts w:ascii="Arial" w:eastAsia="SimSun" w:hAnsi="Arial" w:cs="Arial"/>
                <w:bCs/>
                <w:color w:val="000000"/>
                <w:lang w:eastAsia="zh-CN"/>
              </w:rPr>
            </w:pPr>
          </w:p>
          <w:p w14:paraId="670348A0" w14:textId="51C000FA" w:rsidR="009F39C0" w:rsidRDefault="009F39C0" w:rsidP="00377B8A">
            <w:pPr>
              <w:ind w:right="-334"/>
              <w:rPr>
                <w:rFonts w:ascii="Arial" w:eastAsia="SimSun" w:hAnsi="Arial" w:cs="Arial"/>
                <w:bCs/>
                <w:color w:val="000000"/>
                <w:lang w:eastAsia="zh-CN"/>
              </w:rPr>
            </w:pPr>
            <w:r>
              <w:rPr>
                <w:rFonts w:ascii="Arial" w:eastAsia="SimSun" w:hAnsi="Arial" w:cs="Arial"/>
                <w:bCs/>
                <w:color w:val="000000"/>
                <w:lang w:eastAsia="zh-CN"/>
              </w:rPr>
              <w:t xml:space="preserve">Some of the differences which are apparently set up from the begging do seem to be collapsed in the conclusion. And more generally it is not always easy to follow individual arguments or threads for the often mechanical reasons noted by the first </w:t>
            </w:r>
          </w:p>
          <w:p w14:paraId="4DF25DB2" w14:textId="020273F6" w:rsidR="009F39C0" w:rsidRDefault="009F39C0" w:rsidP="00377B8A">
            <w:pPr>
              <w:ind w:right="-334"/>
              <w:rPr>
                <w:rFonts w:ascii="Arial" w:eastAsia="SimSun" w:hAnsi="Arial" w:cs="Arial"/>
                <w:bCs/>
                <w:color w:val="000000"/>
                <w:lang w:eastAsia="zh-CN"/>
              </w:rPr>
            </w:pPr>
            <w:r>
              <w:rPr>
                <w:rFonts w:ascii="Arial" w:eastAsia="SimSun" w:hAnsi="Arial" w:cs="Arial"/>
                <w:bCs/>
                <w:color w:val="000000"/>
                <w:lang w:eastAsia="zh-CN"/>
              </w:rPr>
              <w:t>Marker.</w:t>
            </w:r>
          </w:p>
          <w:p w14:paraId="26E348A5" w14:textId="77777777" w:rsidR="007C5255" w:rsidRPr="009C14C4" w:rsidRDefault="007C5255" w:rsidP="00377B8A">
            <w:pPr>
              <w:ind w:right="-334"/>
              <w:rPr>
                <w:rFonts w:ascii="Arial" w:eastAsia="SimSun" w:hAnsi="Arial" w:cs="Arial"/>
                <w:bCs/>
                <w:color w:val="000000"/>
                <w:lang w:eastAsia="zh-CN"/>
              </w:rPr>
            </w:pPr>
          </w:p>
          <w:p w14:paraId="7E833DC5" w14:textId="77777777" w:rsidR="00032574" w:rsidRPr="009C14C4" w:rsidRDefault="00032574" w:rsidP="00377B8A">
            <w:pPr>
              <w:ind w:right="-334"/>
              <w:rPr>
                <w:rFonts w:ascii="Arial" w:eastAsia="SimSun" w:hAnsi="Arial" w:cs="Arial"/>
                <w:bCs/>
                <w:color w:val="000000"/>
                <w:lang w:eastAsia="zh-CN"/>
              </w:rPr>
            </w:pPr>
          </w:p>
          <w:p w14:paraId="0BE5AE53" w14:textId="77777777" w:rsidR="00032574" w:rsidRPr="009C14C4" w:rsidRDefault="00032574" w:rsidP="00377B8A">
            <w:pPr>
              <w:ind w:right="-334"/>
              <w:rPr>
                <w:rFonts w:ascii="Arial" w:eastAsia="SimSun" w:hAnsi="Arial" w:cs="Arial"/>
                <w:bCs/>
                <w:color w:val="000000"/>
                <w:lang w:eastAsia="zh-CN"/>
              </w:rPr>
            </w:pPr>
          </w:p>
        </w:tc>
      </w:tr>
      <w:tr w:rsidR="00032574" w:rsidRPr="009C14C4" w14:paraId="4ED08485" w14:textId="77777777" w:rsidTr="00377B8A">
        <w:trPr>
          <w:trHeight w:val="720"/>
        </w:trPr>
        <w:tc>
          <w:tcPr>
            <w:tcW w:w="5211" w:type="dxa"/>
          </w:tcPr>
          <w:p w14:paraId="67899B13" w14:textId="5C6F274D" w:rsidR="00032574" w:rsidRPr="009C14C4" w:rsidRDefault="00032574" w:rsidP="00377B8A">
            <w:pPr>
              <w:ind w:right="-334"/>
              <w:rPr>
                <w:rFonts w:ascii="Arial" w:eastAsia="SimSun" w:hAnsi="Arial" w:cs="Arial"/>
                <w:bCs/>
                <w:color w:val="000000"/>
                <w:lang w:eastAsia="zh-CN"/>
              </w:rPr>
            </w:pPr>
            <w:r w:rsidRPr="009C14C4">
              <w:rPr>
                <w:rFonts w:ascii="Arial" w:eastAsia="SimSun" w:hAnsi="Arial" w:cs="Arial"/>
                <w:bCs/>
                <w:color w:val="000000"/>
                <w:lang w:eastAsia="zh-CN"/>
              </w:rPr>
              <w:lastRenderedPageBreak/>
              <w:t>Marker’s Signature:</w:t>
            </w:r>
            <w:r w:rsidR="00754F23">
              <w:rPr>
                <w:rFonts w:ascii="Arial" w:eastAsia="SimSun" w:hAnsi="Arial" w:cs="Arial"/>
                <w:bCs/>
                <w:color w:val="000000"/>
                <w:lang w:eastAsia="zh-CN"/>
              </w:rPr>
              <w:t xml:space="preserve"> Paul Wright </w:t>
            </w:r>
          </w:p>
        </w:tc>
        <w:tc>
          <w:tcPr>
            <w:tcW w:w="3645" w:type="dxa"/>
            <w:gridSpan w:val="2"/>
          </w:tcPr>
          <w:p w14:paraId="250F1620" w14:textId="77777777" w:rsidR="00032574" w:rsidRPr="009C14C4" w:rsidRDefault="00032574" w:rsidP="00377B8A">
            <w:pPr>
              <w:ind w:right="-334"/>
              <w:rPr>
                <w:rFonts w:ascii="Arial" w:eastAsia="SimSun" w:hAnsi="Arial" w:cs="Arial"/>
                <w:bCs/>
                <w:color w:val="000000"/>
                <w:lang w:eastAsia="zh-CN"/>
              </w:rPr>
            </w:pPr>
            <w:r w:rsidRPr="009C14C4">
              <w:rPr>
                <w:rFonts w:ascii="Arial" w:eastAsia="SimSun" w:hAnsi="Arial" w:cs="Arial"/>
                <w:bCs/>
                <w:color w:val="000000"/>
                <w:lang w:eastAsia="zh-CN"/>
              </w:rPr>
              <w:t>Date:</w:t>
            </w:r>
          </w:p>
        </w:tc>
      </w:tr>
      <w:tr w:rsidR="00032574" w:rsidRPr="009C14C4" w14:paraId="135CAF14" w14:textId="77777777" w:rsidTr="00377B8A">
        <w:trPr>
          <w:trHeight w:val="720"/>
        </w:trPr>
        <w:tc>
          <w:tcPr>
            <w:tcW w:w="8856" w:type="dxa"/>
            <w:gridSpan w:val="3"/>
          </w:tcPr>
          <w:p w14:paraId="3078B351" w14:textId="77777777" w:rsidR="00032574" w:rsidRPr="009C14C4" w:rsidRDefault="00032574" w:rsidP="00377B8A">
            <w:pPr>
              <w:rPr>
                <w:rFonts w:ascii="Arial" w:eastAsia="SimSun" w:hAnsi="Arial" w:cs="Arial"/>
                <w:b/>
                <w:lang w:eastAsia="zh-CN"/>
              </w:rPr>
            </w:pPr>
            <w:r w:rsidRPr="009C14C4">
              <w:rPr>
                <w:rFonts w:ascii="Arial" w:eastAsia="SimSun" w:hAnsi="Arial" w:cs="Arial"/>
                <w:b/>
                <w:lang w:eastAsia="zh-CN"/>
              </w:rPr>
              <w:t>AGREED INTERNAL MARK (where necessary):</w:t>
            </w:r>
          </w:p>
          <w:p w14:paraId="2183EB77" w14:textId="77777777" w:rsidR="00032574" w:rsidRPr="009C14C4" w:rsidRDefault="00032574" w:rsidP="00377B8A">
            <w:pPr>
              <w:rPr>
                <w:rFonts w:ascii="Arial" w:eastAsia="SimSun" w:hAnsi="Arial" w:cs="Arial"/>
                <w:b/>
                <w:lang w:eastAsia="zh-CN"/>
              </w:rPr>
            </w:pPr>
          </w:p>
          <w:p w14:paraId="5CED012E" w14:textId="77777777" w:rsidR="00032574" w:rsidRPr="009C14C4" w:rsidRDefault="00032574" w:rsidP="00377B8A">
            <w:pPr>
              <w:rPr>
                <w:rFonts w:ascii="Arial" w:eastAsia="SimSun" w:hAnsi="Arial" w:cs="Arial"/>
                <w:b/>
                <w:lang w:eastAsia="zh-CN"/>
              </w:rPr>
            </w:pPr>
            <w:r w:rsidRPr="009C14C4">
              <w:rPr>
                <w:rFonts w:ascii="Arial" w:eastAsia="SimSun" w:hAnsi="Arial" w:cs="Arial"/>
                <w:b/>
                <w:lang w:eastAsia="zh-CN"/>
              </w:rPr>
              <w:t>Comment on process on arriving at agreed mark:</w:t>
            </w:r>
          </w:p>
          <w:p w14:paraId="0B533075" w14:textId="77777777" w:rsidR="00032574" w:rsidRPr="009C14C4" w:rsidRDefault="00032574" w:rsidP="00377B8A">
            <w:pPr>
              <w:rPr>
                <w:rFonts w:ascii="Arial" w:eastAsia="SimSun" w:hAnsi="Arial" w:cs="Arial"/>
                <w:b/>
                <w:lang w:eastAsia="zh-CN"/>
              </w:rPr>
            </w:pPr>
          </w:p>
          <w:p w14:paraId="1176BDD1" w14:textId="77777777" w:rsidR="00032574" w:rsidRPr="009C14C4" w:rsidRDefault="00032574" w:rsidP="00377B8A">
            <w:pPr>
              <w:rPr>
                <w:rFonts w:ascii="Arial" w:eastAsia="SimSun" w:hAnsi="Arial" w:cs="Arial"/>
                <w:b/>
                <w:lang w:eastAsia="zh-CN"/>
              </w:rPr>
            </w:pPr>
          </w:p>
        </w:tc>
      </w:tr>
      <w:tr w:rsidR="00032574" w:rsidRPr="009C14C4" w14:paraId="16DA4864" w14:textId="77777777" w:rsidTr="00377B8A">
        <w:trPr>
          <w:trHeight w:val="720"/>
        </w:trPr>
        <w:tc>
          <w:tcPr>
            <w:tcW w:w="8856" w:type="dxa"/>
            <w:gridSpan w:val="3"/>
          </w:tcPr>
          <w:p w14:paraId="65B555ED" w14:textId="77777777" w:rsidR="00032574" w:rsidRPr="009C14C4" w:rsidRDefault="00032574" w:rsidP="00377B8A">
            <w:pPr>
              <w:rPr>
                <w:rFonts w:ascii="Arial" w:eastAsia="SimSun" w:hAnsi="Arial" w:cs="Arial"/>
                <w:b/>
                <w:lang w:eastAsia="zh-CN"/>
              </w:rPr>
            </w:pPr>
            <w:r w:rsidRPr="009C14C4">
              <w:rPr>
                <w:rFonts w:ascii="Arial" w:eastAsia="SimSun" w:hAnsi="Arial" w:cs="Arial"/>
                <w:b/>
                <w:lang w:eastAsia="zh-CN"/>
              </w:rPr>
              <w:t>External Examiner’s comments (if relevant)</w:t>
            </w:r>
          </w:p>
          <w:p w14:paraId="78AE3FC2" w14:textId="77777777" w:rsidR="00032574" w:rsidRPr="009C14C4" w:rsidRDefault="00032574" w:rsidP="00377B8A">
            <w:pPr>
              <w:ind w:right="-334"/>
              <w:rPr>
                <w:rFonts w:ascii="Arial" w:eastAsia="SimSun" w:hAnsi="Arial" w:cs="Arial"/>
                <w:bCs/>
                <w:color w:val="000000"/>
                <w:lang w:eastAsia="zh-CN"/>
              </w:rPr>
            </w:pPr>
          </w:p>
          <w:p w14:paraId="4FD0ED70" w14:textId="77777777" w:rsidR="00032574" w:rsidRPr="009C14C4" w:rsidRDefault="00032574" w:rsidP="00377B8A">
            <w:pPr>
              <w:ind w:right="-334"/>
              <w:rPr>
                <w:rFonts w:ascii="Arial" w:eastAsia="SimSun" w:hAnsi="Arial" w:cs="Arial"/>
                <w:bCs/>
                <w:color w:val="000000"/>
                <w:lang w:eastAsia="zh-CN"/>
              </w:rPr>
            </w:pPr>
          </w:p>
          <w:p w14:paraId="1D31B430" w14:textId="77777777" w:rsidR="00032574" w:rsidRPr="009C14C4" w:rsidRDefault="00032574" w:rsidP="00377B8A">
            <w:pPr>
              <w:ind w:right="-334"/>
              <w:rPr>
                <w:rFonts w:ascii="Arial" w:eastAsia="SimSun" w:hAnsi="Arial" w:cs="Arial"/>
                <w:bCs/>
                <w:color w:val="000000"/>
                <w:lang w:eastAsia="zh-CN"/>
              </w:rPr>
            </w:pPr>
          </w:p>
        </w:tc>
      </w:tr>
      <w:tr w:rsidR="00032574" w:rsidRPr="009C14C4" w14:paraId="4B2F46C0" w14:textId="77777777" w:rsidTr="00377B8A">
        <w:trPr>
          <w:trHeight w:val="720"/>
        </w:trPr>
        <w:tc>
          <w:tcPr>
            <w:tcW w:w="5211" w:type="dxa"/>
          </w:tcPr>
          <w:p w14:paraId="4F17EB96" w14:textId="77777777" w:rsidR="00032574" w:rsidRPr="009C14C4" w:rsidRDefault="00032574" w:rsidP="00377B8A">
            <w:pPr>
              <w:rPr>
                <w:rFonts w:ascii="Arial" w:eastAsia="SimSun" w:hAnsi="Arial" w:cs="Arial"/>
                <w:lang w:eastAsia="zh-CN"/>
              </w:rPr>
            </w:pPr>
            <w:r w:rsidRPr="009C14C4">
              <w:rPr>
                <w:rFonts w:ascii="Arial" w:eastAsia="SimSun" w:hAnsi="Arial" w:cs="Arial"/>
                <w:lang w:eastAsia="zh-CN"/>
              </w:rPr>
              <w:t>External Examiner’s Signature:</w:t>
            </w:r>
          </w:p>
        </w:tc>
        <w:tc>
          <w:tcPr>
            <w:tcW w:w="3645" w:type="dxa"/>
            <w:gridSpan w:val="2"/>
          </w:tcPr>
          <w:p w14:paraId="63B5A95D" w14:textId="77777777" w:rsidR="00032574" w:rsidRPr="009C14C4" w:rsidRDefault="00032574" w:rsidP="00377B8A">
            <w:pPr>
              <w:rPr>
                <w:rFonts w:ascii="Arial" w:eastAsia="SimSun" w:hAnsi="Arial" w:cs="Arial"/>
                <w:lang w:eastAsia="zh-CN"/>
              </w:rPr>
            </w:pPr>
            <w:r w:rsidRPr="009C14C4">
              <w:rPr>
                <w:rFonts w:ascii="Arial" w:eastAsia="SimSun" w:hAnsi="Arial" w:cs="Arial"/>
                <w:lang w:eastAsia="zh-CN"/>
              </w:rPr>
              <w:t>Date:</w:t>
            </w:r>
          </w:p>
        </w:tc>
      </w:tr>
    </w:tbl>
    <w:p w14:paraId="2BA122CC" w14:textId="77777777" w:rsidR="005C242A" w:rsidRPr="009C14C4" w:rsidRDefault="005C242A" w:rsidP="005C242A">
      <w:pPr>
        <w:rPr>
          <w:rFonts w:ascii="Arial" w:eastAsia="SimSun" w:hAnsi="Arial" w:cs="Arial"/>
          <w:b/>
          <w:color w:val="000000"/>
          <w:lang w:eastAsia="zh-CN"/>
        </w:rPr>
      </w:pPr>
    </w:p>
    <w:p w14:paraId="28CD0FA8" w14:textId="77777777" w:rsidR="00E53C17" w:rsidRDefault="00E53C17">
      <w:pPr>
        <w:rPr>
          <w:b/>
        </w:rPr>
      </w:pPr>
      <w:r>
        <w:rPr>
          <w:b/>
        </w:rPr>
        <w:br w:type="page"/>
      </w:r>
    </w:p>
    <w:p w14:paraId="5DDE6A95" w14:textId="77777777" w:rsidR="002972F4" w:rsidRPr="004E7C70" w:rsidRDefault="004E7C70" w:rsidP="004E7C70">
      <w:pPr>
        <w:spacing w:line="360" w:lineRule="auto"/>
        <w:rPr>
          <w:b/>
        </w:rPr>
      </w:pPr>
      <w:r w:rsidRPr="004E7C70">
        <w:rPr>
          <w:b/>
        </w:rPr>
        <w:lastRenderedPageBreak/>
        <w:t>“Each writer creates his precursors”</w:t>
      </w:r>
      <w:r w:rsidR="00CE0CE6" w:rsidRPr="004E7C70">
        <w:rPr>
          <w:b/>
        </w:rPr>
        <w:t xml:space="preserve">: Examining time, memory and the interpretation of history in </w:t>
      </w:r>
      <w:r w:rsidRPr="004E7C70">
        <w:rPr>
          <w:b/>
        </w:rPr>
        <w:t>Modernism and Postmodernism</w:t>
      </w:r>
    </w:p>
    <w:p w14:paraId="38ABCC11" w14:textId="77777777" w:rsidR="00CE0CE6" w:rsidRDefault="00CE0CE6" w:rsidP="004E7C70">
      <w:pPr>
        <w:spacing w:line="360" w:lineRule="auto"/>
      </w:pPr>
    </w:p>
    <w:p w14:paraId="31C07E45" w14:textId="77777777" w:rsidR="00CE0CE6" w:rsidRDefault="00CE0CE6" w:rsidP="004E7C70">
      <w:pPr>
        <w:spacing w:line="360" w:lineRule="auto"/>
      </w:pPr>
    </w:p>
    <w:p w14:paraId="40B8EB97" w14:textId="77777777" w:rsidR="00CC200E" w:rsidRDefault="00EB31E2" w:rsidP="004E7C70">
      <w:pPr>
        <w:spacing w:line="360" w:lineRule="auto"/>
      </w:pPr>
      <w:r>
        <w:t>This assignment will examine the subjectivity of interpretation caused by literary elements such as framing devices and intertextual</w:t>
      </w:r>
      <w:r w:rsidR="00CC200E">
        <w:t xml:space="preserve"> and intratextual</w:t>
      </w:r>
      <w:r>
        <w:t xml:space="preserve"> narratives. It will discuss how depictions of time and memory are used </w:t>
      </w:r>
      <w:r w:rsidR="00CC200E">
        <w:t xml:space="preserve">within texts from the </w:t>
      </w:r>
      <w:commentRangeStart w:id="5"/>
      <w:r w:rsidR="00CC200E">
        <w:t xml:space="preserve">modernist and postmodern periods, </w:t>
      </w:r>
      <w:commentRangeEnd w:id="5"/>
      <w:r w:rsidR="002777F0">
        <w:rPr>
          <w:rStyle w:val="CommentReference"/>
        </w:rPr>
        <w:commentReference w:id="5"/>
      </w:r>
      <w:r w:rsidR="00CC200E">
        <w:t xml:space="preserve">and how </w:t>
      </w:r>
      <w:r w:rsidR="002070B5">
        <w:t xml:space="preserve">the use of history (and particularly literary history) differs in both the process of storytelling </w:t>
      </w:r>
      <w:r w:rsidR="005F4BEC">
        <w:t>throughout the twentieth century. T</w:t>
      </w:r>
      <w:r w:rsidR="002070B5">
        <w:t xml:space="preserve">o do this I will draw primarily on three texts: </w:t>
      </w:r>
      <w:r w:rsidR="002070B5">
        <w:rPr>
          <w:i/>
        </w:rPr>
        <w:t>The Waste Land</w:t>
      </w:r>
      <w:r w:rsidR="002070B5">
        <w:t xml:space="preserve"> by T. S. Eliot, </w:t>
      </w:r>
      <w:r w:rsidR="002070B5">
        <w:rPr>
          <w:i/>
        </w:rPr>
        <w:t>The Handmaid’s Tale</w:t>
      </w:r>
      <w:r w:rsidR="002070B5">
        <w:t xml:space="preserve"> by Margaret Atwood, and </w:t>
      </w:r>
      <w:r w:rsidR="002070B5">
        <w:rPr>
          <w:i/>
        </w:rPr>
        <w:t xml:space="preserve">The Child </w:t>
      </w:r>
      <w:proofErr w:type="gramStart"/>
      <w:r w:rsidR="002070B5">
        <w:rPr>
          <w:i/>
        </w:rPr>
        <w:t>In</w:t>
      </w:r>
      <w:proofErr w:type="gramEnd"/>
      <w:r w:rsidR="002070B5">
        <w:rPr>
          <w:i/>
        </w:rPr>
        <w:t xml:space="preserve"> Time</w:t>
      </w:r>
      <w:r w:rsidR="002070B5">
        <w:t xml:space="preserve"> by Ian McEwan, although I will include references to a number of other texts. I have attempted to draw upon as wide a range of critical voices spanning nationality, gender and specialism. I will consider how postmodernism relates to modernism, and to what extent they are distinct or an evolution of the same movem</w:t>
      </w:r>
      <w:commentRangeStart w:id="6"/>
      <w:r w:rsidR="002070B5">
        <w:t>ent</w:t>
      </w:r>
      <w:commentRangeEnd w:id="6"/>
      <w:r w:rsidR="002777F0">
        <w:rPr>
          <w:rStyle w:val="CommentReference"/>
        </w:rPr>
        <w:commentReference w:id="6"/>
      </w:r>
      <w:r w:rsidR="002070B5">
        <w:t>.</w:t>
      </w:r>
    </w:p>
    <w:p w14:paraId="1132E77C" w14:textId="77777777" w:rsidR="00CC200E" w:rsidRDefault="00CC200E" w:rsidP="004E7C70">
      <w:pPr>
        <w:spacing w:line="360" w:lineRule="auto"/>
      </w:pPr>
    </w:p>
    <w:p w14:paraId="68E73B8A" w14:textId="77777777" w:rsidR="005743E5" w:rsidRDefault="00B71BFC" w:rsidP="004E7C70">
      <w:pPr>
        <w:spacing w:line="360" w:lineRule="auto"/>
      </w:pPr>
      <w:r>
        <w:t xml:space="preserve">In </w:t>
      </w:r>
      <w:r>
        <w:rPr>
          <w:i/>
        </w:rPr>
        <w:t>The Child in Time</w:t>
      </w:r>
      <w:r>
        <w:t xml:space="preserve"> </w:t>
      </w:r>
      <w:r w:rsidR="002070B5">
        <w:t xml:space="preserve">Ian </w:t>
      </w:r>
      <w:r>
        <w:t xml:space="preserve">McEwan introduces each chapter with a quotation from the fictional </w:t>
      </w:r>
      <w:r w:rsidR="005F4BEC">
        <w:t>‘</w:t>
      </w:r>
      <w:r w:rsidRPr="005F4BEC">
        <w:t>Authorised Childcare Manual, HMSO</w:t>
      </w:r>
      <w:r w:rsidR="005F4BEC">
        <w:t>’</w:t>
      </w:r>
      <w:r>
        <w:t xml:space="preserve">. </w:t>
      </w:r>
      <w:r w:rsidR="005743E5">
        <w:t xml:space="preserve">Described by Paul Edwards as a ‘contextualising device’ used to interpret the main narrative, the </w:t>
      </w:r>
      <w:commentRangeStart w:id="7"/>
      <w:r w:rsidR="005743E5">
        <w:t>obviously outrageous parenting instructions</w:t>
      </w:r>
      <w:commentRangeEnd w:id="7"/>
      <w:r w:rsidR="002777F0">
        <w:rPr>
          <w:rStyle w:val="CommentReference"/>
        </w:rPr>
        <w:commentReference w:id="7"/>
      </w:r>
      <w:r w:rsidR="005743E5">
        <w:t xml:space="preserve"> contained in the epigraphs provide an intratextual filter which functions as an interpretative guide for the reader. In doing so, the meta-contextual setting of the novel – a hyper-Thatcherite society reflective of the ‘time of the novel’s first publication’ </w:t>
      </w:r>
      <w:r w:rsidR="001549D0">
        <w:rPr>
          <w:rStyle w:val="FootnoteReference"/>
        </w:rPr>
        <w:footnoteReference w:id="1"/>
      </w:r>
      <w:r w:rsidR="005743E5">
        <w:t xml:space="preserve"> – could be seen as providing a </w:t>
      </w:r>
      <w:commentRangeStart w:id="8"/>
      <w:r w:rsidR="005743E5">
        <w:t>predetermined interpretation of the text’s preoccupation with childhood</w:t>
      </w:r>
      <w:commentRangeEnd w:id="8"/>
      <w:r w:rsidR="002777F0">
        <w:rPr>
          <w:rStyle w:val="CommentReference"/>
        </w:rPr>
        <w:commentReference w:id="8"/>
      </w:r>
      <w:r w:rsidR="005743E5">
        <w:t xml:space="preserve">. Such an imposition of interpretation may be seen as a rejection of </w:t>
      </w:r>
      <w:commentRangeStart w:id="9"/>
      <w:r w:rsidR="005743E5">
        <w:t xml:space="preserve">subjectivity </w:t>
      </w:r>
      <w:commentRangeEnd w:id="9"/>
      <w:r w:rsidR="00594BFB">
        <w:rPr>
          <w:rStyle w:val="CommentReference"/>
        </w:rPr>
        <w:commentReference w:id="9"/>
      </w:r>
      <w:r w:rsidR="005743E5">
        <w:t xml:space="preserve">and the imposition of a broader metanarrative upon the reader’s own response, reinforcing </w:t>
      </w:r>
      <w:commentRangeStart w:id="10"/>
      <w:r w:rsidR="005743E5">
        <w:t>the ‘meta-modernism’ of McHale.</w:t>
      </w:r>
      <w:commentRangeEnd w:id="10"/>
      <w:r w:rsidR="00594BFB">
        <w:rPr>
          <w:rStyle w:val="CommentReference"/>
        </w:rPr>
        <w:commentReference w:id="10"/>
      </w:r>
    </w:p>
    <w:p w14:paraId="09E3FF84" w14:textId="77777777" w:rsidR="005743E5" w:rsidRDefault="005743E5" w:rsidP="004E7C70">
      <w:pPr>
        <w:spacing w:line="360" w:lineRule="auto"/>
      </w:pPr>
    </w:p>
    <w:p w14:paraId="0ACE3164" w14:textId="77777777" w:rsidR="009B45EB" w:rsidRDefault="005743E5" w:rsidP="004E7C70">
      <w:pPr>
        <w:spacing w:line="360" w:lineRule="auto"/>
      </w:pPr>
      <w:r>
        <w:t xml:space="preserve">The argument from </w:t>
      </w:r>
      <w:r w:rsidR="009B45EB">
        <w:t xml:space="preserve">Brian McHale </w:t>
      </w:r>
      <w:r>
        <w:t xml:space="preserve">is </w:t>
      </w:r>
      <w:r w:rsidR="009B45EB">
        <w:t xml:space="preserve">that the novels of McEwan are part of a movement of ‘meta-modernism’ returning to some of the principles of early </w:t>
      </w:r>
      <w:proofErr w:type="gramStart"/>
      <w:r w:rsidR="009B45EB">
        <w:t xml:space="preserve">modernism </w:t>
      </w:r>
      <w:proofErr w:type="gramEnd"/>
      <w:r w:rsidR="001549D0">
        <w:rPr>
          <w:rStyle w:val="FootnoteReference"/>
        </w:rPr>
        <w:footnoteReference w:id="2"/>
      </w:r>
      <w:r>
        <w:t>. The intra</w:t>
      </w:r>
      <w:r w:rsidR="002414FE">
        <w:t xml:space="preserve">textual nature of the epigraphs is a characteristic that Pericles Lewis argues was </w:t>
      </w:r>
      <w:r w:rsidR="0096783B">
        <w:lastRenderedPageBreak/>
        <w:t>‘</w:t>
      </w:r>
      <w:r w:rsidR="002414FE">
        <w:t>prefigured</w:t>
      </w:r>
      <w:r w:rsidR="0096783B">
        <w:t>’</w:t>
      </w:r>
      <w:r w:rsidR="002414FE">
        <w:t xml:space="preserve"> in modernism</w:t>
      </w:r>
      <w:r w:rsidR="001549D0">
        <w:rPr>
          <w:rStyle w:val="FootnoteReference"/>
        </w:rPr>
        <w:footnoteReference w:id="3"/>
      </w:r>
      <w:r w:rsidR="002414FE">
        <w:t>, and in Eliot and Joyce in particular</w:t>
      </w:r>
      <w:r w:rsidR="0096783B">
        <w:t xml:space="preserve">, and in doing so he </w:t>
      </w:r>
      <w:r w:rsidR="002414FE">
        <w:t xml:space="preserve">emphasises </w:t>
      </w:r>
      <w:r>
        <w:t xml:space="preserve">what he describes as </w:t>
      </w:r>
      <w:r w:rsidR="002414FE">
        <w:t>the fluidity between modernism and postmodernism</w:t>
      </w:r>
      <w:r w:rsidR="0096783B">
        <w:t xml:space="preserve">. This begs the question as to whether it is more accurate to see McEwan’s writing according to McHale’s description as ‘meta-modernism’, or if the characteristics commonly associated with postmodernism were nascent within modernism from the beginning reinforcing the idea that postmodernism is an evolution and continuation of modernist </w:t>
      </w:r>
      <w:commentRangeStart w:id="11"/>
      <w:r w:rsidR="0096783B">
        <w:t>art</w:t>
      </w:r>
      <w:commentRangeEnd w:id="11"/>
      <w:r w:rsidR="00594BFB">
        <w:rPr>
          <w:rStyle w:val="CommentReference"/>
        </w:rPr>
        <w:commentReference w:id="11"/>
      </w:r>
      <w:r w:rsidR="0096783B">
        <w:t>.</w:t>
      </w:r>
    </w:p>
    <w:p w14:paraId="234972EA" w14:textId="77777777" w:rsidR="00FB1839" w:rsidRDefault="00FB1839" w:rsidP="004E7C70">
      <w:pPr>
        <w:spacing w:line="360" w:lineRule="auto"/>
      </w:pPr>
    </w:p>
    <w:p w14:paraId="53CA4D94" w14:textId="77777777" w:rsidR="00FB1839" w:rsidRDefault="00FB1839" w:rsidP="004E7C70">
      <w:pPr>
        <w:spacing w:line="360" w:lineRule="auto"/>
      </w:pPr>
      <w:r>
        <w:t>However, internally within the narrative</w:t>
      </w:r>
      <w:r w:rsidR="002D624F">
        <w:t xml:space="preserve"> of </w:t>
      </w:r>
      <w:r w:rsidR="002D624F">
        <w:rPr>
          <w:i/>
        </w:rPr>
        <w:t xml:space="preserve">The Child </w:t>
      </w:r>
      <w:proofErr w:type="gramStart"/>
      <w:r w:rsidR="002D624F">
        <w:rPr>
          <w:i/>
        </w:rPr>
        <w:t>In</w:t>
      </w:r>
      <w:proofErr w:type="gramEnd"/>
      <w:r w:rsidR="002D624F">
        <w:rPr>
          <w:i/>
        </w:rPr>
        <w:t xml:space="preserve"> Time</w:t>
      </w:r>
      <w:r w:rsidR="001810DC">
        <w:t xml:space="preserve">, </w:t>
      </w:r>
      <w:r w:rsidR="00424834">
        <w:t>the relationship between time, memory and subjectivity is explored through the</w:t>
      </w:r>
      <w:r w:rsidR="002D624F">
        <w:t xml:space="preserve"> narrative</w:t>
      </w:r>
      <w:r w:rsidR="00424834">
        <w:t xml:space="preserve">. </w:t>
      </w:r>
      <w:r w:rsidR="002D624F">
        <w:t xml:space="preserve">For example, </w:t>
      </w:r>
      <w:r w:rsidR="00424834">
        <w:t>Stephen’s children’s book</w:t>
      </w:r>
      <w:commentRangeStart w:id="12"/>
      <w:r w:rsidR="00424834">
        <w:t>, ‘Lemonade’</w:t>
      </w:r>
      <w:commentRangeEnd w:id="12"/>
      <w:r w:rsidR="00594BFB">
        <w:rPr>
          <w:rStyle w:val="CommentReference"/>
        </w:rPr>
        <w:commentReference w:id="12"/>
      </w:r>
      <w:r w:rsidR="00424834">
        <w:t>, frames the depiction of how Charles and Stephen reinterpret childhood through the lens of adulthood. Stephen’s publisher</w:t>
      </w:r>
      <w:r w:rsidR="002D624F">
        <w:t>,</w:t>
      </w:r>
      <w:r w:rsidR="00424834">
        <w:t xml:space="preserve"> Charles</w:t>
      </w:r>
      <w:r w:rsidR="002D624F">
        <w:t>,</w:t>
      </w:r>
      <w:r w:rsidR="00424834">
        <w:t xml:space="preserve"> attempts to escape into a second childhood, giving up his political career to move to the countryside with </w:t>
      </w:r>
      <w:r w:rsidR="00424834" w:rsidRPr="00594BFB">
        <w:rPr>
          <w:u w:val="single"/>
        </w:rPr>
        <w:t>‘Lemonade’</w:t>
      </w:r>
      <w:r w:rsidR="00424834">
        <w:t xml:space="preserve"> providing the reminder of mortality that is apparently driving this abrupt change. However, Charles’s </w:t>
      </w:r>
      <w:commentRangeStart w:id="13"/>
      <w:r w:rsidR="00424834">
        <w:t>view of childhood is vastly different to Stephen’s</w:t>
      </w:r>
      <w:commentRangeEnd w:id="13"/>
      <w:r w:rsidR="00594BFB">
        <w:rPr>
          <w:rStyle w:val="CommentReference"/>
        </w:rPr>
        <w:commentReference w:id="13"/>
      </w:r>
      <w:r w:rsidR="00424834">
        <w:t xml:space="preserve">, and he is interpreting </w:t>
      </w:r>
      <w:r w:rsidR="00424834" w:rsidRPr="00594BFB">
        <w:rPr>
          <w:u w:val="single"/>
        </w:rPr>
        <w:t>Lemonade</w:t>
      </w:r>
      <w:r w:rsidR="00424834">
        <w:t xml:space="preserve"> through his own subjective experience </w:t>
      </w:r>
      <w:r w:rsidR="00895979">
        <w:t>coming to a different hermeneutic conclusion to the author, one which is reinforced by Thelma after Charles’s suicide with her comment that the story was ‘a warning of mortality’</w:t>
      </w:r>
      <w:r w:rsidR="001549D0">
        <w:rPr>
          <w:rStyle w:val="FootnoteReference"/>
        </w:rPr>
        <w:footnoteReference w:id="4"/>
      </w:r>
      <w:r w:rsidR="00895979">
        <w:t xml:space="preserve">, </w:t>
      </w:r>
    </w:p>
    <w:p w14:paraId="130F070D" w14:textId="77777777" w:rsidR="00895979" w:rsidRDefault="00895979" w:rsidP="004E7C70">
      <w:pPr>
        <w:spacing w:line="360" w:lineRule="auto"/>
      </w:pPr>
    </w:p>
    <w:p w14:paraId="428E40DC" w14:textId="77777777" w:rsidR="00895979" w:rsidRDefault="00895979" w:rsidP="004E7C70">
      <w:pPr>
        <w:spacing w:line="360" w:lineRule="auto"/>
        <w:ind w:left="720"/>
      </w:pPr>
      <w:commentRangeStart w:id="14"/>
      <w:r>
        <w:t>‘</w:t>
      </w:r>
      <w:r>
        <w:rPr>
          <w:i/>
        </w:rPr>
        <w:t>Lemonade</w:t>
      </w:r>
      <w:r>
        <w:t xml:space="preserve">’ </w:t>
      </w:r>
      <w:commentRangeEnd w:id="14"/>
      <w:r w:rsidR="00594BFB">
        <w:rPr>
          <w:rStyle w:val="CommentReference"/>
        </w:rPr>
        <w:commentReference w:id="14"/>
      </w:r>
      <w:r>
        <w:t>is a message from you to a previous self … and the message is bitter. Whether you wanted to or not you’ve communicated with them across the abyss that separates the child from the adult you’ve given them a first, ghostly intimation of their mortality … it can’t last, that sooner or later they’re finished, done for, their childhood is not for ever.</w:t>
      </w:r>
      <w:r w:rsidR="001549D0">
        <w:rPr>
          <w:rStyle w:val="FootnoteReference"/>
        </w:rPr>
        <w:footnoteReference w:id="5"/>
      </w:r>
      <w:r>
        <w:t xml:space="preserve"> </w:t>
      </w:r>
    </w:p>
    <w:p w14:paraId="665B082B" w14:textId="77777777" w:rsidR="00895979" w:rsidRDefault="00895979" w:rsidP="004E7C70">
      <w:pPr>
        <w:spacing w:line="360" w:lineRule="auto"/>
      </w:pPr>
    </w:p>
    <w:p w14:paraId="4D554811" w14:textId="77777777" w:rsidR="00895979" w:rsidRDefault="00895979" w:rsidP="004E7C70">
      <w:pPr>
        <w:spacing w:line="360" w:lineRule="auto"/>
      </w:pPr>
      <w:r>
        <w:t xml:space="preserve">This </w:t>
      </w:r>
      <w:commentRangeStart w:id="15"/>
      <w:r>
        <w:t xml:space="preserve">subjectivity </w:t>
      </w:r>
      <w:commentRangeEnd w:id="15"/>
      <w:r w:rsidR="00594BFB">
        <w:rPr>
          <w:rStyle w:val="CommentReference"/>
        </w:rPr>
        <w:commentReference w:id="15"/>
      </w:r>
      <w:r>
        <w:t xml:space="preserve">is </w:t>
      </w:r>
      <w:r w:rsidR="00975712">
        <w:t xml:space="preserve">subject to an internal discourse within </w:t>
      </w:r>
      <w:r w:rsidR="00975712">
        <w:rPr>
          <w:i/>
        </w:rPr>
        <w:t>The Child in Time</w:t>
      </w:r>
      <w:r w:rsidR="00C97445">
        <w:t xml:space="preserve"> where McEwan uses a memory that Stephen has of asking his father why the railway lines were closer together as they got further away. Edwards writes that this is to evoke ‘a sense of wonder that subtly prepares for the ghostly experience at the pub’. However, the use of</w:t>
      </w:r>
      <w:r w:rsidR="008A13DE">
        <w:t xml:space="preserve"> the </w:t>
      </w:r>
      <w:r w:rsidR="008A13DE">
        <w:lastRenderedPageBreak/>
        <w:t xml:space="preserve">recollection of his conversation with his father </w:t>
      </w:r>
      <w:r w:rsidR="00A7059A">
        <w:t xml:space="preserve">at this point </w:t>
      </w:r>
      <w:r w:rsidR="008A13DE">
        <w:t xml:space="preserve">in the narrative is </w:t>
      </w:r>
      <w:r w:rsidR="00A7059A">
        <w:t>more than a foreshadowing of later events</w:t>
      </w:r>
      <w:r w:rsidR="008A13DE">
        <w:t xml:space="preserve">. </w:t>
      </w:r>
    </w:p>
    <w:p w14:paraId="5BBA83F9" w14:textId="77777777" w:rsidR="00160805" w:rsidRDefault="00160805" w:rsidP="004E7C70">
      <w:pPr>
        <w:spacing w:line="360" w:lineRule="auto"/>
      </w:pPr>
    </w:p>
    <w:p w14:paraId="1D65D275" w14:textId="77777777" w:rsidR="00160805" w:rsidRDefault="000C0CE5" w:rsidP="004E7C70">
      <w:pPr>
        <w:spacing w:line="360" w:lineRule="auto"/>
      </w:pPr>
      <w:r>
        <w:t xml:space="preserve">The passage focusses upon two different elements </w:t>
      </w:r>
      <w:r w:rsidR="005F490E">
        <w:t xml:space="preserve">of subjectivity. As well as the tale being recounted through the </w:t>
      </w:r>
      <w:r w:rsidR="00887CAA">
        <w:t xml:space="preserve">filter of the </w:t>
      </w:r>
      <w:r w:rsidR="005F490E">
        <w:t xml:space="preserve">passage of time from the perspective of </w:t>
      </w:r>
      <w:r w:rsidR="00887CAA">
        <w:t>Stephen’s memory, with what Edwards describes as the ‘Larkinesque’ evocation of the railway imagery within English literature</w:t>
      </w:r>
      <w:r w:rsidR="001549D0">
        <w:rPr>
          <w:rStyle w:val="FootnoteReference"/>
        </w:rPr>
        <w:footnoteReference w:id="6"/>
      </w:r>
      <w:r w:rsidR="00887CAA">
        <w:t xml:space="preserve">, </w:t>
      </w:r>
      <w:r w:rsidR="00B461F7">
        <w:t xml:space="preserve">in this case the imagery indicating the connection between distance, perception, time and memory, </w:t>
      </w:r>
      <w:r w:rsidR="00887CAA">
        <w:t>the moment from his childhood is an example of the conflict between subjective and objec</w:t>
      </w:r>
      <w:r>
        <w:t>tive truths, there is also the metaphor of the position of Stephen standing on the footbridge looking out into the vanishing future that is yet to happen, the position from which he is now recalling this memory.</w:t>
      </w:r>
      <w:r w:rsidR="00B461F7">
        <w:t xml:space="preserve"> </w:t>
      </w:r>
      <w:r w:rsidR="00887CAA">
        <w:t xml:space="preserve"> The child</w:t>
      </w:r>
      <w:r w:rsidR="00887CAA" w:rsidRPr="002F6157">
        <w:rPr>
          <w:strike/>
        </w:rPr>
        <w:t xml:space="preserve">hood </w:t>
      </w:r>
      <w:r w:rsidR="00887CAA">
        <w:t xml:space="preserve">Stephen, </w:t>
      </w:r>
      <w:r w:rsidR="00887CAA" w:rsidRPr="002F6157">
        <w:rPr>
          <w:strike/>
        </w:rPr>
        <w:t>stood</w:t>
      </w:r>
      <w:r w:rsidR="00887CAA">
        <w:t xml:space="preserve"> </w:t>
      </w:r>
      <w:r w:rsidR="002F6157" w:rsidRPr="002F6157">
        <w:rPr>
          <w:color w:val="FFFF00"/>
        </w:rPr>
        <w:t>standing</w:t>
      </w:r>
      <w:r w:rsidR="002F6157" w:rsidRPr="002F6157">
        <w:rPr>
          <w:color w:val="FF0000"/>
        </w:rPr>
        <w:t xml:space="preserve"> </w:t>
      </w:r>
      <w:r w:rsidR="00887CAA">
        <w:t>upon the footbridge</w:t>
      </w:r>
      <w:r w:rsidR="002F6157" w:rsidRPr="002F6157">
        <w:rPr>
          <w:color w:val="FFFF00"/>
        </w:rPr>
        <w:t>,</w:t>
      </w:r>
      <w:r w:rsidR="00887CAA" w:rsidRPr="002F6157">
        <w:rPr>
          <w:color w:val="FF0000"/>
        </w:rPr>
        <w:t xml:space="preserve"> </w:t>
      </w:r>
      <w:r w:rsidR="00887CAA">
        <w:t>is offered an explanation for the narrowing of the railway lines that conforms to his own subjective perception</w:t>
      </w:r>
      <w:r w:rsidR="00B461F7">
        <w:t>, and yet the text suggests an internal critique of this, through his Father’s ‘mock serious’</w:t>
      </w:r>
      <w:r w:rsidR="001549D0">
        <w:rPr>
          <w:rStyle w:val="FootnoteReference"/>
        </w:rPr>
        <w:footnoteReference w:id="7"/>
      </w:r>
      <w:r w:rsidR="00B461F7">
        <w:t xml:space="preserve"> reaction. The obvious objective explanation for the appearance that the trains got smaller calls into question the </w:t>
      </w:r>
      <w:commentRangeStart w:id="16"/>
      <w:r w:rsidR="00B461F7">
        <w:t xml:space="preserve">sufficiency of subjectivity </w:t>
      </w:r>
      <w:commentRangeEnd w:id="16"/>
      <w:r w:rsidR="002F6157">
        <w:rPr>
          <w:rStyle w:val="CommentReference"/>
        </w:rPr>
        <w:commentReference w:id="16"/>
      </w:r>
      <w:r w:rsidR="00B461F7">
        <w:t xml:space="preserve">and the </w:t>
      </w:r>
      <w:commentRangeStart w:id="17"/>
      <w:r w:rsidR="00B461F7">
        <w:t>literary ideas that are grouped into postmodernism</w:t>
      </w:r>
      <w:commentRangeEnd w:id="17"/>
      <w:r w:rsidR="002F6157">
        <w:rPr>
          <w:rStyle w:val="CommentReference"/>
        </w:rPr>
        <w:commentReference w:id="17"/>
      </w:r>
      <w:r w:rsidR="00B461F7">
        <w:t xml:space="preserve">, and that the individual perspective may not be </w:t>
      </w:r>
      <w:commentRangeStart w:id="18"/>
      <w:r w:rsidR="00B461F7">
        <w:t>sufficient</w:t>
      </w:r>
      <w:commentRangeEnd w:id="18"/>
      <w:r w:rsidR="002F6157">
        <w:rPr>
          <w:rStyle w:val="CommentReference"/>
        </w:rPr>
        <w:commentReference w:id="18"/>
      </w:r>
      <w:r w:rsidR="00B461F7">
        <w:t>.</w:t>
      </w:r>
    </w:p>
    <w:p w14:paraId="664794AA" w14:textId="77777777" w:rsidR="00B461F7" w:rsidRDefault="00B461F7" w:rsidP="004E7C70">
      <w:pPr>
        <w:spacing w:line="360" w:lineRule="auto"/>
      </w:pPr>
    </w:p>
    <w:p w14:paraId="631F2681" w14:textId="77777777" w:rsidR="001A06D4" w:rsidRDefault="000C0CE5" w:rsidP="004E7C70">
      <w:pPr>
        <w:spacing w:line="360" w:lineRule="auto"/>
      </w:pPr>
      <w:r>
        <w:t>The intra</w:t>
      </w:r>
      <w:r w:rsidR="00E21217">
        <w:t xml:space="preserve">textual framing of </w:t>
      </w:r>
      <w:r w:rsidR="00E21217">
        <w:rPr>
          <w:i/>
        </w:rPr>
        <w:t>The Child In Time</w:t>
      </w:r>
      <w:r w:rsidR="00E21217">
        <w:t xml:space="preserve"> within the epigraphs of ‘The Authorised Childcare Handbook’, along with the use of literary devices to effectively frame the novel retrospectively in another McEwan work, </w:t>
      </w:r>
      <w:r w:rsidR="00E21217">
        <w:rPr>
          <w:i/>
        </w:rPr>
        <w:t>Atonement</w:t>
      </w:r>
      <w:r w:rsidR="00E21217">
        <w:t xml:space="preserve">, and in </w:t>
      </w:r>
      <w:r w:rsidR="00E21217">
        <w:rPr>
          <w:i/>
        </w:rPr>
        <w:t>The Handmaid’s Tale</w:t>
      </w:r>
      <w:r w:rsidR="00E21217">
        <w:t xml:space="preserve"> by Margaret Atwood lo</w:t>
      </w:r>
      <w:r>
        <w:t>ok back to literature prior to m</w:t>
      </w:r>
      <w:r w:rsidR="00E21217">
        <w:t xml:space="preserve">odernism and the framing conventions of romantic, gothic and </w:t>
      </w:r>
      <w:commentRangeStart w:id="19"/>
      <w:r w:rsidR="00E21217">
        <w:t>realist novels</w:t>
      </w:r>
      <w:commentRangeEnd w:id="19"/>
      <w:r w:rsidR="00E328DA">
        <w:rPr>
          <w:rStyle w:val="CommentReference"/>
        </w:rPr>
        <w:commentReference w:id="19"/>
      </w:r>
      <w:r w:rsidR="00E21217">
        <w:t xml:space="preserve">. Whereas earlier works telegraphed the framing device clearly – such as in </w:t>
      </w:r>
      <w:r w:rsidR="00E21217">
        <w:rPr>
          <w:i/>
        </w:rPr>
        <w:t xml:space="preserve">The Tenant of Wildfell Hall </w:t>
      </w:r>
      <w:r w:rsidR="00E21217">
        <w:t xml:space="preserve">by Anne Brontë or </w:t>
      </w:r>
      <w:r w:rsidR="00E21217">
        <w:rPr>
          <w:i/>
        </w:rPr>
        <w:t>Frankenstein</w:t>
      </w:r>
      <w:r w:rsidR="00E21217">
        <w:t xml:space="preserve"> by Mary Shelley – </w:t>
      </w:r>
      <w:commentRangeStart w:id="20"/>
      <w:r w:rsidR="00E21217">
        <w:t xml:space="preserve">the </w:t>
      </w:r>
      <w:commentRangeEnd w:id="20"/>
      <w:r w:rsidR="00E328DA">
        <w:rPr>
          <w:rStyle w:val="CommentReference"/>
        </w:rPr>
        <w:commentReference w:id="20"/>
      </w:r>
      <w:r w:rsidR="00E21217">
        <w:t xml:space="preserve">late twentieth-century examples only reveal it at the end of the main narrative. </w:t>
      </w:r>
    </w:p>
    <w:p w14:paraId="3D152085" w14:textId="77777777" w:rsidR="001A06D4" w:rsidRDefault="001A06D4" w:rsidP="004E7C70">
      <w:pPr>
        <w:spacing w:line="360" w:lineRule="auto"/>
      </w:pPr>
    </w:p>
    <w:p w14:paraId="6E8D593E" w14:textId="213DFEA0" w:rsidR="00C3643C" w:rsidRDefault="001A06D4" w:rsidP="004E7C70">
      <w:pPr>
        <w:spacing w:line="360" w:lineRule="auto"/>
      </w:pPr>
      <w:r>
        <w:t xml:space="preserve">Midway through the last century similar devices were used by writers of popular fiction who had rejected the dominant modernist </w:t>
      </w:r>
      <w:commentRangeStart w:id="21"/>
      <w:r w:rsidRPr="004F3164">
        <w:rPr>
          <w:u w:val="single"/>
        </w:rPr>
        <w:t>philosophy</w:t>
      </w:r>
      <w:r>
        <w:t xml:space="preserve"> </w:t>
      </w:r>
      <w:commentRangeEnd w:id="21"/>
      <w:r w:rsidR="00E328DA">
        <w:rPr>
          <w:rStyle w:val="CommentReference"/>
        </w:rPr>
        <w:commentReference w:id="21"/>
      </w:r>
      <w:r>
        <w:t>to look further back in literary traditions</w:t>
      </w:r>
      <w:r w:rsidR="006F1A9C">
        <w:t xml:space="preserve"> </w:t>
      </w:r>
      <w:r w:rsidR="006F1A9C">
        <w:lastRenderedPageBreak/>
        <w:t>whilst anticipating the metatextual and intertextual efforts of the postmodern novelists</w:t>
      </w:r>
      <w:r>
        <w:t xml:space="preserve">. Tolkien, </w:t>
      </w:r>
      <w:commentRangeStart w:id="22"/>
      <w:r>
        <w:t xml:space="preserve">in creating </w:t>
      </w:r>
      <w:r>
        <w:rPr>
          <w:i/>
        </w:rPr>
        <w:t>The Lord of the Rings</w:t>
      </w:r>
      <w:r>
        <w:t xml:space="preserve"> and the other associated works, removed the framing convention out</w:t>
      </w:r>
      <w:r w:rsidR="00012C34">
        <w:t xml:space="preserve"> </w:t>
      </w:r>
      <w:r w:rsidR="0010595A">
        <w:rPr>
          <w:b/>
        </w:rPr>
        <w:t xml:space="preserve">[from?] </w:t>
      </w:r>
      <w:r>
        <w:t xml:space="preserve"> of the main text altogether </w:t>
      </w:r>
      <w:commentRangeEnd w:id="22"/>
      <w:r w:rsidR="00E328DA">
        <w:rPr>
          <w:rStyle w:val="CommentReference"/>
        </w:rPr>
        <w:commentReference w:id="22"/>
      </w:r>
      <w:r>
        <w:t xml:space="preserve">and drew on his academic work to create a fictional compiler and embellisher of the text emulating the early mediaeval </w:t>
      </w:r>
      <w:commentRangeStart w:id="23"/>
      <w:r>
        <w:t>compilers of Anglo-Saxon and other northern European literature, effectively creating a metatextual and entirely fictional layer of interpretation between the reader and the novel</w:t>
      </w:r>
      <w:commentRangeEnd w:id="23"/>
      <w:r w:rsidR="00E328DA">
        <w:rPr>
          <w:rStyle w:val="CommentReference"/>
        </w:rPr>
        <w:commentReference w:id="23"/>
      </w:r>
      <w:r>
        <w:t xml:space="preserve">. </w:t>
      </w:r>
      <w:r w:rsidR="00530241">
        <w:t xml:space="preserve">This is a process that is </w:t>
      </w:r>
      <w:commentRangeStart w:id="24"/>
      <w:r w:rsidR="00530241">
        <w:t xml:space="preserve">echoed in the account of Pieixoto </w:t>
      </w:r>
      <w:r w:rsidR="00C3643C">
        <w:t xml:space="preserve">in the ‘Historical Notes’ </w:t>
      </w:r>
      <w:commentRangeEnd w:id="24"/>
      <w:r w:rsidR="00E328DA">
        <w:rPr>
          <w:rStyle w:val="CommentReference"/>
        </w:rPr>
        <w:commentReference w:id="24"/>
      </w:r>
      <w:r w:rsidR="00C3643C">
        <w:t xml:space="preserve">from </w:t>
      </w:r>
      <w:r w:rsidR="00C3643C">
        <w:rPr>
          <w:i/>
        </w:rPr>
        <w:t xml:space="preserve">The Handmaid’s </w:t>
      </w:r>
      <w:r w:rsidR="00C3643C" w:rsidRPr="00C3643C">
        <w:t>Tale</w:t>
      </w:r>
      <w:r w:rsidR="00C3643C">
        <w:t xml:space="preserve"> where he describes the process of compiling the spoken accounts according to his own subjective judgements,</w:t>
      </w:r>
    </w:p>
    <w:p w14:paraId="3FA591F0" w14:textId="77777777" w:rsidR="00C3643C" w:rsidRDefault="00C3643C" w:rsidP="004E7C70">
      <w:pPr>
        <w:spacing w:line="360" w:lineRule="auto"/>
      </w:pPr>
    </w:p>
    <w:p w14:paraId="4DDC8C1D" w14:textId="77777777" w:rsidR="00C3643C" w:rsidRDefault="00C3643C" w:rsidP="004E7C70">
      <w:pPr>
        <w:spacing w:line="360" w:lineRule="auto"/>
        <w:ind w:left="720"/>
      </w:pPr>
      <w:r>
        <w:t xml:space="preserve">‘It was up to Professor Wade and </w:t>
      </w:r>
      <w:proofErr w:type="gramStart"/>
      <w:r>
        <w:t>myself</w:t>
      </w:r>
      <w:proofErr w:type="gramEnd"/>
      <w:r>
        <w:t xml:space="preserve"> to arrange the blocks of speech in the or</w:t>
      </w:r>
      <w:r w:rsidR="000C0CE5">
        <w:t>d</w:t>
      </w:r>
      <w:r>
        <w:t>er in which they appeared to go; but as I have said elsewhere, all such arrangements are based on some guesswork and are to be regarded as approximate.’</w:t>
      </w:r>
      <w:r w:rsidR="009C26E8">
        <w:rPr>
          <w:rStyle w:val="FootnoteReference"/>
        </w:rPr>
        <w:footnoteReference w:id="8"/>
      </w:r>
      <w:r>
        <w:t xml:space="preserve"> </w:t>
      </w:r>
    </w:p>
    <w:p w14:paraId="20F80BE7" w14:textId="77777777" w:rsidR="00C3643C" w:rsidRDefault="00C3643C" w:rsidP="004E7C70">
      <w:pPr>
        <w:spacing w:line="360" w:lineRule="auto"/>
      </w:pPr>
    </w:p>
    <w:p w14:paraId="66ED6ED0" w14:textId="77777777" w:rsidR="004B3D41" w:rsidRDefault="006F1A9C" w:rsidP="004E7C70">
      <w:pPr>
        <w:spacing w:line="360" w:lineRule="auto"/>
      </w:pPr>
      <w:r w:rsidRPr="00C3643C">
        <w:t>The</w:t>
      </w:r>
      <w:r>
        <w:t xml:space="preserve"> reader is reliant on the ideological editorial decisions of </w:t>
      </w:r>
      <w:r w:rsidR="00C3643C">
        <w:t xml:space="preserve">Tolkien’s </w:t>
      </w:r>
      <w:r>
        <w:t xml:space="preserve">fictional compilers and their subjective decisions when reading the text, in a similar way to which the reader of </w:t>
      </w:r>
      <w:r>
        <w:rPr>
          <w:i/>
        </w:rPr>
        <w:t>The Handmaid’s Tale</w:t>
      </w:r>
      <w:r>
        <w:t xml:space="preserve"> will fi</w:t>
      </w:r>
      <w:r w:rsidR="004C1E11">
        <w:t xml:space="preserve">nd themselves re-evaluating and reinterpreting Offred’s account following the ‘transcript’ of the </w:t>
      </w:r>
      <w:commentRangeStart w:id="25"/>
      <w:r w:rsidR="004C1E11">
        <w:t>symposium that frames the narrative</w:t>
      </w:r>
      <w:commentRangeEnd w:id="25"/>
      <w:r w:rsidR="00E328DA">
        <w:rPr>
          <w:rStyle w:val="CommentReference"/>
        </w:rPr>
        <w:commentReference w:id="25"/>
      </w:r>
      <w:r w:rsidR="004C1E11">
        <w:t>.</w:t>
      </w:r>
    </w:p>
    <w:p w14:paraId="3DC10FDB" w14:textId="77777777" w:rsidR="004B3D41" w:rsidRDefault="004B3D41" w:rsidP="004E7C70">
      <w:pPr>
        <w:spacing w:line="360" w:lineRule="auto"/>
      </w:pPr>
    </w:p>
    <w:p w14:paraId="328A2CC9" w14:textId="77777777" w:rsidR="006D0E07" w:rsidRDefault="00EB31E2" w:rsidP="004E7C70">
      <w:pPr>
        <w:spacing w:line="360" w:lineRule="auto"/>
      </w:pPr>
      <w:r>
        <w:t xml:space="preserve">Molly Westerman describes the ‘Historical Note’ at the end of </w:t>
      </w:r>
      <w:r>
        <w:rPr>
          <w:i/>
        </w:rPr>
        <w:t>The Handmaid’s Tale</w:t>
      </w:r>
      <w:r>
        <w:t xml:space="preserve">, along with similar devices in other contemporaneous books of fiction and non-fiction as ‘problematiz[ing] the text’. </w:t>
      </w:r>
      <w:r w:rsidR="00F453A8">
        <w:t xml:space="preserve">Using Derrida’s term ‘spectrality’ and de Certeau’s ‘entombment’ Westerman examines how </w:t>
      </w:r>
      <w:r w:rsidR="006D0E07">
        <w:t xml:space="preserve">the </w:t>
      </w:r>
      <w:r w:rsidR="00F453A8">
        <w:t xml:space="preserve">framing ‘end notes’ affect the reader’s interpretation of history – even fictionalised history such as in </w:t>
      </w:r>
      <w:r w:rsidR="00F453A8">
        <w:rPr>
          <w:i/>
        </w:rPr>
        <w:t>The Handmaid’s Tale</w:t>
      </w:r>
      <w:r w:rsidR="00F453A8">
        <w:t xml:space="preserve"> where she argues that the ‘Historical Note’ moves the narrative from an imagined future to a fictionalised past.</w:t>
      </w:r>
      <w:r w:rsidR="00E2265E">
        <w:rPr>
          <w:rStyle w:val="FootnoteReference"/>
        </w:rPr>
        <w:footnoteReference w:id="9"/>
      </w:r>
      <w:r w:rsidR="00F453A8">
        <w:t xml:space="preserve"> </w:t>
      </w:r>
    </w:p>
    <w:p w14:paraId="79E4E7E5" w14:textId="77777777" w:rsidR="006D0E07" w:rsidRDefault="006D0E07" w:rsidP="004E7C70">
      <w:pPr>
        <w:spacing w:line="360" w:lineRule="auto"/>
      </w:pPr>
    </w:p>
    <w:p w14:paraId="5DA123F7" w14:textId="77777777" w:rsidR="006D0E07" w:rsidRPr="006D0E07" w:rsidRDefault="006D0E07" w:rsidP="004E7C70">
      <w:pPr>
        <w:spacing w:line="360" w:lineRule="auto"/>
        <w:ind w:left="720"/>
      </w:pPr>
      <w:r>
        <w:lastRenderedPageBreak/>
        <w:t xml:space="preserve">‘Significantly, without its note, </w:t>
      </w:r>
      <w:r>
        <w:rPr>
          <w:i/>
        </w:rPr>
        <w:t>The Handmaid’s Tale</w:t>
      </w:r>
      <w:r>
        <w:t xml:space="preserve"> would not function as historiographic metafiction at all – it would not engage the procedures and problems of history telling.’</w:t>
      </w:r>
      <w:r w:rsidR="00E2265E">
        <w:rPr>
          <w:rStyle w:val="FootnoteReference"/>
        </w:rPr>
        <w:footnoteReference w:id="10"/>
      </w:r>
    </w:p>
    <w:p w14:paraId="09EDAA9A" w14:textId="77777777" w:rsidR="006D0E07" w:rsidRDefault="006D0E07" w:rsidP="004E7C70">
      <w:pPr>
        <w:spacing w:line="360" w:lineRule="auto"/>
      </w:pPr>
    </w:p>
    <w:p w14:paraId="7DB690B0" w14:textId="77777777" w:rsidR="00EB31E2" w:rsidRPr="006D0E07" w:rsidRDefault="006D0E07" w:rsidP="004E7C70">
      <w:pPr>
        <w:spacing w:line="360" w:lineRule="auto"/>
        <w:rPr>
          <w:i/>
        </w:rPr>
      </w:pPr>
      <w:r>
        <w:t>In this reading, the editing process described above ‘entombs’ the past of Offred’s account of life in Gilead (and her time before the regime) distancing it from the reader, and of those attending the seminar in the ‘Historical Note’, in process reinterpreting the past and ‘hid[ing] the dead’.</w:t>
      </w:r>
      <w:r w:rsidR="00E2265E">
        <w:rPr>
          <w:rStyle w:val="FootnoteReference"/>
        </w:rPr>
        <w:footnoteReference w:id="11"/>
      </w:r>
      <w:r>
        <w:t xml:space="preserve"> </w:t>
      </w:r>
    </w:p>
    <w:p w14:paraId="5FD9995C" w14:textId="77777777" w:rsidR="00EB31E2" w:rsidRDefault="00EB31E2" w:rsidP="004E7C70">
      <w:pPr>
        <w:spacing w:line="360" w:lineRule="auto"/>
      </w:pPr>
    </w:p>
    <w:p w14:paraId="39DD4E24" w14:textId="77777777" w:rsidR="004C1E11" w:rsidRDefault="006D0E07" w:rsidP="004E7C70">
      <w:pPr>
        <w:spacing w:line="360" w:lineRule="auto"/>
      </w:pPr>
      <w:r>
        <w:t xml:space="preserve">The past doesn’t </w:t>
      </w:r>
      <w:commentRangeStart w:id="26"/>
      <w:r>
        <w:t>only relate to</w:t>
      </w:r>
      <w:r w:rsidR="004B3D41">
        <w:t xml:space="preserve"> the written historical account as </w:t>
      </w:r>
      <w:r w:rsidR="00C3643C">
        <w:t>Thomas E. Helm</w:t>
      </w:r>
      <w:r w:rsidR="00DC1E33">
        <w:t xml:space="preserve"> argued</w:t>
      </w:r>
      <w:r w:rsidR="00C3643C">
        <w:t xml:space="preserve"> when discussing the use of myth and legend in </w:t>
      </w:r>
      <w:r w:rsidR="00C3643C">
        <w:rPr>
          <w:i/>
        </w:rPr>
        <w:t>The Waste Land</w:t>
      </w:r>
      <w:r w:rsidR="00DC1E33">
        <w:t>. He</w:t>
      </w:r>
      <w:r w:rsidR="004B3D41">
        <w:t xml:space="preserve"> </w:t>
      </w:r>
      <w:r w:rsidR="00C3643C">
        <w:t>quotes Elizabeth Drew’s view that ‘the archaic, as it is embodied in myths of vegetational</w:t>
      </w:r>
      <w:r w:rsidR="00DC1E33">
        <w:t xml:space="preserve"> renewal is f</w:t>
      </w:r>
      <w:r w:rsidR="00C3643C">
        <w:t xml:space="preserve">or Eliot the exemplary and recoverable past,’ before arguing that the ‘opposite of what Drew proposes is true, and that ‘the values resident in sound and memory by which past lives in oral culture are supplanted by scripture </w:t>
      </w:r>
      <w:commentRangeEnd w:id="26"/>
      <w:r w:rsidR="00640E8B">
        <w:rPr>
          <w:rStyle w:val="CommentReference"/>
        </w:rPr>
        <w:commentReference w:id="26"/>
      </w:r>
      <w:r w:rsidR="00C3643C">
        <w:t>and literary text.’</w:t>
      </w:r>
      <w:r w:rsidR="00E2265E">
        <w:rPr>
          <w:rStyle w:val="FootnoteReference"/>
        </w:rPr>
        <w:footnoteReference w:id="12"/>
      </w:r>
    </w:p>
    <w:p w14:paraId="7A0B8E3F" w14:textId="77777777" w:rsidR="00C3643C" w:rsidRDefault="00C3643C" w:rsidP="004E7C70">
      <w:pPr>
        <w:spacing w:line="360" w:lineRule="auto"/>
      </w:pPr>
    </w:p>
    <w:p w14:paraId="285CF88E" w14:textId="77777777" w:rsidR="00F8004D" w:rsidRDefault="00F8004D" w:rsidP="004E7C70">
      <w:pPr>
        <w:spacing w:line="360" w:lineRule="auto"/>
      </w:pPr>
      <w:r>
        <w:t xml:space="preserve">Being driven by the </w:t>
      </w:r>
      <w:r w:rsidR="004E7C70">
        <w:t>Gileadean</w:t>
      </w:r>
      <w:r>
        <w:t xml:space="preserve"> regime to the ‘blank white spaces at the edge of print’</w:t>
      </w:r>
      <w:r w:rsidR="00E2265E">
        <w:rPr>
          <w:rStyle w:val="FootnoteReference"/>
        </w:rPr>
        <w:footnoteReference w:id="13"/>
      </w:r>
      <w:r>
        <w:t xml:space="preserve">  Offred is forced to retreat to a traditional oral refuge of women’s voices when silenced through patriarchal oppression as described by Marina Warner, ‘</w:t>
      </w:r>
      <w:r w:rsidRPr="00F8004D">
        <w:t>the neighbourhood, the village, the well, the washing place, the shops, the stalls, the street</w:t>
      </w:r>
      <w:r>
        <w:t xml:space="preserve"> were their arena of influence.’</w:t>
      </w:r>
      <w:r w:rsidR="00E2265E">
        <w:rPr>
          <w:rStyle w:val="FootnoteReference"/>
        </w:rPr>
        <w:footnoteReference w:id="14"/>
      </w:r>
      <w:r>
        <w:t xml:space="preserve"> For </w:t>
      </w:r>
      <w:r w:rsidR="00E2265E">
        <w:t>the apparently late-twentieth-</w:t>
      </w:r>
      <w:r>
        <w:t xml:space="preserve">century Offred this same oral refuge is found not in passing on her story through personal networks but through a recorded medium, the audio cassette, already seen as out of date according to the ‘Historical Notes’. </w:t>
      </w:r>
    </w:p>
    <w:p w14:paraId="11B82832" w14:textId="77777777" w:rsidR="006214CE" w:rsidRDefault="006214CE" w:rsidP="004E7C70">
      <w:pPr>
        <w:spacing w:line="360" w:lineRule="auto"/>
      </w:pPr>
    </w:p>
    <w:p w14:paraId="60EABA03" w14:textId="77777777" w:rsidR="004B3D41" w:rsidRPr="004B3D41" w:rsidRDefault="006214CE" w:rsidP="004E7C70">
      <w:pPr>
        <w:spacing w:line="360" w:lineRule="auto"/>
      </w:pPr>
      <w:r>
        <w:t xml:space="preserve">With the inclusion of the ‘Historical Notes’ Atwood structures </w:t>
      </w:r>
      <w:r>
        <w:rPr>
          <w:i/>
        </w:rPr>
        <w:t xml:space="preserve">The Handmaid’s Tale </w:t>
      </w:r>
      <w:r>
        <w:t xml:space="preserve">so the reader is forced to reread the whole narrative </w:t>
      </w:r>
      <w:r w:rsidR="005408E3">
        <w:t xml:space="preserve">following the </w:t>
      </w:r>
      <w:r w:rsidR="003C74C2">
        <w:t xml:space="preserve">transcript of the seminar, </w:t>
      </w:r>
      <w:r w:rsidR="003C74C2">
        <w:lastRenderedPageBreak/>
        <w:t xml:space="preserve">interpreting what would have been initially understood as a verbatim account from a single narrator through the subjective interpretation of Professors Wade and Pieixoto. </w:t>
      </w:r>
      <w:r w:rsidR="004B3D41">
        <w:t>Kimberley Fairbrother Canton points out that Pieixoto reinterprets Offred’s acc</w:t>
      </w:r>
      <w:r w:rsidR="000C0CE5">
        <w:t>o</w:t>
      </w:r>
      <w:r w:rsidR="004B3D41">
        <w:t xml:space="preserve">unt to fit it into the dominant ‘canon’ (including the naming of it as ‘The </w:t>
      </w:r>
      <w:r w:rsidR="004E7C70">
        <w:t>Handmaid’s</w:t>
      </w:r>
      <w:r w:rsidR="004B3D41">
        <w:t xml:space="preserve"> Tale’ in order to place it within the literary canon under Chaucer), ‘he can then invalidate the importance of her story through lame sexist jokes’.</w:t>
      </w:r>
      <w:r w:rsidR="00E2265E">
        <w:rPr>
          <w:rStyle w:val="FootnoteReference"/>
        </w:rPr>
        <w:footnoteReference w:id="15"/>
      </w:r>
      <w:r w:rsidR="004B3D41">
        <w:t xml:space="preserve"> This reduces the account to a ‘mediated history’ which has be</w:t>
      </w:r>
      <w:r w:rsidR="00DC1E33">
        <w:t>en</w:t>
      </w:r>
      <w:r w:rsidR="004B3D41">
        <w:t xml:space="preserve"> edited and subjugated to the</w:t>
      </w:r>
      <w:r w:rsidR="00DC1E33">
        <w:t xml:space="preserve"> dominant discourse by </w:t>
      </w:r>
      <w:proofErr w:type="gramStart"/>
      <w:r w:rsidR="00DC1E33">
        <w:t>those in control</w:t>
      </w:r>
      <w:proofErr w:type="gramEnd"/>
      <w:r w:rsidR="00DC1E33">
        <w:t>.</w:t>
      </w:r>
      <w:r w:rsidR="00E2265E">
        <w:rPr>
          <w:rStyle w:val="FootnoteReference"/>
        </w:rPr>
        <w:footnoteReference w:id="16"/>
      </w:r>
    </w:p>
    <w:p w14:paraId="27EEF99B" w14:textId="77777777" w:rsidR="004B3D41" w:rsidRDefault="004B3D41" w:rsidP="004E7C70">
      <w:pPr>
        <w:spacing w:line="360" w:lineRule="auto"/>
      </w:pPr>
    </w:p>
    <w:p w14:paraId="15EA7418" w14:textId="77777777" w:rsidR="006214CE" w:rsidRDefault="003C74C2" w:rsidP="004E7C70">
      <w:pPr>
        <w:spacing w:line="360" w:lineRule="auto"/>
      </w:pPr>
      <w:r>
        <w:t>View</w:t>
      </w:r>
      <w:r w:rsidR="008A2C34">
        <w:t>ed</w:t>
      </w:r>
      <w:r>
        <w:t xml:space="preserve"> backwards the unreliability of the narrative grows with e</w:t>
      </w:r>
      <w:r w:rsidR="00005556">
        <w:t xml:space="preserve">ach layer. </w:t>
      </w:r>
      <w:r w:rsidR="004E7C70">
        <w:t xml:space="preserve">Starting with the reader’s own response to the transcript, to the text of the transcript itself, the act of Wade and Pieixoto in listening to the tapes and their editorial acts in compiling them, the questions of the completeness of the account and if there any missing tapes that would have changed the interpretation, the act of recording the experiences after the event by Offred, the reliability of Offred’s memory in recounting what happened and her subjective interpretation of her individual experience, and further beyond this, her memory of the ‘time before’ the Gilead regime. </w:t>
      </w:r>
    </w:p>
    <w:p w14:paraId="5E748CD1" w14:textId="77777777" w:rsidR="003C74C2" w:rsidRDefault="003C74C2" w:rsidP="004E7C70">
      <w:pPr>
        <w:spacing w:line="360" w:lineRule="auto"/>
      </w:pPr>
    </w:p>
    <w:p w14:paraId="384B0E6F" w14:textId="77777777" w:rsidR="003C74C2" w:rsidRDefault="003C74C2" w:rsidP="004E7C70">
      <w:pPr>
        <w:spacing w:line="360" w:lineRule="auto"/>
      </w:pPr>
      <w:r>
        <w:t xml:space="preserve">Each layer of this process increases the unreliability of the narrative, with each point interpreted by the point prior. Atwood undermines the trustworthiness of her own narrative, leaving the reader </w:t>
      </w:r>
      <w:commentRangeStart w:id="27"/>
      <w:r>
        <w:t xml:space="preserve">unsure </w:t>
      </w:r>
      <w:r w:rsidR="00410058">
        <w:t>of any objective interpretation beyond their own, and creates a discourse within the text about history, facts, memory and the impossibility of objective interpretation.</w:t>
      </w:r>
      <w:r w:rsidR="00FA59C7">
        <w:t xml:space="preserve"> </w:t>
      </w:r>
      <w:commentRangeEnd w:id="27"/>
      <w:r w:rsidR="00640E8B">
        <w:rPr>
          <w:rStyle w:val="CommentReference"/>
        </w:rPr>
        <w:commentReference w:id="27"/>
      </w:r>
      <w:r w:rsidR="00E75CCE">
        <w:t>The language used by the unreliable narrator and the equally unreliable interpreter in the historical notes becomes unstable, constructed out of subjective experiences as Offred writes, ‘I wait. I compose myself. My self is a thing I must now comp</w:t>
      </w:r>
      <w:r w:rsidR="00E127CF">
        <w:t>ose, as one composes a speech’,</w:t>
      </w:r>
      <w:r w:rsidR="00E2265E">
        <w:rPr>
          <w:rStyle w:val="FootnoteReference"/>
        </w:rPr>
        <w:footnoteReference w:id="17"/>
      </w:r>
      <w:r w:rsidR="00E127CF">
        <w:t xml:space="preserve"> relying on the oral traditions having been denied a literary culture, Tell, rather than write, because I have nothing to write with and </w:t>
      </w:r>
      <w:r w:rsidR="00E127CF">
        <w:lastRenderedPageBreak/>
        <w:t>writing is in any case, forbidden’,</w:t>
      </w:r>
      <w:r w:rsidR="00E2265E">
        <w:rPr>
          <w:rStyle w:val="FootnoteReference"/>
        </w:rPr>
        <w:footnoteReference w:id="18"/>
      </w:r>
      <w:r w:rsidR="00E127CF">
        <w:t xml:space="preserve"> </w:t>
      </w:r>
      <w:r w:rsidR="00E75CCE">
        <w:t>reflecting Derrida’s argument that subjectivity is a function of language.</w:t>
      </w:r>
      <w:r w:rsidR="00E2265E">
        <w:rPr>
          <w:rStyle w:val="FootnoteReference"/>
        </w:rPr>
        <w:footnoteReference w:id="19"/>
      </w:r>
      <w:r w:rsidR="00E127CF">
        <w:t xml:space="preserve"> </w:t>
      </w:r>
    </w:p>
    <w:p w14:paraId="3275905E" w14:textId="77777777" w:rsidR="00E127CF" w:rsidRDefault="00E127CF" w:rsidP="004E7C70">
      <w:pPr>
        <w:spacing w:line="360" w:lineRule="auto"/>
      </w:pPr>
    </w:p>
    <w:p w14:paraId="63302A08" w14:textId="77777777" w:rsidR="00566BD5" w:rsidRPr="00566BD5" w:rsidRDefault="00E127CF" w:rsidP="004E7C70">
      <w:pPr>
        <w:spacing w:line="360" w:lineRule="auto"/>
      </w:pPr>
      <w:r>
        <w:t xml:space="preserve">As well as </w:t>
      </w:r>
      <w:r w:rsidR="000C0CE5">
        <w:t xml:space="preserve">seeming </w:t>
      </w:r>
      <w:r>
        <w:t xml:space="preserve">unreliable there is </w:t>
      </w:r>
      <w:proofErr w:type="gramStart"/>
      <w:r>
        <w:t>a self</w:t>
      </w:r>
      <w:proofErr w:type="gramEnd"/>
      <w:r>
        <w:t>-consciousness to Offred as a narrator that is, according to Pericles Lewis, a common feature of postmodernism</w:t>
      </w:r>
      <w:r w:rsidR="00566BD5">
        <w:t>, ‘</w:t>
      </w:r>
      <w:commentRangeStart w:id="28"/>
      <w:r w:rsidR="00566BD5">
        <w:t>The concern with metafiction and metahistory involves an extreme self-consciousness about narration.’</w:t>
      </w:r>
      <w:commentRangeEnd w:id="28"/>
      <w:r w:rsidR="00C015DF">
        <w:rPr>
          <w:rStyle w:val="CommentReference"/>
        </w:rPr>
        <w:commentReference w:id="28"/>
      </w:r>
      <w:r w:rsidR="00587924">
        <w:rPr>
          <w:rStyle w:val="FootnoteReference"/>
        </w:rPr>
        <w:footnoteReference w:id="20"/>
      </w:r>
      <w:r w:rsidR="00587924">
        <w:t xml:space="preserve"> </w:t>
      </w:r>
      <w:commentRangeStart w:id="29"/>
      <w:r>
        <w:t>Offred confesses the unreliability of her memory</w:t>
      </w:r>
      <w:commentRangeEnd w:id="29"/>
      <w:r w:rsidR="00C015DF">
        <w:rPr>
          <w:rStyle w:val="CommentReference"/>
        </w:rPr>
        <w:commentReference w:id="29"/>
      </w:r>
      <w:r>
        <w:t>, ‘I have trouble remembering what I used to look like’</w:t>
      </w:r>
      <w:r w:rsidR="00587924">
        <w:rPr>
          <w:rStyle w:val="FootnoteReference"/>
        </w:rPr>
        <w:footnoteReference w:id="21"/>
      </w:r>
      <w:r w:rsidR="00587924">
        <w:t>,</w:t>
      </w:r>
      <w:r w:rsidR="00566BD5">
        <w:t xml:space="preserve"> ‘</w:t>
      </w:r>
      <w:r w:rsidR="00566BD5" w:rsidRPr="00566BD5">
        <w:t>When we think of the past it's the beautiful things we pick out. We want t</w:t>
      </w:r>
      <w:r w:rsidR="00566BD5">
        <w:t>o believe it was all like that.’</w:t>
      </w:r>
      <w:commentRangeStart w:id="30"/>
      <w:r w:rsidR="00587924">
        <w:rPr>
          <w:rStyle w:val="FootnoteReference"/>
        </w:rPr>
        <w:footnoteReference w:id="22"/>
      </w:r>
      <w:commentRangeEnd w:id="30"/>
      <w:r w:rsidR="00CA1B43">
        <w:rPr>
          <w:rStyle w:val="CommentReference"/>
        </w:rPr>
        <w:commentReference w:id="30"/>
      </w:r>
    </w:p>
    <w:p w14:paraId="49C96479" w14:textId="77777777" w:rsidR="00C3643C" w:rsidRDefault="00C3643C" w:rsidP="004E7C70">
      <w:pPr>
        <w:spacing w:line="360" w:lineRule="auto"/>
      </w:pPr>
    </w:p>
    <w:p w14:paraId="4E20618E" w14:textId="77777777" w:rsidR="0034045F" w:rsidRDefault="00DC1C57" w:rsidP="004E7C70">
      <w:pPr>
        <w:spacing w:line="360" w:lineRule="auto"/>
      </w:pPr>
      <w:r>
        <w:t xml:space="preserve">Thomas Helm makes a similar argument in discussing T. S. Eliot’s </w:t>
      </w:r>
      <w:r>
        <w:rPr>
          <w:i/>
        </w:rPr>
        <w:t>The Waste Land</w:t>
      </w:r>
      <w:r w:rsidR="004E54EF">
        <w:t xml:space="preserve"> with what he describes as Eliot’s ‘rediscoverable past’.</w:t>
      </w:r>
      <w:r w:rsidR="00587924">
        <w:rPr>
          <w:rStyle w:val="FootnoteReference"/>
        </w:rPr>
        <w:footnoteReference w:id="23"/>
      </w:r>
      <w:r w:rsidR="004E54EF">
        <w:t xml:space="preserve"> </w:t>
      </w:r>
      <w:r w:rsidR="00864A31">
        <w:t>As discussed above, Helm takes issue with Elizabeth Drew’s argument that Eliot seeks to rediscover and rec</w:t>
      </w:r>
      <w:r w:rsidR="00DF2421">
        <w:t>r</w:t>
      </w:r>
      <w:r w:rsidR="00864A31">
        <w:t>eate the past oral traditions and myths – drawing as he did on Jessie Weston’s symbolism – to mirror the pattern of creation and destruction found in the archaic vegetation and god myths.  He rather argues that ‘the poem’s protagonist exhibits no affinity to the consciousness we have come to associate with oral cultures.’</w:t>
      </w:r>
      <w:r w:rsidR="00DF2421">
        <w:rPr>
          <w:rStyle w:val="FootnoteReference"/>
        </w:rPr>
        <w:footnoteReference w:id="24"/>
      </w:r>
      <w:r w:rsidR="00864A31">
        <w:t xml:space="preserve"> Rather he argues that the oral culture is ‘supplanted by scripture and literary text,’ and that for the modern poet the past is not objective, that there is not a faithful way of viewing it, and it must be translated and reinterpreted to be understood,</w:t>
      </w:r>
    </w:p>
    <w:p w14:paraId="4B4B5821" w14:textId="77777777" w:rsidR="00864A31" w:rsidRDefault="00864A31" w:rsidP="004E7C70">
      <w:pPr>
        <w:spacing w:line="360" w:lineRule="auto"/>
      </w:pPr>
    </w:p>
    <w:p w14:paraId="2480D823" w14:textId="77777777" w:rsidR="00864A31" w:rsidRDefault="00864A31" w:rsidP="004E7C70">
      <w:pPr>
        <w:spacing w:line="360" w:lineRule="auto"/>
        <w:ind w:left="720"/>
      </w:pPr>
      <w:r>
        <w:t xml:space="preserve">‘One is conscious of a poet for whom the past – while very much a real past – continues to exert influence in the present and in a present to which it no longer </w:t>
      </w:r>
      <w:r>
        <w:lastRenderedPageBreak/>
        <w:t>directly speaks, and into which its meaning must be translated if it is to be heard at all.’</w:t>
      </w:r>
      <w:r w:rsidR="00DF2421">
        <w:rPr>
          <w:rStyle w:val="FootnoteReference"/>
        </w:rPr>
        <w:footnoteReference w:id="25"/>
      </w:r>
      <w:r>
        <w:t xml:space="preserve"> </w:t>
      </w:r>
    </w:p>
    <w:p w14:paraId="7DF06AA3" w14:textId="77777777" w:rsidR="000C2B77" w:rsidRDefault="000C2B77" w:rsidP="004E7C70">
      <w:pPr>
        <w:spacing w:line="360" w:lineRule="auto"/>
      </w:pPr>
    </w:p>
    <w:p w14:paraId="0B37EAB3" w14:textId="77777777" w:rsidR="006F1A9C" w:rsidRDefault="00256C1E" w:rsidP="004E7C70">
      <w:pPr>
        <w:spacing w:line="360" w:lineRule="auto"/>
      </w:pPr>
      <w:r>
        <w:t>Based on Helm’s argument</w:t>
      </w:r>
      <w:r w:rsidR="00C02FFD">
        <w:t>, and his assertion that ‘the past has no independence of the present … the literary text gives the past its integrity and … it is literary culture that necessitates hermeneutics’</w:t>
      </w:r>
      <w:r w:rsidR="00DF2421">
        <w:rPr>
          <w:rStyle w:val="FootnoteReference"/>
        </w:rPr>
        <w:footnoteReference w:id="26"/>
      </w:r>
      <w:r w:rsidR="00C02FFD">
        <w:t xml:space="preserve"> the same pattern described above in the</w:t>
      </w:r>
      <w:r w:rsidR="00C02FFD">
        <w:rPr>
          <w:i/>
        </w:rPr>
        <w:t xml:space="preserve"> Handmaid’s Tale</w:t>
      </w:r>
      <w:r w:rsidR="00C02FFD">
        <w:t xml:space="preserve"> can be seen in the transmission of reinterpretations of the archaic myths referenced by Eliot in </w:t>
      </w:r>
      <w:r w:rsidR="00C02FFD">
        <w:rPr>
          <w:i/>
        </w:rPr>
        <w:t>The Waste Land</w:t>
      </w:r>
      <w:r w:rsidR="009F27B3">
        <w:t xml:space="preserve">. This starts with the hermeneutical work of writers such as Jessie Weston, through to the adaptation of Weston’s work by Eliot for use in his poem, </w:t>
      </w:r>
      <w:r w:rsidR="000C0CE5">
        <w:t>for which he then provided intra</w:t>
      </w:r>
      <w:r w:rsidR="009F27B3">
        <w:t>textual commentary through his own notes on the poem – and creating an exegetical layer between the poem’s text and the reader in which the reader is forced to read the poem again after reading Eliot’s notes</w:t>
      </w:r>
      <w:r w:rsidR="00863143">
        <w:t xml:space="preserve">. </w:t>
      </w:r>
      <w:r w:rsidR="004E7C70">
        <w:t>finally,</w:t>
      </w:r>
      <w:r w:rsidR="009F27B3">
        <w:t xml:space="preserve"> the</w:t>
      </w:r>
      <w:r w:rsidR="00863143">
        <w:t>re is the</w:t>
      </w:r>
      <w:r w:rsidR="009F27B3">
        <w:t xml:space="preserve"> reader’s own interpretation both individually and collectively throug</w:t>
      </w:r>
      <w:r w:rsidR="00863143">
        <w:t>h scholarship and other writing</w:t>
      </w:r>
      <w:r w:rsidR="008A2C34">
        <w:t xml:space="preserve"> creating a </w:t>
      </w:r>
      <w:commentRangeStart w:id="31"/>
      <w:r w:rsidR="008A2C34">
        <w:t xml:space="preserve">new subjectivity </w:t>
      </w:r>
      <w:commentRangeEnd w:id="31"/>
      <w:r w:rsidR="00C015DF">
        <w:rPr>
          <w:rStyle w:val="CommentReference"/>
        </w:rPr>
        <w:commentReference w:id="31"/>
      </w:r>
      <w:r w:rsidR="008A2C34">
        <w:t>th</w:t>
      </w:r>
      <w:r w:rsidR="00863143">
        <w:t>r</w:t>
      </w:r>
      <w:r w:rsidR="008A2C34">
        <w:t>o</w:t>
      </w:r>
      <w:r w:rsidR="00863143">
        <w:t xml:space="preserve">ugh which to interpret Eliot’s notes, </w:t>
      </w:r>
      <w:r w:rsidR="00863143">
        <w:rPr>
          <w:i/>
        </w:rPr>
        <w:t>The Waste Land</w:t>
      </w:r>
      <w:r w:rsidR="00863143">
        <w:t xml:space="preserve"> and the myths and other references upon which he draws in the poem.</w:t>
      </w:r>
    </w:p>
    <w:p w14:paraId="7B3395B0" w14:textId="77777777" w:rsidR="00863143" w:rsidRDefault="00863143" w:rsidP="004E7C70">
      <w:pPr>
        <w:spacing w:line="360" w:lineRule="auto"/>
      </w:pPr>
    </w:p>
    <w:p w14:paraId="050277C7" w14:textId="77777777" w:rsidR="006F1A9C" w:rsidRDefault="003C2813" w:rsidP="004E7C70">
      <w:pPr>
        <w:spacing w:line="360" w:lineRule="auto"/>
      </w:pPr>
      <w:r>
        <w:t>This interpretation suggests, as Alireza Farahbakhsh writes, that it is possible to re-read Eliot</w:t>
      </w:r>
      <w:r w:rsidR="00ED2499">
        <w:t xml:space="preserve"> ‘</w:t>
      </w:r>
      <w:commentRangeStart w:id="32"/>
      <w:r w:rsidR="00ED2499">
        <w:t>through the lens of postmodernism’ and that some critics ‘have identified some postmodern techniques and concepts in his poems</w:t>
      </w:r>
      <w:commentRangeEnd w:id="32"/>
      <w:r w:rsidR="00C015DF">
        <w:rPr>
          <w:rStyle w:val="CommentReference"/>
        </w:rPr>
        <w:commentReference w:id="32"/>
      </w:r>
      <w:r w:rsidR="00ED2499">
        <w:t>.’</w:t>
      </w:r>
      <w:r w:rsidR="004E3258">
        <w:rPr>
          <w:rStyle w:val="FootnoteReference"/>
        </w:rPr>
        <w:footnoteReference w:id="27"/>
      </w:r>
      <w:r w:rsidR="004E3258">
        <w:t xml:space="preserve"> </w:t>
      </w:r>
      <w:r w:rsidR="00ED2499">
        <w:t>However, it could be argued that drawing a sharp distinction between modernism and postmodernism is ‘simply pointless or even impossible’</w:t>
      </w:r>
      <w:r w:rsidR="004E3258">
        <w:rPr>
          <w:rStyle w:val="FootnoteReference"/>
        </w:rPr>
        <w:footnoteReference w:id="28"/>
      </w:r>
      <w:r w:rsidR="00ED2499">
        <w:t xml:space="preserve"> and that ‘Eliot’s affinity with various and at times opposing schools of poetry, such as metaphysical poetry, Classicism and French symbolism, suggests that we cannot confine [Eliot] to a single movement’.</w:t>
      </w:r>
      <w:r w:rsidR="004E3258">
        <w:rPr>
          <w:rStyle w:val="FootnoteReference"/>
        </w:rPr>
        <w:footnoteReference w:id="29"/>
      </w:r>
      <w:r w:rsidR="00ED2499">
        <w:t xml:space="preserve"> </w:t>
      </w:r>
    </w:p>
    <w:p w14:paraId="4AB9C411" w14:textId="77777777" w:rsidR="00D56007" w:rsidRDefault="00D56007" w:rsidP="004E7C70">
      <w:pPr>
        <w:spacing w:line="360" w:lineRule="auto"/>
      </w:pPr>
    </w:p>
    <w:p w14:paraId="53A3918C" w14:textId="77777777" w:rsidR="00ED2499" w:rsidRPr="001A06D4" w:rsidRDefault="00ED2499" w:rsidP="004E7C70">
      <w:pPr>
        <w:spacing w:line="360" w:lineRule="auto"/>
      </w:pPr>
      <w:r>
        <w:t>However, the dis</w:t>
      </w:r>
      <w:r w:rsidR="000C0CE5">
        <w:t>tinction between modernism and p</w:t>
      </w:r>
      <w:r>
        <w:t xml:space="preserve">ostmodernism is a question that has formed a significant part of the scholarly debate around the two movements. </w:t>
      </w:r>
      <w:r w:rsidR="00852F00">
        <w:t xml:space="preserve">McHale asks when discussing postmodernism ‘is it something other than modernism, or just a </w:t>
      </w:r>
      <w:r w:rsidR="00852F00">
        <w:lastRenderedPageBreak/>
        <w:t>continuation of modernism into the second half of the century?’</w:t>
      </w:r>
      <w:r w:rsidR="004E3258">
        <w:rPr>
          <w:rStyle w:val="FootnoteReference"/>
        </w:rPr>
        <w:footnoteReference w:id="30"/>
      </w:r>
      <w:r w:rsidR="004E3258">
        <w:t xml:space="preserve"> </w:t>
      </w:r>
      <w:r w:rsidR="00A8312E">
        <w:t xml:space="preserve">He </w:t>
      </w:r>
      <w:r w:rsidR="001E378B">
        <w:t xml:space="preserve">draws </w:t>
      </w:r>
      <w:commentRangeStart w:id="33"/>
      <w:r w:rsidR="001E378B">
        <w:t>the</w:t>
      </w:r>
      <w:commentRangeEnd w:id="33"/>
      <w:r w:rsidR="001E553E">
        <w:rPr>
          <w:rStyle w:val="CommentReference"/>
        </w:rPr>
        <w:commentReference w:id="33"/>
      </w:r>
      <w:r w:rsidR="001E378B">
        <w:t xml:space="preserve"> distinction between the two movements as postmodernism preferring to examine ontological questions as opposed to the epistemological as seen in modernism, although he acknowledge that it was never an absolute distinction, ‘this new mode privileged questions of world-making and modes of being over questions of perception and knowing.’</w:t>
      </w:r>
      <w:r w:rsidR="004E3258">
        <w:rPr>
          <w:rStyle w:val="FootnoteReference"/>
        </w:rPr>
        <w:footnoteReference w:id="31"/>
      </w:r>
      <w:r w:rsidR="001E378B">
        <w:t xml:space="preserve"> </w:t>
      </w:r>
    </w:p>
    <w:p w14:paraId="45138BBD" w14:textId="77777777" w:rsidR="00B40C20" w:rsidRDefault="00B40C20" w:rsidP="004E7C70">
      <w:pPr>
        <w:spacing w:line="360" w:lineRule="auto"/>
      </w:pPr>
    </w:p>
    <w:p w14:paraId="19E4B05F" w14:textId="77777777" w:rsidR="00CC200E" w:rsidRDefault="00CC200E" w:rsidP="004E7C70">
      <w:pPr>
        <w:spacing w:line="360" w:lineRule="auto"/>
      </w:pPr>
      <w:r>
        <w:t xml:space="preserve">Bernard Sharratt, in considering this question, qualifies it by stating that he ‘he is not suggesting Eliot was or was not a postmodernist but rather that Eliot’s work initiates a logic which can illuminate current notions of postmodernism.’ However, the intratextuality that distinguishes </w:t>
      </w:r>
      <w:r>
        <w:rPr>
          <w:i/>
        </w:rPr>
        <w:t xml:space="preserve">The Handmaid’s Tale </w:t>
      </w:r>
      <w:r>
        <w:t xml:space="preserve">and </w:t>
      </w:r>
      <w:r>
        <w:rPr>
          <w:i/>
        </w:rPr>
        <w:t xml:space="preserve">The Child </w:t>
      </w:r>
      <w:proofErr w:type="gramStart"/>
      <w:r>
        <w:rPr>
          <w:i/>
        </w:rPr>
        <w:t>In</w:t>
      </w:r>
      <w:proofErr w:type="gramEnd"/>
      <w:r>
        <w:rPr>
          <w:i/>
        </w:rPr>
        <w:t xml:space="preserve"> </w:t>
      </w:r>
      <w:r w:rsidRPr="00CC200E">
        <w:t>Time</w:t>
      </w:r>
      <w:r>
        <w:t xml:space="preserve"> (as opposed to the intertextuality seen in </w:t>
      </w:r>
      <w:r>
        <w:rPr>
          <w:i/>
        </w:rPr>
        <w:t xml:space="preserve">The Waste </w:t>
      </w:r>
      <w:r w:rsidRPr="00CC200E">
        <w:t>Land</w:t>
      </w:r>
      <w:r>
        <w:t xml:space="preserve">) </w:t>
      </w:r>
      <w:r w:rsidRPr="00CC200E">
        <w:t>is</w:t>
      </w:r>
      <w:r>
        <w:t>, according to Bernard Sharratt,</w:t>
      </w:r>
      <w:r w:rsidR="00DD6BFC">
        <w:t xml:space="preserve"> more typical of p</w:t>
      </w:r>
      <w:r>
        <w:t>ostmodernism.</w:t>
      </w:r>
      <w:r w:rsidR="004E3258">
        <w:rPr>
          <w:rStyle w:val="FootnoteReference"/>
        </w:rPr>
        <w:footnoteReference w:id="32"/>
      </w:r>
      <w:r>
        <w:t xml:space="preserve"> Sharratt draws upon the postmodern trend in Architecture which follows the wider trend in a visual rejection of external references and </w:t>
      </w:r>
      <w:r w:rsidR="002070B5">
        <w:t>structures</w:t>
      </w:r>
      <w:r>
        <w:t xml:space="preserve">, and compares it to the external cultural and architectural eclecticism of the 1893 Chicago Columbian Exposition (and in particular the ‘Midway’ section) and the way that Eliot created a ‘pan-European structure, incorporating vividly compressed </w:t>
      </w:r>
      <w:r w:rsidR="002070B5">
        <w:t>fragments</w:t>
      </w:r>
      <w:r>
        <w:t xml:space="preserve"> of Wagner, Verlain, Augustine and Ovid.’</w:t>
      </w:r>
      <w:r w:rsidR="004E3258">
        <w:rPr>
          <w:rStyle w:val="FootnoteReference"/>
        </w:rPr>
        <w:footnoteReference w:id="33"/>
      </w:r>
      <w:r w:rsidR="004E3258">
        <w:t xml:space="preserve"> </w:t>
      </w:r>
      <w:r>
        <w:t>His comment that ‘these suggested similarities are not only, in true postmodern style, surface affinities but also structural’,</w:t>
      </w:r>
      <w:r w:rsidR="004E3258">
        <w:rPr>
          <w:rStyle w:val="FootnoteReference"/>
        </w:rPr>
        <w:footnoteReference w:id="34"/>
      </w:r>
      <w:r>
        <w:t xml:space="preserve">] echoes </w:t>
      </w:r>
      <w:r w:rsidR="00543BB4">
        <w:t xml:space="preserve">Thomas </w:t>
      </w:r>
      <w:r>
        <w:t>Helm’s contention that literary culture provides the hermeneutic</w:t>
      </w:r>
      <w:r w:rsidR="002076CB">
        <w:t xml:space="preserve"> to the past</w:t>
      </w:r>
      <w:r w:rsidR="004E3258">
        <w:rPr>
          <w:rStyle w:val="FootnoteReference"/>
        </w:rPr>
        <w:footnoteReference w:id="35"/>
      </w:r>
      <w:r w:rsidR="004E3258">
        <w:t xml:space="preserve"> </w:t>
      </w:r>
      <w:r w:rsidR="00543BB4">
        <w:t>and Pericles Lewis’s comment that ‘the seeds of postmodernism are present in the highest of high modernist works.’</w:t>
      </w:r>
      <w:commentRangeStart w:id="34"/>
      <w:r w:rsidR="004E3258">
        <w:rPr>
          <w:rStyle w:val="FootnoteReference"/>
        </w:rPr>
        <w:footnoteReference w:id="36"/>
      </w:r>
      <w:commentRangeEnd w:id="34"/>
      <w:r w:rsidR="001A6347">
        <w:rPr>
          <w:rStyle w:val="CommentReference"/>
        </w:rPr>
        <w:commentReference w:id="34"/>
      </w:r>
    </w:p>
    <w:p w14:paraId="754EF6C3" w14:textId="77777777" w:rsidR="009E59F7" w:rsidRDefault="009E59F7" w:rsidP="004E7C70">
      <w:pPr>
        <w:spacing w:line="360" w:lineRule="auto"/>
      </w:pPr>
    </w:p>
    <w:p w14:paraId="715D9744" w14:textId="77777777" w:rsidR="00B40C20" w:rsidRDefault="00354394" w:rsidP="004E7C70">
      <w:pPr>
        <w:spacing w:line="360" w:lineRule="auto"/>
      </w:pPr>
      <w:r>
        <w:t xml:space="preserve">Postmodernist theorists </w:t>
      </w:r>
      <w:r w:rsidR="009E59F7">
        <w:t>detect the idea of finding meaning through reading backwards intertextually across writings. Borges, in discussing the works of Kafka traces a complex line as Brian McHale writes,</w:t>
      </w:r>
    </w:p>
    <w:p w14:paraId="2E80F26E" w14:textId="77777777" w:rsidR="009E59F7" w:rsidRDefault="009E59F7" w:rsidP="004E7C70">
      <w:pPr>
        <w:spacing w:line="360" w:lineRule="auto"/>
      </w:pPr>
    </w:p>
    <w:p w14:paraId="23E14100" w14:textId="77777777" w:rsidR="009E59F7" w:rsidRDefault="009E59F7" w:rsidP="004E7C70">
      <w:pPr>
        <w:spacing w:line="360" w:lineRule="auto"/>
        <w:ind w:left="720"/>
      </w:pPr>
      <w:r>
        <w:lastRenderedPageBreak/>
        <w:t>‘From Zeno’s paradox to a ninth-century Chinese writer to a pair of parables by Kierkegaard and a poem by Robert Browning to a story by the French novelist Léon Bloy and another by the British fantasy writer Lord Dunsany.’</w:t>
      </w:r>
      <w:r w:rsidR="004E3258">
        <w:rPr>
          <w:rStyle w:val="FootnoteReference"/>
        </w:rPr>
        <w:footnoteReference w:id="37"/>
      </w:r>
    </w:p>
    <w:p w14:paraId="13876B14" w14:textId="77777777" w:rsidR="009E59F7" w:rsidRDefault="009E59F7" w:rsidP="004E7C70">
      <w:pPr>
        <w:spacing w:line="360" w:lineRule="auto"/>
      </w:pPr>
    </w:p>
    <w:p w14:paraId="4D239C15" w14:textId="77777777" w:rsidR="009E59F7" w:rsidRDefault="00C1262B" w:rsidP="004E7C70">
      <w:pPr>
        <w:spacing w:line="360" w:lineRule="auto"/>
      </w:pPr>
      <w:r>
        <w:t xml:space="preserve">Borges’ argument is that </w:t>
      </w:r>
      <w:r w:rsidR="00AA3D6A">
        <w:t xml:space="preserve">the </w:t>
      </w:r>
      <w:r w:rsidR="008B7403">
        <w:t>distinctive seen in Kaf</w:t>
      </w:r>
      <w:r w:rsidR="00AA3D6A">
        <w:t xml:space="preserve">ka are only detected through reading backwards from Kafka leading to his conclusion that ‘each writer </w:t>
      </w:r>
      <w:r w:rsidR="00AA3D6A">
        <w:rPr>
          <w:i/>
        </w:rPr>
        <w:t>creates</w:t>
      </w:r>
      <w:r w:rsidR="00AA3D6A">
        <w:t xml:space="preserve"> his precursors. His work modifies our conception of the past, as it will modify the future.’</w:t>
      </w:r>
      <w:r w:rsidR="004E3258">
        <w:rPr>
          <w:rStyle w:val="FootnoteReference"/>
        </w:rPr>
        <w:footnoteReference w:id="38"/>
      </w:r>
      <w:r w:rsidR="004E3258">
        <w:t xml:space="preserve"> </w:t>
      </w:r>
      <w:r w:rsidR="00AA3D6A">
        <w:t xml:space="preserve">This is process seen in the rereading of </w:t>
      </w:r>
      <w:r w:rsidR="00AA3D6A">
        <w:rPr>
          <w:i/>
        </w:rPr>
        <w:t>The Handmaid’s Tale</w:t>
      </w:r>
      <w:r w:rsidR="00AA3D6A">
        <w:t xml:space="preserve"> following the ‘Historical Note’ and in </w:t>
      </w:r>
      <w:r w:rsidR="00AA3D6A">
        <w:rPr>
          <w:i/>
        </w:rPr>
        <w:t>Atonement</w:t>
      </w:r>
      <w:r w:rsidR="00AA3D6A">
        <w:t xml:space="preserve"> when the novel’s </w:t>
      </w:r>
      <w:r w:rsidR="008B7403">
        <w:t>dénouement</w:t>
      </w:r>
      <w:r w:rsidR="00AA3D6A">
        <w:t xml:space="preserve"> in the final paragraphs</w:t>
      </w:r>
      <w:r w:rsidR="004E4BC2">
        <w:t>,</w:t>
      </w:r>
      <w:r w:rsidR="004E3258">
        <w:rPr>
          <w:rStyle w:val="FootnoteReference"/>
        </w:rPr>
        <w:footnoteReference w:id="39"/>
      </w:r>
      <w:r w:rsidR="00AA3D6A">
        <w:t xml:space="preserve"> </w:t>
      </w:r>
      <w:commentRangeStart w:id="35"/>
      <w:r w:rsidR="004E4BC2">
        <w:t>and</w:t>
      </w:r>
      <w:commentRangeEnd w:id="35"/>
      <w:r w:rsidR="004F3164">
        <w:rPr>
          <w:rStyle w:val="CommentReference"/>
        </w:rPr>
        <w:commentReference w:id="35"/>
      </w:r>
      <w:r w:rsidR="004E4BC2">
        <w:t xml:space="preserve"> how Eliot mirrors the action described by Borges in his use of mythic and literary references throughout </w:t>
      </w:r>
      <w:r w:rsidR="004E4BC2">
        <w:rPr>
          <w:i/>
        </w:rPr>
        <w:t xml:space="preserve">The Waste </w:t>
      </w:r>
      <w:r w:rsidR="004E4BC2" w:rsidRPr="004E4BC2">
        <w:t>Land</w:t>
      </w:r>
      <w:r w:rsidR="004E4BC2">
        <w:t xml:space="preserve">. </w:t>
      </w:r>
      <w:r w:rsidR="004E4BC2" w:rsidRPr="004E4BC2">
        <w:t>McHale</w:t>
      </w:r>
      <w:r w:rsidR="004E4BC2">
        <w:t xml:space="preserve"> uses the term ‘reverse engineering’ to describe this process, using the example of Steven Moore’s </w:t>
      </w:r>
      <w:r w:rsidR="004E4BC2">
        <w:rPr>
          <w:i/>
        </w:rPr>
        <w:t>The Novel: An Alternative History 1600-1800</w:t>
      </w:r>
      <w:r w:rsidR="004E4BC2">
        <w:t xml:space="preserve"> </w:t>
      </w:r>
      <w:r w:rsidR="005D408D">
        <w:t xml:space="preserve">to illustrate </w:t>
      </w:r>
      <w:r w:rsidR="004E4BC2">
        <w:t>this.</w:t>
      </w:r>
      <w:r w:rsidR="005D408D">
        <w:rPr>
          <w:rStyle w:val="FootnoteReference"/>
        </w:rPr>
        <w:footnoteReference w:id="40"/>
      </w:r>
    </w:p>
    <w:p w14:paraId="6A27A5D9" w14:textId="77777777" w:rsidR="004E4BC2" w:rsidRDefault="004E4BC2" w:rsidP="004E7C70">
      <w:pPr>
        <w:spacing w:line="360" w:lineRule="auto"/>
      </w:pPr>
    </w:p>
    <w:p w14:paraId="0E1255F8" w14:textId="77777777" w:rsidR="004E4BC2" w:rsidRDefault="00531D74" w:rsidP="004E7C70">
      <w:pPr>
        <w:spacing w:line="360" w:lineRule="auto"/>
      </w:pPr>
      <w:r>
        <w:t>If one of the common postmodernist objections to modernism was the ‘perception of modernism as elitist in character</w:t>
      </w:r>
      <w:r w:rsidR="005B0584">
        <w:t>’</w:t>
      </w:r>
      <w:r w:rsidR="005D408D">
        <w:rPr>
          <w:rStyle w:val="FootnoteReference"/>
        </w:rPr>
        <w:footnoteReference w:id="41"/>
      </w:r>
      <w:r w:rsidR="005B0584">
        <w:t xml:space="preserve"> Pericles Lewis points out some postmodernists were motivated by a different, more philosophical meaning of the term as popularised by J</w:t>
      </w:r>
      <w:r w:rsidR="008B7403">
        <w:t xml:space="preserve">ean-Francois Lyotard) which argued that one of the defining </w:t>
      </w:r>
      <w:r w:rsidR="008377B8">
        <w:t>characteristics</w:t>
      </w:r>
      <w:r w:rsidR="008B7403">
        <w:t xml:space="preserve"> of postmodernism was a rejection of ‘grand narratives of philosophical modernity: narratives associated with scientific, technical, material and social progress’</w:t>
      </w:r>
      <w:r w:rsidR="005D408D">
        <w:rPr>
          <w:rStyle w:val="FootnoteReference"/>
        </w:rPr>
        <w:footnoteReference w:id="42"/>
      </w:r>
      <w:r w:rsidR="008B7403">
        <w:t xml:space="preserve"> an example of which can be seen in the scepticism with which Offred </w:t>
      </w:r>
      <w:r w:rsidR="008377B8">
        <w:t xml:space="preserve">views her mother’s political activism. Atwood </w:t>
      </w:r>
      <w:commentRangeStart w:id="36"/>
      <w:r w:rsidR="008377B8" w:rsidRPr="00CA1B43">
        <w:rPr>
          <w:u w:val="single"/>
        </w:rPr>
        <w:t>may well be</w:t>
      </w:r>
      <w:r w:rsidR="008377B8">
        <w:t xml:space="preserve"> </w:t>
      </w:r>
      <w:commentRangeEnd w:id="36"/>
      <w:r w:rsidR="00CA1B43">
        <w:rPr>
          <w:rStyle w:val="CommentReference"/>
        </w:rPr>
        <w:commentReference w:id="36"/>
      </w:r>
      <w:r w:rsidR="008377B8">
        <w:t>reflecting the cultural discourse of the 1980s (at the time the novel was written) and the rise of postmodernism in cultural theory compared to the political and philosophical environment two decades earlier.</w:t>
      </w:r>
      <w:r w:rsidR="005A0712">
        <w:t xml:space="preserve"> </w:t>
      </w:r>
    </w:p>
    <w:p w14:paraId="7078C04A" w14:textId="77777777" w:rsidR="005A0712" w:rsidRDefault="005A0712" w:rsidP="004E7C70">
      <w:pPr>
        <w:spacing w:line="360" w:lineRule="auto"/>
      </w:pPr>
    </w:p>
    <w:p w14:paraId="6375D5BC" w14:textId="286EF5D0" w:rsidR="00467631" w:rsidRPr="00DC5A4F" w:rsidRDefault="005A0712" w:rsidP="004E7C70">
      <w:pPr>
        <w:spacing w:line="360" w:lineRule="auto"/>
        <w:rPr>
          <w:b/>
        </w:rPr>
      </w:pPr>
      <w:r>
        <w:t xml:space="preserve">The common thread running through the works discussed here – the </w:t>
      </w:r>
      <w:r w:rsidR="004E7C70">
        <w:t>interpretation</w:t>
      </w:r>
      <w:r>
        <w:t xml:space="preserve"> and transmission of history, memory, and identity – show</w:t>
      </w:r>
      <w:r w:rsidR="008E32BE">
        <w:rPr>
          <w:b/>
        </w:rPr>
        <w:t>s</w:t>
      </w:r>
      <w:r>
        <w:t xml:space="preserve"> that there is scholarly debate concerning the relationship between modernism and postmodernism, but that the </w:t>
      </w:r>
      <w:r>
        <w:lastRenderedPageBreak/>
        <w:t xml:space="preserve">differences are more than just the process of </w:t>
      </w:r>
      <w:r w:rsidR="00DC5A4F">
        <w:rPr>
          <w:b/>
        </w:rPr>
        <w:t xml:space="preserve">the </w:t>
      </w:r>
      <w:r>
        <w:t>making and interpretation art, that the underlying assumptions between the two halves of the twentieth century diverged</w:t>
      </w:r>
      <w:r w:rsidR="00CD7A95">
        <w:t xml:space="preserve"> but, as Pericles Lewis points out, </w:t>
      </w:r>
      <w:r w:rsidR="00DC5A4F">
        <w:rPr>
          <w:b/>
        </w:rPr>
        <w:t>[:]</w:t>
      </w:r>
    </w:p>
    <w:p w14:paraId="3A957B11" w14:textId="77777777" w:rsidR="00467631" w:rsidRDefault="00467631" w:rsidP="004E7C70">
      <w:pPr>
        <w:spacing w:line="360" w:lineRule="auto"/>
      </w:pPr>
    </w:p>
    <w:p w14:paraId="139F18FD" w14:textId="77777777" w:rsidR="005A0712" w:rsidRDefault="00467631" w:rsidP="004E7C70">
      <w:pPr>
        <w:spacing w:line="360" w:lineRule="auto"/>
        <w:ind w:left="720"/>
      </w:pPr>
      <w:r>
        <w:t>‘</w:t>
      </w:r>
      <w:proofErr w:type="gramStart"/>
      <w:r w:rsidR="00CD7A95">
        <w:t>both</w:t>
      </w:r>
      <w:proofErr w:type="gramEnd"/>
      <w:r w:rsidR="00CD7A95">
        <w:t xml:space="preserve"> are devoted to a conception of the greatest art as always innovative. If we </w:t>
      </w:r>
      <w:r>
        <w:t>feel a need to label our own era “postmodern’ rather than “modern” and thus assert our originality, this is perhaps just a sign of the continuing modernist impulse.’</w:t>
      </w:r>
      <w:r>
        <w:rPr>
          <w:rStyle w:val="FootnoteReference"/>
        </w:rPr>
        <w:footnoteReference w:id="43"/>
      </w:r>
    </w:p>
    <w:p w14:paraId="598E6545" w14:textId="77777777" w:rsidR="008377B8" w:rsidRDefault="008377B8" w:rsidP="004E7C70">
      <w:pPr>
        <w:spacing w:line="360" w:lineRule="auto"/>
      </w:pPr>
    </w:p>
    <w:p w14:paraId="46CFED38" w14:textId="77777777" w:rsidR="00A64CAF" w:rsidRDefault="00A64CAF">
      <w:r>
        <w:br w:type="page"/>
      </w:r>
    </w:p>
    <w:p w14:paraId="31CC5F6D" w14:textId="77777777" w:rsidR="008377B8" w:rsidRDefault="00A64CAF" w:rsidP="004E7C70">
      <w:pPr>
        <w:spacing w:line="360" w:lineRule="auto"/>
        <w:rPr>
          <w:b/>
        </w:rPr>
      </w:pPr>
      <w:r>
        <w:rPr>
          <w:b/>
        </w:rPr>
        <w:lastRenderedPageBreak/>
        <w:t>Bibliography</w:t>
      </w:r>
    </w:p>
    <w:p w14:paraId="0875A986" w14:textId="77777777" w:rsidR="00A64CAF" w:rsidRDefault="00A64CAF" w:rsidP="004E7C70">
      <w:pPr>
        <w:spacing w:line="360" w:lineRule="auto"/>
        <w:rPr>
          <w:b/>
        </w:rPr>
      </w:pPr>
    </w:p>
    <w:p w14:paraId="24F533C0"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Atwood, Margaret, </w:t>
      </w:r>
      <w:r w:rsidRPr="00A64CAF">
        <w:rPr>
          <w:rFonts w:cstheme="minorHAnsi"/>
          <w:i/>
          <w:iCs/>
        </w:rPr>
        <w:t>The Handmaid’s Tale</w:t>
      </w:r>
      <w:r w:rsidRPr="00A64CAF">
        <w:rPr>
          <w:rFonts w:cstheme="minorHAnsi"/>
        </w:rPr>
        <w:t>, (London: Vintage, 2017)</w:t>
      </w:r>
    </w:p>
    <w:p w14:paraId="6DCF1DD2"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Canton, Kimberly F., "I'm Sorry My Story is in Fragments": Offred's Operatic Counter-Memory, </w:t>
      </w:r>
      <w:r w:rsidRPr="00A64CAF">
        <w:rPr>
          <w:rFonts w:cstheme="minorHAnsi"/>
          <w:i/>
          <w:iCs/>
        </w:rPr>
        <w:t xml:space="preserve">English Studies in Canada, </w:t>
      </w:r>
      <w:r w:rsidRPr="00A64CAF">
        <w:rPr>
          <w:rFonts w:cstheme="minorHAnsi"/>
        </w:rPr>
        <w:t xml:space="preserve">33 (2007), 1-21 </w:t>
      </w:r>
    </w:p>
    <w:p w14:paraId="3DB7EFA9"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Connor, Steven, </w:t>
      </w:r>
      <w:proofErr w:type="gramStart"/>
      <w:r w:rsidRPr="00A64CAF">
        <w:rPr>
          <w:rFonts w:cstheme="minorHAnsi"/>
          <w:i/>
          <w:iCs/>
        </w:rPr>
        <w:t>The</w:t>
      </w:r>
      <w:proofErr w:type="gramEnd"/>
      <w:r w:rsidRPr="00A64CAF">
        <w:rPr>
          <w:rFonts w:cstheme="minorHAnsi"/>
          <w:i/>
          <w:iCs/>
        </w:rPr>
        <w:t xml:space="preserve"> Cambridge Companion to Postmodernism</w:t>
      </w:r>
      <w:r w:rsidRPr="00A64CAF">
        <w:rPr>
          <w:rFonts w:cstheme="minorHAnsi"/>
        </w:rPr>
        <w:t xml:space="preserve"> (Cambridge: Cambridge University Press, 2004) </w:t>
      </w:r>
    </w:p>
    <w:p w14:paraId="5471EF4D"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proofErr w:type="spellStart"/>
      <w:r w:rsidRPr="00A64CAF">
        <w:rPr>
          <w:rFonts w:cstheme="minorHAnsi"/>
        </w:rPr>
        <w:t>Drout</w:t>
      </w:r>
      <w:proofErr w:type="spellEnd"/>
      <w:r w:rsidRPr="00A64CAF">
        <w:rPr>
          <w:rFonts w:cstheme="minorHAnsi"/>
        </w:rPr>
        <w:t xml:space="preserve">, Michael, </w:t>
      </w:r>
      <w:r w:rsidRPr="00A64CAF">
        <w:rPr>
          <w:rFonts w:cstheme="minorHAnsi"/>
          <w:i/>
          <w:iCs/>
        </w:rPr>
        <w:t>Tolkien and the West: Recovering the Lost Tradition of Europe</w:t>
      </w:r>
      <w:r w:rsidRPr="00A64CAF">
        <w:rPr>
          <w:rFonts w:cstheme="minorHAnsi"/>
        </w:rPr>
        <w:t xml:space="preserve"> (Recorded Books, Z05490, 2012) [On CD]</w:t>
      </w:r>
    </w:p>
    <w:p w14:paraId="31F62CB3"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Edwards, Paul, ‘Time, Romanticism, Modernism and Moderation in Ian McEwan’s </w:t>
      </w:r>
      <w:commentRangeStart w:id="37"/>
      <w:r w:rsidRPr="00A64CAF">
        <w:rPr>
          <w:rFonts w:cstheme="minorHAnsi"/>
        </w:rPr>
        <w:t>The Child in Time</w:t>
      </w:r>
      <w:commentRangeEnd w:id="37"/>
      <w:r w:rsidR="00CA1B43">
        <w:rPr>
          <w:rStyle w:val="CommentReference"/>
        </w:rPr>
        <w:commentReference w:id="37"/>
      </w:r>
      <w:r w:rsidRPr="00A64CAF">
        <w:rPr>
          <w:rFonts w:cstheme="minorHAnsi"/>
        </w:rPr>
        <w:t xml:space="preserve">’ </w:t>
      </w:r>
      <w:r w:rsidRPr="00A64CAF">
        <w:rPr>
          <w:rFonts w:cstheme="minorHAnsi"/>
          <w:i/>
          <w:iCs/>
          <w:color w:val="2A2A2A"/>
        </w:rPr>
        <w:t>English: Journal of the English Association</w:t>
      </w:r>
      <w:r w:rsidRPr="00A64CAF">
        <w:rPr>
          <w:rFonts w:cstheme="minorHAnsi"/>
          <w:color w:val="2A2A2A"/>
        </w:rPr>
        <w:t>, 44 (1995), 41–55</w:t>
      </w:r>
    </w:p>
    <w:p w14:paraId="4C1D8CB1"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Eliot, T. S., </w:t>
      </w:r>
      <w:r w:rsidRPr="00A64CAF">
        <w:rPr>
          <w:rFonts w:cstheme="minorHAnsi"/>
          <w:i/>
          <w:iCs/>
        </w:rPr>
        <w:t>Collected Poems, 1909-1962</w:t>
      </w:r>
      <w:r w:rsidRPr="00A64CAF">
        <w:rPr>
          <w:rFonts w:cstheme="minorHAnsi"/>
        </w:rPr>
        <w:t xml:space="preserve"> (London: Faber and Faber, 1974) </w:t>
      </w:r>
    </w:p>
    <w:p w14:paraId="24AB4EF3"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Farahbakhsh, Alireza, ‘Eliot and Postmodern Selfhood’ </w:t>
      </w:r>
      <w:commentRangeStart w:id="38"/>
      <w:r w:rsidRPr="00A64CAF">
        <w:rPr>
          <w:rFonts w:cstheme="minorHAnsi"/>
        </w:rPr>
        <w:t>AUMLA: Journal of the Australasian University of Modern Language Association</w:t>
      </w:r>
      <w:commentRangeEnd w:id="38"/>
      <w:r w:rsidR="00CA1B43">
        <w:rPr>
          <w:rStyle w:val="CommentReference"/>
        </w:rPr>
        <w:commentReference w:id="38"/>
      </w:r>
      <w:r w:rsidRPr="00A64CAF">
        <w:rPr>
          <w:rFonts w:cstheme="minorHAnsi"/>
        </w:rPr>
        <w:t>, 111 (2009), 69-87</w:t>
      </w:r>
    </w:p>
    <w:p w14:paraId="5B00824A"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proofErr w:type="spellStart"/>
      <w:r w:rsidRPr="00A64CAF">
        <w:rPr>
          <w:rFonts w:cstheme="minorHAnsi"/>
        </w:rPr>
        <w:t>Farahbakhsh</w:t>
      </w:r>
      <w:proofErr w:type="spellEnd"/>
      <w:r w:rsidRPr="00A64CAF">
        <w:rPr>
          <w:rFonts w:cstheme="minorHAnsi"/>
        </w:rPr>
        <w:t xml:space="preserve">, </w:t>
      </w:r>
      <w:proofErr w:type="spellStart"/>
      <w:r w:rsidRPr="00A64CAF">
        <w:rPr>
          <w:rFonts w:cstheme="minorHAnsi"/>
        </w:rPr>
        <w:t>Alireza</w:t>
      </w:r>
      <w:proofErr w:type="spellEnd"/>
      <w:r w:rsidRPr="00A64CAF">
        <w:rPr>
          <w:rFonts w:cstheme="minorHAnsi"/>
        </w:rPr>
        <w:t xml:space="preserve"> and Zahra Habibi, 'Eliot, Time in Modernist Thought, and Contemporary Reality', </w:t>
      </w:r>
      <w:proofErr w:type="gramStart"/>
      <w:r w:rsidRPr="00A64CAF">
        <w:rPr>
          <w:rFonts w:cstheme="minorHAnsi"/>
          <w:i/>
          <w:iCs/>
        </w:rPr>
        <w:t>AUMLA :</w:t>
      </w:r>
      <w:proofErr w:type="gramEnd"/>
      <w:r w:rsidRPr="00A64CAF">
        <w:rPr>
          <w:rFonts w:cstheme="minorHAnsi"/>
          <w:i/>
          <w:iCs/>
        </w:rPr>
        <w:t xml:space="preserve"> Journal of the Australasian Universities Modern Language Association, </w:t>
      </w:r>
      <w:r w:rsidRPr="00A64CAF">
        <w:rPr>
          <w:rFonts w:cstheme="minorHAnsi"/>
        </w:rPr>
        <w:t>105 (2012), 35-47</w:t>
      </w:r>
    </w:p>
    <w:p w14:paraId="3D932BB2"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Grace, Dominick M., 'The Handmaid's Tale: </w:t>
      </w:r>
      <w:proofErr w:type="gramStart"/>
      <w:r w:rsidRPr="00A64CAF">
        <w:rPr>
          <w:rFonts w:cstheme="minorHAnsi"/>
        </w:rPr>
        <w:t>“ Historical</w:t>
      </w:r>
      <w:proofErr w:type="gramEnd"/>
      <w:r w:rsidRPr="00A64CAF">
        <w:rPr>
          <w:rFonts w:cstheme="minorHAnsi"/>
        </w:rPr>
        <w:t xml:space="preserve"> Notes” and Documentary Subversion', </w:t>
      </w:r>
      <w:r w:rsidRPr="00A64CAF">
        <w:rPr>
          <w:rFonts w:cstheme="minorHAnsi"/>
          <w:i/>
          <w:iCs/>
        </w:rPr>
        <w:t xml:space="preserve">Science Fiction Studies, </w:t>
      </w:r>
      <w:r w:rsidRPr="00A64CAF">
        <w:rPr>
          <w:rFonts w:cstheme="minorHAnsi"/>
        </w:rPr>
        <w:t xml:space="preserve">25 (1998), 481-495 </w:t>
      </w:r>
    </w:p>
    <w:p w14:paraId="52002B32"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Helm, Thomas E., 'Hermeneutics of Time in T. S. Eliot's the Waste Land', </w:t>
      </w:r>
      <w:r w:rsidRPr="00A64CAF">
        <w:rPr>
          <w:rFonts w:cstheme="minorHAnsi"/>
          <w:i/>
          <w:iCs/>
        </w:rPr>
        <w:t xml:space="preserve">Journal of Religion, </w:t>
      </w:r>
      <w:r w:rsidRPr="00A64CAF">
        <w:rPr>
          <w:rFonts w:cstheme="minorHAnsi"/>
        </w:rPr>
        <w:t xml:space="preserve">65 (1985), 208-225 </w:t>
      </w:r>
    </w:p>
    <w:p w14:paraId="6B860DB4"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proofErr w:type="spellStart"/>
      <w:r w:rsidRPr="00A64CAF">
        <w:rPr>
          <w:rFonts w:cstheme="minorHAnsi"/>
        </w:rPr>
        <w:lastRenderedPageBreak/>
        <w:t>Hogsette</w:t>
      </w:r>
      <w:proofErr w:type="spellEnd"/>
      <w:r w:rsidRPr="00A64CAF">
        <w:rPr>
          <w:rFonts w:cstheme="minorHAnsi"/>
        </w:rPr>
        <w:t xml:space="preserve">, David S., 'Margaret Atwood's Rhetorical Epilogue in </w:t>
      </w:r>
      <w:commentRangeStart w:id="39"/>
      <w:r w:rsidRPr="00CA1B43">
        <w:rPr>
          <w:rFonts w:cstheme="minorHAnsi"/>
          <w:u w:val="single"/>
        </w:rPr>
        <w:t>the Handmaid's Tale</w:t>
      </w:r>
      <w:commentRangeEnd w:id="39"/>
      <w:r w:rsidR="00CA1B43" w:rsidRPr="00CA1B43">
        <w:rPr>
          <w:rStyle w:val="CommentReference"/>
          <w:u w:val="single"/>
        </w:rPr>
        <w:commentReference w:id="39"/>
      </w:r>
      <w:r w:rsidRPr="00A64CAF">
        <w:rPr>
          <w:rFonts w:cstheme="minorHAnsi"/>
        </w:rPr>
        <w:t xml:space="preserve">: The Reader's Role in Empowering Offred's Speech Act', </w:t>
      </w:r>
      <w:r w:rsidRPr="00A64CAF">
        <w:rPr>
          <w:rFonts w:cstheme="minorHAnsi"/>
          <w:i/>
          <w:iCs/>
        </w:rPr>
        <w:t xml:space="preserve">Critique, </w:t>
      </w:r>
      <w:r w:rsidRPr="00A64CAF">
        <w:rPr>
          <w:rFonts w:cstheme="minorHAnsi"/>
        </w:rPr>
        <w:t xml:space="preserve">38 (1997), 262-279 </w:t>
      </w:r>
    </w:p>
    <w:p w14:paraId="10C8ABDA"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Levenson, Michael H., </w:t>
      </w:r>
      <w:proofErr w:type="gramStart"/>
      <w:r w:rsidRPr="00A64CAF">
        <w:rPr>
          <w:rFonts w:cstheme="minorHAnsi"/>
          <w:i/>
          <w:iCs/>
        </w:rPr>
        <w:t>The</w:t>
      </w:r>
      <w:proofErr w:type="gramEnd"/>
      <w:r w:rsidRPr="00A64CAF">
        <w:rPr>
          <w:rFonts w:cstheme="minorHAnsi"/>
          <w:i/>
          <w:iCs/>
        </w:rPr>
        <w:t xml:space="preserve"> Cambridge Companion to Modernism</w:t>
      </w:r>
      <w:r w:rsidRPr="00A64CAF">
        <w:rPr>
          <w:rFonts w:cstheme="minorHAnsi"/>
        </w:rPr>
        <w:t xml:space="preserve"> (Cambridge: Cambridge University Press, 1999) </w:t>
      </w:r>
    </w:p>
    <w:p w14:paraId="7D758E9A"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Lewis, Pericles, </w:t>
      </w:r>
      <w:proofErr w:type="gramStart"/>
      <w:r w:rsidRPr="00A64CAF">
        <w:rPr>
          <w:rFonts w:cstheme="minorHAnsi"/>
          <w:i/>
          <w:iCs/>
        </w:rPr>
        <w:t>The</w:t>
      </w:r>
      <w:proofErr w:type="gramEnd"/>
      <w:r w:rsidRPr="00A64CAF">
        <w:rPr>
          <w:rFonts w:cstheme="minorHAnsi"/>
          <w:i/>
          <w:iCs/>
        </w:rPr>
        <w:t xml:space="preserve"> Cambridge Introduction to Modernism</w:t>
      </w:r>
      <w:r w:rsidRPr="00A64CAF">
        <w:rPr>
          <w:rFonts w:cstheme="minorHAnsi"/>
        </w:rPr>
        <w:t xml:space="preserve"> (Cambridge: Cambridge University Press, 2007) </w:t>
      </w:r>
    </w:p>
    <w:p w14:paraId="21ECA3EE"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McEwan, Ian, </w:t>
      </w:r>
      <w:r w:rsidRPr="00A64CAF">
        <w:rPr>
          <w:rFonts w:cstheme="minorHAnsi"/>
          <w:i/>
          <w:iCs/>
        </w:rPr>
        <w:t>Atonement</w:t>
      </w:r>
      <w:r w:rsidRPr="00A64CAF">
        <w:rPr>
          <w:rFonts w:cstheme="minorHAnsi"/>
        </w:rPr>
        <w:t xml:space="preserve"> (London: Vintage, 2002) </w:t>
      </w:r>
    </w:p>
    <w:p w14:paraId="0E59B037"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McEwan, Ian, </w:t>
      </w:r>
      <w:proofErr w:type="gramStart"/>
      <w:r w:rsidRPr="00A64CAF">
        <w:rPr>
          <w:rFonts w:cstheme="minorHAnsi"/>
          <w:i/>
          <w:iCs/>
        </w:rPr>
        <w:t>The</w:t>
      </w:r>
      <w:proofErr w:type="gramEnd"/>
      <w:r w:rsidRPr="00A64CAF">
        <w:rPr>
          <w:rFonts w:cstheme="minorHAnsi"/>
          <w:i/>
          <w:iCs/>
        </w:rPr>
        <w:t xml:space="preserve"> Child in Time</w:t>
      </w:r>
      <w:r w:rsidRPr="00A64CAF">
        <w:rPr>
          <w:rFonts w:cstheme="minorHAnsi"/>
        </w:rPr>
        <w:t xml:space="preserve"> (London: Vintage, 1997) </w:t>
      </w:r>
    </w:p>
    <w:p w14:paraId="21C9DDC9"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McHale, Brian, </w:t>
      </w:r>
      <w:proofErr w:type="gramStart"/>
      <w:r w:rsidRPr="00A64CAF">
        <w:rPr>
          <w:rFonts w:cstheme="minorHAnsi"/>
          <w:i/>
          <w:iCs/>
        </w:rPr>
        <w:t>The</w:t>
      </w:r>
      <w:proofErr w:type="gramEnd"/>
      <w:r w:rsidRPr="00A64CAF">
        <w:rPr>
          <w:rFonts w:cstheme="minorHAnsi"/>
          <w:i/>
          <w:iCs/>
        </w:rPr>
        <w:t xml:space="preserve"> Cambridge Introduction to Postmodernism</w:t>
      </w:r>
      <w:r w:rsidRPr="00A64CAF">
        <w:rPr>
          <w:rFonts w:cstheme="minorHAnsi"/>
        </w:rPr>
        <w:t>, (Cambridge, Cambridge University Press, 2015)</w:t>
      </w:r>
    </w:p>
    <w:p w14:paraId="584E3D83"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Moody, A. D., </w:t>
      </w:r>
      <w:proofErr w:type="gramStart"/>
      <w:r w:rsidRPr="00A64CAF">
        <w:rPr>
          <w:rFonts w:cstheme="minorHAnsi"/>
          <w:i/>
          <w:iCs/>
        </w:rPr>
        <w:t>The</w:t>
      </w:r>
      <w:proofErr w:type="gramEnd"/>
      <w:r w:rsidRPr="00A64CAF">
        <w:rPr>
          <w:rFonts w:cstheme="minorHAnsi"/>
          <w:i/>
          <w:iCs/>
        </w:rPr>
        <w:t xml:space="preserve"> Cambridge Companion to T.S. Eliot</w:t>
      </w:r>
      <w:r w:rsidRPr="00A64CAF">
        <w:rPr>
          <w:rFonts w:cstheme="minorHAnsi"/>
        </w:rPr>
        <w:t xml:space="preserve"> (Cambridge: Cambridge University Press, 1994)</w:t>
      </w:r>
    </w:p>
    <w:p w14:paraId="4C9AAE18"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Moore, Steven, </w:t>
      </w:r>
      <w:commentRangeStart w:id="40"/>
      <w:proofErr w:type="gramStart"/>
      <w:r w:rsidRPr="00A64CAF">
        <w:rPr>
          <w:rFonts w:cstheme="minorHAnsi"/>
        </w:rPr>
        <w:t>The</w:t>
      </w:r>
      <w:proofErr w:type="gramEnd"/>
      <w:r w:rsidRPr="00A64CAF">
        <w:rPr>
          <w:rFonts w:cstheme="minorHAnsi"/>
        </w:rPr>
        <w:t xml:space="preserve"> Novel: An Alternate History </w:t>
      </w:r>
      <w:commentRangeEnd w:id="40"/>
      <w:r w:rsidR="00CA1B43">
        <w:rPr>
          <w:rStyle w:val="CommentReference"/>
        </w:rPr>
        <w:commentReference w:id="40"/>
      </w:r>
      <w:r w:rsidRPr="00A64CAF">
        <w:rPr>
          <w:rFonts w:cstheme="minorHAnsi"/>
        </w:rPr>
        <w:t xml:space="preserve">(London: Bloomsbury Press, 2013) </w:t>
      </w:r>
    </w:p>
    <w:p w14:paraId="6515B0F3" w14:textId="77777777"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Smith, Victoria, ‘The Demonisation of Mumsnet is the Latest Incarnation on Witch-Hunts’ &lt;</w:t>
      </w:r>
      <w:hyperlink r:id="rId10" w:history="1">
        <w:r w:rsidRPr="00A64CAF">
          <w:rPr>
            <w:rFonts w:cstheme="minorHAnsi"/>
          </w:rPr>
          <w:t>https://www.newstatesman.com/politics/feminism/2018/05/demonisation-mumsnet-just-latest-incarnation-witch-hunting</w:t>
        </w:r>
      </w:hyperlink>
      <w:r w:rsidRPr="00A64CAF">
        <w:rPr>
          <w:rFonts w:cstheme="minorHAnsi"/>
        </w:rPr>
        <w:t>&gt; [accessed 14 May 2018]</w:t>
      </w:r>
    </w:p>
    <w:p w14:paraId="0C323924" w14:textId="77777777" w:rsidR="00A64CAF" w:rsidRPr="00A64CAF" w:rsidRDefault="00A64CAF" w:rsidP="00CA1B43">
      <w:pPr>
        <w:spacing w:line="360" w:lineRule="auto"/>
        <w:rPr>
          <w:rFonts w:cstheme="minorHAnsi"/>
          <w:b/>
        </w:rPr>
      </w:pPr>
      <w:r w:rsidRPr="00A64CAF">
        <w:rPr>
          <w:rFonts w:cstheme="minorHAnsi"/>
        </w:rPr>
        <w:t xml:space="preserve">Westerman, Molly, '"of Skulls Or Spirits": The Haunting Space between </w:t>
      </w:r>
      <w:proofErr w:type="gramStart"/>
      <w:r w:rsidRPr="00A64CAF">
        <w:rPr>
          <w:rFonts w:cstheme="minorHAnsi"/>
        </w:rPr>
        <w:t>Fictional(</w:t>
      </w:r>
      <w:proofErr w:type="spellStart"/>
      <w:proofErr w:type="gramEnd"/>
      <w:r w:rsidRPr="00A64CAF">
        <w:rPr>
          <w:rFonts w:cstheme="minorHAnsi"/>
        </w:rPr>
        <w:t>Ized</w:t>
      </w:r>
      <w:proofErr w:type="spellEnd"/>
      <w:r w:rsidRPr="00A64CAF">
        <w:rPr>
          <w:rFonts w:cstheme="minorHAnsi"/>
        </w:rPr>
        <w:t>) History and</w:t>
      </w:r>
      <w:r w:rsidR="00CA1B43">
        <w:rPr>
          <w:rFonts w:cstheme="minorHAnsi"/>
        </w:rPr>
        <w:t xml:space="preserve"> </w:t>
      </w:r>
      <w:r w:rsidRPr="00A64CAF">
        <w:rPr>
          <w:rFonts w:cstheme="minorHAnsi"/>
        </w:rPr>
        <w:t xml:space="preserve">Historical Note', </w:t>
      </w:r>
      <w:r w:rsidRPr="00A64CAF">
        <w:rPr>
          <w:rFonts w:cstheme="minorHAnsi"/>
          <w:i/>
          <w:iCs/>
        </w:rPr>
        <w:t xml:space="preserve">Clio, </w:t>
      </w:r>
      <w:r w:rsidRPr="00A64CAF">
        <w:rPr>
          <w:rFonts w:cstheme="minorHAnsi"/>
        </w:rPr>
        <w:t>35 (2006), 369-393,463</w:t>
      </w:r>
    </w:p>
    <w:sectPr w:rsidR="00A64CAF" w:rsidRPr="00A64CAF" w:rsidSect="0098310D">
      <w:headerReference w:type="default" r:id="rId11"/>
      <w:footerReference w:type="even" r:id="rId12"/>
      <w:footerReference w:type="default" r:id="rId13"/>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Administrator" w:date="2018-05-22T10:57:00Z" w:initials="A">
    <w:p w14:paraId="201411C8" w14:textId="77777777" w:rsidR="002777F0" w:rsidRPr="002777F0" w:rsidRDefault="002777F0">
      <w:pPr>
        <w:pStyle w:val="CommentText"/>
        <w:rPr>
          <w:i/>
        </w:rPr>
      </w:pPr>
      <w:r>
        <w:rPr>
          <w:rStyle w:val="CommentReference"/>
        </w:rPr>
        <w:annotationRef/>
      </w:r>
      <w:r>
        <w:t>Not entirely periods since non modernist/postmodernist texts were produced at these time</w:t>
      </w:r>
      <w:r w:rsidR="00594BFB">
        <w:t>s while mod and postmod slide into each other</w:t>
      </w:r>
      <w:r>
        <w:t xml:space="preserve">. – </w:t>
      </w:r>
      <w:proofErr w:type="gramStart"/>
      <w:r>
        <w:t>perhaps</w:t>
      </w:r>
      <w:proofErr w:type="gramEnd"/>
      <w:r>
        <w:t xml:space="preserve"> </w:t>
      </w:r>
      <w:r w:rsidRPr="002777F0">
        <w:rPr>
          <w:i/>
        </w:rPr>
        <w:t xml:space="preserve">periods more generally associated with…. </w:t>
      </w:r>
    </w:p>
  </w:comment>
  <w:comment w:id="6" w:author="Administrator" w:date="2018-05-22T10:49:00Z" w:initials="A">
    <w:p w14:paraId="3CFAE5D5" w14:textId="77777777" w:rsidR="002777F0" w:rsidRDefault="002777F0">
      <w:pPr>
        <w:pStyle w:val="CommentText"/>
      </w:pPr>
      <w:r>
        <w:rPr>
          <w:rStyle w:val="CommentReference"/>
        </w:rPr>
        <w:annotationRef/>
      </w:r>
      <w:r>
        <w:t>Good clear introduction</w:t>
      </w:r>
    </w:p>
  </w:comment>
  <w:comment w:id="7" w:author="Administrator" w:date="2018-05-22T10:53:00Z" w:initials="A">
    <w:p w14:paraId="004FF91B" w14:textId="77777777" w:rsidR="002777F0" w:rsidRPr="002777F0" w:rsidRDefault="002777F0">
      <w:pPr>
        <w:pStyle w:val="CommentText"/>
      </w:pPr>
      <w:r>
        <w:rPr>
          <w:rStyle w:val="CommentReference"/>
        </w:rPr>
        <w:annotationRef/>
      </w:r>
      <w:r>
        <w:t xml:space="preserve">Though, like some of the ’obviously outrageous’ strictures applied to women in </w:t>
      </w:r>
      <w:r w:rsidRPr="002777F0">
        <w:rPr>
          <w:i/>
        </w:rPr>
        <w:t>The Handmaid’s Tale</w:t>
      </w:r>
      <w:r>
        <w:t xml:space="preserve">, these do reflect attitudes to children that have been held at different times. </w:t>
      </w:r>
    </w:p>
  </w:comment>
  <w:comment w:id="8" w:author="Administrator" w:date="2018-05-22T10:55:00Z" w:initials="A">
    <w:p w14:paraId="17143F00" w14:textId="77777777" w:rsidR="002777F0" w:rsidRDefault="002777F0">
      <w:pPr>
        <w:pStyle w:val="CommentText"/>
      </w:pPr>
      <w:r>
        <w:rPr>
          <w:rStyle w:val="CommentReference"/>
        </w:rPr>
        <w:annotationRef/>
      </w:r>
      <w:r>
        <w:t>Ideological interpretative frame?</w:t>
      </w:r>
    </w:p>
  </w:comment>
  <w:comment w:id="9" w:author="Administrator" w:date="2018-05-22T10:56:00Z" w:initials="A">
    <w:p w14:paraId="7EC1B3B2" w14:textId="77777777" w:rsidR="00594BFB" w:rsidRDefault="00594BFB">
      <w:pPr>
        <w:pStyle w:val="CommentText"/>
      </w:pPr>
      <w:r>
        <w:rPr>
          <w:rStyle w:val="CommentReference"/>
        </w:rPr>
        <w:annotationRef/>
      </w:r>
      <w:r>
        <w:t xml:space="preserve">Not sure what this means here. </w:t>
      </w:r>
    </w:p>
  </w:comment>
  <w:comment w:id="10" w:author="Administrator" w:date="2018-05-22T11:05:00Z" w:initials="A">
    <w:p w14:paraId="6817B3EC" w14:textId="77777777" w:rsidR="00594BFB" w:rsidRPr="00594BFB" w:rsidRDefault="00594BFB">
      <w:pPr>
        <w:pStyle w:val="CommentText"/>
      </w:pPr>
      <w:r>
        <w:rPr>
          <w:rStyle w:val="CommentReference"/>
        </w:rPr>
        <w:annotationRef/>
      </w:r>
      <w:r>
        <w:t xml:space="preserve">This needs to be stated as an introduction to something coming rather than a reference back. So  </w:t>
      </w:r>
      <w:r w:rsidRPr="00594BFB">
        <w:rPr>
          <w:i/>
        </w:rPr>
        <w:t>reinforcing what Brian McHale calls ‘metamodernism’</w:t>
      </w:r>
      <w:r>
        <w:t xml:space="preserve"> then you can go on to explain it</w:t>
      </w:r>
    </w:p>
  </w:comment>
  <w:comment w:id="11" w:author="Administrator" w:date="2018-05-22T10:58:00Z" w:initials="A">
    <w:p w14:paraId="705E4550" w14:textId="77777777" w:rsidR="00594BFB" w:rsidRDefault="00594BFB">
      <w:pPr>
        <w:pStyle w:val="CommentText"/>
      </w:pPr>
      <w:r>
        <w:rPr>
          <w:rStyle w:val="CommentReference"/>
        </w:rPr>
        <w:annotationRef/>
      </w:r>
      <w:proofErr w:type="gramStart"/>
      <w:r>
        <w:t>yes</w:t>
      </w:r>
      <w:proofErr w:type="gramEnd"/>
      <w:r>
        <w:t xml:space="preserve"> - good</w:t>
      </w:r>
    </w:p>
  </w:comment>
  <w:comment w:id="12" w:author="Administrator" w:date="2018-05-22T10:59:00Z" w:initials="A">
    <w:p w14:paraId="6B96136F" w14:textId="77777777" w:rsidR="00594BFB" w:rsidRDefault="00594BFB">
      <w:pPr>
        <w:pStyle w:val="CommentText"/>
      </w:pPr>
      <w:r>
        <w:rPr>
          <w:rStyle w:val="CommentReference"/>
        </w:rPr>
        <w:annotationRef/>
      </w:r>
      <w:proofErr w:type="gramStart"/>
      <w:r>
        <w:t>italics</w:t>
      </w:r>
      <w:proofErr w:type="gramEnd"/>
      <w:r>
        <w:t xml:space="preserve"> for a book; inverted commas for a short story.</w:t>
      </w:r>
    </w:p>
  </w:comment>
  <w:comment w:id="13" w:author="Administrator" w:date="2018-05-22T11:01:00Z" w:initials="A">
    <w:p w14:paraId="77746F73" w14:textId="77777777" w:rsidR="00594BFB" w:rsidRDefault="00594BFB">
      <w:pPr>
        <w:pStyle w:val="CommentText"/>
      </w:pPr>
      <w:r>
        <w:rPr>
          <w:rStyle w:val="CommentReference"/>
        </w:rPr>
        <w:annotationRef/>
      </w:r>
      <w:proofErr w:type="gramStart"/>
      <w:r w:rsidR="00F93CEA">
        <w:t>because</w:t>
      </w:r>
      <w:proofErr w:type="gramEnd"/>
      <w:r w:rsidR="00F93CEA">
        <w:t xml:space="preserve"> of his ex</w:t>
      </w:r>
      <w:r>
        <w:t xml:space="preserve">perience? </w:t>
      </w:r>
      <w:r w:rsidR="00F93CEA">
        <w:t>He had</w:t>
      </w:r>
      <w:r>
        <w:t xml:space="preserve"> the kind of childhood that is reflected in the </w:t>
      </w:r>
      <w:proofErr w:type="gramStart"/>
      <w:r>
        <w:t xml:space="preserve">Handbook </w:t>
      </w:r>
      <w:r w:rsidR="00E53C17">
        <w:t xml:space="preserve"> </w:t>
      </w:r>
      <w:r w:rsidR="00F93CEA">
        <w:t>(</w:t>
      </w:r>
      <w:proofErr w:type="gramEnd"/>
      <w:r w:rsidR="00E53C17">
        <w:t>which</w:t>
      </w:r>
      <w:r w:rsidR="00F93CEA">
        <w:t>, after all,</w:t>
      </w:r>
      <w:r w:rsidR="00E53C17">
        <w:t xml:space="preserve"> he has writte</w:t>
      </w:r>
      <w:r w:rsidR="00F93CEA">
        <w:t>n</w:t>
      </w:r>
      <w:r w:rsidR="00E53C17">
        <w:t xml:space="preserve"> </w:t>
      </w:r>
      <w:r w:rsidR="00F93CEA">
        <w:t>)</w:t>
      </w:r>
      <w:r w:rsidR="00E53C17">
        <w:t xml:space="preserve"> </w:t>
      </w:r>
      <w:r>
        <w:t xml:space="preserve">so he dreams of having a ‘proper’ childhood </w:t>
      </w:r>
      <w:r w:rsidR="00F93CEA">
        <w:t>…</w:t>
      </w:r>
      <w:r>
        <w:t xml:space="preserve"> which is of course, an impossible dream</w:t>
      </w:r>
      <w:r w:rsidR="00F93CEA">
        <w:t xml:space="preserve"> and functions as an inversion of the rigid discipline promoted by the Handbook</w:t>
      </w:r>
      <w:r>
        <w:t>.</w:t>
      </w:r>
    </w:p>
  </w:comment>
  <w:comment w:id="14" w:author="Administrator" w:date="2018-05-22T11:02:00Z" w:initials="A">
    <w:p w14:paraId="48E47ECC" w14:textId="77777777" w:rsidR="00594BFB" w:rsidRDefault="00594BFB">
      <w:pPr>
        <w:pStyle w:val="CommentText"/>
      </w:pPr>
      <w:r>
        <w:rPr>
          <w:rStyle w:val="CommentReference"/>
        </w:rPr>
        <w:annotationRef/>
      </w:r>
      <w:r>
        <w:t>No need for inverted commas as well as italics</w:t>
      </w:r>
    </w:p>
  </w:comment>
  <w:comment w:id="15" w:author="Administrator" w:date="2018-05-22T11:10:00Z" w:initials="A">
    <w:p w14:paraId="00E120DE" w14:textId="77777777" w:rsidR="00594BFB" w:rsidRDefault="00594BFB">
      <w:pPr>
        <w:pStyle w:val="CommentText"/>
      </w:pPr>
      <w:r>
        <w:rPr>
          <w:rStyle w:val="CommentReference"/>
        </w:rPr>
        <w:annotationRef/>
      </w:r>
      <w:r>
        <w:t>? Needs explaining</w:t>
      </w:r>
      <w:r w:rsidR="002F6157">
        <w:t xml:space="preserve">. </w:t>
      </w:r>
    </w:p>
    <w:p w14:paraId="57B6A66F" w14:textId="77777777" w:rsidR="002F6157" w:rsidRPr="002F6157" w:rsidRDefault="002F6157">
      <w:pPr>
        <w:pStyle w:val="CommentText"/>
      </w:pPr>
      <w:r>
        <w:t xml:space="preserve">Ah I see that you explain the next paragraph. As with </w:t>
      </w:r>
      <w:r w:rsidRPr="00F93CEA">
        <w:rPr>
          <w:i/>
        </w:rPr>
        <w:t>metamodernism</w:t>
      </w:r>
      <w:r>
        <w:t xml:space="preserve"> introduce the idea rather than state it and expect the reader to understand what you mean. </w:t>
      </w:r>
      <w:proofErr w:type="gramStart"/>
      <w:r>
        <w:t>so</w:t>
      </w:r>
      <w:proofErr w:type="gramEnd"/>
      <w:r>
        <w:rPr>
          <w:i/>
        </w:rPr>
        <w:t xml:space="preserve"> this concern with the construction of multiple selves runs through the novel, evident when McEwan uses a memory….</w:t>
      </w:r>
      <w:r>
        <w:t xml:space="preserve"> This then leads more clearly into your next paragraph </w:t>
      </w:r>
    </w:p>
  </w:comment>
  <w:comment w:id="16" w:author="Administrator" w:date="2018-05-22T11:14:00Z" w:initials="A">
    <w:p w14:paraId="151BDC9A" w14:textId="77777777" w:rsidR="002F6157" w:rsidRDefault="002F6157">
      <w:pPr>
        <w:pStyle w:val="CommentText"/>
      </w:pPr>
      <w:r>
        <w:rPr>
          <w:rStyle w:val="CommentReference"/>
        </w:rPr>
        <w:annotationRef/>
      </w:r>
      <w:r>
        <w:t xml:space="preserve">Sufficiency for what? </w:t>
      </w:r>
      <w:r w:rsidRPr="002F6157">
        <w:rPr>
          <w:i/>
        </w:rPr>
        <w:t xml:space="preserve">Sufficiency of a subjective interpretation of </w:t>
      </w:r>
      <w:proofErr w:type="gramStart"/>
      <w:r w:rsidRPr="002F6157">
        <w:rPr>
          <w:i/>
        </w:rPr>
        <w:t>signs</w:t>
      </w:r>
      <w:r>
        <w:rPr>
          <w:i/>
        </w:rPr>
        <w:t xml:space="preserve"> </w:t>
      </w:r>
      <w:r w:rsidRPr="002F6157">
        <w:t>?</w:t>
      </w:r>
      <w:proofErr w:type="gramEnd"/>
      <w:r>
        <w:t xml:space="preserve">  </w:t>
      </w:r>
    </w:p>
  </w:comment>
  <w:comment w:id="17" w:author="Administrator" w:date="2018-05-22T11:14:00Z" w:initials="A">
    <w:p w14:paraId="68EAAA94" w14:textId="77777777" w:rsidR="002F6157" w:rsidRDefault="002F6157">
      <w:pPr>
        <w:pStyle w:val="CommentText"/>
      </w:pPr>
      <w:r>
        <w:rPr>
          <w:rStyle w:val="CommentReference"/>
        </w:rPr>
        <w:annotationRef/>
      </w:r>
      <w:r>
        <w:t>Which ones?</w:t>
      </w:r>
    </w:p>
  </w:comment>
  <w:comment w:id="18" w:author="Administrator" w:date="2018-05-22T11:14:00Z" w:initials="A">
    <w:p w14:paraId="0D9ED72C" w14:textId="77777777" w:rsidR="002F6157" w:rsidRDefault="002F6157">
      <w:pPr>
        <w:pStyle w:val="CommentText"/>
      </w:pPr>
      <w:r>
        <w:rPr>
          <w:rStyle w:val="CommentReference"/>
        </w:rPr>
        <w:annotationRef/>
      </w:r>
      <w:r>
        <w:t>This whole sentence rather convoluted</w:t>
      </w:r>
    </w:p>
  </w:comment>
  <w:comment w:id="19" w:author="Administrator" w:date="2018-05-22T11:16:00Z" w:initials="A">
    <w:p w14:paraId="21B15993" w14:textId="77777777" w:rsidR="00E328DA" w:rsidRDefault="00E328DA">
      <w:pPr>
        <w:pStyle w:val="CommentText"/>
      </w:pPr>
      <w:r>
        <w:rPr>
          <w:rStyle w:val="CommentReference"/>
        </w:rPr>
        <w:annotationRef/>
      </w:r>
      <w:r>
        <w:t>Not the same as gothic/romantic</w:t>
      </w:r>
    </w:p>
  </w:comment>
  <w:comment w:id="20" w:author="Administrator" w:date="2018-05-22T11:17:00Z" w:initials="A">
    <w:p w14:paraId="2BC624C9" w14:textId="77777777" w:rsidR="00E328DA" w:rsidRDefault="00E328DA">
      <w:pPr>
        <w:pStyle w:val="CommentText"/>
      </w:pPr>
      <w:r>
        <w:rPr>
          <w:rStyle w:val="CommentReference"/>
        </w:rPr>
        <w:annotationRef/>
      </w:r>
      <w:r>
        <w:t xml:space="preserve">These </w:t>
      </w:r>
      <w:r w:rsidR="004F3164">
        <w:t>examples</w:t>
      </w:r>
      <w:r>
        <w:t>? Or are you claiming this for all??</w:t>
      </w:r>
    </w:p>
  </w:comment>
  <w:comment w:id="21" w:author="Administrator" w:date="2018-05-22T11:19:00Z" w:initials="A">
    <w:p w14:paraId="6B7DF853" w14:textId="77777777" w:rsidR="00E328DA" w:rsidRDefault="00E328DA">
      <w:pPr>
        <w:pStyle w:val="CommentText"/>
      </w:pPr>
      <w:r>
        <w:rPr>
          <w:rStyle w:val="CommentReference"/>
        </w:rPr>
        <w:annotationRef/>
      </w:r>
      <w:r>
        <w:t xml:space="preserve">? </w:t>
      </w:r>
      <w:proofErr w:type="gramStart"/>
      <w:r w:rsidRPr="00E328DA">
        <w:rPr>
          <w:i/>
        </w:rPr>
        <w:t>mode</w:t>
      </w:r>
      <w:proofErr w:type="gramEnd"/>
      <w:r>
        <w:t xml:space="preserve"> might be better. 1930s definitely (consider Orwell and Auden)</w:t>
      </w:r>
    </w:p>
  </w:comment>
  <w:comment w:id="22" w:author="Administrator" w:date="2018-05-22T11:23:00Z" w:initials="A">
    <w:p w14:paraId="5AAC8907" w14:textId="77777777" w:rsidR="00E328DA" w:rsidRDefault="00E328DA">
      <w:pPr>
        <w:pStyle w:val="CommentText"/>
      </w:pPr>
      <w:r>
        <w:rPr>
          <w:rStyle w:val="CommentReference"/>
        </w:rPr>
        <w:annotationRef/>
      </w:r>
      <w:r>
        <w:t>But fantasy presents its vision as a parallel reality – gothic/romantic give us frames that reconnect to the contemporary world of the reader.</w:t>
      </w:r>
    </w:p>
  </w:comment>
  <w:comment w:id="23" w:author="Administrator" w:date="2018-05-22T11:21:00Z" w:initials="A">
    <w:p w14:paraId="2811BB91" w14:textId="77777777" w:rsidR="00E328DA" w:rsidRDefault="00E328DA">
      <w:pPr>
        <w:pStyle w:val="CommentText"/>
      </w:pPr>
      <w:r>
        <w:rPr>
          <w:rStyle w:val="CommentReference"/>
        </w:rPr>
        <w:annotationRef/>
      </w:r>
      <w:r>
        <w:t>References and/or examples.</w:t>
      </w:r>
    </w:p>
  </w:comment>
  <w:comment w:id="24" w:author="Administrator" w:date="2018-05-22T11:24:00Z" w:initials="A">
    <w:p w14:paraId="4B558457" w14:textId="77777777" w:rsidR="00E328DA" w:rsidRDefault="00E328DA">
      <w:pPr>
        <w:pStyle w:val="CommentText"/>
      </w:pPr>
      <w:r>
        <w:rPr>
          <w:rStyle w:val="CommentReference"/>
        </w:rPr>
        <w:annotationRef/>
      </w:r>
      <w:r>
        <w:t>But this IS a frame…. This paragraph is a bit confused</w:t>
      </w:r>
    </w:p>
  </w:comment>
  <w:comment w:id="25" w:author="Administrator" w:date="2018-05-22T11:24:00Z" w:initials="A">
    <w:p w14:paraId="2AC2CF34" w14:textId="77777777" w:rsidR="00E328DA" w:rsidRDefault="00E328DA">
      <w:pPr>
        <w:pStyle w:val="CommentText"/>
      </w:pPr>
      <w:r>
        <w:rPr>
          <w:rStyle w:val="CommentReference"/>
        </w:rPr>
        <w:annotationRef/>
      </w:r>
      <w:r>
        <w:t>Yes</w:t>
      </w:r>
      <w:proofErr w:type="gramStart"/>
      <w:r>
        <w:t>..</w:t>
      </w:r>
      <w:proofErr w:type="gramEnd"/>
    </w:p>
  </w:comment>
  <w:comment w:id="26" w:author="Administrator" w:date="2018-05-22T11:27:00Z" w:initials="A">
    <w:p w14:paraId="0E93D051" w14:textId="77777777" w:rsidR="00640E8B" w:rsidRDefault="00640E8B">
      <w:pPr>
        <w:pStyle w:val="CommentText"/>
      </w:pPr>
      <w:r>
        <w:rPr>
          <w:rStyle w:val="CommentReference"/>
        </w:rPr>
        <w:annotationRef/>
      </w:r>
      <w:r>
        <w:t>Not sure this should be here…point may be fine but it feels like an insertion</w:t>
      </w:r>
      <w:r w:rsidR="004F3164">
        <w:t xml:space="preserve"> Perhaps it belongs later – since you have started with the postmodern texts</w:t>
      </w:r>
    </w:p>
  </w:comment>
  <w:comment w:id="27" w:author="Administrator" w:date="2018-05-22T11:39:00Z" w:initials="A">
    <w:p w14:paraId="57AB5F68" w14:textId="77777777" w:rsidR="00640E8B" w:rsidRDefault="00640E8B">
      <w:pPr>
        <w:pStyle w:val="CommentText"/>
      </w:pPr>
      <w:r>
        <w:rPr>
          <w:rStyle w:val="CommentReference"/>
        </w:rPr>
        <w:annotationRef/>
      </w:r>
      <w:r>
        <w:t xml:space="preserve">Of course but the fact of interpretation is clear. The names and actions reveal an enduring sexism but also the (unspoken) fate of the </w:t>
      </w:r>
      <w:r w:rsidR="00C015DF">
        <w:t>Gilead regime so the unstable narration of the past throws that of the present into question</w:t>
      </w:r>
    </w:p>
  </w:comment>
  <w:comment w:id="28" w:author="Administrator" w:date="2018-05-22T11:43:00Z" w:initials="A">
    <w:p w14:paraId="64780A85" w14:textId="77777777" w:rsidR="00C015DF" w:rsidRDefault="00C015DF">
      <w:pPr>
        <w:pStyle w:val="CommentText"/>
      </w:pPr>
      <w:r>
        <w:rPr>
          <w:rStyle w:val="CommentReference"/>
        </w:rPr>
        <w:annotationRef/>
      </w:r>
      <w:r>
        <w:t xml:space="preserve">This is bound into the kind of narrative however. Forbidden a voice the </w:t>
      </w:r>
      <w:r w:rsidR="004F3164">
        <w:t xml:space="preserve">very </w:t>
      </w:r>
      <w:r w:rsidRPr="004F3164">
        <w:rPr>
          <w:i/>
        </w:rPr>
        <w:t>fact</w:t>
      </w:r>
      <w:r>
        <w:t xml:space="preserve"> that she is using one becomes </w:t>
      </w:r>
      <w:r w:rsidR="004F3164">
        <w:t xml:space="preserve">noteworthy and subject to interpretation </w:t>
      </w:r>
      <w:r>
        <w:t xml:space="preserve">rather than </w:t>
      </w:r>
      <w:r w:rsidR="004F3164">
        <w:t xml:space="preserve">a </w:t>
      </w:r>
      <w:r>
        <w:t xml:space="preserve">transparent </w:t>
      </w:r>
      <w:r w:rsidR="004F3164">
        <w:t>medium for expression</w:t>
      </w:r>
      <w:r>
        <w:t xml:space="preserve">  </w:t>
      </w:r>
    </w:p>
  </w:comment>
  <w:comment w:id="29" w:author="Administrator" w:date="2018-05-22T11:44:00Z" w:initials="A">
    <w:p w14:paraId="6C38862D" w14:textId="77777777" w:rsidR="00C015DF" w:rsidRDefault="00C015DF">
      <w:pPr>
        <w:pStyle w:val="CommentText"/>
      </w:pPr>
      <w:r>
        <w:rPr>
          <w:rStyle w:val="CommentReference"/>
        </w:rPr>
        <w:annotationRef/>
      </w:r>
      <w:r>
        <w:t xml:space="preserve">Where is the reader in this? We are not entirely </w:t>
      </w:r>
      <w:r w:rsidR="004F3164">
        <w:t>reliant</w:t>
      </w:r>
      <w:r>
        <w:t xml:space="preserve"> on her memories</w:t>
      </w:r>
      <w:r w:rsidR="004F3164">
        <w:t xml:space="preserve"> or we can interpret them (especially those of her mother campaigning about pornography and violence) quite differently </w:t>
      </w:r>
    </w:p>
  </w:comment>
  <w:comment w:id="30" w:author="Jeni Williams" w:date="2018-05-24T22:39:00Z" w:initials="JW">
    <w:p w14:paraId="4F8061D6" w14:textId="77777777" w:rsidR="00CA1B43" w:rsidRDefault="00CA1B43">
      <w:pPr>
        <w:pStyle w:val="CommentText"/>
      </w:pPr>
      <w:r>
        <w:rPr>
          <w:rStyle w:val="CommentReference"/>
        </w:rPr>
        <w:annotationRef/>
      </w:r>
      <w:proofErr w:type="gramStart"/>
      <w:r>
        <w:t>maybe</w:t>
      </w:r>
      <w:proofErr w:type="gramEnd"/>
      <w:r>
        <w:t xml:space="preserve"> this is where the earlier paragraph should be? (</w:t>
      </w:r>
      <w:proofErr w:type="gramStart"/>
      <w:r>
        <w:t>or</w:t>
      </w:r>
      <w:proofErr w:type="gramEnd"/>
      <w:r>
        <w:t xml:space="preserve"> was originally??)</w:t>
      </w:r>
    </w:p>
  </w:comment>
  <w:comment w:id="31" w:author="Administrator" w:date="2018-05-22T11:47:00Z" w:initials="A">
    <w:p w14:paraId="0B362164" w14:textId="77777777" w:rsidR="00C015DF" w:rsidRDefault="00C015DF">
      <w:pPr>
        <w:pStyle w:val="CommentText"/>
      </w:pPr>
      <w:r>
        <w:rPr>
          <w:rStyle w:val="CommentReference"/>
        </w:rPr>
        <w:annotationRef/>
      </w:r>
      <w:proofErr w:type="gramStart"/>
      <w:r>
        <w:t>unclear</w:t>
      </w:r>
      <w:proofErr w:type="gramEnd"/>
    </w:p>
  </w:comment>
  <w:comment w:id="32" w:author="Administrator" w:date="2018-05-22T11:47:00Z" w:initials="A">
    <w:p w14:paraId="36ABBA38" w14:textId="77777777" w:rsidR="00C015DF" w:rsidRDefault="00C015DF">
      <w:pPr>
        <w:pStyle w:val="CommentText"/>
      </w:pPr>
      <w:r>
        <w:rPr>
          <w:rStyle w:val="CommentReference"/>
        </w:rPr>
        <w:annotationRef/>
      </w:r>
      <w:proofErr w:type="gramStart"/>
      <w:r w:rsidR="00CA1B43">
        <w:t>ok</w:t>
      </w:r>
      <w:proofErr w:type="gramEnd"/>
      <w:r w:rsidR="00CA1B43">
        <w:t xml:space="preserve"> -</w:t>
      </w:r>
      <w:r>
        <w:t xml:space="preserve"> but it would help to differentiate some of these and then enumerate examples</w:t>
      </w:r>
    </w:p>
  </w:comment>
  <w:comment w:id="33" w:author="Administrator" w:date="2018-05-22T11:51:00Z" w:initials="A">
    <w:p w14:paraId="7513B55B" w14:textId="77777777" w:rsidR="001E553E" w:rsidRDefault="001E553E">
      <w:pPr>
        <w:pStyle w:val="CommentText"/>
      </w:pPr>
      <w:r>
        <w:rPr>
          <w:rStyle w:val="CommentReference"/>
        </w:rPr>
        <w:annotationRef/>
      </w:r>
      <w:proofErr w:type="gramStart"/>
      <w:r>
        <w:t>all</w:t>
      </w:r>
      <w:proofErr w:type="gramEnd"/>
      <w:r>
        <w:t xml:space="preserve"> good points but you need to address this issue – perhaps first - demonstrating ideas of disjunction and continuity and qualifying terms. </w:t>
      </w:r>
    </w:p>
  </w:comment>
  <w:comment w:id="34" w:author="Jeni Williams" w:date="2018-05-24T22:28:00Z" w:initials="JW">
    <w:p w14:paraId="10215B0C" w14:textId="77777777" w:rsidR="001A6347" w:rsidRDefault="001A6347">
      <w:pPr>
        <w:pStyle w:val="CommentText"/>
      </w:pPr>
      <w:r>
        <w:rPr>
          <w:rStyle w:val="CommentReference"/>
        </w:rPr>
        <w:annotationRef/>
      </w:r>
      <w:proofErr w:type="gramStart"/>
      <w:r w:rsidR="004F3164">
        <w:t>ok</w:t>
      </w:r>
      <w:proofErr w:type="gramEnd"/>
      <w:r w:rsidR="004F3164">
        <w:t xml:space="preserve"> </w:t>
      </w:r>
      <w:r w:rsidR="00CA1B43">
        <w:t xml:space="preserve">paragraph is a </w:t>
      </w:r>
      <w:r w:rsidR="004F3164">
        <w:t>good summary – however does</w:t>
      </w:r>
      <w:r w:rsidR="00CA1B43">
        <w:t>n’t</w:t>
      </w:r>
      <w:r w:rsidR="004F3164">
        <w:t xml:space="preserve"> the distinction between the modern and postmodern work</w:t>
      </w:r>
      <w:r w:rsidR="00CA1B43">
        <w:t xml:space="preserve"> </w:t>
      </w:r>
      <w:r w:rsidR="004F3164">
        <w:t xml:space="preserve">lie in the way </w:t>
      </w:r>
      <w:r w:rsidR="00CA1B43">
        <w:t>that each</w:t>
      </w:r>
      <w:r w:rsidR="004F3164">
        <w:t xml:space="preserve"> engages with its reader rather than in </w:t>
      </w:r>
      <w:r w:rsidR="00CA1B43">
        <w:t>a</w:t>
      </w:r>
      <w:r w:rsidR="004F3164">
        <w:t xml:space="preserve"> fragmentary, allusive structure?</w:t>
      </w:r>
    </w:p>
  </w:comment>
  <w:comment w:id="35" w:author="Jeni Williams" w:date="2018-05-24T22:31:00Z" w:initials="JW">
    <w:p w14:paraId="6AAE9FEB" w14:textId="77777777" w:rsidR="004F3164" w:rsidRDefault="004F3164">
      <w:pPr>
        <w:pStyle w:val="CommentText"/>
      </w:pPr>
      <w:r>
        <w:rPr>
          <w:rStyle w:val="CommentReference"/>
        </w:rPr>
        <w:annotationRef/>
      </w:r>
      <w:proofErr w:type="gramStart"/>
      <w:r>
        <w:t>excellent</w:t>
      </w:r>
      <w:proofErr w:type="gramEnd"/>
      <w:r w:rsidR="00CA1B43">
        <w:t xml:space="preserve"> – brings back to your starting point.</w:t>
      </w:r>
    </w:p>
  </w:comment>
  <w:comment w:id="36" w:author="Jeni Williams" w:date="2018-05-24T22:43:00Z" w:initials="JW">
    <w:p w14:paraId="4839DBED" w14:textId="77777777" w:rsidR="00CA1B43" w:rsidRDefault="00CA1B43">
      <w:pPr>
        <w:pStyle w:val="CommentText"/>
      </w:pPr>
      <w:r>
        <w:rPr>
          <w:rStyle w:val="CommentReference"/>
        </w:rPr>
        <w:annotationRef/>
      </w:r>
      <w:proofErr w:type="gramStart"/>
      <w:r>
        <w:t>perhaps</w:t>
      </w:r>
      <w:proofErr w:type="gramEnd"/>
      <w:r>
        <w:t xml:space="preserve"> </w:t>
      </w:r>
      <w:r w:rsidRPr="00CA1B43">
        <w:rPr>
          <w:i/>
        </w:rPr>
        <w:t>is clearly</w:t>
      </w:r>
      <w:r>
        <w:t>?</w:t>
      </w:r>
    </w:p>
  </w:comment>
  <w:comment w:id="37" w:author="Jeni Williams" w:date="2018-05-24T22:44:00Z" w:initials="JW">
    <w:p w14:paraId="6EB6FFF7" w14:textId="77777777" w:rsidR="00CA1B43" w:rsidRDefault="00CA1B43">
      <w:pPr>
        <w:pStyle w:val="CommentText"/>
      </w:pPr>
      <w:r>
        <w:rPr>
          <w:rStyle w:val="CommentReference"/>
        </w:rPr>
        <w:annotationRef/>
      </w:r>
      <w:proofErr w:type="gramStart"/>
      <w:r>
        <w:t>italics</w:t>
      </w:r>
      <w:proofErr w:type="gramEnd"/>
      <w:r>
        <w:t xml:space="preserve"> for title</w:t>
      </w:r>
    </w:p>
  </w:comment>
  <w:comment w:id="38" w:author="Jeni Williams" w:date="2018-05-24T22:44:00Z" w:initials="JW">
    <w:p w14:paraId="7D86A402" w14:textId="77777777" w:rsidR="00CA1B43" w:rsidRDefault="00CA1B43">
      <w:pPr>
        <w:pStyle w:val="CommentText"/>
      </w:pPr>
      <w:r>
        <w:rPr>
          <w:rStyle w:val="CommentReference"/>
        </w:rPr>
        <w:annotationRef/>
      </w:r>
      <w:proofErr w:type="gramStart"/>
      <w:r>
        <w:t>italics</w:t>
      </w:r>
      <w:proofErr w:type="gramEnd"/>
      <w:r>
        <w:t xml:space="preserve"> for title</w:t>
      </w:r>
    </w:p>
  </w:comment>
  <w:comment w:id="39" w:author="Jeni Williams" w:date="2018-05-24T22:45:00Z" w:initials="JW">
    <w:p w14:paraId="314ED58A" w14:textId="77777777" w:rsidR="00CA1B43" w:rsidRDefault="00CA1B43">
      <w:pPr>
        <w:pStyle w:val="CommentText"/>
      </w:pPr>
      <w:r>
        <w:rPr>
          <w:rStyle w:val="CommentReference"/>
        </w:rPr>
        <w:annotationRef/>
      </w:r>
      <w:r w:rsidRPr="00CA1B43">
        <w:rPr>
          <w:i/>
        </w:rPr>
        <w:t>The</w:t>
      </w:r>
      <w:r>
        <w:t xml:space="preserve"> …. </w:t>
      </w:r>
      <w:proofErr w:type="gramStart"/>
      <w:r>
        <w:t>italics</w:t>
      </w:r>
      <w:proofErr w:type="gramEnd"/>
      <w:r>
        <w:t xml:space="preserve"> for title</w:t>
      </w:r>
    </w:p>
  </w:comment>
  <w:comment w:id="40" w:author="Jeni Williams" w:date="2018-05-24T22:46:00Z" w:initials="JW">
    <w:p w14:paraId="3862EFDE" w14:textId="77777777" w:rsidR="00CA1B43" w:rsidRDefault="00CA1B43">
      <w:pPr>
        <w:pStyle w:val="CommentText"/>
      </w:pPr>
      <w:r>
        <w:rPr>
          <w:rStyle w:val="CommentReference"/>
        </w:rPr>
        <w:annotationRef/>
      </w:r>
      <w:proofErr w:type="gramStart"/>
      <w:r>
        <w:t>italics</w:t>
      </w:r>
      <w:proofErr w:type="gramEnd"/>
      <w:r>
        <w:t xml:space="preserve"> for title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01411C8" w15:done="0"/>
  <w15:commentEx w15:paraId="3CFAE5D5" w15:done="0"/>
  <w15:commentEx w15:paraId="004FF91B" w15:done="0"/>
  <w15:commentEx w15:paraId="17143F00" w15:done="0"/>
  <w15:commentEx w15:paraId="7EC1B3B2" w15:done="0"/>
  <w15:commentEx w15:paraId="6817B3EC" w15:done="0"/>
  <w15:commentEx w15:paraId="705E4550" w15:done="0"/>
  <w15:commentEx w15:paraId="6B96136F" w15:done="0"/>
  <w15:commentEx w15:paraId="77746F73" w15:done="0"/>
  <w15:commentEx w15:paraId="48E47ECC" w15:done="0"/>
  <w15:commentEx w15:paraId="57B6A66F" w15:done="0"/>
  <w15:commentEx w15:paraId="151BDC9A" w15:done="0"/>
  <w15:commentEx w15:paraId="68EAAA94" w15:done="0"/>
  <w15:commentEx w15:paraId="0D9ED72C" w15:done="0"/>
  <w15:commentEx w15:paraId="21B15993" w15:done="0"/>
  <w15:commentEx w15:paraId="2BC624C9" w15:done="0"/>
  <w15:commentEx w15:paraId="6B7DF853" w15:done="0"/>
  <w15:commentEx w15:paraId="5AAC8907" w15:done="0"/>
  <w15:commentEx w15:paraId="2811BB91" w15:done="0"/>
  <w15:commentEx w15:paraId="4B558457" w15:done="0"/>
  <w15:commentEx w15:paraId="2AC2CF34" w15:done="0"/>
  <w15:commentEx w15:paraId="0E93D051" w15:done="0"/>
  <w15:commentEx w15:paraId="57AB5F68" w15:done="0"/>
  <w15:commentEx w15:paraId="64780A85" w15:done="0"/>
  <w15:commentEx w15:paraId="6C38862D" w15:done="0"/>
  <w15:commentEx w15:paraId="4F8061D6" w15:done="0"/>
  <w15:commentEx w15:paraId="0B362164" w15:done="0"/>
  <w15:commentEx w15:paraId="36ABBA38" w15:done="0"/>
  <w15:commentEx w15:paraId="7513B55B" w15:done="0"/>
  <w15:commentEx w15:paraId="10215B0C" w15:done="0"/>
  <w15:commentEx w15:paraId="6AAE9FEB" w15:done="0"/>
  <w15:commentEx w15:paraId="4839DBED" w15:done="0"/>
  <w15:commentEx w15:paraId="6EB6FFF7" w15:done="0"/>
  <w15:commentEx w15:paraId="7D86A402" w15:done="0"/>
  <w15:commentEx w15:paraId="314ED58A" w15:done="0"/>
  <w15:commentEx w15:paraId="3862EFD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1411C8" w16cid:durableId="1EB1535B"/>
  <w16cid:commentId w16cid:paraId="3CFAE5D5" w16cid:durableId="1EB1535C"/>
  <w16cid:commentId w16cid:paraId="004FF91B" w16cid:durableId="1EB1535D"/>
  <w16cid:commentId w16cid:paraId="17143F00" w16cid:durableId="1EB1535E"/>
  <w16cid:commentId w16cid:paraId="7EC1B3B2" w16cid:durableId="1EB1535F"/>
  <w16cid:commentId w16cid:paraId="6817B3EC" w16cid:durableId="1EB15360"/>
  <w16cid:commentId w16cid:paraId="705E4550" w16cid:durableId="1EB15361"/>
  <w16cid:commentId w16cid:paraId="6B96136F" w16cid:durableId="1EB15362"/>
  <w16cid:commentId w16cid:paraId="77746F73" w16cid:durableId="1EB15363"/>
  <w16cid:commentId w16cid:paraId="48E47ECC" w16cid:durableId="1EB15364"/>
  <w16cid:commentId w16cid:paraId="57B6A66F" w16cid:durableId="1EB15365"/>
  <w16cid:commentId w16cid:paraId="151BDC9A" w16cid:durableId="1EB15366"/>
  <w16cid:commentId w16cid:paraId="68EAAA94" w16cid:durableId="1EB15367"/>
  <w16cid:commentId w16cid:paraId="0D9ED72C" w16cid:durableId="1EB15368"/>
  <w16cid:commentId w16cid:paraId="21B15993" w16cid:durableId="1EB15369"/>
  <w16cid:commentId w16cid:paraId="2BC624C9" w16cid:durableId="1EB1536A"/>
  <w16cid:commentId w16cid:paraId="6B7DF853" w16cid:durableId="1EB1536B"/>
  <w16cid:commentId w16cid:paraId="5AAC8907" w16cid:durableId="1EB1536C"/>
  <w16cid:commentId w16cid:paraId="2811BB91" w16cid:durableId="1EB1536D"/>
  <w16cid:commentId w16cid:paraId="4B558457" w16cid:durableId="1EB1536E"/>
  <w16cid:commentId w16cid:paraId="2AC2CF34" w16cid:durableId="1EB1536F"/>
  <w16cid:commentId w16cid:paraId="0E93D051" w16cid:durableId="1EB15370"/>
  <w16cid:commentId w16cid:paraId="57AB5F68" w16cid:durableId="1EB15371"/>
  <w16cid:commentId w16cid:paraId="64780A85" w16cid:durableId="1EB15372"/>
  <w16cid:commentId w16cid:paraId="6C38862D" w16cid:durableId="1EB15373"/>
  <w16cid:commentId w16cid:paraId="4F8061D6" w16cid:durableId="1EB1BD9C"/>
  <w16cid:commentId w16cid:paraId="0B362164" w16cid:durableId="1EB15374"/>
  <w16cid:commentId w16cid:paraId="36ABBA38" w16cid:durableId="1EB15375"/>
  <w16cid:commentId w16cid:paraId="7513B55B" w16cid:durableId="1EB15376"/>
  <w16cid:commentId w16cid:paraId="10215B0C" w16cid:durableId="1EB1BB11"/>
  <w16cid:commentId w16cid:paraId="6AAE9FEB" w16cid:durableId="1EB1BBDB"/>
  <w16cid:commentId w16cid:paraId="4839DBED" w16cid:durableId="1EB1BE7C"/>
  <w16cid:commentId w16cid:paraId="6EB6FFF7" w16cid:durableId="1EB1BED9"/>
  <w16cid:commentId w16cid:paraId="7D86A402" w16cid:durableId="1EB1BEC8"/>
  <w16cid:commentId w16cid:paraId="314ED58A" w16cid:durableId="1EB1BF06"/>
  <w16cid:commentId w16cid:paraId="3862EFDE" w16cid:durableId="1EB1BF2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8FF308" w14:textId="77777777" w:rsidR="00692F4A" w:rsidRDefault="00692F4A" w:rsidP="001549D0">
      <w:r>
        <w:separator/>
      </w:r>
    </w:p>
  </w:endnote>
  <w:endnote w:type="continuationSeparator" w:id="0">
    <w:p w14:paraId="498EBD79" w14:textId="77777777" w:rsidR="00692F4A" w:rsidRDefault="00692F4A" w:rsidP="00154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81366973"/>
      <w:docPartObj>
        <w:docPartGallery w:val="Page Numbers (Bottom of Page)"/>
        <w:docPartUnique/>
      </w:docPartObj>
    </w:sdtPr>
    <w:sdtEndPr>
      <w:rPr>
        <w:rStyle w:val="PageNumber"/>
      </w:rPr>
    </w:sdtEndPr>
    <w:sdtContent>
      <w:p w14:paraId="4D8261E6" w14:textId="77777777" w:rsidR="004E7C70" w:rsidRDefault="004E7C70" w:rsidP="002D38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F28375" w14:textId="77777777" w:rsidR="004E7C70" w:rsidRDefault="004E7C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700200857"/>
      <w:docPartObj>
        <w:docPartGallery w:val="Page Numbers (Bottom of Page)"/>
        <w:docPartUnique/>
      </w:docPartObj>
    </w:sdtPr>
    <w:sdtEndPr>
      <w:rPr>
        <w:rStyle w:val="PageNumber"/>
      </w:rPr>
    </w:sdtEndPr>
    <w:sdtContent>
      <w:p w14:paraId="3E998723" w14:textId="77777777" w:rsidR="004E7C70" w:rsidRDefault="004E7C70" w:rsidP="002D38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A18E4">
          <w:rPr>
            <w:rStyle w:val="PageNumber"/>
            <w:noProof/>
          </w:rPr>
          <w:t>3</w:t>
        </w:r>
        <w:r>
          <w:rPr>
            <w:rStyle w:val="PageNumber"/>
          </w:rPr>
          <w:fldChar w:fldCharType="end"/>
        </w:r>
      </w:p>
    </w:sdtContent>
  </w:sdt>
  <w:p w14:paraId="22E22E0C" w14:textId="77777777" w:rsidR="004E7C70" w:rsidRDefault="004E7C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AB7B70" w14:textId="77777777" w:rsidR="00692F4A" w:rsidRDefault="00692F4A" w:rsidP="001549D0">
      <w:r>
        <w:separator/>
      </w:r>
    </w:p>
  </w:footnote>
  <w:footnote w:type="continuationSeparator" w:id="0">
    <w:p w14:paraId="244021B8" w14:textId="77777777" w:rsidR="00692F4A" w:rsidRDefault="00692F4A" w:rsidP="001549D0">
      <w:r>
        <w:continuationSeparator/>
      </w:r>
    </w:p>
  </w:footnote>
  <w:footnote w:id="1">
    <w:p w14:paraId="7424B9C2" w14:textId="77777777" w:rsidR="001549D0" w:rsidRDefault="001549D0">
      <w:pPr>
        <w:pStyle w:val="FootnoteText"/>
      </w:pPr>
      <w:r>
        <w:rPr>
          <w:rStyle w:val="FootnoteReference"/>
        </w:rPr>
        <w:footnoteRef/>
      </w:r>
      <w:r>
        <w:t xml:space="preserve"> </w:t>
      </w:r>
      <w:r>
        <w:rPr>
          <w:rFonts w:ascii="Verdana" w:hAnsi="Verdana" w:cs="Verdana"/>
          <w:sz w:val="18"/>
          <w:szCs w:val="18"/>
        </w:rPr>
        <w:t xml:space="preserve">Edwards, Paul, ‘Time, Romanticism, Modernism and Moderation in Ian McEwan’s </w:t>
      </w:r>
      <w:r w:rsidRPr="00E53C17">
        <w:rPr>
          <w:rFonts w:ascii="Verdana" w:hAnsi="Verdana" w:cs="Verdana"/>
          <w:sz w:val="18"/>
          <w:szCs w:val="18"/>
          <w:u w:val="single"/>
        </w:rPr>
        <w:t>The Child in Time</w:t>
      </w:r>
      <w:r>
        <w:rPr>
          <w:rFonts w:ascii="Verdana" w:hAnsi="Verdana" w:cs="Verdana"/>
          <w:sz w:val="18"/>
          <w:szCs w:val="18"/>
        </w:rPr>
        <w:t xml:space="preserve">’ </w:t>
      </w:r>
      <w:r>
        <w:rPr>
          <w:rFonts w:ascii="Verdana" w:hAnsi="Verdana" w:cs="Verdana"/>
          <w:i/>
          <w:iCs/>
          <w:color w:val="2A2A2A"/>
          <w:sz w:val="18"/>
          <w:szCs w:val="18"/>
        </w:rPr>
        <w:t>English: Journal of the English Association</w:t>
      </w:r>
      <w:r>
        <w:rPr>
          <w:rFonts w:ascii="Verdana" w:hAnsi="Verdana" w:cs="Verdana"/>
          <w:color w:val="2A2A2A"/>
          <w:sz w:val="18"/>
          <w:szCs w:val="18"/>
        </w:rPr>
        <w:t>, 44 (1995), p.41</w:t>
      </w:r>
      <w:r w:rsidR="00E53C17">
        <w:rPr>
          <w:rFonts w:ascii="Verdana" w:hAnsi="Verdana" w:cs="Verdana"/>
          <w:color w:val="2A2A2A"/>
          <w:sz w:val="18"/>
          <w:szCs w:val="18"/>
        </w:rPr>
        <w:t xml:space="preserve">  </w:t>
      </w:r>
      <w:r w:rsidR="00E53C17" w:rsidRPr="00CA1B43">
        <w:rPr>
          <w:rFonts w:ascii="Verdana" w:hAnsi="Verdana" w:cs="Verdana"/>
          <w:color w:val="FFFF00"/>
          <w:sz w:val="18"/>
          <w:szCs w:val="18"/>
        </w:rPr>
        <w:t>ITALICS</w:t>
      </w:r>
    </w:p>
  </w:footnote>
  <w:footnote w:id="2">
    <w:p w14:paraId="3FF73F4A" w14:textId="77777777" w:rsidR="001549D0" w:rsidRDefault="001549D0">
      <w:pPr>
        <w:pStyle w:val="FootnoteText"/>
      </w:pPr>
      <w:r>
        <w:rPr>
          <w:rStyle w:val="FootnoteReference"/>
        </w:rPr>
        <w:footnoteRef/>
      </w:r>
      <w:r>
        <w:t xml:space="preserve"> </w:t>
      </w:r>
      <w:r>
        <w:rPr>
          <w:rFonts w:ascii="Verdana" w:hAnsi="Verdana" w:cs="Verdana"/>
          <w:sz w:val="18"/>
          <w:szCs w:val="18"/>
        </w:rPr>
        <w:t xml:space="preserve">McHale, Brian, </w:t>
      </w:r>
      <w:r>
        <w:rPr>
          <w:rFonts w:ascii="Verdana" w:hAnsi="Verdana" w:cs="Verdana"/>
          <w:i/>
          <w:iCs/>
          <w:sz w:val="18"/>
          <w:szCs w:val="18"/>
        </w:rPr>
        <w:t>The Cambridge Introduction to Postmodernism</w:t>
      </w:r>
      <w:r>
        <w:rPr>
          <w:rFonts w:ascii="Verdana" w:hAnsi="Verdana" w:cs="Verdana"/>
          <w:sz w:val="18"/>
          <w:szCs w:val="18"/>
        </w:rPr>
        <w:t>, (Cambridge, Cambridge University Press, 2015), p. 176</w:t>
      </w:r>
    </w:p>
  </w:footnote>
  <w:footnote w:id="3">
    <w:p w14:paraId="0B43BE72" w14:textId="77777777" w:rsidR="001549D0" w:rsidRDefault="001549D0">
      <w:pPr>
        <w:pStyle w:val="FootnoteText"/>
      </w:pPr>
      <w:r>
        <w:rPr>
          <w:rStyle w:val="FootnoteReference"/>
        </w:rPr>
        <w:footnoteRef/>
      </w:r>
      <w:r>
        <w:t xml:space="preserve"> </w:t>
      </w:r>
      <w:r>
        <w:rPr>
          <w:rFonts w:ascii="Verdana" w:hAnsi="Verdana" w:cs="Verdana"/>
          <w:sz w:val="18"/>
          <w:szCs w:val="18"/>
        </w:rPr>
        <w:t xml:space="preserve">Lewis, Pericles, </w:t>
      </w:r>
      <w:r>
        <w:rPr>
          <w:rFonts w:ascii="Verdana" w:hAnsi="Verdana" w:cs="Verdana"/>
          <w:i/>
          <w:iCs/>
          <w:sz w:val="18"/>
          <w:szCs w:val="18"/>
        </w:rPr>
        <w:t>The Cambridge Introduction to Modernism</w:t>
      </w:r>
      <w:r>
        <w:rPr>
          <w:rFonts w:ascii="Verdana" w:hAnsi="Verdana" w:cs="Verdana"/>
          <w:sz w:val="18"/>
          <w:szCs w:val="18"/>
        </w:rPr>
        <w:t xml:space="preserve"> (Cambridge: Cambridge University Press, 2007), p. 245</w:t>
      </w:r>
    </w:p>
  </w:footnote>
  <w:footnote w:id="4">
    <w:p w14:paraId="40EDD69C" w14:textId="77777777" w:rsidR="001549D0" w:rsidRDefault="001549D0">
      <w:pPr>
        <w:pStyle w:val="FootnoteText"/>
      </w:pPr>
      <w:r>
        <w:rPr>
          <w:rStyle w:val="FootnoteReference"/>
        </w:rPr>
        <w:footnoteRef/>
      </w:r>
      <w:r>
        <w:t xml:space="preserve"> </w:t>
      </w:r>
      <w:r>
        <w:rPr>
          <w:rFonts w:ascii="Verdana" w:hAnsi="Verdana" w:cs="Verdana"/>
          <w:sz w:val="18"/>
          <w:szCs w:val="18"/>
        </w:rPr>
        <w:t xml:space="preserve">McEwan, Ian, </w:t>
      </w:r>
      <w:r>
        <w:rPr>
          <w:rFonts w:ascii="Verdana" w:hAnsi="Verdana" w:cs="Verdana"/>
          <w:i/>
          <w:iCs/>
          <w:sz w:val="18"/>
          <w:szCs w:val="18"/>
        </w:rPr>
        <w:t>The Child in Time</w:t>
      </w:r>
      <w:r>
        <w:rPr>
          <w:rFonts w:ascii="Verdana" w:hAnsi="Verdana" w:cs="Verdana"/>
          <w:sz w:val="18"/>
          <w:szCs w:val="18"/>
        </w:rPr>
        <w:t xml:space="preserve"> (London: Vintage, 1997), p. 201</w:t>
      </w:r>
    </w:p>
  </w:footnote>
  <w:footnote w:id="5">
    <w:p w14:paraId="7F4EE52D" w14:textId="77777777" w:rsidR="001549D0" w:rsidRDefault="001549D0">
      <w:pPr>
        <w:pStyle w:val="FootnoteText"/>
      </w:pPr>
      <w:r>
        <w:rPr>
          <w:rStyle w:val="FootnoteReference"/>
        </w:rPr>
        <w:footnoteRef/>
      </w:r>
      <w:r>
        <w:t xml:space="preserve"> Ibid. p. 33</w:t>
      </w:r>
    </w:p>
  </w:footnote>
  <w:footnote w:id="6">
    <w:p w14:paraId="10BAECA2" w14:textId="77777777" w:rsidR="001549D0" w:rsidRDefault="001549D0">
      <w:pPr>
        <w:pStyle w:val="FootnoteText"/>
      </w:pPr>
      <w:r>
        <w:rPr>
          <w:rStyle w:val="FootnoteReference"/>
        </w:rPr>
        <w:footnoteRef/>
      </w:r>
      <w:r>
        <w:t xml:space="preserve"> </w:t>
      </w:r>
      <w:r>
        <w:rPr>
          <w:rFonts w:ascii="Verdana" w:hAnsi="Verdana" w:cs="Verdana"/>
          <w:sz w:val="18"/>
          <w:szCs w:val="18"/>
        </w:rPr>
        <w:t xml:space="preserve">Edwards, Paul, ‘Time, Romanticism, Modernism and Moderation in Ian McEwan’s </w:t>
      </w:r>
      <w:r w:rsidRPr="00E53C17">
        <w:rPr>
          <w:rFonts w:ascii="Verdana" w:hAnsi="Verdana" w:cs="Verdana"/>
          <w:sz w:val="18"/>
          <w:szCs w:val="18"/>
          <w:u w:val="single"/>
        </w:rPr>
        <w:t>The Child in Time</w:t>
      </w:r>
      <w:r>
        <w:rPr>
          <w:rFonts w:ascii="Verdana" w:hAnsi="Verdana" w:cs="Verdana"/>
          <w:sz w:val="18"/>
          <w:szCs w:val="18"/>
        </w:rPr>
        <w:t xml:space="preserve">’ </w:t>
      </w:r>
      <w:r>
        <w:rPr>
          <w:rFonts w:ascii="Verdana" w:hAnsi="Verdana" w:cs="Verdana"/>
          <w:i/>
          <w:iCs/>
          <w:color w:val="2A2A2A"/>
          <w:sz w:val="18"/>
          <w:szCs w:val="18"/>
        </w:rPr>
        <w:t>English: Journal of the English Association</w:t>
      </w:r>
      <w:r>
        <w:rPr>
          <w:rFonts w:ascii="Verdana" w:hAnsi="Verdana" w:cs="Verdana"/>
          <w:color w:val="2A2A2A"/>
          <w:sz w:val="18"/>
          <w:szCs w:val="18"/>
        </w:rPr>
        <w:t>, 44 (1995), p.49</w:t>
      </w:r>
      <w:r w:rsidR="00E53C17">
        <w:rPr>
          <w:rFonts w:ascii="Verdana" w:hAnsi="Verdana" w:cs="Verdana"/>
          <w:color w:val="2A2A2A"/>
          <w:sz w:val="18"/>
          <w:szCs w:val="18"/>
        </w:rPr>
        <w:t xml:space="preserve"> </w:t>
      </w:r>
      <w:r w:rsidR="00E53C17" w:rsidRPr="00CA1B43">
        <w:rPr>
          <w:rFonts w:ascii="Verdana" w:hAnsi="Verdana" w:cs="Verdana"/>
          <w:color w:val="FFFF00"/>
          <w:sz w:val="18"/>
          <w:szCs w:val="18"/>
        </w:rPr>
        <w:t>ITALICS</w:t>
      </w:r>
    </w:p>
  </w:footnote>
  <w:footnote w:id="7">
    <w:p w14:paraId="6E14AAF0" w14:textId="77777777" w:rsidR="001549D0" w:rsidRDefault="001549D0">
      <w:pPr>
        <w:pStyle w:val="FootnoteText"/>
      </w:pPr>
      <w:r>
        <w:rPr>
          <w:rStyle w:val="FootnoteReference"/>
        </w:rPr>
        <w:footnoteRef/>
      </w:r>
      <w:r>
        <w:t xml:space="preserve"> </w:t>
      </w:r>
      <w:r>
        <w:rPr>
          <w:rFonts w:ascii="Verdana" w:hAnsi="Verdana" w:cs="Verdana"/>
          <w:sz w:val="18"/>
          <w:szCs w:val="18"/>
        </w:rPr>
        <w:t xml:space="preserve">McEwan, Ian, </w:t>
      </w:r>
      <w:r>
        <w:rPr>
          <w:rFonts w:ascii="Verdana" w:hAnsi="Verdana" w:cs="Verdana"/>
          <w:i/>
          <w:iCs/>
          <w:sz w:val="18"/>
          <w:szCs w:val="18"/>
        </w:rPr>
        <w:t>The Child in Time</w:t>
      </w:r>
      <w:r>
        <w:rPr>
          <w:rFonts w:ascii="Verdana" w:hAnsi="Verdana" w:cs="Verdana"/>
          <w:sz w:val="18"/>
          <w:szCs w:val="18"/>
        </w:rPr>
        <w:t xml:space="preserve"> (London: Vintage, 1997), p. 50</w:t>
      </w:r>
    </w:p>
  </w:footnote>
  <w:footnote w:id="8">
    <w:p w14:paraId="29EE99D9" w14:textId="77777777" w:rsidR="009C26E8" w:rsidRDefault="009C26E8">
      <w:pPr>
        <w:pStyle w:val="FootnoteText"/>
      </w:pPr>
      <w:r>
        <w:rPr>
          <w:rStyle w:val="FootnoteReference"/>
        </w:rPr>
        <w:footnoteRef/>
      </w:r>
      <w:r>
        <w:t xml:space="preserve"> </w:t>
      </w:r>
      <w:r w:rsidR="00E2265E">
        <w:rPr>
          <w:rFonts w:ascii="Verdana" w:hAnsi="Verdana" w:cs="Verdana"/>
          <w:sz w:val="18"/>
          <w:szCs w:val="18"/>
        </w:rPr>
        <w:t xml:space="preserve">Atwood, Margaret, </w:t>
      </w:r>
      <w:r w:rsidR="00E2265E">
        <w:rPr>
          <w:rFonts w:ascii="Verdana" w:hAnsi="Verdana" w:cs="Verdana"/>
          <w:i/>
          <w:iCs/>
          <w:sz w:val="18"/>
          <w:szCs w:val="18"/>
        </w:rPr>
        <w:t>The Handmaid’s Tale</w:t>
      </w:r>
      <w:r w:rsidR="00E2265E">
        <w:rPr>
          <w:rFonts w:ascii="Verdana" w:hAnsi="Verdana" w:cs="Verdana"/>
          <w:sz w:val="18"/>
          <w:szCs w:val="18"/>
        </w:rPr>
        <w:t>, (London: Vintage, 2017), p. 314</w:t>
      </w:r>
    </w:p>
  </w:footnote>
  <w:footnote w:id="9">
    <w:p w14:paraId="4190D999" w14:textId="77777777" w:rsidR="00E2265E" w:rsidRDefault="00E2265E">
      <w:pPr>
        <w:pStyle w:val="FootnoteText"/>
      </w:pPr>
      <w:r>
        <w:rPr>
          <w:rStyle w:val="FootnoteReference"/>
        </w:rPr>
        <w:footnoteRef/>
      </w:r>
      <w:r>
        <w:t xml:space="preserve"> </w:t>
      </w:r>
      <w:r>
        <w:rPr>
          <w:rFonts w:ascii="Verdana" w:hAnsi="Verdana" w:cs="Verdana"/>
          <w:sz w:val="18"/>
          <w:szCs w:val="18"/>
        </w:rPr>
        <w:t xml:space="preserve">Westerman, Molly, '"of Skulls Or Spirits": The Haunting Space between Fictional(Ized) History and Historical Note', </w:t>
      </w:r>
      <w:r>
        <w:rPr>
          <w:rFonts w:ascii="Verdana" w:hAnsi="Verdana" w:cs="Verdana"/>
          <w:i/>
          <w:iCs/>
          <w:sz w:val="18"/>
          <w:szCs w:val="18"/>
        </w:rPr>
        <w:t xml:space="preserve">Clio, </w:t>
      </w:r>
      <w:r>
        <w:rPr>
          <w:rFonts w:ascii="Verdana" w:hAnsi="Verdana" w:cs="Verdana"/>
          <w:sz w:val="18"/>
          <w:szCs w:val="18"/>
        </w:rPr>
        <w:t>35 (2006), p. 371</w:t>
      </w:r>
    </w:p>
  </w:footnote>
  <w:footnote w:id="10">
    <w:p w14:paraId="6CF88C29" w14:textId="77777777" w:rsidR="00E2265E" w:rsidRDefault="00E2265E">
      <w:pPr>
        <w:pStyle w:val="FootnoteText"/>
      </w:pPr>
      <w:r>
        <w:rPr>
          <w:rStyle w:val="FootnoteReference"/>
        </w:rPr>
        <w:footnoteRef/>
      </w:r>
      <w:r>
        <w:t xml:space="preserve"> </w:t>
      </w:r>
      <w:r w:rsidR="004E7C70">
        <w:rPr>
          <w:rFonts w:ascii="Verdana" w:hAnsi="Verdana" w:cs="Verdana"/>
          <w:sz w:val="18"/>
          <w:szCs w:val="18"/>
        </w:rPr>
        <w:t xml:space="preserve">Westerman, Molly, '"of Skulls Or Spirits": The Haunting Space between Fictional(Ized) History and Historical Note', </w:t>
      </w:r>
      <w:r w:rsidR="004E7C70">
        <w:rPr>
          <w:rFonts w:ascii="Verdana" w:hAnsi="Verdana" w:cs="Verdana"/>
          <w:i/>
          <w:iCs/>
          <w:sz w:val="18"/>
          <w:szCs w:val="18"/>
        </w:rPr>
        <w:t xml:space="preserve">Clio, </w:t>
      </w:r>
      <w:r w:rsidR="004E7C70">
        <w:rPr>
          <w:rFonts w:ascii="Verdana" w:hAnsi="Verdana" w:cs="Verdana"/>
          <w:sz w:val="18"/>
          <w:szCs w:val="18"/>
        </w:rPr>
        <w:t xml:space="preserve">35 (2006), </w:t>
      </w:r>
      <w:r>
        <w:t>p. 375</w:t>
      </w:r>
    </w:p>
  </w:footnote>
  <w:footnote w:id="11">
    <w:p w14:paraId="1625E8F9" w14:textId="77777777" w:rsidR="00E2265E" w:rsidRDefault="00E2265E">
      <w:pPr>
        <w:pStyle w:val="FootnoteText"/>
      </w:pPr>
      <w:r>
        <w:rPr>
          <w:rStyle w:val="FootnoteReference"/>
        </w:rPr>
        <w:footnoteRef/>
      </w:r>
      <w:r>
        <w:t xml:space="preserve"> Ibid.</w:t>
      </w:r>
      <w:r w:rsidR="004E7C70">
        <w:t>,</w:t>
      </w:r>
      <w:r>
        <w:t xml:space="preserve"> p. 371</w:t>
      </w:r>
    </w:p>
  </w:footnote>
  <w:footnote w:id="12">
    <w:p w14:paraId="47675779" w14:textId="77777777" w:rsidR="00E2265E" w:rsidRDefault="00E2265E">
      <w:pPr>
        <w:pStyle w:val="FootnoteText"/>
      </w:pPr>
      <w:r>
        <w:rPr>
          <w:rStyle w:val="FootnoteReference"/>
        </w:rPr>
        <w:footnoteRef/>
      </w:r>
      <w:r>
        <w:t xml:space="preserve"> </w:t>
      </w:r>
      <w:r>
        <w:rPr>
          <w:rFonts w:ascii="Verdana" w:hAnsi="Verdana" w:cs="Verdana"/>
          <w:sz w:val="18"/>
          <w:szCs w:val="18"/>
        </w:rPr>
        <w:t xml:space="preserve">Helm, Thomas E., 'Hermeneutics of Time in T. S. Eliot's </w:t>
      </w:r>
      <w:r w:rsidRPr="00CA1B43">
        <w:rPr>
          <w:rFonts w:ascii="Verdana" w:hAnsi="Verdana" w:cs="Verdana"/>
          <w:sz w:val="18"/>
          <w:szCs w:val="18"/>
          <w:u w:val="single"/>
        </w:rPr>
        <w:t>the Waste Land'</w:t>
      </w:r>
      <w:r>
        <w:rPr>
          <w:rFonts w:ascii="Verdana" w:hAnsi="Verdana" w:cs="Verdana"/>
          <w:sz w:val="18"/>
          <w:szCs w:val="18"/>
        </w:rPr>
        <w:t xml:space="preserve">, </w:t>
      </w:r>
      <w:r>
        <w:rPr>
          <w:rFonts w:ascii="Verdana" w:hAnsi="Verdana" w:cs="Verdana"/>
          <w:i/>
          <w:iCs/>
          <w:sz w:val="18"/>
          <w:szCs w:val="18"/>
        </w:rPr>
        <w:t xml:space="preserve">Journal of Religion, </w:t>
      </w:r>
      <w:r>
        <w:rPr>
          <w:rFonts w:ascii="Verdana" w:hAnsi="Verdana" w:cs="Verdana"/>
          <w:sz w:val="18"/>
          <w:szCs w:val="18"/>
        </w:rPr>
        <w:t>65 (1985), p. 209-210</w:t>
      </w:r>
      <w:r w:rsidR="00CA1B43">
        <w:rPr>
          <w:rFonts w:ascii="Verdana" w:hAnsi="Verdana" w:cs="Verdana"/>
          <w:sz w:val="18"/>
          <w:szCs w:val="18"/>
        </w:rPr>
        <w:t xml:space="preserve"> </w:t>
      </w:r>
      <w:r w:rsidR="00CA1B43" w:rsidRPr="00F93CEA">
        <w:rPr>
          <w:rFonts w:ascii="Verdana" w:hAnsi="Verdana" w:cs="Verdana"/>
          <w:color w:val="F4EE00"/>
          <w:sz w:val="18"/>
          <w:szCs w:val="18"/>
        </w:rPr>
        <w:t>ITALICS</w:t>
      </w:r>
    </w:p>
  </w:footnote>
  <w:footnote w:id="13">
    <w:p w14:paraId="62938D94" w14:textId="77777777" w:rsidR="00E2265E" w:rsidRDefault="00E2265E">
      <w:pPr>
        <w:pStyle w:val="FootnoteText"/>
      </w:pPr>
      <w:r>
        <w:rPr>
          <w:rStyle w:val="FootnoteReference"/>
        </w:rPr>
        <w:footnoteRef/>
      </w:r>
      <w:r>
        <w:t xml:space="preserve"> </w:t>
      </w:r>
      <w:r>
        <w:rPr>
          <w:rFonts w:ascii="Verdana" w:hAnsi="Verdana" w:cs="Verdana"/>
          <w:sz w:val="18"/>
          <w:szCs w:val="18"/>
        </w:rPr>
        <w:t xml:space="preserve">Atwood, Margaret, </w:t>
      </w:r>
      <w:r>
        <w:rPr>
          <w:rFonts w:ascii="Verdana" w:hAnsi="Verdana" w:cs="Verdana"/>
          <w:i/>
          <w:iCs/>
          <w:sz w:val="18"/>
          <w:szCs w:val="18"/>
        </w:rPr>
        <w:t>The Handmaid’s Tale</w:t>
      </w:r>
      <w:r>
        <w:rPr>
          <w:rFonts w:ascii="Verdana" w:hAnsi="Verdana" w:cs="Verdana"/>
          <w:sz w:val="18"/>
          <w:szCs w:val="18"/>
        </w:rPr>
        <w:t>, (London: Vintage, 2017), p. 66</w:t>
      </w:r>
    </w:p>
  </w:footnote>
  <w:footnote w:id="14">
    <w:p w14:paraId="51AB51B0" w14:textId="77777777" w:rsidR="00E2265E" w:rsidRDefault="00E2265E">
      <w:pPr>
        <w:pStyle w:val="FootnoteText"/>
      </w:pPr>
      <w:r>
        <w:rPr>
          <w:rStyle w:val="FootnoteReference"/>
        </w:rPr>
        <w:footnoteRef/>
      </w:r>
      <w:r>
        <w:t xml:space="preserve"> </w:t>
      </w:r>
      <w:r>
        <w:rPr>
          <w:rFonts w:ascii="Verdana" w:hAnsi="Verdana" w:cs="Verdana"/>
          <w:sz w:val="18"/>
          <w:szCs w:val="18"/>
        </w:rPr>
        <w:t>Smith, Victoria, ‘The Demonisation of Mumsnet is the Latest Incarnation on Witch-Hunts’ &lt;</w:t>
      </w:r>
      <w:hyperlink r:id="rId1" w:history="1">
        <w:r>
          <w:rPr>
            <w:rFonts w:ascii="Verdana" w:hAnsi="Verdana" w:cs="Verdana"/>
            <w:sz w:val="18"/>
            <w:szCs w:val="18"/>
          </w:rPr>
          <w:t>https://www.newstatesman.com/politics/feminism/2018/05/demonisation-mumsnet-just-latest-incarnation-witch-hunting</w:t>
        </w:r>
      </w:hyperlink>
      <w:r>
        <w:rPr>
          <w:rFonts w:ascii="Verdana" w:hAnsi="Verdana" w:cs="Verdana"/>
          <w:sz w:val="18"/>
          <w:szCs w:val="18"/>
        </w:rPr>
        <w:t>&gt; [accessed 14 May 2018]</w:t>
      </w:r>
    </w:p>
  </w:footnote>
  <w:footnote w:id="15">
    <w:p w14:paraId="3469AE7F" w14:textId="77777777" w:rsidR="00E2265E" w:rsidRDefault="00E2265E">
      <w:pPr>
        <w:pStyle w:val="FootnoteText"/>
      </w:pPr>
      <w:r>
        <w:rPr>
          <w:rStyle w:val="FootnoteReference"/>
        </w:rPr>
        <w:footnoteRef/>
      </w:r>
      <w:r>
        <w:t xml:space="preserve"> </w:t>
      </w:r>
      <w:r>
        <w:rPr>
          <w:rFonts w:ascii="Verdana" w:hAnsi="Verdana" w:cs="Verdana"/>
          <w:sz w:val="18"/>
          <w:szCs w:val="18"/>
        </w:rPr>
        <w:t xml:space="preserve">Canton, Kimberly F., "I'm Sorry My Story is in Fragments": Offred's Operatic Counter-Memory, </w:t>
      </w:r>
      <w:r>
        <w:rPr>
          <w:rFonts w:ascii="Verdana" w:hAnsi="Verdana" w:cs="Verdana"/>
          <w:i/>
          <w:iCs/>
          <w:sz w:val="18"/>
          <w:szCs w:val="18"/>
        </w:rPr>
        <w:t xml:space="preserve">English Studies in Canada, </w:t>
      </w:r>
      <w:r>
        <w:rPr>
          <w:rFonts w:ascii="Verdana" w:hAnsi="Verdana" w:cs="Verdana"/>
          <w:sz w:val="18"/>
          <w:szCs w:val="18"/>
        </w:rPr>
        <w:t>33 (2007), p. 4</w:t>
      </w:r>
    </w:p>
  </w:footnote>
  <w:footnote w:id="16">
    <w:p w14:paraId="555804A5" w14:textId="77777777" w:rsidR="00E2265E" w:rsidRDefault="00E2265E">
      <w:pPr>
        <w:pStyle w:val="FootnoteText"/>
      </w:pPr>
      <w:r>
        <w:rPr>
          <w:rStyle w:val="FootnoteReference"/>
        </w:rPr>
        <w:footnoteRef/>
      </w:r>
      <w:r>
        <w:t xml:space="preserve"> Ibid., p. 3</w:t>
      </w:r>
    </w:p>
  </w:footnote>
  <w:footnote w:id="17">
    <w:p w14:paraId="2CB704DC" w14:textId="77777777" w:rsidR="00E2265E" w:rsidRDefault="00E2265E">
      <w:pPr>
        <w:pStyle w:val="FootnoteText"/>
      </w:pPr>
      <w:r>
        <w:rPr>
          <w:rStyle w:val="FootnoteReference"/>
        </w:rPr>
        <w:footnoteRef/>
      </w:r>
      <w:r>
        <w:t xml:space="preserve"> </w:t>
      </w:r>
      <w:r>
        <w:rPr>
          <w:rFonts w:ascii="Verdana" w:hAnsi="Verdana" w:cs="Verdana"/>
          <w:sz w:val="18"/>
          <w:szCs w:val="18"/>
        </w:rPr>
        <w:t xml:space="preserve">Atwood, Margaret, </w:t>
      </w:r>
      <w:r>
        <w:rPr>
          <w:rFonts w:ascii="Verdana" w:hAnsi="Verdana" w:cs="Verdana"/>
          <w:i/>
          <w:iCs/>
          <w:sz w:val="18"/>
          <w:szCs w:val="18"/>
        </w:rPr>
        <w:t>The Handmaid’s Tale</w:t>
      </w:r>
      <w:r>
        <w:rPr>
          <w:rFonts w:ascii="Verdana" w:hAnsi="Verdana" w:cs="Verdana"/>
          <w:sz w:val="18"/>
          <w:szCs w:val="18"/>
        </w:rPr>
        <w:t>, (London: Vintage, 2017)</w:t>
      </w:r>
    </w:p>
  </w:footnote>
  <w:footnote w:id="18">
    <w:p w14:paraId="04423A60" w14:textId="77777777" w:rsidR="00E2265E" w:rsidRDefault="00E2265E">
      <w:pPr>
        <w:pStyle w:val="FootnoteText"/>
      </w:pPr>
      <w:r>
        <w:rPr>
          <w:rStyle w:val="FootnoteReference"/>
        </w:rPr>
        <w:footnoteRef/>
      </w:r>
      <w:r>
        <w:t xml:space="preserve"> </w:t>
      </w:r>
      <w:r>
        <w:rPr>
          <w:rFonts w:ascii="Verdana" w:hAnsi="Verdana" w:cs="Verdana"/>
          <w:sz w:val="18"/>
          <w:szCs w:val="18"/>
        </w:rPr>
        <w:t xml:space="preserve">Atwood, Margaret, </w:t>
      </w:r>
      <w:r>
        <w:rPr>
          <w:rFonts w:ascii="Verdana" w:hAnsi="Verdana" w:cs="Verdana"/>
          <w:i/>
          <w:iCs/>
          <w:sz w:val="18"/>
          <w:szCs w:val="18"/>
        </w:rPr>
        <w:t>The Handmaid’s Tale</w:t>
      </w:r>
      <w:r>
        <w:rPr>
          <w:rFonts w:ascii="Verdana" w:hAnsi="Verdana" w:cs="Verdana"/>
          <w:sz w:val="18"/>
          <w:szCs w:val="18"/>
        </w:rPr>
        <w:t>, (London: Vintage, 2017), p. 49.</w:t>
      </w:r>
    </w:p>
  </w:footnote>
  <w:footnote w:id="19">
    <w:p w14:paraId="7BC62F2A" w14:textId="77777777" w:rsidR="00E2265E" w:rsidRDefault="00E2265E">
      <w:pPr>
        <w:pStyle w:val="FootnoteText"/>
      </w:pPr>
      <w:r>
        <w:rPr>
          <w:rStyle w:val="FootnoteReference"/>
        </w:rPr>
        <w:footnoteRef/>
      </w:r>
      <w:r>
        <w:t xml:space="preserve"> </w:t>
      </w:r>
      <w:r>
        <w:rPr>
          <w:rFonts w:ascii="Verdana" w:hAnsi="Verdana" w:cs="Verdana"/>
          <w:sz w:val="18"/>
          <w:szCs w:val="18"/>
        </w:rPr>
        <w:t xml:space="preserve">Farahbakhsh, Alireza, ‘Eliot and Postmodern Selfhood’ </w:t>
      </w:r>
      <w:r w:rsidRPr="00CA1B43">
        <w:rPr>
          <w:rFonts w:ascii="Verdana" w:hAnsi="Verdana" w:cs="Verdana"/>
          <w:sz w:val="18"/>
          <w:szCs w:val="18"/>
          <w:u w:val="single"/>
        </w:rPr>
        <w:t xml:space="preserve">AUMLA: Journal of the Australasian University of Modern Language Association, </w:t>
      </w:r>
      <w:r>
        <w:rPr>
          <w:rFonts w:ascii="Verdana" w:hAnsi="Verdana" w:cs="Verdana"/>
          <w:sz w:val="18"/>
          <w:szCs w:val="18"/>
        </w:rPr>
        <w:t>111 (2009), p. 70</w:t>
      </w:r>
      <w:r w:rsidR="00CA1B43">
        <w:rPr>
          <w:rFonts w:ascii="Verdana" w:hAnsi="Verdana" w:cs="Verdana"/>
          <w:sz w:val="18"/>
          <w:szCs w:val="18"/>
        </w:rPr>
        <w:t xml:space="preserve"> </w:t>
      </w:r>
      <w:r w:rsidR="00CA1B43" w:rsidRPr="00CA1B43">
        <w:rPr>
          <w:rFonts w:ascii="Verdana" w:hAnsi="Verdana" w:cs="Verdana"/>
          <w:color w:val="FFFF00"/>
          <w:sz w:val="18"/>
          <w:szCs w:val="18"/>
        </w:rPr>
        <w:t>ITALICS</w:t>
      </w:r>
    </w:p>
  </w:footnote>
  <w:footnote w:id="20">
    <w:p w14:paraId="7D0C6A98" w14:textId="77777777" w:rsidR="00587924" w:rsidRDefault="00587924">
      <w:pPr>
        <w:pStyle w:val="FootnoteText"/>
      </w:pPr>
      <w:r>
        <w:rPr>
          <w:rStyle w:val="FootnoteReference"/>
        </w:rPr>
        <w:footnoteRef/>
      </w:r>
      <w:r>
        <w:t xml:space="preserve"> </w:t>
      </w:r>
      <w:r>
        <w:rPr>
          <w:rFonts w:ascii="Verdana" w:hAnsi="Verdana" w:cs="Verdana"/>
          <w:sz w:val="18"/>
          <w:szCs w:val="18"/>
        </w:rPr>
        <w:t xml:space="preserve">Lewis, Pericles, </w:t>
      </w:r>
      <w:r>
        <w:rPr>
          <w:rFonts w:ascii="Verdana" w:hAnsi="Verdana" w:cs="Verdana"/>
          <w:i/>
          <w:iCs/>
          <w:sz w:val="18"/>
          <w:szCs w:val="18"/>
        </w:rPr>
        <w:t>The Cambridge Introduction to Modernism</w:t>
      </w:r>
      <w:r>
        <w:rPr>
          <w:rFonts w:ascii="Verdana" w:hAnsi="Verdana" w:cs="Verdana"/>
          <w:sz w:val="18"/>
          <w:szCs w:val="18"/>
        </w:rPr>
        <w:t xml:space="preserve"> (Cambridge: Cambridge University Press, 2007), p. 245</w:t>
      </w:r>
    </w:p>
  </w:footnote>
  <w:footnote w:id="21">
    <w:p w14:paraId="606251A9" w14:textId="77777777" w:rsidR="00587924" w:rsidRDefault="00587924">
      <w:pPr>
        <w:pStyle w:val="FootnoteText"/>
      </w:pPr>
      <w:r>
        <w:rPr>
          <w:rStyle w:val="FootnoteReference"/>
        </w:rPr>
        <w:footnoteRef/>
      </w:r>
      <w:r>
        <w:t xml:space="preserve"> </w:t>
      </w:r>
      <w:r>
        <w:rPr>
          <w:rFonts w:ascii="Verdana" w:hAnsi="Verdana" w:cs="Verdana"/>
          <w:sz w:val="18"/>
          <w:szCs w:val="18"/>
        </w:rPr>
        <w:t xml:space="preserve">Atwood, Margaret, </w:t>
      </w:r>
      <w:r>
        <w:rPr>
          <w:rFonts w:ascii="Verdana" w:hAnsi="Verdana" w:cs="Verdana"/>
          <w:i/>
          <w:iCs/>
          <w:sz w:val="18"/>
          <w:szCs w:val="18"/>
        </w:rPr>
        <w:t>The Handmaid’s Tale</w:t>
      </w:r>
      <w:r>
        <w:rPr>
          <w:rFonts w:ascii="Verdana" w:hAnsi="Verdana" w:cs="Verdana"/>
          <w:sz w:val="18"/>
          <w:szCs w:val="18"/>
        </w:rPr>
        <w:t>, (London: Vintage, 2017), p. 153</w:t>
      </w:r>
    </w:p>
  </w:footnote>
  <w:footnote w:id="22">
    <w:p w14:paraId="36E3B7C2" w14:textId="77777777" w:rsidR="00587924" w:rsidRDefault="00587924">
      <w:pPr>
        <w:pStyle w:val="FootnoteText"/>
      </w:pPr>
      <w:r>
        <w:rPr>
          <w:rStyle w:val="FootnoteReference"/>
        </w:rPr>
        <w:footnoteRef/>
      </w:r>
      <w:r>
        <w:t xml:space="preserve"> Ibid., p. 43</w:t>
      </w:r>
    </w:p>
  </w:footnote>
  <w:footnote w:id="23">
    <w:p w14:paraId="590D4E83" w14:textId="77777777" w:rsidR="00587924" w:rsidRDefault="00587924">
      <w:pPr>
        <w:pStyle w:val="FootnoteText"/>
      </w:pPr>
      <w:r>
        <w:rPr>
          <w:rStyle w:val="FootnoteReference"/>
        </w:rPr>
        <w:footnoteRef/>
      </w:r>
      <w:r>
        <w:t xml:space="preserve"> </w:t>
      </w:r>
      <w:r w:rsidR="00DF2421">
        <w:rPr>
          <w:rFonts w:ascii="Verdana" w:hAnsi="Verdana" w:cs="Verdana"/>
          <w:sz w:val="18"/>
          <w:szCs w:val="18"/>
        </w:rPr>
        <w:t xml:space="preserve">Helm, Thomas E., 'Hermeneutics of Time in T. S. Eliot's </w:t>
      </w:r>
      <w:r w:rsidR="00DF2421" w:rsidRPr="00CA1B43">
        <w:rPr>
          <w:rFonts w:ascii="Verdana" w:hAnsi="Verdana" w:cs="Verdana"/>
          <w:sz w:val="18"/>
          <w:szCs w:val="18"/>
          <w:u w:val="single"/>
        </w:rPr>
        <w:t>the Waste Land'</w:t>
      </w:r>
      <w:r w:rsidR="00DF2421">
        <w:rPr>
          <w:rFonts w:ascii="Verdana" w:hAnsi="Verdana" w:cs="Verdana"/>
          <w:sz w:val="18"/>
          <w:szCs w:val="18"/>
        </w:rPr>
        <w:t xml:space="preserve">, </w:t>
      </w:r>
      <w:r w:rsidR="00DF2421">
        <w:rPr>
          <w:rFonts w:ascii="Verdana" w:hAnsi="Verdana" w:cs="Verdana"/>
          <w:i/>
          <w:iCs/>
          <w:sz w:val="18"/>
          <w:szCs w:val="18"/>
        </w:rPr>
        <w:t xml:space="preserve">Journal of Religion, </w:t>
      </w:r>
      <w:r w:rsidR="00DF2421">
        <w:rPr>
          <w:rFonts w:ascii="Verdana" w:hAnsi="Verdana" w:cs="Verdana"/>
          <w:sz w:val="18"/>
          <w:szCs w:val="18"/>
        </w:rPr>
        <w:t>65 (1985), p. 209</w:t>
      </w:r>
      <w:r w:rsidR="00CA1B43">
        <w:rPr>
          <w:rFonts w:ascii="Verdana" w:hAnsi="Verdana" w:cs="Verdana"/>
          <w:sz w:val="18"/>
          <w:szCs w:val="18"/>
        </w:rPr>
        <w:t xml:space="preserve"> </w:t>
      </w:r>
      <w:r w:rsidR="00CA1B43" w:rsidRPr="00CA1B43">
        <w:rPr>
          <w:rFonts w:ascii="Verdana" w:hAnsi="Verdana" w:cs="Verdana"/>
          <w:color w:val="FFFF00"/>
          <w:sz w:val="18"/>
          <w:szCs w:val="18"/>
        </w:rPr>
        <w:t>ITALICS</w:t>
      </w:r>
    </w:p>
  </w:footnote>
  <w:footnote w:id="24">
    <w:p w14:paraId="6E89EAE7" w14:textId="77777777" w:rsidR="00DF2421" w:rsidRDefault="00DF2421">
      <w:pPr>
        <w:pStyle w:val="FootnoteText"/>
      </w:pPr>
      <w:r>
        <w:rPr>
          <w:rStyle w:val="FootnoteReference"/>
        </w:rPr>
        <w:footnoteRef/>
      </w:r>
      <w:r>
        <w:t xml:space="preserve"> Ibid., p. 209</w:t>
      </w:r>
    </w:p>
  </w:footnote>
  <w:footnote w:id="25">
    <w:p w14:paraId="3C058EAA" w14:textId="77777777" w:rsidR="00DF2421" w:rsidRDefault="00DF2421">
      <w:pPr>
        <w:pStyle w:val="FootnoteText"/>
      </w:pPr>
      <w:r>
        <w:rPr>
          <w:rStyle w:val="FootnoteReference"/>
        </w:rPr>
        <w:footnoteRef/>
      </w:r>
      <w:r>
        <w:t xml:space="preserve"> </w:t>
      </w:r>
      <w:r w:rsidR="004E7C70">
        <w:rPr>
          <w:rFonts w:ascii="Verdana" w:hAnsi="Verdana" w:cs="Verdana"/>
          <w:sz w:val="18"/>
          <w:szCs w:val="18"/>
        </w:rPr>
        <w:t xml:space="preserve">Helm, Thomas E., 'Hermeneutics of Time in T. S. Eliot's </w:t>
      </w:r>
      <w:r w:rsidR="004E7C70" w:rsidRPr="00CA1B43">
        <w:rPr>
          <w:rFonts w:ascii="Verdana" w:hAnsi="Verdana" w:cs="Verdana"/>
          <w:sz w:val="18"/>
          <w:szCs w:val="18"/>
          <w:u w:val="single"/>
        </w:rPr>
        <w:t>the Waste Land'</w:t>
      </w:r>
      <w:r w:rsidR="004E7C70">
        <w:rPr>
          <w:rFonts w:ascii="Verdana" w:hAnsi="Verdana" w:cs="Verdana"/>
          <w:sz w:val="18"/>
          <w:szCs w:val="18"/>
        </w:rPr>
        <w:t xml:space="preserve">, </w:t>
      </w:r>
      <w:r w:rsidR="004E7C70">
        <w:rPr>
          <w:rFonts w:ascii="Verdana" w:hAnsi="Verdana" w:cs="Verdana"/>
          <w:i/>
          <w:iCs/>
          <w:sz w:val="18"/>
          <w:szCs w:val="18"/>
        </w:rPr>
        <w:t xml:space="preserve">Journal of Religion, </w:t>
      </w:r>
      <w:r w:rsidR="004E7C70">
        <w:rPr>
          <w:rFonts w:ascii="Verdana" w:hAnsi="Verdana" w:cs="Verdana"/>
          <w:sz w:val="18"/>
          <w:szCs w:val="18"/>
        </w:rPr>
        <w:t>65 (1985)</w:t>
      </w:r>
      <w:r>
        <w:t>, p. 210</w:t>
      </w:r>
      <w:r w:rsidR="00CA1B43">
        <w:t xml:space="preserve"> </w:t>
      </w:r>
      <w:r w:rsidR="00CA1B43" w:rsidRPr="00CA1B43">
        <w:rPr>
          <w:rFonts w:ascii="Verdana" w:hAnsi="Verdana" w:cs="Verdana"/>
          <w:color w:val="FFFF00"/>
          <w:sz w:val="18"/>
          <w:szCs w:val="18"/>
        </w:rPr>
        <w:t>ITALICS</w:t>
      </w:r>
    </w:p>
  </w:footnote>
  <w:footnote w:id="26">
    <w:p w14:paraId="3C3ED538" w14:textId="77777777" w:rsidR="00DF2421" w:rsidRDefault="00DF2421">
      <w:pPr>
        <w:pStyle w:val="FootnoteText"/>
      </w:pPr>
      <w:r>
        <w:rPr>
          <w:rStyle w:val="FootnoteReference"/>
        </w:rPr>
        <w:footnoteRef/>
      </w:r>
      <w:r>
        <w:t xml:space="preserve"> </w:t>
      </w:r>
      <w:r w:rsidR="004E7C70">
        <w:rPr>
          <w:rFonts w:ascii="Verdana" w:hAnsi="Verdana" w:cs="Verdana"/>
          <w:sz w:val="18"/>
          <w:szCs w:val="18"/>
        </w:rPr>
        <w:t xml:space="preserve">Helm, Thomas E., 'Hermeneutics of Time in T. S. Eliot's </w:t>
      </w:r>
      <w:r w:rsidR="004E7C70" w:rsidRPr="00CA1B43">
        <w:rPr>
          <w:rFonts w:ascii="Verdana" w:hAnsi="Verdana" w:cs="Verdana"/>
          <w:sz w:val="18"/>
          <w:szCs w:val="18"/>
          <w:u w:val="single"/>
        </w:rPr>
        <w:t>the Waste Land'</w:t>
      </w:r>
      <w:r w:rsidR="004E7C70">
        <w:rPr>
          <w:rFonts w:ascii="Verdana" w:hAnsi="Verdana" w:cs="Verdana"/>
          <w:sz w:val="18"/>
          <w:szCs w:val="18"/>
        </w:rPr>
        <w:t xml:space="preserve">, </w:t>
      </w:r>
      <w:r w:rsidR="004E7C70">
        <w:rPr>
          <w:rFonts w:ascii="Verdana" w:hAnsi="Verdana" w:cs="Verdana"/>
          <w:i/>
          <w:iCs/>
          <w:sz w:val="18"/>
          <w:szCs w:val="18"/>
        </w:rPr>
        <w:t xml:space="preserve">Journal of Religion, </w:t>
      </w:r>
      <w:r w:rsidR="004E7C70">
        <w:rPr>
          <w:rFonts w:ascii="Verdana" w:hAnsi="Verdana" w:cs="Verdana"/>
          <w:sz w:val="18"/>
          <w:szCs w:val="18"/>
        </w:rPr>
        <w:t xml:space="preserve">65 (1985), </w:t>
      </w:r>
      <w:r>
        <w:t>p. 216</w:t>
      </w:r>
      <w:r w:rsidR="00CA1B43">
        <w:t xml:space="preserve"> </w:t>
      </w:r>
      <w:r w:rsidR="00CA1B43" w:rsidRPr="00CA1B43">
        <w:rPr>
          <w:rFonts w:ascii="Verdana" w:hAnsi="Verdana" w:cs="Verdana"/>
          <w:color w:val="FFFF00"/>
          <w:sz w:val="18"/>
          <w:szCs w:val="18"/>
        </w:rPr>
        <w:t>ITALICS</w:t>
      </w:r>
    </w:p>
  </w:footnote>
  <w:footnote w:id="27">
    <w:p w14:paraId="5186876E" w14:textId="77777777" w:rsidR="004E3258" w:rsidRDefault="004E3258">
      <w:pPr>
        <w:pStyle w:val="FootnoteText"/>
      </w:pPr>
      <w:r>
        <w:rPr>
          <w:rStyle w:val="FootnoteReference"/>
        </w:rPr>
        <w:footnoteRef/>
      </w:r>
      <w:r>
        <w:t xml:space="preserve"> </w:t>
      </w:r>
      <w:r>
        <w:rPr>
          <w:rFonts w:ascii="Verdana" w:hAnsi="Verdana" w:cs="Verdana"/>
          <w:sz w:val="18"/>
          <w:szCs w:val="18"/>
        </w:rPr>
        <w:t xml:space="preserve">Farahbakhsh, Alireza, ‘Eliot and Postmodern Selfhood’ </w:t>
      </w:r>
      <w:r w:rsidRPr="00CA1B43">
        <w:rPr>
          <w:rFonts w:ascii="Verdana" w:hAnsi="Verdana" w:cs="Verdana"/>
          <w:sz w:val="18"/>
          <w:szCs w:val="18"/>
          <w:u w:val="single"/>
        </w:rPr>
        <w:t>AUMLA: Journal of the Australasian University of Modern Language Association</w:t>
      </w:r>
      <w:r>
        <w:rPr>
          <w:rFonts w:ascii="Verdana" w:hAnsi="Verdana" w:cs="Verdana"/>
          <w:sz w:val="18"/>
          <w:szCs w:val="18"/>
        </w:rPr>
        <w:t>, 111 (2009), p. 69</w:t>
      </w:r>
      <w:r w:rsidR="00CA1B43">
        <w:rPr>
          <w:rFonts w:ascii="Verdana" w:hAnsi="Verdana" w:cs="Verdana"/>
          <w:sz w:val="18"/>
          <w:szCs w:val="18"/>
        </w:rPr>
        <w:t xml:space="preserve"> </w:t>
      </w:r>
      <w:r w:rsidR="00CA1B43" w:rsidRPr="00CA1B43">
        <w:rPr>
          <w:rFonts w:ascii="Verdana" w:hAnsi="Verdana" w:cs="Verdana"/>
          <w:color w:val="FFFF00"/>
          <w:sz w:val="18"/>
          <w:szCs w:val="18"/>
        </w:rPr>
        <w:t>ITALICS</w:t>
      </w:r>
    </w:p>
  </w:footnote>
  <w:footnote w:id="28">
    <w:p w14:paraId="310668BE" w14:textId="77777777" w:rsidR="004E3258" w:rsidRDefault="004E3258">
      <w:pPr>
        <w:pStyle w:val="FootnoteText"/>
      </w:pPr>
      <w:r>
        <w:rPr>
          <w:rStyle w:val="FootnoteReference"/>
        </w:rPr>
        <w:footnoteRef/>
      </w:r>
      <w:r>
        <w:t xml:space="preserve"> Ibid., p. 69</w:t>
      </w:r>
    </w:p>
  </w:footnote>
  <w:footnote w:id="29">
    <w:p w14:paraId="5DED1C6F" w14:textId="77777777" w:rsidR="004E3258" w:rsidRDefault="004E3258">
      <w:pPr>
        <w:pStyle w:val="FootnoteText"/>
      </w:pPr>
      <w:r>
        <w:rPr>
          <w:rStyle w:val="FootnoteReference"/>
        </w:rPr>
        <w:footnoteRef/>
      </w:r>
      <w:r>
        <w:t xml:space="preserve"> Ibid. p. 69</w:t>
      </w:r>
    </w:p>
  </w:footnote>
  <w:footnote w:id="30">
    <w:p w14:paraId="6C68BF3D" w14:textId="77777777" w:rsidR="004E3258" w:rsidRDefault="004E3258">
      <w:pPr>
        <w:pStyle w:val="FootnoteText"/>
      </w:pPr>
      <w:r>
        <w:rPr>
          <w:rStyle w:val="FootnoteReference"/>
        </w:rPr>
        <w:footnoteRef/>
      </w:r>
      <w:r>
        <w:t xml:space="preserve"> </w:t>
      </w:r>
      <w:r>
        <w:rPr>
          <w:rFonts w:ascii="Verdana" w:hAnsi="Verdana" w:cs="Verdana"/>
          <w:sz w:val="18"/>
          <w:szCs w:val="18"/>
        </w:rPr>
        <w:t xml:space="preserve">McHale, Brian, </w:t>
      </w:r>
      <w:r>
        <w:rPr>
          <w:rFonts w:ascii="Verdana" w:hAnsi="Verdana" w:cs="Verdana"/>
          <w:i/>
          <w:iCs/>
          <w:sz w:val="18"/>
          <w:szCs w:val="18"/>
        </w:rPr>
        <w:t>The Cambridge Introduction to Postmodernism</w:t>
      </w:r>
      <w:r>
        <w:rPr>
          <w:rFonts w:ascii="Verdana" w:hAnsi="Verdana" w:cs="Verdana"/>
          <w:sz w:val="18"/>
          <w:szCs w:val="18"/>
        </w:rPr>
        <w:t>, (Cambridge, Cambridge University Press, 2015), p. 13</w:t>
      </w:r>
    </w:p>
  </w:footnote>
  <w:footnote w:id="31">
    <w:p w14:paraId="097D7D1A" w14:textId="77777777" w:rsidR="004E3258" w:rsidRDefault="004E3258">
      <w:pPr>
        <w:pStyle w:val="FootnoteText"/>
      </w:pPr>
      <w:r>
        <w:rPr>
          <w:rStyle w:val="FootnoteReference"/>
        </w:rPr>
        <w:footnoteRef/>
      </w:r>
      <w:r>
        <w:t xml:space="preserve"> Ibid., p. 15</w:t>
      </w:r>
    </w:p>
  </w:footnote>
  <w:footnote w:id="32">
    <w:p w14:paraId="2E34FE53" w14:textId="77777777" w:rsidR="004E3258" w:rsidRDefault="004E3258">
      <w:pPr>
        <w:pStyle w:val="FootnoteText"/>
      </w:pPr>
      <w:r>
        <w:rPr>
          <w:rStyle w:val="FootnoteReference"/>
        </w:rPr>
        <w:footnoteRef/>
      </w:r>
      <w:r>
        <w:t xml:space="preserve"> Sharratt, B., ‘Modernism, Postmodernism, and after’ IN </w:t>
      </w:r>
      <w:r>
        <w:rPr>
          <w:rFonts w:ascii="Verdana" w:hAnsi="Verdana" w:cs="Verdana"/>
          <w:sz w:val="18"/>
          <w:szCs w:val="18"/>
        </w:rPr>
        <w:t xml:space="preserve">Moody, A. D., </w:t>
      </w:r>
      <w:r>
        <w:rPr>
          <w:rFonts w:ascii="Verdana" w:hAnsi="Verdana" w:cs="Verdana"/>
          <w:i/>
          <w:iCs/>
          <w:sz w:val="18"/>
          <w:szCs w:val="18"/>
        </w:rPr>
        <w:t>The Cambridge Companion to T.S. Eliot</w:t>
      </w:r>
      <w:r>
        <w:rPr>
          <w:rFonts w:ascii="Verdana" w:hAnsi="Verdana" w:cs="Verdana"/>
          <w:sz w:val="18"/>
          <w:szCs w:val="18"/>
        </w:rPr>
        <w:t xml:space="preserve"> (Cambridge: Cambridge University Press, 1994), p. 230</w:t>
      </w:r>
    </w:p>
  </w:footnote>
  <w:footnote w:id="33">
    <w:p w14:paraId="420D929D" w14:textId="77777777" w:rsidR="004E3258" w:rsidRDefault="004E3258">
      <w:pPr>
        <w:pStyle w:val="FootnoteText"/>
      </w:pPr>
      <w:r>
        <w:rPr>
          <w:rStyle w:val="FootnoteReference"/>
        </w:rPr>
        <w:footnoteRef/>
      </w:r>
      <w:r>
        <w:t xml:space="preserve"> Ibid., p. 230</w:t>
      </w:r>
    </w:p>
  </w:footnote>
  <w:footnote w:id="34">
    <w:p w14:paraId="1DBE706C" w14:textId="77777777" w:rsidR="004E3258" w:rsidRDefault="004E3258">
      <w:pPr>
        <w:pStyle w:val="FootnoteText"/>
      </w:pPr>
      <w:r>
        <w:rPr>
          <w:rStyle w:val="FootnoteReference"/>
        </w:rPr>
        <w:footnoteRef/>
      </w:r>
      <w:r>
        <w:t xml:space="preserve"> Ibid., p. 230</w:t>
      </w:r>
    </w:p>
  </w:footnote>
  <w:footnote w:id="35">
    <w:p w14:paraId="2DEB9B7A" w14:textId="77777777" w:rsidR="004E3258" w:rsidRDefault="004E3258">
      <w:pPr>
        <w:pStyle w:val="FootnoteText"/>
      </w:pPr>
      <w:r>
        <w:rPr>
          <w:rStyle w:val="FootnoteReference"/>
        </w:rPr>
        <w:footnoteRef/>
      </w:r>
      <w:r>
        <w:t xml:space="preserve"> </w:t>
      </w:r>
      <w:r>
        <w:rPr>
          <w:rFonts w:ascii="Verdana" w:hAnsi="Verdana" w:cs="Verdana"/>
          <w:sz w:val="18"/>
          <w:szCs w:val="18"/>
        </w:rPr>
        <w:t xml:space="preserve">Helm, Thomas E., 'Hermeneutics of Time in T. S. Eliot's </w:t>
      </w:r>
      <w:r w:rsidRPr="00CA1B43">
        <w:rPr>
          <w:rFonts w:ascii="Verdana" w:hAnsi="Verdana" w:cs="Verdana"/>
          <w:sz w:val="18"/>
          <w:szCs w:val="18"/>
          <w:u w:val="single"/>
        </w:rPr>
        <w:t>the Waste Land'</w:t>
      </w:r>
      <w:r>
        <w:rPr>
          <w:rFonts w:ascii="Verdana" w:hAnsi="Verdana" w:cs="Verdana"/>
          <w:sz w:val="18"/>
          <w:szCs w:val="18"/>
        </w:rPr>
        <w:t xml:space="preserve">, </w:t>
      </w:r>
      <w:r>
        <w:rPr>
          <w:rFonts w:ascii="Verdana" w:hAnsi="Verdana" w:cs="Verdana"/>
          <w:i/>
          <w:iCs/>
          <w:sz w:val="18"/>
          <w:szCs w:val="18"/>
        </w:rPr>
        <w:t xml:space="preserve">Journal of Religion, </w:t>
      </w:r>
      <w:r>
        <w:rPr>
          <w:rFonts w:ascii="Verdana" w:hAnsi="Verdana" w:cs="Verdana"/>
          <w:sz w:val="18"/>
          <w:szCs w:val="18"/>
        </w:rPr>
        <w:t>65 (1985), p. 209</w:t>
      </w:r>
      <w:r w:rsidR="00CA1B43">
        <w:rPr>
          <w:rFonts w:ascii="Verdana" w:hAnsi="Verdana" w:cs="Verdana"/>
          <w:sz w:val="18"/>
          <w:szCs w:val="18"/>
        </w:rPr>
        <w:t xml:space="preserve"> </w:t>
      </w:r>
      <w:r w:rsidR="00CA1B43" w:rsidRPr="00CA1B43">
        <w:rPr>
          <w:rFonts w:ascii="Verdana" w:hAnsi="Verdana" w:cs="Verdana"/>
          <w:color w:val="FFFF00"/>
          <w:sz w:val="18"/>
          <w:szCs w:val="18"/>
        </w:rPr>
        <w:t>ITALICS</w:t>
      </w:r>
    </w:p>
  </w:footnote>
  <w:footnote w:id="36">
    <w:p w14:paraId="42B872A8" w14:textId="77777777" w:rsidR="004E3258" w:rsidRDefault="004E3258">
      <w:pPr>
        <w:pStyle w:val="FootnoteText"/>
      </w:pPr>
      <w:r>
        <w:rPr>
          <w:rStyle w:val="FootnoteReference"/>
        </w:rPr>
        <w:footnoteRef/>
      </w:r>
      <w:r>
        <w:t xml:space="preserve"> </w:t>
      </w:r>
      <w:r>
        <w:rPr>
          <w:rFonts w:ascii="Verdana" w:hAnsi="Verdana" w:cs="Verdana"/>
          <w:sz w:val="18"/>
          <w:szCs w:val="18"/>
        </w:rPr>
        <w:t xml:space="preserve">Lewis, Pericles, </w:t>
      </w:r>
      <w:r>
        <w:rPr>
          <w:rFonts w:ascii="Verdana" w:hAnsi="Verdana" w:cs="Verdana"/>
          <w:i/>
          <w:iCs/>
          <w:sz w:val="18"/>
          <w:szCs w:val="18"/>
        </w:rPr>
        <w:t>The Cambridge Introduction to Modernism</w:t>
      </w:r>
      <w:r>
        <w:rPr>
          <w:rFonts w:ascii="Verdana" w:hAnsi="Verdana" w:cs="Verdana"/>
          <w:sz w:val="18"/>
          <w:szCs w:val="18"/>
        </w:rPr>
        <w:t xml:space="preserve"> (Cambridge: Cambridge University Press, 2007), p. 156</w:t>
      </w:r>
    </w:p>
  </w:footnote>
  <w:footnote w:id="37">
    <w:p w14:paraId="391380FB" w14:textId="77777777" w:rsidR="004E3258" w:rsidRDefault="004E3258">
      <w:pPr>
        <w:pStyle w:val="FootnoteText"/>
      </w:pPr>
      <w:r>
        <w:rPr>
          <w:rStyle w:val="FootnoteReference"/>
        </w:rPr>
        <w:footnoteRef/>
      </w:r>
      <w:r>
        <w:t xml:space="preserve"> </w:t>
      </w:r>
      <w:r>
        <w:rPr>
          <w:rFonts w:ascii="Verdana" w:hAnsi="Verdana" w:cs="Verdana"/>
          <w:sz w:val="18"/>
          <w:szCs w:val="18"/>
        </w:rPr>
        <w:t xml:space="preserve">McHale, Brian, </w:t>
      </w:r>
      <w:r>
        <w:rPr>
          <w:rFonts w:ascii="Verdana" w:hAnsi="Verdana" w:cs="Verdana"/>
          <w:i/>
          <w:iCs/>
          <w:sz w:val="18"/>
          <w:szCs w:val="18"/>
        </w:rPr>
        <w:t>The Cambridge Introduction to Postmodernism</w:t>
      </w:r>
      <w:r>
        <w:rPr>
          <w:rFonts w:ascii="Verdana" w:hAnsi="Verdana" w:cs="Verdana"/>
          <w:sz w:val="18"/>
          <w:szCs w:val="18"/>
        </w:rPr>
        <w:t>, (Cambridge, Cambridge University Press, 2015), p. 9</w:t>
      </w:r>
    </w:p>
  </w:footnote>
  <w:footnote w:id="38">
    <w:p w14:paraId="3C47F0E1" w14:textId="77777777" w:rsidR="004E3258" w:rsidRDefault="004E3258">
      <w:pPr>
        <w:pStyle w:val="FootnoteText"/>
      </w:pPr>
      <w:r>
        <w:rPr>
          <w:rStyle w:val="FootnoteReference"/>
        </w:rPr>
        <w:footnoteRef/>
      </w:r>
      <w:r>
        <w:t xml:space="preserve"> Ibid., p. 10</w:t>
      </w:r>
    </w:p>
  </w:footnote>
  <w:footnote w:id="39">
    <w:p w14:paraId="2EF0BD75" w14:textId="77777777" w:rsidR="004E3258" w:rsidRDefault="004E3258">
      <w:pPr>
        <w:pStyle w:val="FootnoteText"/>
      </w:pPr>
      <w:r>
        <w:rPr>
          <w:rStyle w:val="FootnoteReference"/>
        </w:rPr>
        <w:footnoteRef/>
      </w:r>
      <w:r>
        <w:t xml:space="preserve"> </w:t>
      </w:r>
      <w:r>
        <w:rPr>
          <w:rFonts w:ascii="Verdana" w:hAnsi="Verdana" w:cs="Verdana"/>
          <w:sz w:val="18"/>
          <w:szCs w:val="18"/>
        </w:rPr>
        <w:t xml:space="preserve">McEwan, Ian, </w:t>
      </w:r>
      <w:r>
        <w:rPr>
          <w:rFonts w:ascii="Verdana" w:hAnsi="Verdana" w:cs="Verdana"/>
          <w:i/>
          <w:iCs/>
          <w:sz w:val="18"/>
          <w:szCs w:val="18"/>
        </w:rPr>
        <w:t>Atonement</w:t>
      </w:r>
      <w:r>
        <w:rPr>
          <w:rFonts w:ascii="Verdana" w:hAnsi="Verdana" w:cs="Verdana"/>
          <w:sz w:val="18"/>
          <w:szCs w:val="18"/>
        </w:rPr>
        <w:t xml:space="preserve"> (London: Vintage, 2002)</w:t>
      </w:r>
    </w:p>
  </w:footnote>
  <w:footnote w:id="40">
    <w:p w14:paraId="64A1038C" w14:textId="77777777" w:rsidR="005D408D" w:rsidRDefault="005D408D">
      <w:pPr>
        <w:pStyle w:val="FootnoteText"/>
      </w:pPr>
      <w:r>
        <w:rPr>
          <w:rStyle w:val="FootnoteReference"/>
        </w:rPr>
        <w:footnoteRef/>
      </w:r>
      <w:r>
        <w:t xml:space="preserve"> </w:t>
      </w:r>
      <w:r>
        <w:rPr>
          <w:rFonts w:ascii="Verdana" w:hAnsi="Verdana" w:cs="Verdana"/>
          <w:sz w:val="18"/>
          <w:szCs w:val="18"/>
        </w:rPr>
        <w:t xml:space="preserve">Moore, Steven, </w:t>
      </w:r>
      <w:r w:rsidRPr="00CA1B43">
        <w:rPr>
          <w:rFonts w:ascii="Verdana" w:hAnsi="Verdana" w:cs="Verdana"/>
          <w:sz w:val="18"/>
          <w:szCs w:val="18"/>
          <w:u w:val="single"/>
        </w:rPr>
        <w:t>The Novel: An Alternate History (</w:t>
      </w:r>
      <w:r>
        <w:rPr>
          <w:rFonts w:ascii="Verdana" w:hAnsi="Verdana" w:cs="Verdana"/>
          <w:sz w:val="18"/>
          <w:szCs w:val="18"/>
        </w:rPr>
        <w:t>London: Bloomsbury Press, 2013)</w:t>
      </w:r>
      <w:r w:rsidR="00CA1B43">
        <w:rPr>
          <w:rFonts w:ascii="Verdana" w:hAnsi="Verdana" w:cs="Verdana"/>
          <w:sz w:val="18"/>
          <w:szCs w:val="18"/>
        </w:rPr>
        <w:t xml:space="preserve"> </w:t>
      </w:r>
      <w:r w:rsidR="00CA1B43" w:rsidRPr="00CA1B43">
        <w:rPr>
          <w:rFonts w:ascii="Verdana" w:hAnsi="Verdana" w:cs="Verdana"/>
          <w:color w:val="FFFF00"/>
          <w:sz w:val="18"/>
          <w:szCs w:val="18"/>
        </w:rPr>
        <w:t>ITALICS</w:t>
      </w:r>
    </w:p>
  </w:footnote>
  <w:footnote w:id="41">
    <w:p w14:paraId="10120E18" w14:textId="77777777" w:rsidR="005D408D" w:rsidRDefault="005D408D">
      <w:pPr>
        <w:pStyle w:val="FootnoteText"/>
      </w:pPr>
      <w:r>
        <w:rPr>
          <w:rStyle w:val="FootnoteReference"/>
        </w:rPr>
        <w:footnoteRef/>
      </w:r>
      <w:r>
        <w:t xml:space="preserve"> </w:t>
      </w:r>
      <w:r>
        <w:rPr>
          <w:rFonts w:ascii="Verdana" w:hAnsi="Verdana" w:cs="Verdana"/>
          <w:sz w:val="18"/>
          <w:szCs w:val="18"/>
        </w:rPr>
        <w:t xml:space="preserve">Lewis, Pericles, </w:t>
      </w:r>
      <w:r>
        <w:rPr>
          <w:rFonts w:ascii="Verdana" w:hAnsi="Verdana" w:cs="Verdana"/>
          <w:i/>
          <w:iCs/>
          <w:sz w:val="18"/>
          <w:szCs w:val="18"/>
        </w:rPr>
        <w:t>The Cambridge Introduction to Modernism</w:t>
      </w:r>
      <w:r>
        <w:rPr>
          <w:rFonts w:ascii="Verdana" w:hAnsi="Verdana" w:cs="Verdana"/>
          <w:sz w:val="18"/>
          <w:szCs w:val="18"/>
        </w:rPr>
        <w:t xml:space="preserve"> (Cambridge: Cambridge University Press, 2007), p. 247</w:t>
      </w:r>
    </w:p>
  </w:footnote>
  <w:footnote w:id="42">
    <w:p w14:paraId="1FB36857" w14:textId="77777777" w:rsidR="005D408D" w:rsidRDefault="005D408D">
      <w:pPr>
        <w:pStyle w:val="FootnoteText"/>
      </w:pPr>
      <w:r>
        <w:rPr>
          <w:rStyle w:val="FootnoteReference"/>
        </w:rPr>
        <w:footnoteRef/>
      </w:r>
      <w:r>
        <w:t xml:space="preserve"> Ibid., p. 247</w:t>
      </w:r>
    </w:p>
  </w:footnote>
  <w:footnote w:id="43">
    <w:p w14:paraId="40B69F3B" w14:textId="77777777" w:rsidR="00467631" w:rsidRDefault="00467631" w:rsidP="00467631">
      <w:pPr>
        <w:pStyle w:val="FootnoteText"/>
      </w:pPr>
      <w:r>
        <w:rPr>
          <w:rStyle w:val="FootnoteReference"/>
        </w:rPr>
        <w:footnoteRef/>
      </w:r>
      <w:r>
        <w:t xml:space="preserve"> </w:t>
      </w:r>
      <w:r>
        <w:rPr>
          <w:rFonts w:ascii="Verdana" w:hAnsi="Verdana" w:cs="Verdana"/>
          <w:sz w:val="18"/>
          <w:szCs w:val="18"/>
        </w:rPr>
        <w:t xml:space="preserve">Lewis, Pericles, </w:t>
      </w:r>
      <w:r>
        <w:rPr>
          <w:rFonts w:ascii="Verdana" w:hAnsi="Verdana" w:cs="Verdana"/>
          <w:i/>
          <w:iCs/>
          <w:sz w:val="18"/>
          <w:szCs w:val="18"/>
        </w:rPr>
        <w:t>The Cambridge Introduction to Modernism</w:t>
      </w:r>
      <w:r>
        <w:rPr>
          <w:rFonts w:ascii="Verdana" w:hAnsi="Verdana" w:cs="Verdana"/>
          <w:sz w:val="18"/>
          <w:szCs w:val="18"/>
        </w:rPr>
        <w:t xml:space="preserve"> (Cambridge: Cambridge University Press, 2007), p. 247</w:t>
      </w:r>
    </w:p>
    <w:p w14:paraId="39077B2B" w14:textId="77777777" w:rsidR="00467631" w:rsidRDefault="00467631">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A53088" w14:textId="77777777" w:rsidR="004E7C70" w:rsidRDefault="004E7C70" w:rsidP="004E7C70">
    <w:pPr>
      <w:pStyle w:val="Header"/>
      <w:jc w:val="right"/>
    </w:pPr>
    <w:r>
      <w:t>CSEN7021-2-2-1602111-Matthews</w:t>
    </w:r>
  </w:p>
  <w:p w14:paraId="6143A387" w14:textId="77777777" w:rsidR="004E7C70" w:rsidRDefault="004E7C70" w:rsidP="004E7C70">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14AFB"/>
    <w:multiLevelType w:val="hybridMultilevel"/>
    <w:tmpl w:val="113A2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DE21D78"/>
    <w:multiLevelType w:val="hybridMultilevel"/>
    <w:tmpl w:val="8AC41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i Williams">
    <w15:presenceInfo w15:providerId="Windows Live" w15:userId="f0c1b372bc1fb1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isplayBackgroundShape/>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7F0"/>
    <w:rsid w:val="00005556"/>
    <w:rsid w:val="00012C34"/>
    <w:rsid w:val="00032574"/>
    <w:rsid w:val="0004039D"/>
    <w:rsid w:val="000C0CE5"/>
    <w:rsid w:val="000C2B77"/>
    <w:rsid w:val="0010595A"/>
    <w:rsid w:val="001549D0"/>
    <w:rsid w:val="00160805"/>
    <w:rsid w:val="001810DC"/>
    <w:rsid w:val="00186FBF"/>
    <w:rsid w:val="001A06D4"/>
    <w:rsid w:val="001A6347"/>
    <w:rsid w:val="001E378B"/>
    <w:rsid w:val="001E553E"/>
    <w:rsid w:val="002070B5"/>
    <w:rsid w:val="002076CB"/>
    <w:rsid w:val="00241291"/>
    <w:rsid w:val="002414FE"/>
    <w:rsid w:val="00243607"/>
    <w:rsid w:val="00256C1E"/>
    <w:rsid w:val="002777F0"/>
    <w:rsid w:val="00277FDB"/>
    <w:rsid w:val="0028533F"/>
    <w:rsid w:val="00290064"/>
    <w:rsid w:val="002972F4"/>
    <w:rsid w:val="002D624F"/>
    <w:rsid w:val="002E0A55"/>
    <w:rsid w:val="002F6157"/>
    <w:rsid w:val="0034045F"/>
    <w:rsid w:val="00354394"/>
    <w:rsid w:val="003C2813"/>
    <w:rsid w:val="003C74C2"/>
    <w:rsid w:val="00410058"/>
    <w:rsid w:val="00424834"/>
    <w:rsid w:val="00467631"/>
    <w:rsid w:val="004B3D41"/>
    <w:rsid w:val="004C1E11"/>
    <w:rsid w:val="004E3258"/>
    <w:rsid w:val="004E4BC2"/>
    <w:rsid w:val="004E54EF"/>
    <w:rsid w:val="004E7C70"/>
    <w:rsid w:val="004F3164"/>
    <w:rsid w:val="004F63DC"/>
    <w:rsid w:val="00530241"/>
    <w:rsid w:val="00531D74"/>
    <w:rsid w:val="005408E3"/>
    <w:rsid w:val="00543BB4"/>
    <w:rsid w:val="00566BD5"/>
    <w:rsid w:val="005743E5"/>
    <w:rsid w:val="00587924"/>
    <w:rsid w:val="00594BFB"/>
    <w:rsid w:val="005A0712"/>
    <w:rsid w:val="005B0584"/>
    <w:rsid w:val="005C242A"/>
    <w:rsid w:val="005D408D"/>
    <w:rsid w:val="005F490E"/>
    <w:rsid w:val="005F4BEC"/>
    <w:rsid w:val="006214CE"/>
    <w:rsid w:val="00640E8B"/>
    <w:rsid w:val="0066648F"/>
    <w:rsid w:val="00680B46"/>
    <w:rsid w:val="0069270B"/>
    <w:rsid w:val="00692F4A"/>
    <w:rsid w:val="006D0E07"/>
    <w:rsid w:val="006F1A9C"/>
    <w:rsid w:val="00754F23"/>
    <w:rsid w:val="007B3CEA"/>
    <w:rsid w:val="007C5255"/>
    <w:rsid w:val="007E5C76"/>
    <w:rsid w:val="008377B8"/>
    <w:rsid w:val="00852F00"/>
    <w:rsid w:val="00863143"/>
    <w:rsid w:val="00864A31"/>
    <w:rsid w:val="0087151D"/>
    <w:rsid w:val="00887CAA"/>
    <w:rsid w:val="0089231B"/>
    <w:rsid w:val="00895979"/>
    <w:rsid w:val="008A13DE"/>
    <w:rsid w:val="008A18E4"/>
    <w:rsid w:val="008A2C34"/>
    <w:rsid w:val="008B7403"/>
    <w:rsid w:val="008C4FD7"/>
    <w:rsid w:val="008E32BE"/>
    <w:rsid w:val="00941FB8"/>
    <w:rsid w:val="0096783B"/>
    <w:rsid w:val="00975712"/>
    <w:rsid w:val="0098310D"/>
    <w:rsid w:val="00983BF7"/>
    <w:rsid w:val="009B45EB"/>
    <w:rsid w:val="009C26E8"/>
    <w:rsid w:val="009E59F7"/>
    <w:rsid w:val="009F0A5A"/>
    <w:rsid w:val="009F27B3"/>
    <w:rsid w:val="009F39C0"/>
    <w:rsid w:val="00A0217D"/>
    <w:rsid w:val="00A45433"/>
    <w:rsid w:val="00A64CAF"/>
    <w:rsid w:val="00A7059A"/>
    <w:rsid w:val="00A8312E"/>
    <w:rsid w:val="00A8433D"/>
    <w:rsid w:val="00AA3D6A"/>
    <w:rsid w:val="00B31A34"/>
    <w:rsid w:val="00B40C20"/>
    <w:rsid w:val="00B461F7"/>
    <w:rsid w:val="00B71BFC"/>
    <w:rsid w:val="00BB157C"/>
    <w:rsid w:val="00C015DF"/>
    <w:rsid w:val="00C02FFD"/>
    <w:rsid w:val="00C1262B"/>
    <w:rsid w:val="00C3643C"/>
    <w:rsid w:val="00C97445"/>
    <w:rsid w:val="00CA1B43"/>
    <w:rsid w:val="00CC200E"/>
    <w:rsid w:val="00CD7A95"/>
    <w:rsid w:val="00CE0CE6"/>
    <w:rsid w:val="00D0563E"/>
    <w:rsid w:val="00D56007"/>
    <w:rsid w:val="00DB7A45"/>
    <w:rsid w:val="00DC1C57"/>
    <w:rsid w:val="00DC1E33"/>
    <w:rsid w:val="00DC5A4F"/>
    <w:rsid w:val="00DD6BFC"/>
    <w:rsid w:val="00DF2421"/>
    <w:rsid w:val="00E127CF"/>
    <w:rsid w:val="00E21217"/>
    <w:rsid w:val="00E2265E"/>
    <w:rsid w:val="00E328DA"/>
    <w:rsid w:val="00E53C17"/>
    <w:rsid w:val="00E75CCE"/>
    <w:rsid w:val="00EB31E2"/>
    <w:rsid w:val="00ED2499"/>
    <w:rsid w:val="00F453A8"/>
    <w:rsid w:val="00F8004D"/>
    <w:rsid w:val="00F93CEA"/>
    <w:rsid w:val="00FA2D04"/>
    <w:rsid w:val="00FA59C7"/>
    <w:rsid w:val="00FB1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B31F0"/>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7C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qFormat/>
    <w:rsid w:val="004E7C70"/>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549D0"/>
    <w:rPr>
      <w:sz w:val="20"/>
      <w:szCs w:val="20"/>
    </w:rPr>
  </w:style>
  <w:style w:type="character" w:customStyle="1" w:styleId="FootnoteTextChar">
    <w:name w:val="Footnote Text Char"/>
    <w:basedOn w:val="DefaultParagraphFont"/>
    <w:link w:val="FootnoteText"/>
    <w:uiPriority w:val="99"/>
    <w:semiHidden/>
    <w:rsid w:val="001549D0"/>
    <w:rPr>
      <w:sz w:val="20"/>
      <w:szCs w:val="20"/>
    </w:rPr>
  </w:style>
  <w:style w:type="character" w:styleId="FootnoteReference">
    <w:name w:val="footnote reference"/>
    <w:basedOn w:val="DefaultParagraphFont"/>
    <w:uiPriority w:val="99"/>
    <w:semiHidden/>
    <w:unhideWhenUsed/>
    <w:rsid w:val="001549D0"/>
    <w:rPr>
      <w:vertAlign w:val="superscript"/>
    </w:rPr>
  </w:style>
  <w:style w:type="paragraph" w:styleId="Header">
    <w:name w:val="header"/>
    <w:basedOn w:val="Normal"/>
    <w:link w:val="HeaderChar"/>
    <w:uiPriority w:val="99"/>
    <w:unhideWhenUsed/>
    <w:rsid w:val="004E7C70"/>
    <w:pPr>
      <w:tabs>
        <w:tab w:val="center" w:pos="4513"/>
        <w:tab w:val="right" w:pos="9026"/>
      </w:tabs>
    </w:pPr>
  </w:style>
  <w:style w:type="character" w:customStyle="1" w:styleId="HeaderChar">
    <w:name w:val="Header Char"/>
    <w:basedOn w:val="DefaultParagraphFont"/>
    <w:link w:val="Header"/>
    <w:uiPriority w:val="99"/>
    <w:rsid w:val="004E7C70"/>
  </w:style>
  <w:style w:type="paragraph" w:styleId="Footer">
    <w:name w:val="footer"/>
    <w:basedOn w:val="Normal"/>
    <w:link w:val="FooterChar"/>
    <w:uiPriority w:val="99"/>
    <w:unhideWhenUsed/>
    <w:rsid w:val="004E7C70"/>
    <w:pPr>
      <w:tabs>
        <w:tab w:val="center" w:pos="4513"/>
        <w:tab w:val="right" w:pos="9026"/>
      </w:tabs>
    </w:pPr>
  </w:style>
  <w:style w:type="character" w:customStyle="1" w:styleId="FooterChar">
    <w:name w:val="Footer Char"/>
    <w:basedOn w:val="DefaultParagraphFont"/>
    <w:link w:val="Footer"/>
    <w:uiPriority w:val="99"/>
    <w:rsid w:val="004E7C70"/>
  </w:style>
  <w:style w:type="character" w:styleId="PageNumber">
    <w:name w:val="page number"/>
    <w:basedOn w:val="DefaultParagraphFont"/>
    <w:uiPriority w:val="99"/>
    <w:semiHidden/>
    <w:unhideWhenUsed/>
    <w:rsid w:val="004E7C70"/>
  </w:style>
  <w:style w:type="character" w:customStyle="1" w:styleId="Heading3Char">
    <w:name w:val="Heading 3 Char"/>
    <w:basedOn w:val="DefaultParagraphFont"/>
    <w:link w:val="Heading3"/>
    <w:rsid w:val="004E7C70"/>
    <w:rPr>
      <w:rFonts w:ascii="Tahoma" w:eastAsia="SimSun" w:hAnsi="Tahoma" w:cs="Tahoma"/>
      <w:b/>
      <w:bCs/>
      <w:sz w:val="20"/>
      <w:szCs w:val="20"/>
      <w:lang w:eastAsia="zh-CN"/>
    </w:rPr>
  </w:style>
  <w:style w:type="paragraph" w:styleId="NormalWeb">
    <w:name w:val="Normal (Web)"/>
    <w:basedOn w:val="Normal"/>
    <w:rsid w:val="004E7C70"/>
    <w:pPr>
      <w:spacing w:before="100" w:beforeAutospacing="1" w:after="100" w:afterAutospacing="1"/>
    </w:pPr>
    <w:rPr>
      <w:rFonts w:ascii="Georgia" w:eastAsia="SimSun" w:hAnsi="Georgia" w:cs="Times New Roman"/>
      <w:color w:val="000000"/>
      <w:sz w:val="21"/>
      <w:szCs w:val="21"/>
      <w:lang w:eastAsia="zh-CN"/>
    </w:rPr>
  </w:style>
  <w:style w:type="character" w:customStyle="1" w:styleId="Heading1Char">
    <w:name w:val="Heading 1 Char"/>
    <w:basedOn w:val="DefaultParagraphFont"/>
    <w:link w:val="Heading1"/>
    <w:uiPriority w:val="9"/>
    <w:rsid w:val="004E7C70"/>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2777F0"/>
    <w:rPr>
      <w:rFonts w:ascii="Tahoma" w:hAnsi="Tahoma" w:cs="Tahoma"/>
      <w:sz w:val="16"/>
      <w:szCs w:val="16"/>
    </w:rPr>
  </w:style>
  <w:style w:type="character" w:customStyle="1" w:styleId="BalloonTextChar">
    <w:name w:val="Balloon Text Char"/>
    <w:basedOn w:val="DefaultParagraphFont"/>
    <w:link w:val="BalloonText"/>
    <w:uiPriority w:val="99"/>
    <w:semiHidden/>
    <w:rsid w:val="002777F0"/>
    <w:rPr>
      <w:rFonts w:ascii="Tahoma" w:hAnsi="Tahoma" w:cs="Tahoma"/>
      <w:sz w:val="16"/>
      <w:szCs w:val="16"/>
    </w:rPr>
  </w:style>
  <w:style w:type="character" w:styleId="CommentReference">
    <w:name w:val="annotation reference"/>
    <w:basedOn w:val="DefaultParagraphFont"/>
    <w:uiPriority w:val="99"/>
    <w:semiHidden/>
    <w:unhideWhenUsed/>
    <w:rsid w:val="002777F0"/>
    <w:rPr>
      <w:sz w:val="16"/>
      <w:szCs w:val="16"/>
    </w:rPr>
  </w:style>
  <w:style w:type="paragraph" w:styleId="CommentText">
    <w:name w:val="annotation text"/>
    <w:basedOn w:val="Normal"/>
    <w:link w:val="CommentTextChar"/>
    <w:uiPriority w:val="99"/>
    <w:semiHidden/>
    <w:unhideWhenUsed/>
    <w:rsid w:val="002777F0"/>
    <w:rPr>
      <w:sz w:val="20"/>
      <w:szCs w:val="20"/>
    </w:rPr>
  </w:style>
  <w:style w:type="character" w:customStyle="1" w:styleId="CommentTextChar">
    <w:name w:val="Comment Text Char"/>
    <w:basedOn w:val="DefaultParagraphFont"/>
    <w:link w:val="CommentText"/>
    <w:uiPriority w:val="99"/>
    <w:semiHidden/>
    <w:rsid w:val="002777F0"/>
    <w:rPr>
      <w:sz w:val="20"/>
      <w:szCs w:val="20"/>
    </w:rPr>
  </w:style>
  <w:style w:type="paragraph" w:styleId="CommentSubject">
    <w:name w:val="annotation subject"/>
    <w:basedOn w:val="CommentText"/>
    <w:next w:val="CommentText"/>
    <w:link w:val="CommentSubjectChar"/>
    <w:uiPriority w:val="99"/>
    <w:semiHidden/>
    <w:unhideWhenUsed/>
    <w:rsid w:val="002777F0"/>
    <w:rPr>
      <w:b/>
      <w:bCs/>
    </w:rPr>
  </w:style>
  <w:style w:type="character" w:customStyle="1" w:styleId="CommentSubjectChar">
    <w:name w:val="Comment Subject Char"/>
    <w:basedOn w:val="CommentTextChar"/>
    <w:link w:val="CommentSubject"/>
    <w:uiPriority w:val="99"/>
    <w:semiHidden/>
    <w:rsid w:val="002777F0"/>
    <w:rPr>
      <w:b/>
      <w:bCs/>
      <w:sz w:val="20"/>
      <w:szCs w:val="20"/>
    </w:rPr>
  </w:style>
  <w:style w:type="paragraph" w:styleId="NoSpacing">
    <w:name w:val="No Spacing"/>
    <w:uiPriority w:val="1"/>
    <w:qFormat/>
    <w:rsid w:val="00E53C17"/>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7C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qFormat/>
    <w:rsid w:val="004E7C70"/>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549D0"/>
    <w:rPr>
      <w:sz w:val="20"/>
      <w:szCs w:val="20"/>
    </w:rPr>
  </w:style>
  <w:style w:type="character" w:customStyle="1" w:styleId="FootnoteTextChar">
    <w:name w:val="Footnote Text Char"/>
    <w:basedOn w:val="DefaultParagraphFont"/>
    <w:link w:val="FootnoteText"/>
    <w:uiPriority w:val="99"/>
    <w:semiHidden/>
    <w:rsid w:val="001549D0"/>
    <w:rPr>
      <w:sz w:val="20"/>
      <w:szCs w:val="20"/>
    </w:rPr>
  </w:style>
  <w:style w:type="character" w:styleId="FootnoteReference">
    <w:name w:val="footnote reference"/>
    <w:basedOn w:val="DefaultParagraphFont"/>
    <w:uiPriority w:val="99"/>
    <w:semiHidden/>
    <w:unhideWhenUsed/>
    <w:rsid w:val="001549D0"/>
    <w:rPr>
      <w:vertAlign w:val="superscript"/>
    </w:rPr>
  </w:style>
  <w:style w:type="paragraph" w:styleId="Header">
    <w:name w:val="header"/>
    <w:basedOn w:val="Normal"/>
    <w:link w:val="HeaderChar"/>
    <w:uiPriority w:val="99"/>
    <w:unhideWhenUsed/>
    <w:rsid w:val="004E7C70"/>
    <w:pPr>
      <w:tabs>
        <w:tab w:val="center" w:pos="4513"/>
        <w:tab w:val="right" w:pos="9026"/>
      </w:tabs>
    </w:pPr>
  </w:style>
  <w:style w:type="character" w:customStyle="1" w:styleId="HeaderChar">
    <w:name w:val="Header Char"/>
    <w:basedOn w:val="DefaultParagraphFont"/>
    <w:link w:val="Header"/>
    <w:uiPriority w:val="99"/>
    <w:rsid w:val="004E7C70"/>
  </w:style>
  <w:style w:type="paragraph" w:styleId="Footer">
    <w:name w:val="footer"/>
    <w:basedOn w:val="Normal"/>
    <w:link w:val="FooterChar"/>
    <w:uiPriority w:val="99"/>
    <w:unhideWhenUsed/>
    <w:rsid w:val="004E7C70"/>
    <w:pPr>
      <w:tabs>
        <w:tab w:val="center" w:pos="4513"/>
        <w:tab w:val="right" w:pos="9026"/>
      </w:tabs>
    </w:pPr>
  </w:style>
  <w:style w:type="character" w:customStyle="1" w:styleId="FooterChar">
    <w:name w:val="Footer Char"/>
    <w:basedOn w:val="DefaultParagraphFont"/>
    <w:link w:val="Footer"/>
    <w:uiPriority w:val="99"/>
    <w:rsid w:val="004E7C70"/>
  </w:style>
  <w:style w:type="character" w:styleId="PageNumber">
    <w:name w:val="page number"/>
    <w:basedOn w:val="DefaultParagraphFont"/>
    <w:uiPriority w:val="99"/>
    <w:semiHidden/>
    <w:unhideWhenUsed/>
    <w:rsid w:val="004E7C70"/>
  </w:style>
  <w:style w:type="character" w:customStyle="1" w:styleId="Heading3Char">
    <w:name w:val="Heading 3 Char"/>
    <w:basedOn w:val="DefaultParagraphFont"/>
    <w:link w:val="Heading3"/>
    <w:rsid w:val="004E7C70"/>
    <w:rPr>
      <w:rFonts w:ascii="Tahoma" w:eastAsia="SimSun" w:hAnsi="Tahoma" w:cs="Tahoma"/>
      <w:b/>
      <w:bCs/>
      <w:sz w:val="20"/>
      <w:szCs w:val="20"/>
      <w:lang w:eastAsia="zh-CN"/>
    </w:rPr>
  </w:style>
  <w:style w:type="paragraph" w:styleId="NormalWeb">
    <w:name w:val="Normal (Web)"/>
    <w:basedOn w:val="Normal"/>
    <w:rsid w:val="004E7C70"/>
    <w:pPr>
      <w:spacing w:before="100" w:beforeAutospacing="1" w:after="100" w:afterAutospacing="1"/>
    </w:pPr>
    <w:rPr>
      <w:rFonts w:ascii="Georgia" w:eastAsia="SimSun" w:hAnsi="Georgia" w:cs="Times New Roman"/>
      <w:color w:val="000000"/>
      <w:sz w:val="21"/>
      <w:szCs w:val="21"/>
      <w:lang w:eastAsia="zh-CN"/>
    </w:rPr>
  </w:style>
  <w:style w:type="character" w:customStyle="1" w:styleId="Heading1Char">
    <w:name w:val="Heading 1 Char"/>
    <w:basedOn w:val="DefaultParagraphFont"/>
    <w:link w:val="Heading1"/>
    <w:uiPriority w:val="9"/>
    <w:rsid w:val="004E7C70"/>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2777F0"/>
    <w:rPr>
      <w:rFonts w:ascii="Tahoma" w:hAnsi="Tahoma" w:cs="Tahoma"/>
      <w:sz w:val="16"/>
      <w:szCs w:val="16"/>
    </w:rPr>
  </w:style>
  <w:style w:type="character" w:customStyle="1" w:styleId="BalloonTextChar">
    <w:name w:val="Balloon Text Char"/>
    <w:basedOn w:val="DefaultParagraphFont"/>
    <w:link w:val="BalloonText"/>
    <w:uiPriority w:val="99"/>
    <w:semiHidden/>
    <w:rsid w:val="002777F0"/>
    <w:rPr>
      <w:rFonts w:ascii="Tahoma" w:hAnsi="Tahoma" w:cs="Tahoma"/>
      <w:sz w:val="16"/>
      <w:szCs w:val="16"/>
    </w:rPr>
  </w:style>
  <w:style w:type="character" w:styleId="CommentReference">
    <w:name w:val="annotation reference"/>
    <w:basedOn w:val="DefaultParagraphFont"/>
    <w:uiPriority w:val="99"/>
    <w:semiHidden/>
    <w:unhideWhenUsed/>
    <w:rsid w:val="002777F0"/>
    <w:rPr>
      <w:sz w:val="16"/>
      <w:szCs w:val="16"/>
    </w:rPr>
  </w:style>
  <w:style w:type="paragraph" w:styleId="CommentText">
    <w:name w:val="annotation text"/>
    <w:basedOn w:val="Normal"/>
    <w:link w:val="CommentTextChar"/>
    <w:uiPriority w:val="99"/>
    <w:semiHidden/>
    <w:unhideWhenUsed/>
    <w:rsid w:val="002777F0"/>
    <w:rPr>
      <w:sz w:val="20"/>
      <w:szCs w:val="20"/>
    </w:rPr>
  </w:style>
  <w:style w:type="character" w:customStyle="1" w:styleId="CommentTextChar">
    <w:name w:val="Comment Text Char"/>
    <w:basedOn w:val="DefaultParagraphFont"/>
    <w:link w:val="CommentText"/>
    <w:uiPriority w:val="99"/>
    <w:semiHidden/>
    <w:rsid w:val="002777F0"/>
    <w:rPr>
      <w:sz w:val="20"/>
      <w:szCs w:val="20"/>
    </w:rPr>
  </w:style>
  <w:style w:type="paragraph" w:styleId="CommentSubject">
    <w:name w:val="annotation subject"/>
    <w:basedOn w:val="CommentText"/>
    <w:next w:val="CommentText"/>
    <w:link w:val="CommentSubjectChar"/>
    <w:uiPriority w:val="99"/>
    <w:semiHidden/>
    <w:unhideWhenUsed/>
    <w:rsid w:val="002777F0"/>
    <w:rPr>
      <w:b/>
      <w:bCs/>
    </w:rPr>
  </w:style>
  <w:style w:type="character" w:customStyle="1" w:styleId="CommentSubjectChar">
    <w:name w:val="Comment Subject Char"/>
    <w:basedOn w:val="CommentTextChar"/>
    <w:link w:val="CommentSubject"/>
    <w:uiPriority w:val="99"/>
    <w:semiHidden/>
    <w:rsid w:val="002777F0"/>
    <w:rPr>
      <w:b/>
      <w:bCs/>
      <w:sz w:val="20"/>
      <w:szCs w:val="20"/>
    </w:rPr>
  </w:style>
  <w:style w:type="paragraph" w:styleId="NoSpacing">
    <w:name w:val="No Spacing"/>
    <w:uiPriority w:val="1"/>
    <w:qFormat/>
    <w:rsid w:val="00E53C17"/>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877910">
      <w:bodyDiv w:val="1"/>
      <w:marLeft w:val="0"/>
      <w:marRight w:val="0"/>
      <w:marTop w:val="0"/>
      <w:marBottom w:val="0"/>
      <w:divBdr>
        <w:top w:val="none" w:sz="0" w:space="0" w:color="auto"/>
        <w:left w:val="none" w:sz="0" w:space="0" w:color="auto"/>
        <w:bottom w:val="none" w:sz="0" w:space="0" w:color="auto"/>
        <w:right w:val="none" w:sz="0" w:space="0" w:color="auto"/>
      </w:divBdr>
    </w:div>
    <w:div w:id="1520311871">
      <w:bodyDiv w:val="1"/>
      <w:marLeft w:val="0"/>
      <w:marRight w:val="0"/>
      <w:marTop w:val="0"/>
      <w:marBottom w:val="0"/>
      <w:divBdr>
        <w:top w:val="none" w:sz="0" w:space="0" w:color="auto"/>
        <w:left w:val="none" w:sz="0" w:space="0" w:color="auto"/>
        <w:bottom w:val="none" w:sz="0" w:space="0" w:color="auto"/>
        <w:right w:val="none" w:sz="0" w:space="0" w:color="auto"/>
      </w:divBdr>
    </w:div>
    <w:div w:id="1826386335">
      <w:bodyDiv w:val="1"/>
      <w:marLeft w:val="0"/>
      <w:marRight w:val="0"/>
      <w:marTop w:val="0"/>
      <w:marBottom w:val="0"/>
      <w:divBdr>
        <w:top w:val="none" w:sz="0" w:space="0" w:color="auto"/>
        <w:left w:val="none" w:sz="0" w:space="0" w:color="auto"/>
        <w:bottom w:val="none" w:sz="0" w:space="0" w:color="auto"/>
        <w:right w:val="none" w:sz="0" w:space="0" w:color="auto"/>
      </w:divBdr>
    </w:div>
    <w:div w:id="208595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microsoft.com/office/2016/09/relationships/commentsIds" Target="commentsIds.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ewstatesman.com/politics/feminism/2018/05/demonisation-mumsnet-just-latest-incarnation-witch-hunting"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newstatesman.com/politics/feminism/2018/05/demonisation-mumsnet-just-latest-incarnation-witch-hunt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marking%202017-18\shock\CSEN7021-2-2-1602111-MATTHEW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CSEN7021-2-2-1602111-MATTHEWS</Template>
  <TotalTime>14</TotalTime>
  <Pages>1</Pages>
  <Words>4011</Words>
  <Characters>22867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2018-05-27T15:27:00Z</dcterms:created>
  <dcterms:modified xsi:type="dcterms:W3CDTF">2018-05-29T13:21:00Z</dcterms:modified>
</cp:coreProperties>
</file>