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527862094"/>
        <w:docPartObj>
          <w:docPartGallery w:val="Cover Pages"/>
          <w:docPartUnique/>
        </w:docPartObj>
      </w:sdtPr>
      <w:sdtEndPr>
        <w:rPr>
          <w:caps/>
          <w:color w:val="156082" w:themeColor="accent1"/>
          <w:sz w:val="72"/>
          <w:szCs w:val="72"/>
        </w:rPr>
      </w:sdtEndPr>
      <w:sdtContent>
        <w:p w14:paraId="292A27BE" w14:textId="77777777" w:rsidR="007106CD" w:rsidRDefault="007106CD" w:rsidP="007106CD"/>
        <w:sdt>
          <w:sdtPr>
            <w:rPr>
              <w:rFonts w:ascii="Arial" w:hAnsi="Arial" w:cs="Arial"/>
            </w:rPr>
            <w:id w:val="109172438"/>
            <w:docPartObj>
              <w:docPartGallery w:val="Cover Pages"/>
              <w:docPartUnique/>
            </w:docPartObj>
          </w:sdtPr>
          <w:sdtEndPr/>
          <w:sdtContent>
            <w:p w14:paraId="514371CC" w14:textId="77777777" w:rsidR="007106CD" w:rsidRPr="00E31DD6" w:rsidRDefault="007106CD" w:rsidP="007106CD">
              <w:pPr>
                <w:spacing w:line="360" w:lineRule="auto"/>
                <w:jc w:val="both"/>
                <w:rPr>
                  <w:rFonts w:ascii="Arial" w:hAnsi="Arial" w:cs="Arial"/>
                </w:rPr>
              </w:pPr>
            </w:p>
            <w:p w14:paraId="23718DC8" w14:textId="77777777" w:rsidR="007106CD" w:rsidRPr="00E31DD6" w:rsidRDefault="007106CD" w:rsidP="007106CD">
              <w:pPr>
                <w:spacing w:line="360" w:lineRule="auto"/>
                <w:jc w:val="both"/>
                <w:rPr>
                  <w:rFonts w:ascii="Arial" w:hAnsi="Arial" w:cs="Arial"/>
                  <w:b/>
                  <w:bCs/>
                </w:rPr>
              </w:pPr>
              <w:r w:rsidRPr="00E31DD6">
                <w:rPr>
                  <w:rFonts w:ascii="Arial" w:hAnsi="Arial" w:cs="Arial"/>
                  <w:noProof/>
                </w:rPr>
                <w:drawing>
                  <wp:inline distT="0" distB="0" distL="85723" distR="85723" wp14:anchorId="6AFC71FD" wp14:editId="71ADEC05">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6"/>
                            <a:stretch>
                              <a:fillRect/>
                            </a:stretch>
                          </pic:blipFill>
                          <pic:spPr>
                            <a:xfrm>
                              <a:off x="0" y="0"/>
                              <a:ext cx="2650417" cy="969560"/>
                            </a:xfrm>
                            <a:prstGeom prst="rect">
                              <a:avLst/>
                            </a:prstGeom>
                            <a:noFill/>
                            <a:ln w="12700" cap="flat" cmpd="sng">
                              <a:noFill/>
                              <a:prstDash val="solid"/>
                              <a:miter/>
                            </a:ln>
                          </pic:spPr>
                        </pic:pic>
                      </a:graphicData>
                    </a:graphic>
                  </wp:inline>
                </w:drawing>
              </w:r>
            </w:p>
            <w:p w14:paraId="5658EFFF" w14:textId="77777777" w:rsidR="007106CD" w:rsidRPr="00E31DD6" w:rsidRDefault="007106CD" w:rsidP="007106CD">
              <w:pPr>
                <w:spacing w:line="360" w:lineRule="auto"/>
                <w:jc w:val="both"/>
                <w:rPr>
                  <w:rFonts w:ascii="Arial" w:hAnsi="Arial" w:cs="Arial"/>
                  <w:b/>
                  <w:bCs/>
                </w:rPr>
              </w:pPr>
            </w:p>
            <w:p w14:paraId="2CFBE846" w14:textId="77777777" w:rsidR="007106CD" w:rsidRDefault="007106CD" w:rsidP="007106CD">
              <w:pPr>
                <w:spacing w:line="360" w:lineRule="auto"/>
                <w:jc w:val="both"/>
                <w:rPr>
                  <w:rFonts w:ascii="Arial" w:hAnsi="Arial" w:cs="Arial"/>
                  <w:b/>
                  <w:bCs/>
                </w:rPr>
              </w:pPr>
            </w:p>
            <w:p w14:paraId="570A88B7" w14:textId="77777777" w:rsidR="007106CD" w:rsidRPr="00E31DD6" w:rsidRDefault="007106CD" w:rsidP="007106CD">
              <w:pPr>
                <w:spacing w:line="360" w:lineRule="auto"/>
                <w:jc w:val="both"/>
                <w:rPr>
                  <w:rFonts w:ascii="Arial" w:hAnsi="Arial" w:cs="Arial"/>
                  <w:b/>
                  <w:bCs/>
                </w:rPr>
              </w:pPr>
            </w:p>
            <w:p w14:paraId="4A2BB2AA" w14:textId="77777777" w:rsidR="007106CD" w:rsidRPr="00E31DD6" w:rsidRDefault="007106CD" w:rsidP="007106CD">
              <w:pPr>
                <w:spacing w:line="360" w:lineRule="auto"/>
                <w:jc w:val="both"/>
                <w:rPr>
                  <w:rFonts w:ascii="Arial" w:hAnsi="Arial" w:cs="Arial"/>
                  <w:b/>
                  <w:bCs/>
                </w:rPr>
              </w:pPr>
            </w:p>
            <w:p w14:paraId="0FC80AFD" w14:textId="77777777" w:rsidR="007106CD" w:rsidRDefault="007106CD" w:rsidP="007106CD">
              <w:pPr>
                <w:spacing w:line="360" w:lineRule="auto"/>
                <w:jc w:val="center"/>
                <w:rPr>
                  <w:rFonts w:ascii="Arial" w:hAnsi="Arial" w:cs="Arial"/>
                  <w:b/>
                </w:rPr>
              </w:pPr>
              <w:r w:rsidRPr="007106CD">
                <w:rPr>
                  <w:rFonts w:ascii="Arial" w:hAnsi="Arial" w:cs="Arial"/>
                  <w:b/>
                </w:rPr>
                <w:t>Health Care System Organisation and Leadership</w:t>
              </w:r>
            </w:p>
            <w:p w14:paraId="43B0BD7E" w14:textId="7F8E43B2" w:rsidR="007106CD" w:rsidRPr="00FA6883" w:rsidRDefault="007106CD" w:rsidP="007106CD">
              <w:pPr>
                <w:spacing w:line="360" w:lineRule="auto"/>
                <w:jc w:val="center"/>
                <w:rPr>
                  <w:rFonts w:ascii="Arial" w:hAnsi="Arial" w:cs="Arial"/>
                </w:rPr>
              </w:pPr>
              <w:r w:rsidRPr="00FA6883">
                <w:rPr>
                  <w:rFonts w:ascii="Arial" w:hAnsi="Arial" w:cs="Arial"/>
                  <w:b/>
                </w:rPr>
                <w:t>Case Study Analysis Report</w:t>
              </w:r>
            </w:p>
            <w:p w14:paraId="2E17DEF7" w14:textId="77777777" w:rsidR="007106CD" w:rsidRPr="004457CC" w:rsidRDefault="007106CD" w:rsidP="007106CD">
              <w:pPr>
                <w:spacing w:line="360" w:lineRule="auto"/>
                <w:jc w:val="center"/>
                <w:rPr>
                  <w:rFonts w:ascii="Arial" w:hAnsi="Arial" w:cs="Arial"/>
                  <w:sz w:val="28"/>
                  <w:szCs w:val="28"/>
                </w:rPr>
              </w:pPr>
            </w:p>
            <w:p w14:paraId="64D16931" w14:textId="77777777" w:rsidR="007106CD" w:rsidRPr="00E31DD6" w:rsidRDefault="007106CD" w:rsidP="007106CD">
              <w:pPr>
                <w:spacing w:line="360" w:lineRule="auto"/>
                <w:jc w:val="both"/>
                <w:rPr>
                  <w:rFonts w:ascii="Arial" w:hAnsi="Arial" w:cs="Arial"/>
                </w:rPr>
              </w:pPr>
            </w:p>
            <w:p w14:paraId="50BD773C" w14:textId="77777777" w:rsidR="007106CD" w:rsidRDefault="007106CD" w:rsidP="007106CD">
              <w:pPr>
                <w:spacing w:line="360" w:lineRule="auto"/>
                <w:jc w:val="both"/>
                <w:rPr>
                  <w:rFonts w:ascii="Arial" w:hAnsi="Arial" w:cs="Arial"/>
                </w:rPr>
              </w:pPr>
            </w:p>
            <w:p w14:paraId="0F940AFF" w14:textId="77777777" w:rsidR="007106CD" w:rsidRPr="00E31DD6" w:rsidRDefault="007106CD" w:rsidP="007106CD">
              <w:pPr>
                <w:spacing w:line="360" w:lineRule="auto"/>
                <w:jc w:val="both"/>
                <w:rPr>
                  <w:rFonts w:ascii="Arial" w:hAnsi="Arial" w:cs="Arial"/>
                </w:rPr>
              </w:pPr>
            </w:p>
            <w:p w14:paraId="3D769614" w14:textId="77777777" w:rsidR="007106CD" w:rsidRPr="00E31DD6" w:rsidRDefault="002F1731" w:rsidP="007106CD">
              <w:pPr>
                <w:spacing w:line="360" w:lineRule="auto"/>
                <w:jc w:val="both"/>
                <w:rPr>
                  <w:rFonts w:ascii="Arial" w:hAnsi="Arial" w:cs="Arial"/>
                </w:rPr>
              </w:pPr>
            </w:p>
          </w:sdtContent>
        </w:sdt>
        <w:p w14:paraId="09685503" w14:textId="77777777" w:rsidR="007106CD" w:rsidRPr="008327D1" w:rsidRDefault="007106CD" w:rsidP="007106CD">
          <w:pPr>
            <w:rPr>
              <w:rFonts w:ascii="Arial" w:hAnsi="Arial" w:cs="Arial"/>
            </w:rPr>
          </w:pPr>
          <w:r w:rsidRPr="008327D1">
            <w:rPr>
              <w:rFonts w:ascii="Arial" w:hAnsi="Arial" w:cs="Arial"/>
              <w:b/>
              <w:bCs/>
            </w:rPr>
            <w:t>Programme:</w:t>
          </w:r>
          <w:r w:rsidRPr="008327D1">
            <w:rPr>
              <w:rFonts w:ascii="Arial" w:hAnsi="Arial" w:cs="Arial"/>
            </w:rPr>
            <w:t xml:space="preserve"> MSc Public Health and Social Care in Practice</w:t>
          </w:r>
        </w:p>
        <w:p w14:paraId="0291FC1B" w14:textId="7DB63E97" w:rsidR="007106CD" w:rsidRPr="008327D1" w:rsidRDefault="007106CD" w:rsidP="007106CD">
          <w:pPr>
            <w:rPr>
              <w:rFonts w:ascii="Arial" w:hAnsi="Arial" w:cs="Arial"/>
            </w:rPr>
          </w:pPr>
          <w:r w:rsidRPr="008327D1">
            <w:rPr>
              <w:rFonts w:ascii="Arial" w:hAnsi="Arial" w:cs="Arial"/>
              <w:b/>
              <w:bCs/>
            </w:rPr>
            <w:t>Module name:</w:t>
          </w:r>
          <w:r w:rsidRPr="008327D1">
            <w:rPr>
              <w:rFonts w:ascii="Arial" w:hAnsi="Arial" w:cs="Arial"/>
            </w:rPr>
            <w:t xml:space="preserve"> </w:t>
          </w:r>
          <w:r w:rsidR="005F4DB6">
            <w:rPr>
              <w:rFonts w:ascii="Arial" w:eastAsia="Times New Roman" w:hAnsi="Arial" w:cs="Arial"/>
              <w:b/>
              <w:bCs/>
              <w:color w:val="000000"/>
              <w:sz w:val="17"/>
              <w:szCs w:val="17"/>
              <w:lang w:bidi="ar-SA"/>
            </w:rPr>
            <w:t>Health Care System Organisation and Leadership</w:t>
          </w:r>
        </w:p>
        <w:p w14:paraId="35814B23" w14:textId="4624BEF3" w:rsidR="007106CD" w:rsidRPr="008327D1" w:rsidRDefault="007106CD" w:rsidP="007106CD">
          <w:pPr>
            <w:rPr>
              <w:rFonts w:ascii="Arial" w:hAnsi="Arial" w:cs="Arial"/>
              <w:b/>
              <w:bCs/>
            </w:rPr>
          </w:pPr>
          <w:r w:rsidRPr="008327D1">
            <w:rPr>
              <w:rFonts w:ascii="Arial" w:hAnsi="Arial" w:cs="Arial"/>
              <w:b/>
              <w:bCs/>
            </w:rPr>
            <w:t xml:space="preserve">Module code: </w:t>
          </w:r>
          <w:r w:rsidR="000524AF">
            <w:rPr>
              <w:rFonts w:ascii="Arial" w:hAnsi="Arial" w:cs="Arial"/>
              <w:b/>
              <w:bCs/>
            </w:rPr>
            <w:t>LCHS700</w:t>
          </w:r>
          <w:r w:rsidR="008C28AA">
            <w:rPr>
              <w:rFonts w:ascii="Arial" w:hAnsi="Arial" w:cs="Arial"/>
              <w:b/>
              <w:bCs/>
            </w:rPr>
            <w:t>2</w:t>
          </w:r>
        </w:p>
        <w:p w14:paraId="34315952" w14:textId="30749137" w:rsidR="00834A3D" w:rsidRDefault="007106CD" w:rsidP="007106CD">
          <w:pPr>
            <w:rPr>
              <w:rFonts w:ascii="Arial" w:hAnsi="Arial" w:cs="Arial"/>
              <w:b/>
              <w:bCs/>
            </w:rPr>
          </w:pPr>
          <w:r w:rsidRPr="008327D1">
            <w:rPr>
              <w:rFonts w:ascii="Arial" w:hAnsi="Arial" w:cs="Arial"/>
              <w:b/>
              <w:bCs/>
            </w:rPr>
            <w:t>Student name:</w:t>
          </w:r>
          <w:r w:rsidR="00834A3D">
            <w:rPr>
              <w:rFonts w:ascii="Arial" w:hAnsi="Arial" w:cs="Arial"/>
              <w:b/>
              <w:bCs/>
            </w:rPr>
            <w:t xml:space="preserve"> Payal</w:t>
          </w:r>
          <w:r w:rsidR="00B540D8">
            <w:rPr>
              <w:rFonts w:ascii="Arial" w:hAnsi="Arial" w:cs="Arial"/>
              <w:b/>
              <w:bCs/>
            </w:rPr>
            <w:t>ben kaushikhbhai</w:t>
          </w:r>
          <w:r w:rsidR="00AD5689">
            <w:rPr>
              <w:rFonts w:ascii="Arial" w:hAnsi="Arial" w:cs="Arial"/>
              <w:b/>
              <w:bCs/>
            </w:rPr>
            <w:t xml:space="preserve"> joshi</w:t>
          </w:r>
        </w:p>
        <w:p w14:paraId="7372D745" w14:textId="4E8C1A08" w:rsidR="007106CD" w:rsidRDefault="007106CD" w:rsidP="007106CD">
          <w:pPr>
            <w:rPr>
              <w:rFonts w:ascii="Arial" w:hAnsi="Arial" w:cs="Arial"/>
              <w:b/>
              <w:bCs/>
            </w:rPr>
          </w:pPr>
          <w:r w:rsidRPr="008327D1">
            <w:rPr>
              <w:rFonts w:ascii="Arial" w:hAnsi="Arial" w:cs="Arial"/>
              <w:b/>
              <w:bCs/>
            </w:rPr>
            <w:t xml:space="preserve">Student ID: </w:t>
          </w:r>
          <w:r w:rsidR="00BB5CB2">
            <w:rPr>
              <w:rFonts w:ascii="Arial" w:hAnsi="Arial" w:cs="Arial"/>
              <w:b/>
              <w:bCs/>
            </w:rPr>
            <w:t>25300</w:t>
          </w:r>
          <w:r w:rsidR="00115F6B">
            <w:rPr>
              <w:rFonts w:ascii="Arial" w:hAnsi="Arial" w:cs="Arial"/>
              <w:b/>
              <w:bCs/>
            </w:rPr>
            <w:t>75</w:t>
          </w:r>
        </w:p>
        <w:p w14:paraId="6F226926" w14:textId="05D7226A" w:rsidR="00EE086D" w:rsidRDefault="007106CD" w:rsidP="00EE086D">
          <w:pPr>
            <w:rPr>
              <w:rFonts w:ascii="Arial" w:hAnsi="Arial" w:cs="Arial"/>
            </w:rPr>
          </w:pPr>
          <w:r w:rsidRPr="008327D1">
            <w:rPr>
              <w:rFonts w:ascii="Arial" w:hAnsi="Arial" w:cs="Arial"/>
              <w:b/>
              <w:bCs/>
            </w:rPr>
            <w:t>Lecturer:</w:t>
          </w:r>
          <w:r w:rsidRPr="008327D1">
            <w:rPr>
              <w:rFonts w:ascii="Arial" w:hAnsi="Arial" w:cs="Arial"/>
            </w:rPr>
            <w:t xml:space="preserve"> </w:t>
          </w:r>
          <w:r w:rsidR="00D91EB2">
            <w:rPr>
              <w:rFonts w:ascii="Arial" w:hAnsi="Arial" w:cs="Arial"/>
            </w:rPr>
            <w:t xml:space="preserve">Dr. </w:t>
          </w:r>
          <w:r w:rsidR="00115F6B">
            <w:rPr>
              <w:rFonts w:ascii="Arial" w:hAnsi="Arial" w:cs="Arial"/>
            </w:rPr>
            <w:t xml:space="preserve">Pascal </w:t>
          </w:r>
          <w:r w:rsidR="000F545C">
            <w:rPr>
              <w:rFonts w:ascii="Arial" w:hAnsi="Arial" w:cs="Arial"/>
            </w:rPr>
            <w:t>na</w:t>
          </w:r>
          <w:r w:rsidR="003209A6">
            <w:rPr>
              <w:rFonts w:ascii="Arial" w:hAnsi="Arial" w:cs="Arial"/>
            </w:rPr>
            <w:t>ve</w:t>
          </w:r>
          <w:r w:rsidR="00B5045E">
            <w:rPr>
              <w:rFonts w:ascii="Arial" w:hAnsi="Arial" w:cs="Arial"/>
            </w:rPr>
            <w:t>lle</w:t>
          </w:r>
        </w:p>
        <w:p w14:paraId="36716933" w14:textId="77777777" w:rsidR="00EE086D" w:rsidRDefault="00EE086D" w:rsidP="00EE086D">
          <w:pPr>
            <w:rPr>
              <w:rFonts w:ascii="Arial" w:hAnsi="Arial" w:cs="Arial"/>
            </w:rPr>
          </w:pPr>
        </w:p>
        <w:p w14:paraId="2F18DFD0" w14:textId="1628CDF2" w:rsidR="00EE086D" w:rsidRDefault="002F1731" w:rsidP="00EE086D">
          <w:pPr>
            <w:rPr>
              <w:caps/>
              <w:color w:val="156082" w:themeColor="accent1"/>
              <w:sz w:val="72"/>
              <w:szCs w:val="72"/>
            </w:rPr>
          </w:pPr>
        </w:p>
      </w:sdtContent>
    </w:sdt>
    <w:sdt>
      <w:sdtPr>
        <w:rPr>
          <w:rFonts w:ascii="Arial" w:eastAsiaTheme="minorHAnsi" w:hAnsi="Arial" w:cs="Arial"/>
          <w:color w:val="auto"/>
          <w:kern w:val="2"/>
          <w:sz w:val="24"/>
          <w:szCs w:val="24"/>
          <w:lang w:val="en-GB"/>
          <w14:ligatures w14:val="standardContextual"/>
        </w:rPr>
        <w:id w:val="829944089"/>
        <w:docPartObj>
          <w:docPartGallery w:val="Table of Contents"/>
          <w:docPartUnique/>
        </w:docPartObj>
      </w:sdtPr>
      <w:sdtEndPr/>
      <w:sdtContent>
        <w:p w14:paraId="640F92BF" w14:textId="7407E228" w:rsidR="00DE0020" w:rsidRPr="00837EEC" w:rsidRDefault="00DE0020" w:rsidP="00837EEC">
          <w:pPr>
            <w:pStyle w:val="TOCHeading"/>
            <w:spacing w:line="360" w:lineRule="auto"/>
            <w:rPr>
              <w:rFonts w:ascii="Arial" w:hAnsi="Arial" w:cs="Arial"/>
              <w:sz w:val="24"/>
              <w:szCs w:val="24"/>
            </w:rPr>
          </w:pPr>
          <w:r w:rsidRPr="00837EEC">
            <w:rPr>
              <w:rFonts w:ascii="Arial" w:hAnsi="Arial" w:cs="Arial"/>
              <w:sz w:val="24"/>
              <w:szCs w:val="24"/>
              <w:lang w:val="en-GB"/>
            </w:rPr>
            <w:t>Table of Contents</w:t>
          </w:r>
        </w:p>
        <w:p w14:paraId="79D2B91D" w14:textId="77658BCA" w:rsidR="00DE0020" w:rsidRPr="00837EEC" w:rsidRDefault="00DE0020" w:rsidP="00837EEC">
          <w:pPr>
            <w:pStyle w:val="TOC1"/>
            <w:tabs>
              <w:tab w:val="right" w:leader="dot" w:pos="9016"/>
            </w:tabs>
            <w:spacing w:line="360" w:lineRule="auto"/>
            <w:rPr>
              <w:rFonts w:ascii="Arial" w:hAnsi="Arial" w:cs="Arial"/>
              <w:noProof/>
            </w:rPr>
          </w:pPr>
          <w:r w:rsidRPr="00837EEC">
            <w:rPr>
              <w:rFonts w:ascii="Arial" w:hAnsi="Arial" w:cs="Arial"/>
            </w:rPr>
            <w:fldChar w:fldCharType="begin"/>
          </w:r>
          <w:r w:rsidRPr="00837EEC">
            <w:rPr>
              <w:rFonts w:ascii="Arial" w:hAnsi="Arial" w:cs="Arial"/>
            </w:rPr>
            <w:instrText xml:space="preserve"> TOC \o "1-3" \h \z \u </w:instrText>
          </w:r>
          <w:r w:rsidRPr="00837EEC">
            <w:rPr>
              <w:rFonts w:ascii="Arial" w:hAnsi="Arial" w:cs="Arial"/>
            </w:rPr>
            <w:fldChar w:fldCharType="separate"/>
          </w:r>
          <w:hyperlink w:anchor="_Toc237170822" w:history="1">
            <w:r w:rsidRPr="00837EEC">
              <w:rPr>
                <w:rStyle w:val="Hyperlink"/>
                <w:rFonts w:ascii="Arial" w:hAnsi="Arial" w:cs="Arial"/>
                <w:noProof/>
                <w:lang w:val="en-US"/>
              </w:rPr>
              <w:t>1. Introduction</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_Toc237170822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3</w:t>
            </w:r>
            <w:r w:rsidRPr="00837EEC">
              <w:rPr>
                <w:rStyle w:val="Hyperlink"/>
                <w:rFonts w:ascii="Arial" w:hAnsi="Arial" w:cs="Arial"/>
                <w:noProof/>
              </w:rPr>
              <w:fldChar w:fldCharType="end"/>
            </w:r>
          </w:hyperlink>
        </w:p>
        <w:p w14:paraId="2414862C" w14:textId="4ED1DE80" w:rsidR="00DE0020" w:rsidRPr="00837EEC" w:rsidRDefault="00DE0020" w:rsidP="00837EEC">
          <w:pPr>
            <w:pStyle w:val="TOC2"/>
            <w:tabs>
              <w:tab w:val="right" w:leader="dot" w:pos="9016"/>
            </w:tabs>
            <w:spacing w:line="360" w:lineRule="auto"/>
            <w:rPr>
              <w:rFonts w:ascii="Arial" w:hAnsi="Arial" w:cs="Arial"/>
              <w:noProof/>
            </w:rPr>
          </w:pPr>
          <w:hyperlink w:anchor="_Toc237170823" w:history="1">
            <w:r w:rsidRPr="00837EEC">
              <w:rPr>
                <w:rStyle w:val="Hyperlink"/>
                <w:rFonts w:ascii="Arial" w:hAnsi="Arial" w:cs="Arial"/>
                <w:noProof/>
                <w:lang w:val="en-US"/>
              </w:rPr>
              <w:t>1.1 Background of the Case Study</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_Toc237170823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3</w:t>
            </w:r>
            <w:r w:rsidRPr="00837EEC">
              <w:rPr>
                <w:rStyle w:val="Hyperlink"/>
                <w:rFonts w:ascii="Arial" w:hAnsi="Arial" w:cs="Arial"/>
                <w:noProof/>
              </w:rPr>
              <w:fldChar w:fldCharType="end"/>
            </w:r>
          </w:hyperlink>
        </w:p>
        <w:p w14:paraId="426C0A8B" w14:textId="2E5D5CF9" w:rsidR="00DE0020" w:rsidRPr="00837EEC" w:rsidRDefault="00DE0020" w:rsidP="00837EEC">
          <w:pPr>
            <w:pStyle w:val="TOC2"/>
            <w:tabs>
              <w:tab w:val="right" w:leader="dot" w:pos="9016"/>
            </w:tabs>
            <w:spacing w:line="360" w:lineRule="auto"/>
            <w:rPr>
              <w:rFonts w:ascii="Arial" w:hAnsi="Arial" w:cs="Arial"/>
              <w:noProof/>
            </w:rPr>
          </w:pPr>
          <w:hyperlink w:anchor="_Toc237170824" w:history="1">
            <w:r w:rsidRPr="00837EEC">
              <w:rPr>
                <w:rStyle w:val="Hyperlink"/>
                <w:rFonts w:ascii="Arial" w:hAnsi="Arial" w:cs="Arial"/>
                <w:noProof/>
                <w:lang w:val="en-US"/>
              </w:rPr>
              <w:t>1.2 Leadership in Health and Social Care</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_Toc237170824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4</w:t>
            </w:r>
            <w:r w:rsidRPr="00837EEC">
              <w:rPr>
                <w:rStyle w:val="Hyperlink"/>
                <w:rFonts w:ascii="Arial" w:hAnsi="Arial" w:cs="Arial"/>
                <w:noProof/>
              </w:rPr>
              <w:fldChar w:fldCharType="end"/>
            </w:r>
          </w:hyperlink>
        </w:p>
        <w:p w14:paraId="45DD580D" w14:textId="677BCB22" w:rsidR="00DE0020" w:rsidRPr="00837EEC" w:rsidRDefault="00DE0020" w:rsidP="00837EEC">
          <w:pPr>
            <w:pStyle w:val="TOC2"/>
            <w:tabs>
              <w:tab w:val="right" w:leader="dot" w:pos="9016"/>
            </w:tabs>
            <w:spacing w:line="360" w:lineRule="auto"/>
            <w:rPr>
              <w:rFonts w:ascii="Arial" w:hAnsi="Arial" w:cs="Arial"/>
              <w:noProof/>
            </w:rPr>
          </w:pPr>
          <w:hyperlink w:anchor="_Toc237170825" w:history="1">
            <w:r w:rsidRPr="00837EEC">
              <w:rPr>
                <w:rStyle w:val="Hyperlink"/>
                <w:rFonts w:ascii="Arial" w:hAnsi="Arial" w:cs="Arial"/>
                <w:noProof/>
                <w:lang w:val="en-US"/>
              </w:rPr>
              <w:t>1.3 Importance of Leadership</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_Toc237170825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4</w:t>
            </w:r>
            <w:r w:rsidRPr="00837EEC">
              <w:rPr>
                <w:rStyle w:val="Hyperlink"/>
                <w:rFonts w:ascii="Arial" w:hAnsi="Arial" w:cs="Arial"/>
                <w:noProof/>
              </w:rPr>
              <w:fldChar w:fldCharType="end"/>
            </w:r>
          </w:hyperlink>
        </w:p>
        <w:p w14:paraId="5787D798" w14:textId="35DB47DC" w:rsidR="00DE0020" w:rsidRPr="00837EEC" w:rsidRDefault="00DE0020" w:rsidP="00837EEC">
          <w:pPr>
            <w:pStyle w:val="TOC1"/>
            <w:tabs>
              <w:tab w:val="right" w:leader="dot" w:pos="9016"/>
            </w:tabs>
            <w:spacing w:line="360" w:lineRule="auto"/>
            <w:rPr>
              <w:rFonts w:ascii="Arial" w:hAnsi="Arial" w:cs="Arial"/>
              <w:noProof/>
            </w:rPr>
          </w:pPr>
          <w:hyperlink w:anchor="_Toc237170826" w:history="1">
            <w:r w:rsidRPr="00837EEC">
              <w:rPr>
                <w:rStyle w:val="Hyperlink"/>
                <w:rFonts w:ascii="Arial" w:hAnsi="Arial" w:cs="Arial"/>
                <w:noProof/>
                <w:lang w:val="en-US"/>
              </w:rPr>
              <w:t>2. Main Body</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_Toc237170826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5</w:t>
            </w:r>
            <w:r w:rsidRPr="00837EEC">
              <w:rPr>
                <w:rStyle w:val="Hyperlink"/>
                <w:rFonts w:ascii="Arial" w:hAnsi="Arial" w:cs="Arial"/>
                <w:noProof/>
              </w:rPr>
              <w:fldChar w:fldCharType="end"/>
            </w:r>
          </w:hyperlink>
        </w:p>
        <w:p w14:paraId="1166B924" w14:textId="6C8D6078" w:rsidR="00DE0020" w:rsidRPr="00837EEC" w:rsidRDefault="00DE0020" w:rsidP="00837EEC">
          <w:pPr>
            <w:pStyle w:val="TOC1"/>
            <w:tabs>
              <w:tab w:val="right" w:leader="dot" w:pos="9016"/>
            </w:tabs>
            <w:spacing w:line="360" w:lineRule="auto"/>
            <w:rPr>
              <w:rFonts w:ascii="Arial" w:hAnsi="Arial" w:cs="Arial"/>
              <w:noProof/>
            </w:rPr>
          </w:pPr>
          <w:hyperlink w:anchor="_Toc237170827" w:history="1">
            <w:r w:rsidRPr="00837EEC">
              <w:rPr>
                <w:rStyle w:val="Hyperlink"/>
                <w:rFonts w:ascii="Arial" w:hAnsi="Arial" w:cs="Arial"/>
                <w:noProof/>
                <w:lang w:val="en-US"/>
              </w:rPr>
              <w:t>2.1 Identifying the Problem and Setting the System Context</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_Toc237170827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5</w:t>
            </w:r>
            <w:r w:rsidRPr="00837EEC">
              <w:rPr>
                <w:rStyle w:val="Hyperlink"/>
                <w:rFonts w:ascii="Arial" w:hAnsi="Arial" w:cs="Arial"/>
                <w:noProof/>
              </w:rPr>
              <w:fldChar w:fldCharType="end"/>
            </w:r>
          </w:hyperlink>
        </w:p>
        <w:p w14:paraId="2CD9422B" w14:textId="454D83CC" w:rsidR="00DE0020" w:rsidRPr="00837EEC" w:rsidRDefault="00DE0020" w:rsidP="00837EEC">
          <w:pPr>
            <w:pStyle w:val="TOC2"/>
            <w:tabs>
              <w:tab w:val="right" w:leader="dot" w:pos="9016"/>
            </w:tabs>
            <w:spacing w:line="360" w:lineRule="auto"/>
            <w:rPr>
              <w:rFonts w:ascii="Arial" w:hAnsi="Arial" w:cs="Arial"/>
              <w:noProof/>
            </w:rPr>
          </w:pPr>
          <w:hyperlink w:anchor="_Toc237170828" w:history="1">
            <w:r w:rsidRPr="00837EEC">
              <w:rPr>
                <w:rStyle w:val="Hyperlink"/>
                <w:rFonts w:ascii="Arial" w:hAnsi="Arial" w:cs="Arial"/>
                <w:noProof/>
                <w:lang w:val="en-US"/>
              </w:rPr>
              <w:t>2.1.1 Identifying the Central Problem</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_Toc237170828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5</w:t>
            </w:r>
            <w:r w:rsidRPr="00837EEC">
              <w:rPr>
                <w:rStyle w:val="Hyperlink"/>
                <w:rFonts w:ascii="Arial" w:hAnsi="Arial" w:cs="Arial"/>
                <w:noProof/>
              </w:rPr>
              <w:fldChar w:fldCharType="end"/>
            </w:r>
          </w:hyperlink>
        </w:p>
        <w:p w14:paraId="25CC25EB" w14:textId="4AB429BC" w:rsidR="00DE0020" w:rsidRPr="00837EEC" w:rsidRDefault="00DE0020" w:rsidP="00837EEC">
          <w:pPr>
            <w:pStyle w:val="TOC2"/>
            <w:tabs>
              <w:tab w:val="right" w:leader="dot" w:pos="9016"/>
            </w:tabs>
            <w:spacing w:line="360" w:lineRule="auto"/>
            <w:rPr>
              <w:rFonts w:ascii="Arial" w:hAnsi="Arial" w:cs="Arial"/>
              <w:noProof/>
            </w:rPr>
          </w:pPr>
          <w:hyperlink w:anchor="_Toc237170829" w:history="1">
            <w:r w:rsidRPr="00837EEC">
              <w:rPr>
                <w:rStyle w:val="Hyperlink"/>
                <w:rFonts w:ascii="Arial" w:hAnsi="Arial" w:cs="Arial"/>
                <w:noProof/>
                <w:lang w:val="en-US"/>
              </w:rPr>
              <w:t>2.1.2 Global and National Context of the Problem</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_Toc237170829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5</w:t>
            </w:r>
            <w:r w:rsidRPr="00837EEC">
              <w:rPr>
                <w:rStyle w:val="Hyperlink"/>
                <w:rFonts w:ascii="Arial" w:hAnsi="Arial" w:cs="Arial"/>
                <w:noProof/>
              </w:rPr>
              <w:fldChar w:fldCharType="end"/>
            </w:r>
          </w:hyperlink>
        </w:p>
        <w:p w14:paraId="23D767FD" w14:textId="53063352" w:rsidR="00DE0020" w:rsidRPr="00837EEC" w:rsidRDefault="00DE0020" w:rsidP="00837EEC">
          <w:pPr>
            <w:pStyle w:val="TOC2"/>
            <w:tabs>
              <w:tab w:val="right" w:leader="dot" w:pos="9016"/>
            </w:tabs>
            <w:spacing w:line="360" w:lineRule="auto"/>
            <w:rPr>
              <w:rFonts w:ascii="Arial" w:hAnsi="Arial" w:cs="Arial"/>
              <w:noProof/>
            </w:rPr>
          </w:pPr>
          <w:hyperlink w:anchor="_Toc237170830" w:history="1">
            <w:r w:rsidRPr="00837EEC">
              <w:rPr>
                <w:rStyle w:val="Hyperlink"/>
                <w:rFonts w:ascii="Arial" w:hAnsi="Arial" w:cs="Arial"/>
                <w:noProof/>
                <w:lang w:val="en-US"/>
              </w:rPr>
              <w:t>2.1.3 Organisational and Governance Challenges</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_Toc237170830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6</w:t>
            </w:r>
            <w:r w:rsidRPr="00837EEC">
              <w:rPr>
                <w:rStyle w:val="Hyperlink"/>
                <w:rFonts w:ascii="Arial" w:hAnsi="Arial" w:cs="Arial"/>
                <w:noProof/>
              </w:rPr>
              <w:fldChar w:fldCharType="end"/>
            </w:r>
          </w:hyperlink>
        </w:p>
        <w:p w14:paraId="19BD108E" w14:textId="02E60729" w:rsidR="00DE0020" w:rsidRPr="00837EEC" w:rsidRDefault="00DE0020" w:rsidP="00837EEC">
          <w:pPr>
            <w:pStyle w:val="TOC2"/>
            <w:tabs>
              <w:tab w:val="right" w:leader="dot" w:pos="9016"/>
            </w:tabs>
            <w:spacing w:line="360" w:lineRule="auto"/>
            <w:rPr>
              <w:rFonts w:ascii="Arial" w:hAnsi="Arial" w:cs="Arial"/>
              <w:noProof/>
            </w:rPr>
          </w:pPr>
          <w:hyperlink w:anchor="_Toc237170831" w:history="1">
            <w:r w:rsidRPr="00837EEC">
              <w:rPr>
                <w:rStyle w:val="Hyperlink"/>
                <w:rFonts w:ascii="Arial" w:hAnsi="Arial" w:cs="Arial"/>
                <w:noProof/>
                <w:lang w:val="en-US"/>
              </w:rPr>
              <w:t>2.1.4 Underlying Challenges Affecting Patient Safety</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_Toc237170831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7</w:t>
            </w:r>
            <w:r w:rsidRPr="00837EEC">
              <w:rPr>
                <w:rStyle w:val="Hyperlink"/>
                <w:rFonts w:ascii="Arial" w:hAnsi="Arial" w:cs="Arial"/>
                <w:noProof/>
              </w:rPr>
              <w:fldChar w:fldCharType="end"/>
            </w:r>
          </w:hyperlink>
        </w:p>
        <w:p w14:paraId="0530E18B" w14:textId="0D855F50" w:rsidR="00DE0020" w:rsidRPr="00837EEC" w:rsidRDefault="00DE0020" w:rsidP="00837EEC">
          <w:pPr>
            <w:pStyle w:val="TOC1"/>
            <w:tabs>
              <w:tab w:val="right" w:leader="dot" w:pos="9016"/>
            </w:tabs>
            <w:spacing w:line="360" w:lineRule="auto"/>
            <w:rPr>
              <w:rFonts w:ascii="Arial" w:hAnsi="Arial" w:cs="Arial"/>
              <w:noProof/>
            </w:rPr>
          </w:pPr>
          <w:hyperlink w:anchor="_Toc237170832" w:history="1">
            <w:r w:rsidRPr="00837EEC">
              <w:rPr>
                <w:rStyle w:val="Hyperlink"/>
                <w:rFonts w:ascii="Arial" w:hAnsi="Arial" w:cs="Arial"/>
                <w:noProof/>
              </w:rPr>
              <w:t>2.2 Centralisation or Decentralisation within the Case Study</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_Toc237170832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8</w:t>
            </w:r>
            <w:r w:rsidRPr="00837EEC">
              <w:rPr>
                <w:rStyle w:val="Hyperlink"/>
                <w:rFonts w:ascii="Arial" w:hAnsi="Arial" w:cs="Arial"/>
                <w:noProof/>
              </w:rPr>
              <w:fldChar w:fldCharType="end"/>
            </w:r>
          </w:hyperlink>
        </w:p>
        <w:p w14:paraId="3F494FB0" w14:textId="14BA93CC" w:rsidR="00DE0020" w:rsidRPr="00837EEC" w:rsidRDefault="00DE0020" w:rsidP="00837EEC">
          <w:pPr>
            <w:pStyle w:val="TOC2"/>
            <w:tabs>
              <w:tab w:val="right" w:leader="dot" w:pos="9016"/>
            </w:tabs>
            <w:spacing w:line="360" w:lineRule="auto"/>
            <w:rPr>
              <w:rFonts w:ascii="Arial" w:hAnsi="Arial" w:cs="Arial"/>
              <w:noProof/>
            </w:rPr>
          </w:pPr>
          <w:hyperlink w:anchor="_Toc237170833" w:history="1">
            <w:r w:rsidRPr="00837EEC">
              <w:rPr>
                <w:rStyle w:val="Hyperlink"/>
                <w:rFonts w:ascii="Arial" w:hAnsi="Arial" w:cs="Arial"/>
                <w:noProof/>
                <w:lang w:val="en-US"/>
              </w:rPr>
              <w:t>2.2.1 Centralised Decision-Making in the Case</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_Toc237170833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8</w:t>
            </w:r>
            <w:r w:rsidRPr="00837EEC">
              <w:rPr>
                <w:rStyle w:val="Hyperlink"/>
                <w:rFonts w:ascii="Arial" w:hAnsi="Arial" w:cs="Arial"/>
                <w:noProof/>
              </w:rPr>
              <w:fldChar w:fldCharType="end"/>
            </w:r>
          </w:hyperlink>
        </w:p>
        <w:p w14:paraId="7A82E3A2" w14:textId="19401B1B" w:rsidR="00DE0020" w:rsidRPr="00837EEC" w:rsidRDefault="00DE0020" w:rsidP="00837EEC">
          <w:pPr>
            <w:pStyle w:val="TOC2"/>
            <w:tabs>
              <w:tab w:val="right" w:leader="dot" w:pos="9016"/>
            </w:tabs>
            <w:spacing w:line="360" w:lineRule="auto"/>
            <w:rPr>
              <w:rFonts w:ascii="Arial" w:hAnsi="Arial" w:cs="Arial"/>
              <w:noProof/>
            </w:rPr>
          </w:pPr>
          <w:hyperlink w:anchor="_Toc237170834" w:history="1">
            <w:r w:rsidRPr="00837EEC">
              <w:rPr>
                <w:rStyle w:val="Hyperlink"/>
                <w:rFonts w:ascii="Arial" w:hAnsi="Arial" w:cs="Arial"/>
                <w:noProof/>
                <w:lang w:val="en-US"/>
              </w:rPr>
              <w:t>2.2.2 Advantages and Disadvantages of Centralisation</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_Toc237170834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8</w:t>
            </w:r>
            <w:r w:rsidRPr="00837EEC">
              <w:rPr>
                <w:rStyle w:val="Hyperlink"/>
                <w:rFonts w:ascii="Arial" w:hAnsi="Arial" w:cs="Arial"/>
                <w:noProof/>
              </w:rPr>
              <w:fldChar w:fldCharType="end"/>
            </w:r>
          </w:hyperlink>
        </w:p>
        <w:p w14:paraId="0A63AFBF" w14:textId="39976F03" w:rsidR="00DE0020" w:rsidRPr="00837EEC" w:rsidRDefault="00DE0020" w:rsidP="00837EEC">
          <w:pPr>
            <w:pStyle w:val="TOC2"/>
            <w:tabs>
              <w:tab w:val="right" w:leader="dot" w:pos="9016"/>
            </w:tabs>
            <w:spacing w:line="360" w:lineRule="auto"/>
            <w:rPr>
              <w:rFonts w:ascii="Arial" w:hAnsi="Arial" w:cs="Arial"/>
              <w:noProof/>
            </w:rPr>
          </w:pPr>
          <w:hyperlink w:anchor="_Toc237170835" w:history="1">
            <w:r w:rsidRPr="00837EEC">
              <w:rPr>
                <w:rStyle w:val="Hyperlink"/>
                <w:rFonts w:ascii="Arial" w:hAnsi="Arial" w:cs="Arial"/>
                <w:noProof/>
                <w:lang w:val="en-US"/>
              </w:rPr>
              <w:t>2.2.3 Decentralisation and Distributed Authority</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_Toc237170835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9</w:t>
            </w:r>
            <w:r w:rsidRPr="00837EEC">
              <w:rPr>
                <w:rStyle w:val="Hyperlink"/>
                <w:rFonts w:ascii="Arial" w:hAnsi="Arial" w:cs="Arial"/>
                <w:noProof/>
              </w:rPr>
              <w:fldChar w:fldCharType="end"/>
            </w:r>
          </w:hyperlink>
        </w:p>
        <w:p w14:paraId="2D59E976" w14:textId="3A7A496C" w:rsidR="00DE0020" w:rsidRPr="00837EEC" w:rsidRDefault="00DE0020" w:rsidP="00837EEC">
          <w:pPr>
            <w:pStyle w:val="TOC2"/>
            <w:tabs>
              <w:tab w:val="right" w:leader="dot" w:pos="9016"/>
            </w:tabs>
            <w:spacing w:line="360" w:lineRule="auto"/>
            <w:rPr>
              <w:rFonts w:ascii="Arial" w:hAnsi="Arial" w:cs="Arial"/>
              <w:noProof/>
            </w:rPr>
          </w:pPr>
          <w:hyperlink w:anchor="_Toc237170836" w:history="1">
            <w:r w:rsidRPr="00837EEC">
              <w:rPr>
                <w:rStyle w:val="Hyperlink"/>
                <w:rFonts w:ascii="Arial" w:hAnsi="Arial" w:cs="Arial"/>
                <w:noProof/>
                <w:lang w:val="en-US"/>
              </w:rPr>
              <w:t>2.2.4 Advantages and Disadvantages of Decentralisation</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_Toc237170836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10</w:t>
            </w:r>
            <w:r w:rsidRPr="00837EEC">
              <w:rPr>
                <w:rStyle w:val="Hyperlink"/>
                <w:rFonts w:ascii="Arial" w:hAnsi="Arial" w:cs="Arial"/>
                <w:noProof/>
              </w:rPr>
              <w:fldChar w:fldCharType="end"/>
            </w:r>
          </w:hyperlink>
        </w:p>
        <w:p w14:paraId="6D5E1ABF" w14:textId="6D83E468" w:rsidR="00DE0020" w:rsidRPr="00837EEC" w:rsidRDefault="00DE0020" w:rsidP="00837EEC">
          <w:pPr>
            <w:pStyle w:val="TOC2"/>
            <w:tabs>
              <w:tab w:val="right" w:leader="dot" w:pos="9016"/>
            </w:tabs>
            <w:spacing w:line="360" w:lineRule="auto"/>
            <w:rPr>
              <w:rFonts w:ascii="Arial" w:hAnsi="Arial" w:cs="Arial"/>
              <w:noProof/>
            </w:rPr>
          </w:pPr>
          <w:hyperlink w:anchor="_Toc237170837" w:history="1">
            <w:r w:rsidRPr="00837EEC">
              <w:rPr>
                <w:rStyle w:val="Hyperlink"/>
                <w:rFonts w:ascii="Arial" w:hAnsi="Arial" w:cs="Arial"/>
                <w:noProof/>
                <w:lang w:val="en-US"/>
              </w:rPr>
              <w:t>2.2.5 Critical Comparison and Case Application</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_Toc237170837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10</w:t>
            </w:r>
            <w:r w:rsidRPr="00837EEC">
              <w:rPr>
                <w:rStyle w:val="Hyperlink"/>
                <w:rFonts w:ascii="Arial" w:hAnsi="Arial" w:cs="Arial"/>
                <w:noProof/>
              </w:rPr>
              <w:fldChar w:fldCharType="end"/>
            </w:r>
          </w:hyperlink>
        </w:p>
        <w:p w14:paraId="4E350B25" w14:textId="275EADAB" w:rsidR="00DE0020" w:rsidRPr="00837EEC" w:rsidRDefault="00DE0020" w:rsidP="00837EEC">
          <w:pPr>
            <w:pStyle w:val="TOC1"/>
            <w:tabs>
              <w:tab w:val="right" w:leader="dot" w:pos="9016"/>
            </w:tabs>
            <w:spacing w:line="360" w:lineRule="auto"/>
            <w:rPr>
              <w:rFonts w:ascii="Arial" w:hAnsi="Arial" w:cs="Arial"/>
              <w:noProof/>
            </w:rPr>
          </w:pPr>
          <w:hyperlink w:anchor="_Toc237170838" w:history="1">
            <w:r w:rsidRPr="00837EEC">
              <w:rPr>
                <w:rStyle w:val="Hyperlink"/>
                <w:rFonts w:ascii="Arial" w:hAnsi="Arial" w:cs="Arial"/>
                <w:noProof/>
                <w:lang w:val="en-US"/>
              </w:rPr>
              <w:t>2.3 Leadership Theories and Application to the Case Study</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_Toc237170838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11</w:t>
            </w:r>
            <w:r w:rsidRPr="00837EEC">
              <w:rPr>
                <w:rStyle w:val="Hyperlink"/>
                <w:rFonts w:ascii="Arial" w:hAnsi="Arial" w:cs="Arial"/>
                <w:noProof/>
              </w:rPr>
              <w:fldChar w:fldCharType="end"/>
            </w:r>
          </w:hyperlink>
        </w:p>
        <w:p w14:paraId="63F96AB9" w14:textId="0EDD484E" w:rsidR="00DE0020" w:rsidRPr="00837EEC" w:rsidRDefault="00DE0020" w:rsidP="00837EEC">
          <w:pPr>
            <w:pStyle w:val="TOC2"/>
            <w:tabs>
              <w:tab w:val="right" w:leader="dot" w:pos="9016"/>
            </w:tabs>
            <w:spacing w:line="360" w:lineRule="auto"/>
            <w:rPr>
              <w:rFonts w:ascii="Arial" w:hAnsi="Arial" w:cs="Arial"/>
              <w:noProof/>
            </w:rPr>
          </w:pPr>
          <w:hyperlink w:anchor="_Toc237170839" w:history="1">
            <w:r w:rsidRPr="00837EEC">
              <w:rPr>
                <w:rStyle w:val="Hyperlink"/>
                <w:rFonts w:ascii="Arial" w:hAnsi="Arial" w:cs="Arial"/>
                <w:noProof/>
                <w:lang w:val="en-US"/>
              </w:rPr>
              <w:t>2.3.1 Transformational Leadership</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_Toc237170839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11</w:t>
            </w:r>
            <w:r w:rsidRPr="00837EEC">
              <w:rPr>
                <w:rStyle w:val="Hyperlink"/>
                <w:rFonts w:ascii="Arial" w:hAnsi="Arial" w:cs="Arial"/>
                <w:noProof/>
              </w:rPr>
              <w:fldChar w:fldCharType="end"/>
            </w:r>
          </w:hyperlink>
        </w:p>
        <w:p w14:paraId="728024B4" w14:textId="51B1127A" w:rsidR="00DE0020" w:rsidRPr="00837EEC" w:rsidRDefault="00DE0020" w:rsidP="00837EEC">
          <w:pPr>
            <w:pStyle w:val="TOC2"/>
            <w:tabs>
              <w:tab w:val="right" w:leader="dot" w:pos="9016"/>
            </w:tabs>
            <w:spacing w:line="360" w:lineRule="auto"/>
            <w:rPr>
              <w:rFonts w:ascii="Arial" w:hAnsi="Arial" w:cs="Arial"/>
              <w:noProof/>
            </w:rPr>
          </w:pPr>
          <w:hyperlink w:anchor="_Toc237170840" w:history="1">
            <w:r w:rsidRPr="00837EEC">
              <w:rPr>
                <w:rStyle w:val="Hyperlink"/>
                <w:rFonts w:ascii="Arial" w:hAnsi="Arial" w:cs="Arial"/>
                <w:noProof/>
                <w:lang w:val="en-US"/>
              </w:rPr>
              <w:t>2.3.2 Transactional Leadership</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_Toc237170840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11</w:t>
            </w:r>
            <w:r w:rsidRPr="00837EEC">
              <w:rPr>
                <w:rStyle w:val="Hyperlink"/>
                <w:rFonts w:ascii="Arial" w:hAnsi="Arial" w:cs="Arial"/>
                <w:noProof/>
              </w:rPr>
              <w:fldChar w:fldCharType="end"/>
            </w:r>
          </w:hyperlink>
        </w:p>
        <w:p w14:paraId="390D0401" w14:textId="636B93C9" w:rsidR="00DE0020" w:rsidRPr="00837EEC" w:rsidRDefault="00DE0020" w:rsidP="00837EEC">
          <w:pPr>
            <w:pStyle w:val="TOC2"/>
            <w:tabs>
              <w:tab w:val="right" w:leader="dot" w:pos="9016"/>
            </w:tabs>
            <w:spacing w:line="360" w:lineRule="auto"/>
            <w:rPr>
              <w:rFonts w:ascii="Arial" w:hAnsi="Arial" w:cs="Arial"/>
              <w:noProof/>
            </w:rPr>
          </w:pPr>
          <w:hyperlink w:anchor="_Toc237170841" w:history="1">
            <w:r w:rsidRPr="00837EEC">
              <w:rPr>
                <w:rStyle w:val="Hyperlink"/>
                <w:rFonts w:ascii="Arial" w:hAnsi="Arial" w:cs="Arial"/>
                <w:noProof/>
                <w:lang w:val="en-US"/>
              </w:rPr>
              <w:t>2.3.3 Situational Leadership</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_Toc237170841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12</w:t>
            </w:r>
            <w:r w:rsidRPr="00837EEC">
              <w:rPr>
                <w:rStyle w:val="Hyperlink"/>
                <w:rFonts w:ascii="Arial" w:hAnsi="Arial" w:cs="Arial"/>
                <w:noProof/>
              </w:rPr>
              <w:fldChar w:fldCharType="end"/>
            </w:r>
          </w:hyperlink>
        </w:p>
        <w:p w14:paraId="435F6285" w14:textId="050430AA" w:rsidR="00DE0020" w:rsidRPr="00837EEC" w:rsidRDefault="00DE0020" w:rsidP="00837EEC">
          <w:pPr>
            <w:pStyle w:val="TOC2"/>
            <w:tabs>
              <w:tab w:val="right" w:leader="dot" w:pos="9016"/>
            </w:tabs>
            <w:spacing w:line="360" w:lineRule="auto"/>
            <w:rPr>
              <w:rFonts w:ascii="Arial" w:hAnsi="Arial" w:cs="Arial"/>
              <w:noProof/>
            </w:rPr>
          </w:pPr>
          <w:hyperlink w:anchor="_Toc237170842" w:history="1">
            <w:r w:rsidRPr="00837EEC">
              <w:rPr>
                <w:rStyle w:val="Hyperlink"/>
                <w:rFonts w:ascii="Arial" w:hAnsi="Arial" w:cs="Arial"/>
                <w:noProof/>
                <w:lang w:val="en-US"/>
              </w:rPr>
              <w:t>2.3.4 Reactive Versus Proactive Leadership</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_Toc237170842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13</w:t>
            </w:r>
            <w:r w:rsidRPr="00837EEC">
              <w:rPr>
                <w:rStyle w:val="Hyperlink"/>
                <w:rFonts w:ascii="Arial" w:hAnsi="Arial" w:cs="Arial"/>
                <w:noProof/>
              </w:rPr>
              <w:fldChar w:fldCharType="end"/>
            </w:r>
          </w:hyperlink>
        </w:p>
        <w:p w14:paraId="3D535F15" w14:textId="791FA6B1" w:rsidR="00DE0020" w:rsidRPr="00837EEC" w:rsidRDefault="00DE0020" w:rsidP="00837EEC">
          <w:pPr>
            <w:pStyle w:val="TOC2"/>
            <w:tabs>
              <w:tab w:val="right" w:leader="dot" w:pos="9016"/>
            </w:tabs>
            <w:spacing w:line="360" w:lineRule="auto"/>
            <w:rPr>
              <w:rFonts w:ascii="Arial" w:hAnsi="Arial" w:cs="Arial"/>
              <w:noProof/>
            </w:rPr>
          </w:pPr>
          <w:hyperlink w:anchor="_Toc237170843" w:history="1">
            <w:r w:rsidRPr="00837EEC">
              <w:rPr>
                <w:rStyle w:val="Hyperlink"/>
                <w:rFonts w:ascii="Arial" w:hAnsi="Arial" w:cs="Arial"/>
                <w:noProof/>
                <w:lang w:val="en-US"/>
              </w:rPr>
              <w:t>2.3.5 Emotional Intelligence and Distributed Leadership</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_Toc237170843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13</w:t>
            </w:r>
            <w:r w:rsidRPr="00837EEC">
              <w:rPr>
                <w:rStyle w:val="Hyperlink"/>
                <w:rFonts w:ascii="Arial" w:hAnsi="Arial" w:cs="Arial"/>
                <w:noProof/>
              </w:rPr>
              <w:fldChar w:fldCharType="end"/>
            </w:r>
          </w:hyperlink>
        </w:p>
        <w:p w14:paraId="42738F81" w14:textId="26A7B78B" w:rsidR="00DE0020" w:rsidRPr="00837EEC" w:rsidRDefault="00DE0020" w:rsidP="00837EEC">
          <w:pPr>
            <w:pStyle w:val="TOC1"/>
            <w:tabs>
              <w:tab w:val="right" w:leader="dot" w:pos="9016"/>
            </w:tabs>
            <w:spacing w:line="360" w:lineRule="auto"/>
            <w:rPr>
              <w:rFonts w:ascii="Arial" w:hAnsi="Arial" w:cs="Arial"/>
              <w:noProof/>
            </w:rPr>
          </w:pPr>
          <w:hyperlink w:anchor="_Toc237170844" w:history="1">
            <w:r w:rsidRPr="00837EEC">
              <w:rPr>
                <w:rStyle w:val="Hyperlink"/>
                <w:rFonts w:ascii="Arial" w:hAnsi="Arial" w:cs="Arial"/>
                <w:noProof/>
                <w:lang w:val="en-US"/>
              </w:rPr>
              <w:t xml:space="preserve">2.4 </w:t>
            </w:r>
            <w:r w:rsidRPr="00837EEC">
              <w:rPr>
                <w:rStyle w:val="Hyperlink"/>
                <w:rFonts w:ascii="Arial" w:hAnsi="Arial" w:cs="Arial"/>
                <w:noProof/>
              </w:rPr>
              <w:t>Leadership and Governance for Patient Safety Improvement</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_Toc237170844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14</w:t>
            </w:r>
            <w:r w:rsidRPr="00837EEC">
              <w:rPr>
                <w:rStyle w:val="Hyperlink"/>
                <w:rFonts w:ascii="Arial" w:hAnsi="Arial" w:cs="Arial"/>
                <w:noProof/>
              </w:rPr>
              <w:fldChar w:fldCharType="end"/>
            </w:r>
          </w:hyperlink>
        </w:p>
        <w:p w14:paraId="665530C3" w14:textId="2A723FBC" w:rsidR="00DE0020" w:rsidRPr="00837EEC" w:rsidRDefault="00DE0020" w:rsidP="00837EEC">
          <w:pPr>
            <w:pStyle w:val="TOC2"/>
            <w:tabs>
              <w:tab w:val="right" w:leader="dot" w:pos="9016"/>
            </w:tabs>
            <w:spacing w:line="360" w:lineRule="auto"/>
            <w:rPr>
              <w:rFonts w:ascii="Arial" w:hAnsi="Arial" w:cs="Arial"/>
              <w:noProof/>
            </w:rPr>
          </w:pPr>
          <w:hyperlink w:anchor="_Toc237170845" w:history="1">
            <w:r w:rsidRPr="00837EEC">
              <w:rPr>
                <w:rStyle w:val="Hyperlink"/>
                <w:rFonts w:ascii="Arial" w:hAnsi="Arial" w:cs="Arial"/>
                <w:noProof/>
                <w:lang w:val="en-US"/>
              </w:rPr>
              <w:t>2.4.1 Leadership and Governance Failures</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_Toc237170845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14</w:t>
            </w:r>
            <w:r w:rsidRPr="00837EEC">
              <w:rPr>
                <w:rStyle w:val="Hyperlink"/>
                <w:rFonts w:ascii="Arial" w:hAnsi="Arial" w:cs="Arial"/>
                <w:noProof/>
              </w:rPr>
              <w:fldChar w:fldCharType="end"/>
            </w:r>
          </w:hyperlink>
        </w:p>
        <w:p w14:paraId="6D3C8E11" w14:textId="3C0E2128" w:rsidR="00DE0020" w:rsidRPr="00837EEC" w:rsidRDefault="00DE0020" w:rsidP="00837EEC">
          <w:pPr>
            <w:pStyle w:val="TOC2"/>
            <w:tabs>
              <w:tab w:val="right" w:leader="dot" w:pos="9016"/>
            </w:tabs>
            <w:spacing w:line="360" w:lineRule="auto"/>
            <w:rPr>
              <w:rFonts w:ascii="Arial" w:hAnsi="Arial" w:cs="Arial"/>
              <w:noProof/>
            </w:rPr>
          </w:pPr>
          <w:hyperlink w:anchor="_Toc237170846" w:history="1">
            <w:r w:rsidRPr="00837EEC">
              <w:rPr>
                <w:rStyle w:val="Hyperlink"/>
                <w:rFonts w:ascii="Arial" w:hAnsi="Arial" w:cs="Arial"/>
                <w:noProof/>
                <w:lang w:val="en-US"/>
              </w:rPr>
              <w:t>2.4.2 Strengthening Escalation and Accountability</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_Toc237170846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14</w:t>
            </w:r>
            <w:r w:rsidRPr="00837EEC">
              <w:rPr>
                <w:rStyle w:val="Hyperlink"/>
                <w:rFonts w:ascii="Arial" w:hAnsi="Arial" w:cs="Arial"/>
                <w:noProof/>
              </w:rPr>
              <w:fldChar w:fldCharType="end"/>
            </w:r>
          </w:hyperlink>
        </w:p>
        <w:p w14:paraId="47230B3A" w14:textId="701F7EB3" w:rsidR="00DE0020" w:rsidRPr="00837EEC" w:rsidRDefault="00DE0020" w:rsidP="00837EEC">
          <w:pPr>
            <w:pStyle w:val="TOC2"/>
            <w:tabs>
              <w:tab w:val="right" w:leader="dot" w:pos="9016"/>
            </w:tabs>
            <w:spacing w:line="360" w:lineRule="auto"/>
            <w:rPr>
              <w:rFonts w:ascii="Arial" w:hAnsi="Arial" w:cs="Arial"/>
              <w:noProof/>
            </w:rPr>
          </w:pPr>
          <w:hyperlink w:anchor="_Toc237170847" w:history="1">
            <w:r w:rsidRPr="00837EEC">
              <w:rPr>
                <w:rStyle w:val="Hyperlink"/>
                <w:rFonts w:ascii="Arial" w:hAnsi="Arial" w:cs="Arial"/>
                <w:noProof/>
                <w:lang w:val="en-US"/>
              </w:rPr>
              <w:t>2.4.3 Improving Communication and Teamwork</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_Toc237170847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15</w:t>
            </w:r>
            <w:r w:rsidRPr="00837EEC">
              <w:rPr>
                <w:rStyle w:val="Hyperlink"/>
                <w:rFonts w:ascii="Arial" w:hAnsi="Arial" w:cs="Arial"/>
                <w:noProof/>
              </w:rPr>
              <w:fldChar w:fldCharType="end"/>
            </w:r>
          </w:hyperlink>
        </w:p>
        <w:p w14:paraId="26727D06" w14:textId="2BED0633" w:rsidR="00DE0020" w:rsidRPr="00837EEC" w:rsidRDefault="00DE0020" w:rsidP="00837EEC">
          <w:pPr>
            <w:pStyle w:val="TOC2"/>
            <w:tabs>
              <w:tab w:val="right" w:leader="dot" w:pos="9016"/>
            </w:tabs>
            <w:spacing w:line="360" w:lineRule="auto"/>
            <w:rPr>
              <w:rFonts w:ascii="Arial" w:hAnsi="Arial" w:cs="Arial"/>
              <w:noProof/>
            </w:rPr>
          </w:pPr>
          <w:hyperlink w:anchor="_Toc237170848" w:history="1">
            <w:r w:rsidRPr="00837EEC">
              <w:rPr>
                <w:rStyle w:val="Hyperlink"/>
                <w:rFonts w:ascii="Arial" w:hAnsi="Arial" w:cs="Arial"/>
                <w:noProof/>
                <w:lang w:val="en-US"/>
              </w:rPr>
              <w:t>2.4.4 Patient and Family Involvement</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_Toc237170848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15</w:t>
            </w:r>
            <w:r w:rsidRPr="00837EEC">
              <w:rPr>
                <w:rStyle w:val="Hyperlink"/>
                <w:rFonts w:ascii="Arial" w:hAnsi="Arial" w:cs="Arial"/>
                <w:noProof/>
              </w:rPr>
              <w:fldChar w:fldCharType="end"/>
            </w:r>
          </w:hyperlink>
        </w:p>
        <w:p w14:paraId="11331790" w14:textId="6FCE6612" w:rsidR="00DE0020" w:rsidRPr="00837EEC" w:rsidRDefault="00DE0020" w:rsidP="00837EEC">
          <w:pPr>
            <w:pStyle w:val="TOC2"/>
            <w:tabs>
              <w:tab w:val="right" w:leader="dot" w:pos="9016"/>
            </w:tabs>
            <w:spacing w:line="360" w:lineRule="auto"/>
            <w:rPr>
              <w:rFonts w:ascii="Arial" w:hAnsi="Arial" w:cs="Arial"/>
              <w:noProof/>
            </w:rPr>
          </w:pPr>
          <w:hyperlink w:anchor="_Toc237170849" w:history="1">
            <w:r w:rsidRPr="00837EEC">
              <w:rPr>
                <w:rStyle w:val="Hyperlink"/>
                <w:rFonts w:ascii="Arial" w:hAnsi="Arial" w:cs="Arial"/>
                <w:noProof/>
                <w:lang w:val="en-US"/>
              </w:rPr>
              <w:t>2.4.5 Data, Feedback and Continuous Improvement</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_Toc237170849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16</w:t>
            </w:r>
            <w:r w:rsidRPr="00837EEC">
              <w:rPr>
                <w:rStyle w:val="Hyperlink"/>
                <w:rFonts w:ascii="Arial" w:hAnsi="Arial" w:cs="Arial"/>
                <w:noProof/>
              </w:rPr>
              <w:fldChar w:fldCharType="end"/>
            </w:r>
          </w:hyperlink>
        </w:p>
        <w:p w14:paraId="701BB49E" w14:textId="0934C44F" w:rsidR="00DE0020" w:rsidRPr="00837EEC" w:rsidRDefault="00DE0020" w:rsidP="00837EEC">
          <w:pPr>
            <w:pStyle w:val="TOC2"/>
            <w:tabs>
              <w:tab w:val="right" w:leader="dot" w:pos="9016"/>
            </w:tabs>
            <w:spacing w:line="360" w:lineRule="auto"/>
            <w:rPr>
              <w:rFonts w:ascii="Arial" w:hAnsi="Arial" w:cs="Arial"/>
              <w:noProof/>
            </w:rPr>
          </w:pPr>
          <w:hyperlink w:anchor="_Toc237170850" w:history="1">
            <w:r w:rsidRPr="00837EEC">
              <w:rPr>
                <w:rStyle w:val="Hyperlink"/>
                <w:rFonts w:ascii="Arial" w:hAnsi="Arial" w:cs="Arial"/>
                <w:noProof/>
                <w:lang w:val="en-US"/>
              </w:rPr>
              <w:t>2.4.6 Integrated Lessons for Healthcare Organisations</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_Toc237170850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17</w:t>
            </w:r>
            <w:r w:rsidRPr="00837EEC">
              <w:rPr>
                <w:rStyle w:val="Hyperlink"/>
                <w:rFonts w:ascii="Arial" w:hAnsi="Arial" w:cs="Arial"/>
                <w:noProof/>
              </w:rPr>
              <w:fldChar w:fldCharType="end"/>
            </w:r>
          </w:hyperlink>
        </w:p>
        <w:p w14:paraId="71ED1246" w14:textId="01738358" w:rsidR="00DE0020" w:rsidRPr="00837EEC" w:rsidRDefault="00DE0020" w:rsidP="00837EEC">
          <w:pPr>
            <w:pStyle w:val="TOC1"/>
            <w:tabs>
              <w:tab w:val="right" w:leader="dot" w:pos="9016"/>
            </w:tabs>
            <w:spacing w:line="360" w:lineRule="auto"/>
            <w:rPr>
              <w:rFonts w:ascii="Arial" w:hAnsi="Arial" w:cs="Arial"/>
              <w:noProof/>
            </w:rPr>
          </w:pPr>
          <w:hyperlink w:anchor="_Toc237170851" w:history="1">
            <w:r w:rsidRPr="00837EEC">
              <w:rPr>
                <w:rStyle w:val="Hyperlink"/>
                <w:rFonts w:ascii="Arial" w:hAnsi="Arial" w:cs="Arial"/>
                <w:noProof/>
                <w:lang w:val="en-US"/>
              </w:rPr>
              <w:t>3. Recommendations</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_Toc237170851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17</w:t>
            </w:r>
            <w:r w:rsidRPr="00837EEC">
              <w:rPr>
                <w:rStyle w:val="Hyperlink"/>
                <w:rFonts w:ascii="Arial" w:hAnsi="Arial" w:cs="Arial"/>
                <w:noProof/>
              </w:rPr>
              <w:fldChar w:fldCharType="end"/>
            </w:r>
          </w:hyperlink>
        </w:p>
        <w:p w14:paraId="2EE2F174" w14:textId="73EDD598" w:rsidR="00DE0020" w:rsidRPr="00837EEC" w:rsidRDefault="00DE0020" w:rsidP="00837EEC">
          <w:pPr>
            <w:pStyle w:val="TOC1"/>
            <w:tabs>
              <w:tab w:val="right" w:leader="dot" w:pos="9016"/>
            </w:tabs>
            <w:spacing w:line="360" w:lineRule="auto"/>
            <w:rPr>
              <w:rFonts w:ascii="Arial" w:hAnsi="Arial" w:cs="Arial"/>
              <w:noProof/>
            </w:rPr>
          </w:pPr>
          <w:hyperlink w:anchor="_Toc237170852" w:history="1">
            <w:r w:rsidRPr="00837EEC">
              <w:rPr>
                <w:rStyle w:val="Hyperlink"/>
                <w:rFonts w:ascii="Arial" w:hAnsi="Arial" w:cs="Arial"/>
                <w:noProof/>
                <w:lang w:val="en-US"/>
              </w:rPr>
              <w:t>4. Conclusion</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_Toc237170852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19</w:t>
            </w:r>
            <w:r w:rsidRPr="00837EEC">
              <w:rPr>
                <w:rStyle w:val="Hyperlink"/>
                <w:rFonts w:ascii="Arial" w:hAnsi="Arial" w:cs="Arial"/>
                <w:noProof/>
              </w:rPr>
              <w:fldChar w:fldCharType="end"/>
            </w:r>
          </w:hyperlink>
        </w:p>
        <w:p w14:paraId="5355C9E1" w14:textId="4A1CF197" w:rsidR="00DE0020" w:rsidRPr="00837EEC" w:rsidRDefault="00DE0020" w:rsidP="00837EEC">
          <w:pPr>
            <w:pStyle w:val="TOC1"/>
            <w:tabs>
              <w:tab w:val="right" w:leader="dot" w:pos="9016"/>
            </w:tabs>
            <w:spacing w:line="360" w:lineRule="auto"/>
            <w:rPr>
              <w:rFonts w:ascii="Arial" w:hAnsi="Arial" w:cs="Arial"/>
              <w:noProof/>
            </w:rPr>
          </w:pPr>
          <w:hyperlink w:anchor="_Toc237170853" w:history="1">
            <w:r w:rsidRPr="00837EEC">
              <w:rPr>
                <w:rStyle w:val="Hyperlink"/>
                <w:rFonts w:ascii="Arial" w:hAnsi="Arial" w:cs="Arial"/>
                <w:noProof/>
                <w:lang w:val="en-US"/>
              </w:rPr>
              <w:t>References</w:t>
            </w:r>
            <w:r w:rsidRPr="00837EEC">
              <w:rPr>
                <w:rFonts w:ascii="Arial" w:hAnsi="Arial" w:cs="Arial"/>
                <w:noProof/>
                <w:webHidden/>
              </w:rPr>
              <w:tab/>
            </w:r>
            <w:r w:rsidRPr="00837EEC">
              <w:rPr>
                <w:rStyle w:val="Hyperlink"/>
                <w:rFonts w:ascii="Arial" w:hAnsi="Arial" w:cs="Arial"/>
                <w:noProof/>
              </w:rPr>
              <w:fldChar w:fldCharType="begin"/>
            </w:r>
            <w:r w:rsidRPr="00837EEC">
              <w:rPr>
                <w:rFonts w:ascii="Arial" w:hAnsi="Arial" w:cs="Arial"/>
                <w:noProof/>
                <w:webHidden/>
              </w:rPr>
              <w:instrText xml:space="preserve"> PAGEREF _Toc237170853 \h </w:instrText>
            </w:r>
            <w:r w:rsidRPr="00837EEC">
              <w:rPr>
                <w:rStyle w:val="Hyperlink"/>
                <w:rFonts w:ascii="Arial" w:hAnsi="Arial" w:cs="Arial"/>
                <w:noProof/>
              </w:rPr>
            </w:r>
            <w:r w:rsidRPr="00837EEC">
              <w:rPr>
                <w:rStyle w:val="Hyperlink"/>
                <w:rFonts w:ascii="Arial" w:hAnsi="Arial" w:cs="Arial"/>
                <w:noProof/>
              </w:rPr>
              <w:fldChar w:fldCharType="separate"/>
            </w:r>
            <w:r w:rsidR="00837EEC">
              <w:rPr>
                <w:rFonts w:ascii="Arial" w:hAnsi="Arial" w:cs="Arial"/>
                <w:noProof/>
                <w:webHidden/>
              </w:rPr>
              <w:t>20</w:t>
            </w:r>
            <w:r w:rsidRPr="00837EEC">
              <w:rPr>
                <w:rStyle w:val="Hyperlink"/>
                <w:rFonts w:ascii="Arial" w:hAnsi="Arial" w:cs="Arial"/>
                <w:noProof/>
              </w:rPr>
              <w:fldChar w:fldCharType="end"/>
            </w:r>
          </w:hyperlink>
        </w:p>
        <w:p w14:paraId="447D9C2D" w14:textId="430D65D1" w:rsidR="00DE0020" w:rsidRPr="00837EEC" w:rsidRDefault="00DE0020" w:rsidP="00837EEC">
          <w:pPr>
            <w:spacing w:line="360" w:lineRule="auto"/>
            <w:rPr>
              <w:rFonts w:ascii="Arial" w:hAnsi="Arial" w:cs="Arial"/>
            </w:rPr>
          </w:pPr>
          <w:r w:rsidRPr="00837EEC">
            <w:rPr>
              <w:rFonts w:ascii="Arial" w:hAnsi="Arial" w:cs="Arial"/>
              <w:b/>
              <w:bCs/>
            </w:rPr>
            <w:fldChar w:fldCharType="end"/>
          </w:r>
        </w:p>
      </w:sdtContent>
    </w:sdt>
    <w:p w14:paraId="6D64BE01" w14:textId="77777777" w:rsidR="00DE0020" w:rsidRPr="00837EEC" w:rsidRDefault="00DE0020" w:rsidP="00837EEC">
      <w:pPr>
        <w:spacing w:line="360" w:lineRule="auto"/>
        <w:jc w:val="both"/>
        <w:rPr>
          <w:rFonts w:ascii="Arial" w:hAnsi="Arial" w:cs="Arial"/>
        </w:rPr>
      </w:pPr>
    </w:p>
    <w:p w14:paraId="66B36207" w14:textId="77777777" w:rsidR="00DE0020" w:rsidRPr="00837EEC" w:rsidRDefault="00DE0020" w:rsidP="00837EEC">
      <w:pPr>
        <w:spacing w:line="360" w:lineRule="auto"/>
        <w:jc w:val="both"/>
        <w:rPr>
          <w:rFonts w:ascii="Arial" w:hAnsi="Arial" w:cs="Arial"/>
        </w:rPr>
      </w:pPr>
    </w:p>
    <w:p w14:paraId="3204C42D" w14:textId="77777777" w:rsidR="00DE0020" w:rsidRPr="00837EEC" w:rsidRDefault="00DE0020" w:rsidP="00837EEC">
      <w:pPr>
        <w:spacing w:line="360" w:lineRule="auto"/>
        <w:jc w:val="both"/>
        <w:rPr>
          <w:rFonts w:ascii="Arial" w:hAnsi="Arial" w:cs="Arial"/>
        </w:rPr>
      </w:pPr>
    </w:p>
    <w:p w14:paraId="5F28CB23" w14:textId="77777777" w:rsidR="00DE0020" w:rsidRPr="00837EEC" w:rsidRDefault="00DE0020" w:rsidP="00837EEC">
      <w:pPr>
        <w:spacing w:line="360" w:lineRule="auto"/>
        <w:jc w:val="both"/>
        <w:rPr>
          <w:rFonts w:ascii="Arial" w:hAnsi="Arial" w:cs="Arial"/>
        </w:rPr>
      </w:pPr>
    </w:p>
    <w:p w14:paraId="16A8480E" w14:textId="77777777" w:rsidR="00DE0020" w:rsidRPr="00837EEC" w:rsidRDefault="00DE0020" w:rsidP="00837EEC">
      <w:pPr>
        <w:spacing w:line="360" w:lineRule="auto"/>
        <w:jc w:val="both"/>
        <w:rPr>
          <w:rFonts w:ascii="Arial" w:hAnsi="Arial" w:cs="Arial"/>
        </w:rPr>
      </w:pPr>
    </w:p>
    <w:p w14:paraId="64156753" w14:textId="77777777" w:rsidR="00DE0020" w:rsidRPr="00837EEC" w:rsidRDefault="00DE0020" w:rsidP="00837EEC">
      <w:pPr>
        <w:spacing w:line="360" w:lineRule="auto"/>
        <w:jc w:val="both"/>
        <w:rPr>
          <w:rFonts w:ascii="Arial" w:hAnsi="Arial" w:cs="Arial"/>
        </w:rPr>
      </w:pPr>
    </w:p>
    <w:p w14:paraId="703678C0" w14:textId="77777777" w:rsidR="00DE0020" w:rsidRPr="00837EEC" w:rsidRDefault="00DE0020" w:rsidP="00837EEC">
      <w:pPr>
        <w:spacing w:line="360" w:lineRule="auto"/>
        <w:jc w:val="both"/>
        <w:rPr>
          <w:rFonts w:ascii="Arial" w:hAnsi="Arial" w:cs="Arial"/>
        </w:rPr>
      </w:pPr>
    </w:p>
    <w:p w14:paraId="06262952" w14:textId="77777777" w:rsidR="00DE0020" w:rsidRPr="00837EEC" w:rsidRDefault="00DE0020" w:rsidP="00837EEC">
      <w:pPr>
        <w:spacing w:line="360" w:lineRule="auto"/>
        <w:jc w:val="both"/>
        <w:rPr>
          <w:rFonts w:ascii="Arial" w:hAnsi="Arial" w:cs="Arial"/>
        </w:rPr>
      </w:pPr>
    </w:p>
    <w:p w14:paraId="428EFE5F" w14:textId="77777777" w:rsidR="00DE0020" w:rsidRDefault="00DE0020" w:rsidP="005640A7">
      <w:pPr>
        <w:spacing w:line="360" w:lineRule="auto"/>
        <w:jc w:val="both"/>
        <w:rPr>
          <w:rFonts w:ascii="Arial" w:hAnsi="Arial" w:cs="Arial"/>
        </w:rPr>
      </w:pPr>
    </w:p>
    <w:p w14:paraId="4F62816F" w14:textId="77777777" w:rsidR="00DE0020" w:rsidRDefault="00DE0020" w:rsidP="005640A7">
      <w:pPr>
        <w:spacing w:line="360" w:lineRule="auto"/>
        <w:jc w:val="both"/>
        <w:rPr>
          <w:rFonts w:ascii="Arial" w:hAnsi="Arial" w:cs="Arial"/>
        </w:rPr>
      </w:pPr>
    </w:p>
    <w:p w14:paraId="22806087" w14:textId="77777777" w:rsidR="00DE0020" w:rsidRDefault="00DE0020" w:rsidP="005640A7">
      <w:pPr>
        <w:spacing w:line="360" w:lineRule="auto"/>
        <w:jc w:val="both"/>
        <w:rPr>
          <w:rFonts w:ascii="Arial" w:hAnsi="Arial" w:cs="Arial"/>
        </w:rPr>
      </w:pPr>
    </w:p>
    <w:p w14:paraId="5B832308" w14:textId="77777777" w:rsidR="00DE0020" w:rsidRDefault="00DE0020" w:rsidP="005640A7">
      <w:pPr>
        <w:spacing w:line="360" w:lineRule="auto"/>
        <w:jc w:val="both"/>
        <w:rPr>
          <w:rFonts w:ascii="Arial" w:hAnsi="Arial" w:cs="Arial"/>
        </w:rPr>
      </w:pPr>
    </w:p>
    <w:p w14:paraId="50AA9C16" w14:textId="77777777" w:rsidR="00DE0020" w:rsidRDefault="00DE0020" w:rsidP="005640A7">
      <w:pPr>
        <w:spacing w:line="360" w:lineRule="auto"/>
        <w:jc w:val="both"/>
        <w:rPr>
          <w:rFonts w:ascii="Arial" w:hAnsi="Arial" w:cs="Arial"/>
        </w:rPr>
      </w:pPr>
    </w:p>
    <w:p w14:paraId="0754CB46" w14:textId="77777777" w:rsidR="00DE0020" w:rsidRDefault="00DE0020" w:rsidP="005640A7">
      <w:pPr>
        <w:spacing w:line="360" w:lineRule="auto"/>
        <w:jc w:val="both"/>
        <w:rPr>
          <w:rFonts w:ascii="Arial" w:hAnsi="Arial" w:cs="Arial"/>
        </w:rPr>
      </w:pPr>
    </w:p>
    <w:p w14:paraId="369B4D05" w14:textId="77777777" w:rsidR="00DE0020" w:rsidRDefault="00DE0020" w:rsidP="005640A7">
      <w:pPr>
        <w:spacing w:line="360" w:lineRule="auto"/>
        <w:jc w:val="both"/>
        <w:rPr>
          <w:rFonts w:ascii="Arial" w:hAnsi="Arial" w:cs="Arial"/>
        </w:rPr>
      </w:pPr>
    </w:p>
    <w:p w14:paraId="6D58D6ED" w14:textId="77777777" w:rsidR="00DE0020" w:rsidRDefault="00DE0020" w:rsidP="005640A7">
      <w:pPr>
        <w:spacing w:line="360" w:lineRule="auto"/>
        <w:jc w:val="both"/>
        <w:rPr>
          <w:rFonts w:ascii="Arial" w:hAnsi="Arial" w:cs="Arial"/>
        </w:rPr>
      </w:pPr>
    </w:p>
    <w:p w14:paraId="48EEE2A7" w14:textId="77777777" w:rsidR="00DE0020" w:rsidRDefault="00DE0020" w:rsidP="005640A7">
      <w:pPr>
        <w:spacing w:line="360" w:lineRule="auto"/>
        <w:jc w:val="both"/>
        <w:rPr>
          <w:rFonts w:ascii="Arial" w:hAnsi="Arial" w:cs="Arial"/>
        </w:rPr>
      </w:pPr>
    </w:p>
    <w:p w14:paraId="550AC4B8" w14:textId="77777777" w:rsidR="00DE0020" w:rsidRDefault="00DE0020" w:rsidP="005640A7">
      <w:pPr>
        <w:spacing w:line="360" w:lineRule="auto"/>
        <w:jc w:val="both"/>
        <w:rPr>
          <w:rFonts w:ascii="Arial" w:hAnsi="Arial" w:cs="Arial"/>
        </w:rPr>
      </w:pPr>
    </w:p>
    <w:p w14:paraId="5DE559A8" w14:textId="3B05D6CE" w:rsidR="00F32F87" w:rsidRPr="005640A7" w:rsidRDefault="00F32F87" w:rsidP="005640A7">
      <w:pPr>
        <w:spacing w:line="360" w:lineRule="auto"/>
        <w:jc w:val="both"/>
        <w:rPr>
          <w:rFonts w:ascii="Arial" w:eastAsiaTheme="majorEastAsia" w:hAnsi="Arial" w:cs="Arial"/>
          <w:caps/>
          <w:color w:val="156082" w:themeColor="accent1"/>
          <w:kern w:val="0"/>
          <w:sz w:val="72"/>
          <w:szCs w:val="72"/>
          <w:lang w:val="en-US" w:bidi="ar-SA"/>
        </w:rPr>
      </w:pPr>
      <w:r w:rsidRPr="005640A7">
        <w:rPr>
          <w:rFonts w:ascii="Arial" w:hAnsi="Arial" w:cs="Arial"/>
        </w:rPr>
        <w:t>The Lewis Blackman story is</w:t>
      </w:r>
      <w:r w:rsidRPr="005640A7">
        <w:rPr>
          <w:rFonts w:ascii="Arial" w:hAnsi="Arial" w:cs="Arial"/>
          <w:b/>
          <w:bCs/>
        </w:rPr>
        <w:t> </w:t>
      </w:r>
      <w:r w:rsidRPr="005640A7">
        <w:rPr>
          <w:rFonts w:ascii="Arial" w:hAnsi="Arial" w:cs="Arial"/>
        </w:rPr>
        <w:t xml:space="preserve">a case of medical malpractice and negligence that resulted in the death of a 15-year-old boy after surgery. His mother, Helen Haskell, has spoken publicly about the events that led to his death and the failures of the hospital system to prevent it. The story illustrates the effects of cognitive biases, power dynamics, and fragmented care delivery on patient safety and quality. </w:t>
      </w:r>
      <w:r w:rsidR="001C62F7" w:rsidRPr="005640A7">
        <w:rPr>
          <w:rFonts w:ascii="Arial" w:eastAsiaTheme="majorEastAsia" w:hAnsi="Arial" w:cs="Arial"/>
          <w:caps/>
          <w:color w:val="156082" w:themeColor="accent1"/>
          <w:kern w:val="0"/>
          <w:sz w:val="72"/>
          <w:szCs w:val="72"/>
          <w:lang w:val="en-US" w:bidi="ar-SA"/>
        </w:rPr>
        <w:t xml:space="preserve"> </w:t>
      </w:r>
      <w:hyperlink r:id="rId7" w:history="1">
        <w:r w:rsidRPr="005640A7">
          <w:rPr>
            <w:rStyle w:val="Hyperlink"/>
            <w:rFonts w:ascii="Arial" w:hAnsi="Arial" w:cs="Arial"/>
            <w:i/>
            <w:iCs/>
          </w:rPr>
          <w:t>https://psmf.org/story/lewis-blackman/</w:t>
        </w:r>
      </w:hyperlink>
    </w:p>
    <w:p w14:paraId="7779307A" w14:textId="2B6DA109" w:rsidR="00FA6883" w:rsidRPr="00FA6883" w:rsidRDefault="00FA6883" w:rsidP="00FA6883">
      <w:pPr>
        <w:pStyle w:val="Heading1"/>
        <w:spacing w:line="360" w:lineRule="auto"/>
        <w:jc w:val="both"/>
        <w:rPr>
          <w:sz w:val="24"/>
          <w:szCs w:val="24"/>
          <w:lang w:val="en-US"/>
        </w:rPr>
      </w:pPr>
      <w:bookmarkStart w:id="0" w:name="_Toc237170822"/>
      <w:r w:rsidRPr="00FA6883">
        <w:rPr>
          <w:sz w:val="24"/>
          <w:szCs w:val="24"/>
          <w:lang w:val="en-US"/>
        </w:rPr>
        <w:t>1. Introduction</w:t>
      </w:r>
      <w:bookmarkEnd w:id="0"/>
    </w:p>
    <w:p w14:paraId="7F45B958" w14:textId="3F4373EB" w:rsidR="00FA6883" w:rsidRPr="00FA6883" w:rsidRDefault="00FA6883" w:rsidP="00FA6883">
      <w:pPr>
        <w:pStyle w:val="Heading2"/>
        <w:spacing w:line="360" w:lineRule="auto"/>
        <w:jc w:val="both"/>
        <w:rPr>
          <w:lang w:val="en-US"/>
        </w:rPr>
      </w:pPr>
      <w:bookmarkStart w:id="1" w:name="_Toc237170823"/>
      <w:r w:rsidRPr="00FA6883">
        <w:rPr>
          <w:lang w:val="en-US"/>
        </w:rPr>
        <w:t>1.1 Background of the Case Study</w:t>
      </w:r>
      <w:bookmarkEnd w:id="1"/>
    </w:p>
    <w:p w14:paraId="30E45D14" w14:textId="32A2777F" w:rsidR="00FA6883" w:rsidRPr="00FA6883" w:rsidRDefault="00FA6883" w:rsidP="00FA6883">
      <w:pPr>
        <w:spacing w:line="360" w:lineRule="auto"/>
        <w:jc w:val="both"/>
        <w:rPr>
          <w:rFonts w:ascii="Arial" w:hAnsi="Arial" w:cs="Arial"/>
          <w:lang w:val="en-US"/>
        </w:rPr>
      </w:pPr>
      <w:r w:rsidRPr="00FA6883">
        <w:rPr>
          <w:rFonts w:ascii="Arial" w:hAnsi="Arial" w:cs="Arial"/>
          <w:lang w:val="en-US"/>
        </w:rPr>
        <w:t>Healthcare organisations are expected to provide safe, effective, and patient-centred care through strong leadership, effective communication, and robust governance systems</w:t>
      </w:r>
      <w:r w:rsidR="00FE24AD">
        <w:rPr>
          <w:rFonts w:ascii="Arial" w:hAnsi="Arial" w:cs="Arial"/>
          <w:lang w:val="en-US"/>
        </w:rPr>
        <w:t xml:space="preserve"> (</w:t>
      </w:r>
      <w:r w:rsidR="00FE24AD" w:rsidRPr="00FE24AD">
        <w:rPr>
          <w:rFonts w:ascii="Arial" w:hAnsi="Arial" w:cs="Arial"/>
        </w:rPr>
        <w:t>Taylor</w:t>
      </w:r>
      <w:r w:rsidR="00FE24AD">
        <w:rPr>
          <w:rFonts w:ascii="Arial" w:hAnsi="Arial" w:cs="Arial"/>
        </w:rPr>
        <w:t xml:space="preserve"> and </w:t>
      </w:r>
      <w:r w:rsidR="00FE24AD" w:rsidRPr="00FE24AD">
        <w:rPr>
          <w:rFonts w:ascii="Arial" w:hAnsi="Arial" w:cs="Arial"/>
        </w:rPr>
        <w:t>Staniszewska</w:t>
      </w:r>
      <w:r w:rsidR="00FE24AD">
        <w:rPr>
          <w:rFonts w:ascii="Arial" w:hAnsi="Arial" w:cs="Arial"/>
        </w:rPr>
        <w:t>, 2023)</w:t>
      </w:r>
      <w:r w:rsidRPr="00FA6883">
        <w:rPr>
          <w:rFonts w:ascii="Arial" w:hAnsi="Arial" w:cs="Arial"/>
          <w:lang w:val="en-US"/>
        </w:rPr>
        <w:t>. However, failures in these areas can lead to serious patient harm and preventable deaths. The Lewis Blackman case is a significant example of medical negligence and organisational failure that continues to influence patient safety initiatives worldwide</w:t>
      </w:r>
      <w:r w:rsidR="00365540">
        <w:rPr>
          <w:rFonts w:ascii="Arial" w:hAnsi="Arial" w:cs="Arial"/>
          <w:lang w:val="en-US"/>
        </w:rPr>
        <w:t xml:space="preserve"> (</w:t>
      </w:r>
      <w:r w:rsidR="00365540" w:rsidRPr="00365540">
        <w:rPr>
          <w:rFonts w:ascii="Arial" w:hAnsi="Arial" w:cs="Arial"/>
        </w:rPr>
        <w:t>Mushta</w:t>
      </w:r>
      <w:r w:rsidR="00365540">
        <w:rPr>
          <w:rFonts w:ascii="Arial" w:hAnsi="Arial" w:cs="Arial"/>
        </w:rPr>
        <w:t xml:space="preserve"> et al, 2018)</w:t>
      </w:r>
      <w:r w:rsidRPr="00FA6883">
        <w:rPr>
          <w:rFonts w:ascii="Arial" w:hAnsi="Arial" w:cs="Arial"/>
          <w:lang w:val="en-US"/>
        </w:rPr>
        <w:t>. Lewis Blackman, a 15-year-old boy, died following routine surgery after repeated signs of clinical deterioration were not recognised or escalated by healthcare professionals</w:t>
      </w:r>
      <w:r w:rsidR="00110B36">
        <w:rPr>
          <w:rFonts w:ascii="Arial" w:hAnsi="Arial" w:cs="Arial"/>
          <w:lang w:val="en-US"/>
        </w:rPr>
        <w:t xml:space="preserve"> (</w:t>
      </w:r>
      <w:r w:rsidR="00110B36" w:rsidRPr="00110B36">
        <w:rPr>
          <w:rFonts w:ascii="Arial" w:hAnsi="Arial" w:cs="Arial"/>
        </w:rPr>
        <w:t>Moody-Williams</w:t>
      </w:r>
      <w:r w:rsidR="00110B36">
        <w:rPr>
          <w:rFonts w:ascii="Arial" w:hAnsi="Arial" w:cs="Arial"/>
        </w:rPr>
        <w:t>, 2020)</w:t>
      </w:r>
      <w:r w:rsidRPr="00FA6883">
        <w:rPr>
          <w:rFonts w:ascii="Arial" w:hAnsi="Arial" w:cs="Arial"/>
          <w:lang w:val="en-US"/>
        </w:rPr>
        <w:t>. Despite continuous concerns raised by his mother, communication failures, fragmented care, delayed clinical decision-making, and inadequate supervision prevented timely intervention</w:t>
      </w:r>
      <w:r w:rsidR="00297448">
        <w:rPr>
          <w:rFonts w:ascii="Arial" w:hAnsi="Arial" w:cs="Arial"/>
          <w:lang w:val="en-US"/>
        </w:rPr>
        <w:t xml:space="preserve"> (</w:t>
      </w:r>
      <w:r w:rsidR="00297448" w:rsidRPr="00110B36">
        <w:rPr>
          <w:rFonts w:ascii="Arial" w:hAnsi="Arial" w:cs="Arial"/>
        </w:rPr>
        <w:t>Moody-Williams</w:t>
      </w:r>
      <w:r w:rsidR="00297448">
        <w:rPr>
          <w:rFonts w:ascii="Arial" w:hAnsi="Arial" w:cs="Arial"/>
        </w:rPr>
        <w:t>, 2020)</w:t>
      </w:r>
      <w:r w:rsidRPr="00FA6883">
        <w:rPr>
          <w:rFonts w:ascii="Arial" w:hAnsi="Arial" w:cs="Arial"/>
          <w:lang w:val="en-US"/>
        </w:rPr>
        <w:t>. Rather than resulting from a single clinical error, the incident reflected multiple interconnected failures within the healthcare system, including ineffective leadership, poor accountability, and hierarchical organisational culture</w:t>
      </w:r>
      <w:r w:rsidR="00297448">
        <w:rPr>
          <w:rFonts w:ascii="Arial" w:hAnsi="Arial" w:cs="Arial"/>
          <w:lang w:val="en-US"/>
        </w:rPr>
        <w:t xml:space="preserve"> (</w:t>
      </w:r>
      <w:r w:rsidR="00297448" w:rsidRPr="00365540">
        <w:rPr>
          <w:rFonts w:ascii="Arial" w:hAnsi="Arial" w:cs="Arial"/>
        </w:rPr>
        <w:t>Mushta</w:t>
      </w:r>
      <w:r w:rsidR="00297448">
        <w:rPr>
          <w:rFonts w:ascii="Arial" w:hAnsi="Arial" w:cs="Arial"/>
        </w:rPr>
        <w:t xml:space="preserve"> et al, 2018)</w:t>
      </w:r>
      <w:r w:rsidRPr="00FA6883">
        <w:rPr>
          <w:rFonts w:ascii="Arial" w:hAnsi="Arial" w:cs="Arial"/>
          <w:lang w:val="en-US"/>
        </w:rPr>
        <w:t>. Consequently, the case has become an important example of how leadership and governance influence patient safety and quality of care and highlights the need for healthcare organisations to strengthen systems that support early recognition of patient deterioration and effective multidisciplinary collaboration</w:t>
      </w:r>
      <w:r w:rsidR="00297448">
        <w:rPr>
          <w:rFonts w:ascii="Arial" w:hAnsi="Arial" w:cs="Arial"/>
          <w:lang w:val="en-US"/>
        </w:rPr>
        <w:t xml:space="preserve"> (</w:t>
      </w:r>
      <w:r w:rsidR="00297448" w:rsidRPr="00365540">
        <w:rPr>
          <w:rFonts w:ascii="Arial" w:hAnsi="Arial" w:cs="Arial"/>
        </w:rPr>
        <w:t>Mushta</w:t>
      </w:r>
      <w:r w:rsidR="00297448">
        <w:rPr>
          <w:rFonts w:ascii="Arial" w:hAnsi="Arial" w:cs="Arial"/>
        </w:rPr>
        <w:t xml:space="preserve"> et al, 2018)</w:t>
      </w:r>
      <w:r w:rsidRPr="00FA6883">
        <w:rPr>
          <w:rFonts w:ascii="Arial" w:hAnsi="Arial" w:cs="Arial"/>
          <w:lang w:val="en-US"/>
        </w:rPr>
        <w:t>.</w:t>
      </w:r>
    </w:p>
    <w:p w14:paraId="43D3A8B3" w14:textId="350C59C0" w:rsidR="00FA6883" w:rsidRPr="00FA6883" w:rsidRDefault="00FA6883" w:rsidP="00FA6883">
      <w:pPr>
        <w:pStyle w:val="Heading2"/>
        <w:rPr>
          <w:lang w:val="en-US"/>
        </w:rPr>
      </w:pPr>
      <w:bookmarkStart w:id="2" w:name="_Toc237170824"/>
      <w:r>
        <w:rPr>
          <w:lang w:val="en-US"/>
        </w:rPr>
        <w:t xml:space="preserve">1.2 </w:t>
      </w:r>
      <w:r w:rsidRPr="00FA6883">
        <w:rPr>
          <w:lang w:val="en-US"/>
        </w:rPr>
        <w:t>Leadership in Health and Social Care</w:t>
      </w:r>
      <w:bookmarkEnd w:id="2"/>
    </w:p>
    <w:p w14:paraId="29FBAC1A" w14:textId="0FDD9FF0" w:rsidR="00FA6883" w:rsidRPr="008A6FF7" w:rsidRDefault="008A6FF7" w:rsidP="00FA6883">
      <w:pPr>
        <w:spacing w:line="360" w:lineRule="auto"/>
        <w:jc w:val="both"/>
        <w:rPr>
          <w:rFonts w:ascii="Arial" w:hAnsi="Arial" w:cs="Arial"/>
          <w:lang w:val="en-US"/>
        </w:rPr>
      </w:pPr>
      <w:r w:rsidRPr="008A6FF7">
        <w:rPr>
          <w:rFonts w:ascii="Arial" w:hAnsi="Arial" w:cs="Arial"/>
        </w:rPr>
        <w:t>Leadership is fundamental in health and social care because it enables individuals and multidisciplinary teams to work collaboratively towards shared organisational goals while maintaining patient safety and quality of care</w:t>
      </w:r>
      <w:r w:rsidR="00C45656">
        <w:rPr>
          <w:rFonts w:ascii="Arial" w:hAnsi="Arial" w:cs="Arial"/>
        </w:rPr>
        <w:t xml:space="preserve"> (</w:t>
      </w:r>
      <w:r w:rsidR="00C45656" w:rsidRPr="00C45656">
        <w:rPr>
          <w:rFonts w:ascii="Arial" w:hAnsi="Arial" w:cs="Arial"/>
        </w:rPr>
        <w:t>Smith</w:t>
      </w:r>
      <w:r w:rsidR="00C45656">
        <w:rPr>
          <w:rFonts w:ascii="Arial" w:hAnsi="Arial" w:cs="Arial"/>
        </w:rPr>
        <w:t xml:space="preserve"> et al, 2018)</w:t>
      </w:r>
      <w:r w:rsidRPr="008A6FF7">
        <w:rPr>
          <w:rFonts w:ascii="Arial" w:hAnsi="Arial" w:cs="Arial"/>
        </w:rPr>
        <w:t>. Effective leaders promote communication, accountability, teamwork, and a culture where staff feel confident to raise concerns</w:t>
      </w:r>
      <w:r w:rsidR="001A2EE5">
        <w:rPr>
          <w:rFonts w:ascii="Arial" w:hAnsi="Arial" w:cs="Arial"/>
        </w:rPr>
        <w:t xml:space="preserve"> (</w:t>
      </w:r>
      <w:r w:rsidR="001A2EE5" w:rsidRPr="001A2EE5">
        <w:rPr>
          <w:rFonts w:ascii="Arial" w:hAnsi="Arial" w:cs="Arial"/>
        </w:rPr>
        <w:t>Stucky</w:t>
      </w:r>
      <w:r w:rsidR="001A2EE5">
        <w:rPr>
          <w:rFonts w:ascii="Arial" w:hAnsi="Arial" w:cs="Arial"/>
        </w:rPr>
        <w:t xml:space="preserve"> et al,</w:t>
      </w:r>
      <w:r w:rsidR="00381978">
        <w:rPr>
          <w:rFonts w:ascii="Arial" w:hAnsi="Arial" w:cs="Arial"/>
        </w:rPr>
        <w:t xml:space="preserve"> </w:t>
      </w:r>
      <w:r w:rsidR="001A2EE5">
        <w:rPr>
          <w:rFonts w:ascii="Arial" w:hAnsi="Arial" w:cs="Arial"/>
        </w:rPr>
        <w:t>2022)</w:t>
      </w:r>
      <w:r w:rsidRPr="008A6FF7">
        <w:rPr>
          <w:rFonts w:ascii="Arial" w:hAnsi="Arial" w:cs="Arial"/>
        </w:rPr>
        <w:t>. Healthcare organisations may operate through centralised systems, where decision-making is concentrated among senior leaders, or decentralised systems, where authority is shared across professional groups</w:t>
      </w:r>
      <w:r w:rsidR="00381978">
        <w:rPr>
          <w:rFonts w:ascii="Arial" w:hAnsi="Arial" w:cs="Arial"/>
        </w:rPr>
        <w:t xml:space="preserve"> (</w:t>
      </w:r>
      <w:r w:rsidR="00381978" w:rsidRPr="00C45656">
        <w:rPr>
          <w:rFonts w:ascii="Arial" w:hAnsi="Arial" w:cs="Arial"/>
        </w:rPr>
        <w:t>Smith</w:t>
      </w:r>
      <w:r w:rsidR="00381978">
        <w:rPr>
          <w:rFonts w:ascii="Arial" w:hAnsi="Arial" w:cs="Arial"/>
        </w:rPr>
        <w:t xml:space="preserve"> et al, 2018)</w:t>
      </w:r>
      <w:r w:rsidRPr="008A6FF7">
        <w:rPr>
          <w:rFonts w:ascii="Arial" w:hAnsi="Arial" w:cs="Arial"/>
        </w:rPr>
        <w:t>. Key leadership approaches include transformational leadership, which inspires innovation and improvement; transactional leadership, which focuses on performance and accountability; and situational leadership, which adapts leadership style according to organisational circumstances and staff needs</w:t>
      </w:r>
      <w:r w:rsidR="00381978">
        <w:rPr>
          <w:rFonts w:ascii="Arial" w:hAnsi="Arial" w:cs="Arial"/>
        </w:rPr>
        <w:t xml:space="preserve"> (</w:t>
      </w:r>
      <w:r w:rsidR="00381978" w:rsidRPr="001A2EE5">
        <w:rPr>
          <w:rFonts w:ascii="Arial" w:hAnsi="Arial" w:cs="Arial"/>
        </w:rPr>
        <w:t>Stucky</w:t>
      </w:r>
      <w:r w:rsidR="00381978">
        <w:rPr>
          <w:rFonts w:ascii="Arial" w:hAnsi="Arial" w:cs="Arial"/>
        </w:rPr>
        <w:t xml:space="preserve"> et al, 2022)</w:t>
      </w:r>
      <w:r w:rsidR="00FA6883" w:rsidRPr="008A6FF7">
        <w:rPr>
          <w:rFonts w:ascii="Arial" w:hAnsi="Arial" w:cs="Arial"/>
          <w:lang w:val="en-US"/>
        </w:rPr>
        <w:t>.</w:t>
      </w:r>
    </w:p>
    <w:p w14:paraId="37062974" w14:textId="418320C0" w:rsidR="00FA6883" w:rsidRPr="00FA6883" w:rsidRDefault="00FA6883" w:rsidP="00FA6883">
      <w:pPr>
        <w:pStyle w:val="Heading2"/>
        <w:rPr>
          <w:lang w:val="en-US"/>
        </w:rPr>
      </w:pPr>
      <w:bookmarkStart w:id="3" w:name="_Toc237170825"/>
      <w:r>
        <w:rPr>
          <w:lang w:val="en-US"/>
        </w:rPr>
        <w:t xml:space="preserve">1.3 </w:t>
      </w:r>
      <w:r w:rsidRPr="00FA6883">
        <w:rPr>
          <w:lang w:val="en-US"/>
        </w:rPr>
        <w:t>Importance of Leadership</w:t>
      </w:r>
      <w:bookmarkEnd w:id="3"/>
      <w:r w:rsidRPr="00FA6883">
        <w:rPr>
          <w:lang w:val="en-US"/>
        </w:rPr>
        <w:t xml:space="preserve"> </w:t>
      </w:r>
    </w:p>
    <w:p w14:paraId="353A24B1" w14:textId="30BC5681" w:rsidR="008A6FF7" w:rsidRDefault="008A6FF7" w:rsidP="00FA6883">
      <w:pPr>
        <w:spacing w:line="360" w:lineRule="auto"/>
        <w:jc w:val="both"/>
        <w:rPr>
          <w:rFonts w:ascii="Arial" w:hAnsi="Arial" w:cs="Arial"/>
          <w:b/>
          <w:bCs/>
        </w:rPr>
      </w:pPr>
      <w:r w:rsidRPr="008A6FF7">
        <w:rPr>
          <w:rFonts w:ascii="Arial" w:hAnsi="Arial" w:cs="Arial"/>
        </w:rPr>
        <w:t>Selecting an appropriate leadership style is essential during organisational change and clinical crises because leadership influences communication, teamwork, decision-making, and patient safety</w:t>
      </w:r>
      <w:r w:rsidR="00493311">
        <w:rPr>
          <w:rFonts w:ascii="Arial" w:hAnsi="Arial" w:cs="Arial"/>
        </w:rPr>
        <w:t xml:space="preserve"> (</w:t>
      </w:r>
      <w:r w:rsidR="00493311" w:rsidRPr="00493311">
        <w:rPr>
          <w:rFonts w:ascii="Arial" w:hAnsi="Arial" w:cs="Arial"/>
        </w:rPr>
        <w:t>Barr</w:t>
      </w:r>
      <w:r w:rsidR="00493311">
        <w:rPr>
          <w:rFonts w:ascii="Arial" w:hAnsi="Arial" w:cs="Arial"/>
        </w:rPr>
        <w:t xml:space="preserve"> and </w:t>
      </w:r>
      <w:r w:rsidR="00493311" w:rsidRPr="00493311">
        <w:rPr>
          <w:rFonts w:ascii="Arial" w:hAnsi="Arial" w:cs="Arial"/>
        </w:rPr>
        <w:t>Dowding</w:t>
      </w:r>
      <w:r w:rsidR="00493311">
        <w:rPr>
          <w:rFonts w:ascii="Arial" w:hAnsi="Arial" w:cs="Arial"/>
        </w:rPr>
        <w:t>, 2022)</w:t>
      </w:r>
      <w:r w:rsidRPr="008A6FF7">
        <w:rPr>
          <w:rFonts w:ascii="Arial" w:hAnsi="Arial" w:cs="Arial"/>
        </w:rPr>
        <w:t>. Effective leadership promotes timely escalation of concerns, multidisciplinary collaboration, accountability, and continuous quality improvement, whereas ineffective leadership can delay decisions, reinforce hierarchical barriers, and increase the risk of preventable patient harm</w:t>
      </w:r>
      <w:r w:rsidR="00D3754C">
        <w:rPr>
          <w:rFonts w:ascii="Arial" w:hAnsi="Arial" w:cs="Arial"/>
        </w:rPr>
        <w:t xml:space="preserve"> (</w:t>
      </w:r>
      <w:r w:rsidR="00D3754C" w:rsidRPr="00493311">
        <w:rPr>
          <w:rFonts w:ascii="Arial" w:hAnsi="Arial" w:cs="Arial"/>
        </w:rPr>
        <w:t>Barr</w:t>
      </w:r>
      <w:r w:rsidR="00D3754C">
        <w:rPr>
          <w:rFonts w:ascii="Arial" w:hAnsi="Arial" w:cs="Arial"/>
        </w:rPr>
        <w:t xml:space="preserve"> and </w:t>
      </w:r>
      <w:r w:rsidR="00D3754C" w:rsidRPr="00493311">
        <w:rPr>
          <w:rFonts w:ascii="Arial" w:hAnsi="Arial" w:cs="Arial"/>
        </w:rPr>
        <w:t>Dowding</w:t>
      </w:r>
      <w:r w:rsidR="00D3754C">
        <w:rPr>
          <w:rFonts w:ascii="Arial" w:hAnsi="Arial" w:cs="Arial"/>
        </w:rPr>
        <w:t>, 2022)</w:t>
      </w:r>
      <w:r w:rsidRPr="008A6FF7">
        <w:rPr>
          <w:rFonts w:ascii="Arial" w:hAnsi="Arial" w:cs="Arial"/>
        </w:rPr>
        <w:t>. This report critically analyses the Lewis Blackman case by examining the leadership and organisational factors that contributed to the adverse outcome. It evaluates the patient safety issues, governance, and organisational structure before critically assessing the influence of centralised and decentralised leadership on decision-making, accountability, and healthcare quality.</w:t>
      </w:r>
    </w:p>
    <w:p w14:paraId="51EACE7D" w14:textId="0DA95BF9" w:rsidR="00FA6883" w:rsidRPr="00FA6883" w:rsidRDefault="00FA6883" w:rsidP="00FE3C56">
      <w:pPr>
        <w:pStyle w:val="Heading1"/>
        <w:rPr>
          <w:lang w:val="en-US"/>
        </w:rPr>
      </w:pPr>
      <w:bookmarkStart w:id="4" w:name="_Toc237170826"/>
      <w:r w:rsidRPr="00FA6883">
        <w:rPr>
          <w:lang w:val="en-US"/>
        </w:rPr>
        <w:t>2. Main Body</w:t>
      </w:r>
      <w:bookmarkEnd w:id="4"/>
    </w:p>
    <w:p w14:paraId="38007E35" w14:textId="77777777" w:rsidR="00FA6883" w:rsidRPr="00FA6883" w:rsidRDefault="00FA6883" w:rsidP="00FE3C56">
      <w:pPr>
        <w:pStyle w:val="Heading1"/>
        <w:rPr>
          <w:lang w:val="en-US"/>
        </w:rPr>
      </w:pPr>
      <w:bookmarkStart w:id="5" w:name="_Toc237170827"/>
      <w:r w:rsidRPr="00FA6883">
        <w:rPr>
          <w:lang w:val="en-US"/>
        </w:rPr>
        <w:t>2.1 Identifying the Problem and Setting the System Context</w:t>
      </w:r>
      <w:bookmarkEnd w:id="5"/>
    </w:p>
    <w:p w14:paraId="095FEB1D" w14:textId="77777777" w:rsidR="00FA6883" w:rsidRPr="00FA6883" w:rsidRDefault="00FA6883" w:rsidP="00FE3C56">
      <w:pPr>
        <w:pStyle w:val="Heading2"/>
        <w:rPr>
          <w:lang w:val="en-US"/>
        </w:rPr>
      </w:pPr>
      <w:bookmarkStart w:id="6" w:name="_Toc237170828"/>
      <w:r w:rsidRPr="00FA6883">
        <w:rPr>
          <w:lang w:val="en-US"/>
        </w:rPr>
        <w:t>2.1.1 Identifying the Central Problem</w:t>
      </w:r>
      <w:bookmarkEnd w:id="6"/>
    </w:p>
    <w:p w14:paraId="0AE2694D" w14:textId="253E8978" w:rsidR="00FA6883" w:rsidRPr="00FA6883" w:rsidRDefault="00FA6883" w:rsidP="00FA6883">
      <w:pPr>
        <w:spacing w:line="360" w:lineRule="auto"/>
        <w:jc w:val="both"/>
        <w:rPr>
          <w:rFonts w:ascii="Arial" w:hAnsi="Arial" w:cs="Arial"/>
          <w:lang w:val="en-US"/>
        </w:rPr>
      </w:pPr>
      <w:r w:rsidRPr="00FA6883">
        <w:rPr>
          <w:rFonts w:ascii="Arial" w:hAnsi="Arial" w:cs="Arial"/>
          <w:lang w:val="en-US"/>
        </w:rPr>
        <w:t>The Lewis Blackman case represents a major patient safety failure caused by the delayed recognition and management of postoperative clinical deterioration. Lewis Blackman, a 15-year-old boy, underwent elective surgery to correct pectus excavatum and initially appeared to recover well. However, he subsequently developed persistent abdominal pain, repeated vomiting, reduced urine output, tachycardia, and other signs of physiological deterioration</w:t>
      </w:r>
      <w:r w:rsidR="00EA4DCF">
        <w:rPr>
          <w:rFonts w:ascii="Arial" w:hAnsi="Arial" w:cs="Arial"/>
          <w:lang w:val="en-US"/>
        </w:rPr>
        <w:t xml:space="preserve"> (</w:t>
      </w:r>
      <w:r w:rsidR="00EA4DCF" w:rsidRPr="00EA4DCF">
        <w:rPr>
          <w:rFonts w:ascii="Arial" w:hAnsi="Arial" w:cs="Arial"/>
        </w:rPr>
        <w:t>Haskell</w:t>
      </w:r>
      <w:r w:rsidR="00EA4DCF">
        <w:rPr>
          <w:rFonts w:ascii="Arial" w:hAnsi="Arial" w:cs="Arial"/>
        </w:rPr>
        <w:t>, 2025)</w:t>
      </w:r>
      <w:r w:rsidRPr="00FA6883">
        <w:rPr>
          <w:rFonts w:ascii="Arial" w:hAnsi="Arial" w:cs="Arial"/>
          <w:lang w:val="en-US"/>
        </w:rPr>
        <w:t>. These symptoms required urgent assessment and intervention, yet healthcare professionals failed to recognise their seriousness and delayed escalation to senior clinicians. Despite repeated concerns raised by Lewis's mother, timely action was not taken, resulting in severe complications and his preventable death</w:t>
      </w:r>
      <w:r w:rsidR="00C22124">
        <w:rPr>
          <w:rFonts w:ascii="Arial" w:hAnsi="Arial" w:cs="Arial"/>
          <w:lang w:val="en-US"/>
        </w:rPr>
        <w:t xml:space="preserve"> (</w:t>
      </w:r>
      <w:r w:rsidR="00C22124" w:rsidRPr="00183CA1">
        <w:rPr>
          <w:rFonts w:ascii="Arial" w:hAnsi="Arial" w:cs="Arial"/>
        </w:rPr>
        <w:t>Mushta</w:t>
      </w:r>
      <w:r w:rsidR="00C22124">
        <w:rPr>
          <w:rFonts w:ascii="Arial" w:hAnsi="Arial" w:cs="Arial"/>
        </w:rPr>
        <w:t xml:space="preserve"> et al, 2018)</w:t>
      </w:r>
      <w:r w:rsidRPr="00FA6883">
        <w:rPr>
          <w:rFonts w:ascii="Arial" w:hAnsi="Arial" w:cs="Arial"/>
          <w:lang w:val="en-US"/>
        </w:rPr>
        <w:t>.</w:t>
      </w:r>
    </w:p>
    <w:p w14:paraId="2AEE69F1" w14:textId="3E58C8C0" w:rsidR="00FA6883" w:rsidRPr="00FA6883" w:rsidRDefault="00FA6883" w:rsidP="00FA6883">
      <w:pPr>
        <w:spacing w:line="360" w:lineRule="auto"/>
        <w:jc w:val="both"/>
        <w:rPr>
          <w:rFonts w:ascii="Arial" w:hAnsi="Arial" w:cs="Arial"/>
          <w:lang w:val="en-US"/>
        </w:rPr>
      </w:pPr>
      <w:r w:rsidRPr="00FA6883">
        <w:rPr>
          <w:rFonts w:ascii="Arial" w:hAnsi="Arial" w:cs="Arial"/>
          <w:lang w:val="en-US"/>
        </w:rPr>
        <w:t>The incident reflects wider organisational failures rather than a single clinical error. Communication between healthcare professionals was fragmented, continuity of care was poor, and junior doctors managed the patient's condition without appropriate supervision from experienced consultants</w:t>
      </w:r>
      <w:r w:rsidR="003B69F7">
        <w:rPr>
          <w:rFonts w:ascii="Arial" w:hAnsi="Arial" w:cs="Arial"/>
          <w:lang w:val="en-US"/>
        </w:rPr>
        <w:t xml:space="preserve"> (</w:t>
      </w:r>
      <w:r w:rsidR="003B69F7" w:rsidRPr="003B69F7">
        <w:rPr>
          <w:rFonts w:ascii="Arial" w:hAnsi="Arial" w:cs="Arial"/>
        </w:rPr>
        <w:t>Ntumba</w:t>
      </w:r>
      <w:r w:rsidR="003B69F7">
        <w:rPr>
          <w:rFonts w:ascii="Arial" w:hAnsi="Arial" w:cs="Arial"/>
        </w:rPr>
        <w:t xml:space="preserve"> et al, 2023)</w:t>
      </w:r>
      <w:r w:rsidRPr="00FA6883">
        <w:rPr>
          <w:rFonts w:ascii="Arial" w:hAnsi="Arial" w:cs="Arial"/>
          <w:lang w:val="en-US"/>
        </w:rPr>
        <w:t>. Additionally, the concerns expressed by Lewis's mother were not adequately acknowledged during clinical decision-making, demonstrating limited patient- and family-centred care</w:t>
      </w:r>
      <w:r w:rsidR="00352A40">
        <w:rPr>
          <w:rFonts w:ascii="Arial" w:hAnsi="Arial" w:cs="Arial"/>
          <w:lang w:val="en-US"/>
        </w:rPr>
        <w:t xml:space="preserve"> (</w:t>
      </w:r>
      <w:r w:rsidR="00352A40" w:rsidRPr="00EA4DCF">
        <w:rPr>
          <w:rFonts w:ascii="Arial" w:hAnsi="Arial" w:cs="Arial"/>
        </w:rPr>
        <w:t>Haskell</w:t>
      </w:r>
      <w:r w:rsidR="00352A40">
        <w:rPr>
          <w:rFonts w:ascii="Arial" w:hAnsi="Arial" w:cs="Arial"/>
        </w:rPr>
        <w:t>, 2025)</w:t>
      </w:r>
      <w:r w:rsidRPr="00FA6883">
        <w:rPr>
          <w:rFonts w:ascii="Arial" w:hAnsi="Arial" w:cs="Arial"/>
          <w:lang w:val="en-US"/>
        </w:rPr>
        <w:t>. Collectively, these failures highlight weaknesses in leadership, accountability, communication, and clinical governance, emphasising the need for effective multidisciplinary collaboration and timely escalation procedures to prevent avoidable patient harm</w:t>
      </w:r>
      <w:r w:rsidR="00352A40">
        <w:rPr>
          <w:rFonts w:ascii="Arial" w:hAnsi="Arial" w:cs="Arial"/>
          <w:lang w:val="en-US"/>
        </w:rPr>
        <w:t xml:space="preserve"> (</w:t>
      </w:r>
      <w:r w:rsidR="00352A40" w:rsidRPr="003B69F7">
        <w:rPr>
          <w:rFonts w:ascii="Arial" w:hAnsi="Arial" w:cs="Arial"/>
        </w:rPr>
        <w:t>Ntumba</w:t>
      </w:r>
      <w:r w:rsidR="00352A40">
        <w:rPr>
          <w:rFonts w:ascii="Arial" w:hAnsi="Arial" w:cs="Arial"/>
        </w:rPr>
        <w:t xml:space="preserve"> et al, 2023)</w:t>
      </w:r>
      <w:r w:rsidRPr="00FA6883">
        <w:rPr>
          <w:rFonts w:ascii="Arial" w:hAnsi="Arial" w:cs="Arial"/>
          <w:lang w:val="en-US"/>
        </w:rPr>
        <w:t>.</w:t>
      </w:r>
    </w:p>
    <w:p w14:paraId="456BE648" w14:textId="77777777" w:rsidR="00FA6883" w:rsidRPr="00FA6883" w:rsidRDefault="00FA6883" w:rsidP="00FE3C56">
      <w:pPr>
        <w:pStyle w:val="Heading2"/>
        <w:rPr>
          <w:lang w:val="en-US"/>
        </w:rPr>
      </w:pPr>
      <w:bookmarkStart w:id="7" w:name="_Toc237170829"/>
      <w:r w:rsidRPr="00FA6883">
        <w:rPr>
          <w:lang w:val="en-US"/>
        </w:rPr>
        <w:t>2.1.2 Global and National Context of the Problem</w:t>
      </w:r>
      <w:bookmarkEnd w:id="7"/>
    </w:p>
    <w:p w14:paraId="3BEFF977" w14:textId="35D67FFA" w:rsidR="00FA6883" w:rsidRPr="00FA6883" w:rsidRDefault="00FA6883" w:rsidP="00FA6883">
      <w:pPr>
        <w:spacing w:line="360" w:lineRule="auto"/>
        <w:jc w:val="both"/>
        <w:rPr>
          <w:rFonts w:ascii="Arial" w:hAnsi="Arial" w:cs="Arial"/>
          <w:lang w:val="en-US"/>
        </w:rPr>
      </w:pPr>
      <w:r w:rsidRPr="00FA6883">
        <w:rPr>
          <w:rFonts w:ascii="Arial" w:hAnsi="Arial" w:cs="Arial"/>
          <w:lang w:val="en-US"/>
        </w:rPr>
        <w:t xml:space="preserve">The issues highlighted in the Lewis Blackman case reflect broader patient safety challenges experienced across healthcare systems worldwide. According to the World Health </w:t>
      </w:r>
      <w:r w:rsidR="00DE7C09">
        <w:rPr>
          <w:rFonts w:ascii="Arial" w:hAnsi="Arial" w:cs="Arial"/>
          <w:lang w:val="en-US"/>
        </w:rPr>
        <w:t>Organisation</w:t>
      </w:r>
      <w:r w:rsidRPr="00FA6883">
        <w:rPr>
          <w:rFonts w:ascii="Arial" w:hAnsi="Arial" w:cs="Arial"/>
          <w:lang w:val="en-US"/>
        </w:rPr>
        <w:t xml:space="preserve"> (WHO</w:t>
      </w:r>
      <w:r w:rsidR="000A2EDB">
        <w:rPr>
          <w:rFonts w:ascii="Arial" w:hAnsi="Arial" w:cs="Arial"/>
          <w:lang w:val="en-US"/>
        </w:rPr>
        <w:t>, 2023</w:t>
      </w:r>
      <w:r w:rsidRPr="00FA6883">
        <w:rPr>
          <w:rFonts w:ascii="Arial" w:hAnsi="Arial" w:cs="Arial"/>
          <w:lang w:val="en-US"/>
        </w:rPr>
        <w:t>), approximately one in ten patients experiences harm while receiving healthcare, with nearly 50% of these incidents considered preventable. Preventable patient harm contributes to millions of deaths and disabilities each year and places a substantial financial burden on healthcare systems through prolonged hospitalisation, additional treatment, and litigation</w:t>
      </w:r>
      <w:r w:rsidR="00352797">
        <w:rPr>
          <w:rFonts w:ascii="Arial" w:hAnsi="Arial" w:cs="Arial"/>
          <w:lang w:val="en-US"/>
        </w:rPr>
        <w:t xml:space="preserve"> (</w:t>
      </w:r>
      <w:r w:rsidR="00352797" w:rsidRPr="00352797">
        <w:rPr>
          <w:rFonts w:ascii="Arial" w:hAnsi="Arial" w:cs="Arial"/>
        </w:rPr>
        <w:t>Johnson</w:t>
      </w:r>
      <w:r w:rsidR="00352797">
        <w:rPr>
          <w:rFonts w:ascii="Arial" w:hAnsi="Arial" w:cs="Arial"/>
        </w:rPr>
        <w:t xml:space="preserve"> et al, 2016)</w:t>
      </w:r>
      <w:r w:rsidRPr="00FA6883">
        <w:rPr>
          <w:rFonts w:ascii="Arial" w:hAnsi="Arial" w:cs="Arial"/>
          <w:lang w:val="en-US"/>
        </w:rPr>
        <w:t>. Delayed recognition of deteriorating patients, ineffective communication, and poor teamwork remain major causes of adverse events globally, demonstrating that the Lewis Blackman case reflects a widespread patient safety problem</w:t>
      </w:r>
      <w:r w:rsidR="00A76671">
        <w:rPr>
          <w:rFonts w:ascii="Arial" w:hAnsi="Arial" w:cs="Arial"/>
          <w:lang w:val="en-US"/>
        </w:rPr>
        <w:t xml:space="preserve"> (</w:t>
      </w:r>
      <w:r w:rsidR="00A76671" w:rsidRPr="00A76671">
        <w:rPr>
          <w:rFonts w:ascii="Arial" w:hAnsi="Arial" w:cs="Arial"/>
        </w:rPr>
        <w:t>Altmiller</w:t>
      </w:r>
      <w:r w:rsidR="00A76671">
        <w:rPr>
          <w:rFonts w:ascii="Arial" w:hAnsi="Arial" w:cs="Arial"/>
        </w:rPr>
        <w:t>, 2022)</w:t>
      </w:r>
      <w:r w:rsidRPr="00FA6883">
        <w:rPr>
          <w:rFonts w:ascii="Arial" w:hAnsi="Arial" w:cs="Arial"/>
          <w:lang w:val="en-US"/>
        </w:rPr>
        <w:t>.</w:t>
      </w:r>
    </w:p>
    <w:p w14:paraId="00422C51" w14:textId="57AB97F8" w:rsidR="00FA6883" w:rsidRPr="00FA6883" w:rsidRDefault="00FA6883" w:rsidP="00FA6883">
      <w:pPr>
        <w:spacing w:line="360" w:lineRule="auto"/>
        <w:jc w:val="both"/>
        <w:rPr>
          <w:rFonts w:ascii="Arial" w:hAnsi="Arial" w:cs="Arial"/>
          <w:lang w:val="en-US"/>
        </w:rPr>
      </w:pPr>
      <w:r w:rsidRPr="00FA6883">
        <w:rPr>
          <w:rFonts w:ascii="Arial" w:hAnsi="Arial" w:cs="Arial"/>
          <w:lang w:val="en-US"/>
        </w:rPr>
        <w:t>Similar concerns are evident at the national level, where healthcare organisations continue to report patient safety incidents related to communication failures, delayed diagnosis, medication errors, and inadequate patient monitoring</w:t>
      </w:r>
      <w:r w:rsidR="00CE3966">
        <w:rPr>
          <w:rFonts w:ascii="Arial" w:hAnsi="Arial" w:cs="Arial"/>
          <w:lang w:val="en-US"/>
        </w:rPr>
        <w:t xml:space="preserve"> (</w:t>
      </w:r>
      <w:r w:rsidR="00CE3966" w:rsidRPr="00352797">
        <w:rPr>
          <w:rFonts w:ascii="Arial" w:hAnsi="Arial" w:cs="Arial"/>
        </w:rPr>
        <w:t>Johnson</w:t>
      </w:r>
      <w:r w:rsidR="00CE3966">
        <w:rPr>
          <w:rFonts w:ascii="Arial" w:hAnsi="Arial" w:cs="Arial"/>
        </w:rPr>
        <w:t xml:space="preserve"> et al, 2016)</w:t>
      </w:r>
      <w:r w:rsidRPr="00FA6883">
        <w:rPr>
          <w:rFonts w:ascii="Arial" w:hAnsi="Arial" w:cs="Arial"/>
          <w:lang w:val="en-US"/>
        </w:rPr>
        <w:t>. National patient safety reports consistently identify poor multidisciplinary communication as a leading factor contributing to serious incidents</w:t>
      </w:r>
      <w:r w:rsidR="00C55D44">
        <w:rPr>
          <w:rFonts w:ascii="Arial" w:hAnsi="Arial" w:cs="Arial"/>
          <w:lang w:val="en-US"/>
        </w:rPr>
        <w:t xml:space="preserve"> (</w:t>
      </w:r>
      <w:r w:rsidR="00C55D44" w:rsidRPr="00352797">
        <w:rPr>
          <w:rFonts w:ascii="Arial" w:hAnsi="Arial" w:cs="Arial"/>
        </w:rPr>
        <w:t>Johnson</w:t>
      </w:r>
      <w:r w:rsidR="00C55D44">
        <w:rPr>
          <w:rFonts w:ascii="Arial" w:hAnsi="Arial" w:cs="Arial"/>
        </w:rPr>
        <w:t xml:space="preserve"> et al, 2016)</w:t>
      </w:r>
      <w:r w:rsidRPr="00FA6883">
        <w:rPr>
          <w:rFonts w:ascii="Arial" w:hAnsi="Arial" w:cs="Arial"/>
          <w:lang w:val="en-US"/>
        </w:rPr>
        <w:t>. Evidence also indicates that organisations with effective leadership, strong governance, and structured escalation processes achieve better patient safety outcomes than those with fragmented communication and hierarchical barriers</w:t>
      </w:r>
      <w:r w:rsidR="000B34CE">
        <w:rPr>
          <w:rFonts w:ascii="Arial" w:hAnsi="Arial" w:cs="Arial"/>
          <w:lang w:val="en-US"/>
        </w:rPr>
        <w:t xml:space="preserve"> (</w:t>
      </w:r>
      <w:r w:rsidR="000B34CE" w:rsidRPr="00A76671">
        <w:rPr>
          <w:rFonts w:ascii="Arial" w:hAnsi="Arial" w:cs="Arial"/>
        </w:rPr>
        <w:t>Altmiller</w:t>
      </w:r>
      <w:r w:rsidR="000B34CE">
        <w:rPr>
          <w:rFonts w:ascii="Arial" w:hAnsi="Arial" w:cs="Arial"/>
        </w:rPr>
        <w:t>, 2022)</w:t>
      </w:r>
      <w:r w:rsidRPr="00FA6883">
        <w:rPr>
          <w:rFonts w:ascii="Arial" w:hAnsi="Arial" w:cs="Arial"/>
          <w:lang w:val="en-US"/>
        </w:rPr>
        <w:t>. Therefore, although the Lewis Blackman case occurred in the United States, its underlying causes are relevant to healthcare systems worldwide</w:t>
      </w:r>
      <w:r w:rsidR="00C55D44">
        <w:rPr>
          <w:rFonts w:ascii="Arial" w:hAnsi="Arial" w:cs="Arial"/>
          <w:lang w:val="en-US"/>
        </w:rPr>
        <w:t xml:space="preserve"> (</w:t>
      </w:r>
      <w:r w:rsidR="00C55D44" w:rsidRPr="00A76671">
        <w:rPr>
          <w:rFonts w:ascii="Arial" w:hAnsi="Arial" w:cs="Arial"/>
        </w:rPr>
        <w:t>Altmiller</w:t>
      </w:r>
      <w:r w:rsidR="00C55D44">
        <w:rPr>
          <w:rFonts w:ascii="Arial" w:hAnsi="Arial" w:cs="Arial"/>
        </w:rPr>
        <w:t>, 2022)</w:t>
      </w:r>
      <w:r w:rsidRPr="00FA6883">
        <w:rPr>
          <w:rFonts w:ascii="Arial" w:hAnsi="Arial" w:cs="Arial"/>
          <w:lang w:val="en-US"/>
        </w:rPr>
        <w:t>.</w:t>
      </w:r>
    </w:p>
    <w:p w14:paraId="2438BD48" w14:textId="77777777" w:rsidR="00FA6883" w:rsidRPr="00FA6883" w:rsidRDefault="00FA6883" w:rsidP="00FE3C56">
      <w:pPr>
        <w:pStyle w:val="Heading2"/>
        <w:rPr>
          <w:lang w:val="en-US"/>
        </w:rPr>
      </w:pPr>
      <w:bookmarkStart w:id="8" w:name="_Toc237170830"/>
      <w:r w:rsidRPr="00FA6883">
        <w:rPr>
          <w:lang w:val="en-US"/>
        </w:rPr>
        <w:t>2.1.3 Organisational and Governance Challenges</w:t>
      </w:r>
      <w:bookmarkEnd w:id="8"/>
    </w:p>
    <w:p w14:paraId="2FC2437B" w14:textId="4A92CD81" w:rsidR="00FA6883" w:rsidRPr="00FA6883" w:rsidRDefault="00FA6883" w:rsidP="00FA6883">
      <w:pPr>
        <w:spacing w:line="360" w:lineRule="auto"/>
        <w:jc w:val="both"/>
        <w:rPr>
          <w:rFonts w:ascii="Arial" w:hAnsi="Arial" w:cs="Arial"/>
          <w:lang w:val="en-US"/>
        </w:rPr>
      </w:pPr>
      <w:r w:rsidRPr="00FA6883">
        <w:rPr>
          <w:rFonts w:ascii="Arial" w:hAnsi="Arial" w:cs="Arial"/>
          <w:lang w:val="en-US"/>
        </w:rPr>
        <w:t>A critical factor contributing to the Lewis Blackman case was the failure of organisational governance to ensure safe and coordinated patient care. Clinical governance requires healthcare organisations to establish systems that promote quality improvement, evidence-based practice, effective risk management, staff competence, and accountability</w:t>
      </w:r>
      <w:r w:rsidR="006F5897">
        <w:rPr>
          <w:rFonts w:ascii="Arial" w:hAnsi="Arial" w:cs="Arial"/>
          <w:lang w:val="en-US"/>
        </w:rPr>
        <w:t xml:space="preserve"> (</w:t>
      </w:r>
      <w:r w:rsidR="006F5897" w:rsidRPr="006F5897">
        <w:rPr>
          <w:rFonts w:ascii="Arial" w:hAnsi="Arial" w:cs="Arial"/>
        </w:rPr>
        <w:t>Christensen</w:t>
      </w:r>
      <w:r w:rsidR="006F5897">
        <w:rPr>
          <w:rFonts w:ascii="Arial" w:hAnsi="Arial" w:cs="Arial"/>
        </w:rPr>
        <w:t xml:space="preserve"> et al, 2016)</w:t>
      </w:r>
      <w:r w:rsidRPr="00FA6883">
        <w:rPr>
          <w:rFonts w:ascii="Arial" w:hAnsi="Arial" w:cs="Arial"/>
          <w:lang w:val="en-US"/>
        </w:rPr>
        <w:t>. However, in this case, governance arrangements failed to ensure timely supervision of junior doctors, effective communication between professional groups, and prompt escalation of deteriorating clinical conditions</w:t>
      </w:r>
      <w:r w:rsidR="00086101">
        <w:rPr>
          <w:rFonts w:ascii="Arial" w:hAnsi="Arial" w:cs="Arial"/>
          <w:lang w:val="en-US"/>
        </w:rPr>
        <w:t xml:space="preserve"> (Rai </w:t>
      </w:r>
      <w:r w:rsidR="00AD7377" w:rsidRPr="00AD7377">
        <w:rPr>
          <w:rFonts w:ascii="Arial" w:hAnsi="Arial" w:cs="Arial"/>
        </w:rPr>
        <w:t>and Devaiah</w:t>
      </w:r>
      <w:r w:rsidR="00086101">
        <w:rPr>
          <w:rFonts w:ascii="Arial" w:hAnsi="Arial" w:cs="Arial"/>
          <w:lang w:val="en-US"/>
        </w:rPr>
        <w:t>, 2019)</w:t>
      </w:r>
      <w:r w:rsidRPr="00FA6883">
        <w:rPr>
          <w:rFonts w:ascii="Arial" w:hAnsi="Arial" w:cs="Arial"/>
          <w:lang w:val="en-US"/>
        </w:rPr>
        <w:t>. Leadership oversight was insufficient, accountability for clinical decisions was unclear, and organisational processes failed to support early recognition of serious complications. Consequently, weaknesses in governance reduced the organisation's ability to respond effectively to emerging clinical risks</w:t>
      </w:r>
      <w:r w:rsidR="00C65EA8">
        <w:rPr>
          <w:rFonts w:ascii="Arial" w:hAnsi="Arial" w:cs="Arial"/>
          <w:lang w:val="en-US"/>
        </w:rPr>
        <w:t xml:space="preserve"> (</w:t>
      </w:r>
      <w:r w:rsidR="00C65EA8" w:rsidRPr="006F5897">
        <w:rPr>
          <w:rFonts w:ascii="Arial" w:hAnsi="Arial" w:cs="Arial"/>
        </w:rPr>
        <w:t>Christensen</w:t>
      </w:r>
      <w:r w:rsidR="00C65EA8">
        <w:rPr>
          <w:rFonts w:ascii="Arial" w:hAnsi="Arial" w:cs="Arial"/>
        </w:rPr>
        <w:t xml:space="preserve"> et al, 2016)</w:t>
      </w:r>
      <w:r w:rsidRPr="00FA6883">
        <w:rPr>
          <w:rFonts w:ascii="Arial" w:hAnsi="Arial" w:cs="Arial"/>
          <w:lang w:val="en-US"/>
        </w:rPr>
        <w:t>.</w:t>
      </w:r>
    </w:p>
    <w:p w14:paraId="4AA394BC" w14:textId="09BB083B" w:rsidR="00FA6883" w:rsidRPr="00FA6883" w:rsidRDefault="00FA6883" w:rsidP="00FA6883">
      <w:pPr>
        <w:spacing w:line="360" w:lineRule="auto"/>
        <w:jc w:val="both"/>
        <w:rPr>
          <w:rFonts w:ascii="Arial" w:hAnsi="Arial" w:cs="Arial"/>
          <w:lang w:val="en-US"/>
        </w:rPr>
      </w:pPr>
      <w:r w:rsidRPr="00FA6883">
        <w:rPr>
          <w:rFonts w:ascii="Arial" w:hAnsi="Arial" w:cs="Arial"/>
          <w:lang w:val="en-US"/>
        </w:rPr>
        <w:t>The case also demonstrates the importance of organisational culture in influencing professional behaviour and decision-making</w:t>
      </w:r>
      <w:r w:rsidR="001175C5">
        <w:rPr>
          <w:rFonts w:ascii="Arial" w:hAnsi="Arial" w:cs="Arial"/>
          <w:lang w:val="en-US"/>
        </w:rPr>
        <w:t xml:space="preserve"> (Rai </w:t>
      </w:r>
      <w:r w:rsidR="00AD7377" w:rsidRPr="00AD7377">
        <w:rPr>
          <w:rFonts w:ascii="Arial" w:hAnsi="Arial" w:cs="Arial"/>
        </w:rPr>
        <w:t>and Devaiah</w:t>
      </w:r>
      <w:r w:rsidR="001175C5">
        <w:rPr>
          <w:rFonts w:ascii="Arial" w:hAnsi="Arial" w:cs="Arial"/>
          <w:lang w:val="en-US"/>
        </w:rPr>
        <w:t>, 2019)</w:t>
      </w:r>
      <w:r w:rsidRPr="00FA6883">
        <w:rPr>
          <w:rFonts w:ascii="Arial" w:hAnsi="Arial" w:cs="Arial"/>
          <w:lang w:val="en-US"/>
        </w:rPr>
        <w:t>. Healthcare professionals worked within a hierarchical environment where junior clinicians had limited authority to seek senior review, while nursing observations and parental concerns were not fully incorporated into clinical management</w:t>
      </w:r>
      <w:r w:rsidR="00C65EA8">
        <w:rPr>
          <w:rFonts w:ascii="Arial" w:hAnsi="Arial" w:cs="Arial"/>
          <w:lang w:val="en-US"/>
        </w:rPr>
        <w:t xml:space="preserve"> (</w:t>
      </w:r>
      <w:r w:rsidR="00C65EA8" w:rsidRPr="006F5897">
        <w:rPr>
          <w:rFonts w:ascii="Arial" w:hAnsi="Arial" w:cs="Arial"/>
        </w:rPr>
        <w:t>Christensen</w:t>
      </w:r>
      <w:r w:rsidR="00C65EA8">
        <w:rPr>
          <w:rFonts w:ascii="Arial" w:hAnsi="Arial" w:cs="Arial"/>
        </w:rPr>
        <w:t xml:space="preserve"> et al, 2016)</w:t>
      </w:r>
      <w:r w:rsidRPr="00FA6883">
        <w:rPr>
          <w:rFonts w:ascii="Arial" w:hAnsi="Arial" w:cs="Arial"/>
          <w:lang w:val="en-US"/>
        </w:rPr>
        <w:t>. Such organisational cultures discourage open communication and reduce opportunities for collaborative decision-making, increasing the likelihood of delayed intervention</w:t>
      </w:r>
      <w:r w:rsidR="00C65EA8">
        <w:rPr>
          <w:rFonts w:ascii="Arial" w:hAnsi="Arial" w:cs="Arial"/>
          <w:lang w:val="en-US"/>
        </w:rPr>
        <w:t xml:space="preserve"> (</w:t>
      </w:r>
      <w:r w:rsidR="00C65EA8" w:rsidRPr="006F5897">
        <w:rPr>
          <w:rFonts w:ascii="Arial" w:hAnsi="Arial" w:cs="Arial"/>
        </w:rPr>
        <w:t>Christensen</w:t>
      </w:r>
      <w:r w:rsidR="00C65EA8">
        <w:rPr>
          <w:rFonts w:ascii="Arial" w:hAnsi="Arial" w:cs="Arial"/>
        </w:rPr>
        <w:t xml:space="preserve"> et al, 2016)</w:t>
      </w:r>
      <w:r w:rsidRPr="00FA6883">
        <w:rPr>
          <w:rFonts w:ascii="Arial" w:hAnsi="Arial" w:cs="Arial"/>
          <w:lang w:val="en-US"/>
        </w:rPr>
        <w:t>. Effective governance requires leaders to establish systems that encourage transparency, multidisciplinary collaboration, and shared accountability while ensuring that all members of the healthcare team feel confident in raising concerns regarding patient safety</w:t>
      </w:r>
      <w:r w:rsidR="001175C5">
        <w:rPr>
          <w:rFonts w:ascii="Arial" w:hAnsi="Arial" w:cs="Arial"/>
          <w:lang w:val="en-US"/>
        </w:rPr>
        <w:t xml:space="preserve"> (Rai </w:t>
      </w:r>
      <w:r w:rsidR="00AD7377" w:rsidRPr="00AD7377">
        <w:rPr>
          <w:rFonts w:ascii="Arial" w:hAnsi="Arial" w:cs="Arial"/>
        </w:rPr>
        <w:t>and Devaiah</w:t>
      </w:r>
      <w:r w:rsidR="001175C5">
        <w:rPr>
          <w:rFonts w:ascii="Arial" w:hAnsi="Arial" w:cs="Arial"/>
          <w:lang w:val="en-US"/>
        </w:rPr>
        <w:t>, 2019)</w:t>
      </w:r>
      <w:r w:rsidRPr="00FA6883">
        <w:rPr>
          <w:rFonts w:ascii="Arial" w:hAnsi="Arial" w:cs="Arial"/>
          <w:lang w:val="en-US"/>
        </w:rPr>
        <w:t>.</w:t>
      </w:r>
    </w:p>
    <w:p w14:paraId="008DBBFB" w14:textId="77777777" w:rsidR="00FA6883" w:rsidRPr="00FA6883" w:rsidRDefault="00FA6883" w:rsidP="00FE3C56">
      <w:pPr>
        <w:pStyle w:val="Heading2"/>
        <w:rPr>
          <w:lang w:val="en-US"/>
        </w:rPr>
      </w:pPr>
      <w:bookmarkStart w:id="9" w:name="_Toc237170831"/>
      <w:r w:rsidRPr="00FA6883">
        <w:rPr>
          <w:lang w:val="en-US"/>
        </w:rPr>
        <w:t>2.1.4 Underlying Challenges Affecting Patient Safety</w:t>
      </w:r>
      <w:bookmarkEnd w:id="9"/>
    </w:p>
    <w:p w14:paraId="435B36EF" w14:textId="1B088AE6" w:rsidR="00FE3C56" w:rsidRPr="00FE3C56" w:rsidRDefault="00FE3C56" w:rsidP="00FE3C56">
      <w:pPr>
        <w:spacing w:line="360" w:lineRule="auto"/>
        <w:jc w:val="both"/>
        <w:rPr>
          <w:rFonts w:ascii="Arial" w:hAnsi="Arial" w:cs="Arial"/>
          <w:lang w:val="en-US"/>
        </w:rPr>
      </w:pPr>
      <w:r w:rsidRPr="00FE3C56">
        <w:rPr>
          <w:rFonts w:ascii="Arial" w:hAnsi="Arial" w:cs="Arial"/>
          <w:lang w:val="en-US"/>
        </w:rPr>
        <w:t>The Lewis Blackman case reflects wider challenges affecting healthcare organisations globally. Increasing patient complexity, workforce shortages, heavy clinical workloads, financial constraints, and rising demand for healthcare services create conditions in which communication failures and delayed clinical decisions are more likely</w:t>
      </w:r>
      <w:r w:rsidR="0057474B">
        <w:rPr>
          <w:rFonts w:ascii="Arial" w:hAnsi="Arial" w:cs="Arial"/>
          <w:lang w:val="en-US"/>
        </w:rPr>
        <w:t xml:space="preserve"> (</w:t>
      </w:r>
      <w:r w:rsidR="0057474B" w:rsidRPr="0057474B">
        <w:rPr>
          <w:rFonts w:ascii="Arial" w:hAnsi="Arial" w:cs="Arial"/>
        </w:rPr>
        <w:t>Taylor</w:t>
      </w:r>
      <w:r w:rsidR="0057474B">
        <w:rPr>
          <w:rFonts w:ascii="Arial" w:hAnsi="Arial" w:cs="Arial"/>
        </w:rPr>
        <w:t>, 2024)</w:t>
      </w:r>
      <w:r w:rsidRPr="00FE3C56">
        <w:rPr>
          <w:rFonts w:ascii="Arial" w:hAnsi="Arial" w:cs="Arial"/>
          <w:lang w:val="en-US"/>
        </w:rPr>
        <w:t>. These pressures can reduce opportunities for continuous patient monitoring, delay senior clinical review, and increase reliance on less experienced healthcare professionals</w:t>
      </w:r>
      <w:r w:rsidR="00216EF8">
        <w:rPr>
          <w:rFonts w:ascii="Arial" w:hAnsi="Arial" w:cs="Arial"/>
          <w:lang w:val="en-US"/>
        </w:rPr>
        <w:t xml:space="preserve"> (</w:t>
      </w:r>
      <w:r w:rsidR="00216EF8" w:rsidRPr="00216EF8">
        <w:rPr>
          <w:rFonts w:ascii="Arial" w:hAnsi="Arial" w:cs="Arial"/>
        </w:rPr>
        <w:t>Cerela-Boltunova</w:t>
      </w:r>
      <w:r w:rsidR="008668F8">
        <w:rPr>
          <w:rFonts w:ascii="Arial" w:hAnsi="Arial" w:cs="Arial"/>
        </w:rPr>
        <w:t xml:space="preserve"> </w:t>
      </w:r>
      <w:r w:rsidR="00216EF8" w:rsidRPr="00216EF8">
        <w:rPr>
          <w:rFonts w:ascii="Arial" w:hAnsi="Arial" w:cs="Arial"/>
        </w:rPr>
        <w:t>and Millere,</w:t>
      </w:r>
      <w:r w:rsidR="008668F8">
        <w:rPr>
          <w:rFonts w:ascii="Arial" w:hAnsi="Arial" w:cs="Arial"/>
        </w:rPr>
        <w:t xml:space="preserve"> </w:t>
      </w:r>
      <w:r w:rsidR="00216EF8" w:rsidRPr="00216EF8">
        <w:rPr>
          <w:rFonts w:ascii="Arial" w:hAnsi="Arial" w:cs="Arial"/>
        </w:rPr>
        <w:t>2025</w:t>
      </w:r>
      <w:r w:rsidR="00216EF8">
        <w:rPr>
          <w:rFonts w:ascii="Arial" w:hAnsi="Arial" w:cs="Arial"/>
        </w:rPr>
        <w:t>)</w:t>
      </w:r>
      <w:r w:rsidRPr="00FE3C56">
        <w:rPr>
          <w:rFonts w:ascii="Arial" w:hAnsi="Arial" w:cs="Arial"/>
          <w:lang w:val="en-US"/>
        </w:rPr>
        <w:t>. Consequently, healthcare organisations facing staffing and resource shortages often experience higher rates of patient safety incidents, poorer clinical outcomes, and longer hospital stays, highlighting the need for effective leadership and appropriate resource management</w:t>
      </w:r>
      <w:r w:rsidR="001C2ED4">
        <w:rPr>
          <w:rFonts w:ascii="Arial" w:hAnsi="Arial" w:cs="Arial"/>
          <w:lang w:val="en-US"/>
        </w:rPr>
        <w:t xml:space="preserve"> (</w:t>
      </w:r>
      <w:r w:rsidR="001C2ED4" w:rsidRPr="0057474B">
        <w:rPr>
          <w:rFonts w:ascii="Arial" w:hAnsi="Arial" w:cs="Arial"/>
        </w:rPr>
        <w:t>Taylor</w:t>
      </w:r>
      <w:r w:rsidR="001C2ED4">
        <w:rPr>
          <w:rFonts w:ascii="Arial" w:hAnsi="Arial" w:cs="Arial"/>
        </w:rPr>
        <w:t>, 2024)</w:t>
      </w:r>
      <w:r w:rsidRPr="00FE3C56">
        <w:rPr>
          <w:rFonts w:ascii="Arial" w:hAnsi="Arial" w:cs="Arial"/>
          <w:lang w:val="en-US"/>
        </w:rPr>
        <w:t>.</w:t>
      </w:r>
    </w:p>
    <w:p w14:paraId="1D574658" w14:textId="508D894C" w:rsidR="00FE3C56" w:rsidRPr="00FE3C56" w:rsidRDefault="00FE3C56" w:rsidP="00FE3C56">
      <w:pPr>
        <w:spacing w:line="360" w:lineRule="auto"/>
        <w:jc w:val="both"/>
        <w:rPr>
          <w:rFonts w:ascii="Arial" w:hAnsi="Arial" w:cs="Arial"/>
          <w:lang w:val="en-US"/>
        </w:rPr>
      </w:pPr>
      <w:r w:rsidRPr="00FE3C56">
        <w:rPr>
          <w:rFonts w:ascii="Arial" w:hAnsi="Arial" w:cs="Arial"/>
          <w:lang w:val="en-US"/>
        </w:rPr>
        <w:t>Improving patient safety requires organisational commitment beyond individual clinical competence</w:t>
      </w:r>
      <w:r w:rsidR="001C2ED4">
        <w:rPr>
          <w:rFonts w:ascii="Arial" w:hAnsi="Arial" w:cs="Arial"/>
          <w:lang w:val="en-US"/>
        </w:rPr>
        <w:t xml:space="preserve"> (</w:t>
      </w:r>
      <w:r w:rsidR="001C2ED4" w:rsidRPr="00216EF8">
        <w:rPr>
          <w:rFonts w:ascii="Arial" w:hAnsi="Arial" w:cs="Arial"/>
        </w:rPr>
        <w:t>Cerela-Boltunova</w:t>
      </w:r>
      <w:r w:rsidR="001C2ED4">
        <w:rPr>
          <w:rFonts w:ascii="Arial" w:hAnsi="Arial" w:cs="Arial"/>
        </w:rPr>
        <w:t xml:space="preserve"> </w:t>
      </w:r>
      <w:r w:rsidR="001C2ED4" w:rsidRPr="00216EF8">
        <w:rPr>
          <w:rFonts w:ascii="Arial" w:hAnsi="Arial" w:cs="Arial"/>
        </w:rPr>
        <w:t>and Millere,</w:t>
      </w:r>
      <w:r w:rsidR="001C2ED4">
        <w:rPr>
          <w:rFonts w:ascii="Arial" w:hAnsi="Arial" w:cs="Arial"/>
        </w:rPr>
        <w:t xml:space="preserve"> </w:t>
      </w:r>
      <w:r w:rsidR="001C2ED4" w:rsidRPr="00216EF8">
        <w:rPr>
          <w:rFonts w:ascii="Arial" w:hAnsi="Arial" w:cs="Arial"/>
        </w:rPr>
        <w:t>2025</w:t>
      </w:r>
      <w:r w:rsidR="001C2ED4">
        <w:rPr>
          <w:rFonts w:ascii="Arial" w:hAnsi="Arial" w:cs="Arial"/>
        </w:rPr>
        <w:t>)</w:t>
      </w:r>
      <w:r w:rsidRPr="00FE3C56">
        <w:rPr>
          <w:rFonts w:ascii="Arial" w:hAnsi="Arial" w:cs="Arial"/>
          <w:lang w:val="en-US"/>
        </w:rPr>
        <w:t>. Healthcare leaders should strengthen workforce development, continuous professional education, clinical governance, and effective incident reporting systems while promoting a culture of openness and learning rather than blame</w:t>
      </w:r>
      <w:r w:rsidR="001C2ED4">
        <w:rPr>
          <w:rFonts w:ascii="Arial" w:hAnsi="Arial" w:cs="Arial"/>
          <w:lang w:val="en-US"/>
        </w:rPr>
        <w:t xml:space="preserve"> (</w:t>
      </w:r>
      <w:r w:rsidR="001C2ED4" w:rsidRPr="0057474B">
        <w:rPr>
          <w:rFonts w:ascii="Arial" w:hAnsi="Arial" w:cs="Arial"/>
        </w:rPr>
        <w:t>Taylor</w:t>
      </w:r>
      <w:r w:rsidR="001C2ED4">
        <w:rPr>
          <w:rFonts w:ascii="Arial" w:hAnsi="Arial" w:cs="Arial"/>
        </w:rPr>
        <w:t>, 2024)</w:t>
      </w:r>
      <w:r w:rsidRPr="00FE3C56">
        <w:rPr>
          <w:rFonts w:ascii="Arial" w:hAnsi="Arial" w:cs="Arial"/>
          <w:lang w:val="en-US"/>
        </w:rPr>
        <w:t>. Standardised escalation procedures, multidisciplinary teamwork, effective communication, and active involvement of patients and families in decision-making should be embedded within healthcare practice</w:t>
      </w:r>
      <w:r w:rsidR="001C2ED4">
        <w:rPr>
          <w:rFonts w:ascii="Arial" w:hAnsi="Arial" w:cs="Arial"/>
          <w:lang w:val="en-US"/>
        </w:rPr>
        <w:t xml:space="preserve"> (</w:t>
      </w:r>
      <w:r w:rsidR="001C2ED4" w:rsidRPr="00216EF8">
        <w:rPr>
          <w:rFonts w:ascii="Arial" w:hAnsi="Arial" w:cs="Arial"/>
        </w:rPr>
        <w:t>Cerela-Boltunova</w:t>
      </w:r>
      <w:r w:rsidR="001C2ED4">
        <w:rPr>
          <w:rFonts w:ascii="Arial" w:hAnsi="Arial" w:cs="Arial"/>
        </w:rPr>
        <w:t xml:space="preserve"> </w:t>
      </w:r>
      <w:r w:rsidR="001C2ED4" w:rsidRPr="00216EF8">
        <w:rPr>
          <w:rFonts w:ascii="Arial" w:hAnsi="Arial" w:cs="Arial"/>
        </w:rPr>
        <w:t>and Millere,</w:t>
      </w:r>
      <w:r w:rsidR="001C2ED4">
        <w:rPr>
          <w:rFonts w:ascii="Arial" w:hAnsi="Arial" w:cs="Arial"/>
        </w:rPr>
        <w:t xml:space="preserve"> </w:t>
      </w:r>
      <w:r w:rsidR="001C2ED4" w:rsidRPr="00216EF8">
        <w:rPr>
          <w:rFonts w:ascii="Arial" w:hAnsi="Arial" w:cs="Arial"/>
        </w:rPr>
        <w:t>2025</w:t>
      </w:r>
      <w:r w:rsidR="001C2ED4">
        <w:rPr>
          <w:rFonts w:ascii="Arial" w:hAnsi="Arial" w:cs="Arial"/>
        </w:rPr>
        <w:t>)</w:t>
      </w:r>
      <w:r w:rsidRPr="00FE3C56">
        <w:rPr>
          <w:rFonts w:ascii="Arial" w:hAnsi="Arial" w:cs="Arial"/>
          <w:lang w:val="en-US"/>
        </w:rPr>
        <w:t>. These measures enhance patient safety, improve quality of care, and reduce the likelihood of preventable adverse events</w:t>
      </w:r>
      <w:r w:rsidR="001C2ED4">
        <w:rPr>
          <w:rFonts w:ascii="Arial" w:hAnsi="Arial" w:cs="Arial"/>
          <w:lang w:val="en-US"/>
        </w:rPr>
        <w:t xml:space="preserve"> (</w:t>
      </w:r>
      <w:r w:rsidR="001C2ED4" w:rsidRPr="00216EF8">
        <w:rPr>
          <w:rFonts w:ascii="Arial" w:hAnsi="Arial" w:cs="Arial"/>
        </w:rPr>
        <w:t>Cerela-Boltunova</w:t>
      </w:r>
      <w:r w:rsidR="001C2ED4">
        <w:rPr>
          <w:rFonts w:ascii="Arial" w:hAnsi="Arial" w:cs="Arial"/>
        </w:rPr>
        <w:t xml:space="preserve"> </w:t>
      </w:r>
      <w:r w:rsidR="001C2ED4" w:rsidRPr="00216EF8">
        <w:rPr>
          <w:rFonts w:ascii="Arial" w:hAnsi="Arial" w:cs="Arial"/>
        </w:rPr>
        <w:t>and Millere,</w:t>
      </w:r>
      <w:r w:rsidR="001C2ED4">
        <w:rPr>
          <w:rFonts w:ascii="Arial" w:hAnsi="Arial" w:cs="Arial"/>
        </w:rPr>
        <w:t xml:space="preserve"> </w:t>
      </w:r>
      <w:r w:rsidR="001C2ED4" w:rsidRPr="00216EF8">
        <w:rPr>
          <w:rFonts w:ascii="Arial" w:hAnsi="Arial" w:cs="Arial"/>
        </w:rPr>
        <w:t>2025</w:t>
      </w:r>
      <w:r w:rsidR="001C2ED4">
        <w:rPr>
          <w:rFonts w:ascii="Arial" w:hAnsi="Arial" w:cs="Arial"/>
        </w:rPr>
        <w:t>)</w:t>
      </w:r>
      <w:r w:rsidRPr="00FE3C56">
        <w:rPr>
          <w:rFonts w:ascii="Arial" w:hAnsi="Arial" w:cs="Arial"/>
          <w:lang w:val="en-US"/>
        </w:rPr>
        <w:t>.</w:t>
      </w:r>
    </w:p>
    <w:p w14:paraId="777B4DFA" w14:textId="1983B860" w:rsidR="00FA6883" w:rsidRPr="006B6266" w:rsidRDefault="006B6266" w:rsidP="00107D20">
      <w:pPr>
        <w:pStyle w:val="Heading1"/>
      </w:pPr>
      <w:bookmarkStart w:id="10" w:name="_Toc237170832"/>
      <w:r>
        <w:t>2.2</w:t>
      </w:r>
      <w:r w:rsidRPr="006B6266">
        <w:t xml:space="preserve"> Centralisation or Decentralisation within the Case Study</w:t>
      </w:r>
      <w:bookmarkEnd w:id="10"/>
    </w:p>
    <w:p w14:paraId="403ACBE2" w14:textId="77777777" w:rsidR="006B6266" w:rsidRPr="006B6266" w:rsidRDefault="006B6266" w:rsidP="00107D20">
      <w:pPr>
        <w:pStyle w:val="Heading2"/>
        <w:rPr>
          <w:lang w:val="en-US"/>
        </w:rPr>
      </w:pPr>
      <w:bookmarkStart w:id="11" w:name="_Toc237170833"/>
      <w:r w:rsidRPr="006B6266">
        <w:rPr>
          <w:lang w:val="en-US"/>
        </w:rPr>
        <w:t>2.2.1 Centralised Decision-Making in the Case</w:t>
      </w:r>
      <w:bookmarkEnd w:id="11"/>
    </w:p>
    <w:p w14:paraId="18144302" w14:textId="477CEFDC" w:rsidR="00107D20" w:rsidRPr="00107D20" w:rsidRDefault="00107D20" w:rsidP="00107D20">
      <w:pPr>
        <w:spacing w:line="360" w:lineRule="auto"/>
        <w:jc w:val="both"/>
        <w:rPr>
          <w:rFonts w:ascii="Arial" w:hAnsi="Arial" w:cs="Arial"/>
          <w:lang w:val="en-US"/>
        </w:rPr>
      </w:pPr>
      <w:r w:rsidRPr="00107D20">
        <w:rPr>
          <w:rFonts w:ascii="Arial" w:hAnsi="Arial" w:cs="Arial"/>
          <w:lang w:val="en-US"/>
        </w:rPr>
        <w:t>The organisational structure in the Lewis Blackman case can be viewed as predominantly centralised in clinical decision-making, although daily care was shared among junior doctors and nurses</w:t>
      </w:r>
      <w:r w:rsidR="00DE7C09">
        <w:rPr>
          <w:rFonts w:ascii="Arial" w:hAnsi="Arial" w:cs="Arial"/>
          <w:lang w:val="en-US"/>
        </w:rPr>
        <w:t xml:space="preserve"> (</w:t>
      </w:r>
      <w:r w:rsidR="00DE7C09" w:rsidRPr="00DE7C09">
        <w:rPr>
          <w:rFonts w:ascii="Arial" w:hAnsi="Arial" w:cs="Arial"/>
        </w:rPr>
        <w:t>Gill</w:t>
      </w:r>
      <w:r w:rsidR="00DE7C09">
        <w:rPr>
          <w:rFonts w:ascii="Arial" w:hAnsi="Arial" w:cs="Arial"/>
        </w:rPr>
        <w:t>, 2019)</w:t>
      </w:r>
      <w:r w:rsidRPr="00107D20">
        <w:rPr>
          <w:rFonts w:ascii="Arial" w:hAnsi="Arial" w:cs="Arial"/>
          <w:lang w:val="en-US"/>
        </w:rPr>
        <w:t>. Centralised systems concentrate authority among senior professionals, while junior staff have limited influence over major decisions. The distinction between residents, attending physicians, and nursing staff created a clear hierarchy</w:t>
      </w:r>
      <w:r w:rsidR="00DA118C">
        <w:rPr>
          <w:rFonts w:ascii="Arial" w:hAnsi="Arial" w:cs="Arial"/>
          <w:lang w:val="en-US"/>
        </w:rPr>
        <w:t xml:space="preserve"> (</w:t>
      </w:r>
      <w:r w:rsidR="00DA118C" w:rsidRPr="00DA118C">
        <w:rPr>
          <w:rFonts w:ascii="Arial" w:hAnsi="Arial" w:cs="Arial"/>
        </w:rPr>
        <w:t>Mac</w:t>
      </w:r>
      <w:r w:rsidR="00DA118C">
        <w:rPr>
          <w:rFonts w:ascii="Arial" w:hAnsi="Arial" w:cs="Arial"/>
        </w:rPr>
        <w:t>, 2021)</w:t>
      </w:r>
      <w:r w:rsidRPr="00107D20">
        <w:rPr>
          <w:rFonts w:ascii="Arial" w:hAnsi="Arial" w:cs="Arial"/>
          <w:lang w:val="en-US"/>
        </w:rPr>
        <w:t>. Lewis's deteriorating condition was managed mainly by junior clinicians, while the attending physician was not contacted despite his family's requests</w:t>
      </w:r>
      <w:r w:rsidR="00F600C4">
        <w:rPr>
          <w:rFonts w:ascii="Arial" w:hAnsi="Arial" w:cs="Arial"/>
          <w:lang w:val="en-US"/>
        </w:rPr>
        <w:t xml:space="preserve"> (</w:t>
      </w:r>
      <w:r w:rsidR="00F600C4" w:rsidRPr="00DA118C">
        <w:rPr>
          <w:rFonts w:ascii="Arial" w:hAnsi="Arial" w:cs="Arial"/>
        </w:rPr>
        <w:t>Mac</w:t>
      </w:r>
      <w:r w:rsidR="00F600C4">
        <w:rPr>
          <w:rFonts w:ascii="Arial" w:hAnsi="Arial" w:cs="Arial"/>
        </w:rPr>
        <w:t>, 2021)</w:t>
      </w:r>
      <w:r w:rsidRPr="00107D20">
        <w:rPr>
          <w:rFonts w:ascii="Arial" w:hAnsi="Arial" w:cs="Arial"/>
          <w:lang w:val="en-US"/>
        </w:rPr>
        <w:t>. This demonstrates that senior authority existed but was not effectively accessed when his condition worsened. Consequently, the hierarchy contributed to delayed escalation and inadequate senior involvement</w:t>
      </w:r>
      <w:r w:rsidR="00F600C4">
        <w:rPr>
          <w:rFonts w:ascii="Arial" w:hAnsi="Arial" w:cs="Arial"/>
          <w:lang w:val="en-US"/>
        </w:rPr>
        <w:t xml:space="preserve"> (</w:t>
      </w:r>
      <w:r w:rsidR="00F600C4" w:rsidRPr="00DE7C09">
        <w:rPr>
          <w:rFonts w:ascii="Arial" w:hAnsi="Arial" w:cs="Arial"/>
        </w:rPr>
        <w:t>Gill</w:t>
      </w:r>
      <w:r w:rsidR="00F600C4">
        <w:rPr>
          <w:rFonts w:ascii="Arial" w:hAnsi="Arial" w:cs="Arial"/>
        </w:rPr>
        <w:t>, 2019)</w:t>
      </w:r>
      <w:r w:rsidRPr="00107D20">
        <w:rPr>
          <w:rFonts w:ascii="Arial" w:hAnsi="Arial" w:cs="Arial"/>
          <w:lang w:val="en-US"/>
        </w:rPr>
        <w:t>.</w:t>
      </w:r>
    </w:p>
    <w:p w14:paraId="5C5B71A7" w14:textId="46BB59A5" w:rsidR="00107D20" w:rsidRPr="00107D20" w:rsidRDefault="00107D20" w:rsidP="00107D20">
      <w:pPr>
        <w:spacing w:line="360" w:lineRule="auto"/>
        <w:jc w:val="both"/>
        <w:rPr>
          <w:rFonts w:ascii="Arial" w:hAnsi="Arial" w:cs="Arial"/>
          <w:lang w:val="en-US"/>
        </w:rPr>
      </w:pPr>
      <w:r w:rsidRPr="00107D20">
        <w:rPr>
          <w:rFonts w:ascii="Arial" w:hAnsi="Arial" w:cs="Arial"/>
          <w:lang w:val="en-US"/>
        </w:rPr>
        <w:t>Centralisation can provide benefits by establishing clear accountability, consistent procedures, and access to specialist expertise. Senior clinicians can make decisive decisions during complex clinical situations and reduce conflicting instructions</w:t>
      </w:r>
      <w:r w:rsidR="00F600C4">
        <w:rPr>
          <w:rFonts w:ascii="Arial" w:hAnsi="Arial" w:cs="Arial"/>
          <w:lang w:val="en-US"/>
        </w:rPr>
        <w:t xml:space="preserve"> (</w:t>
      </w:r>
      <w:r w:rsidR="00F600C4" w:rsidRPr="00DA118C">
        <w:rPr>
          <w:rFonts w:ascii="Arial" w:hAnsi="Arial" w:cs="Arial"/>
        </w:rPr>
        <w:t>Mac</w:t>
      </w:r>
      <w:r w:rsidR="00F600C4">
        <w:rPr>
          <w:rFonts w:ascii="Arial" w:hAnsi="Arial" w:cs="Arial"/>
        </w:rPr>
        <w:t>, 2021)</w:t>
      </w:r>
      <w:r w:rsidRPr="00107D20">
        <w:rPr>
          <w:rFonts w:ascii="Arial" w:hAnsi="Arial" w:cs="Arial"/>
          <w:lang w:val="en-US"/>
        </w:rPr>
        <w:t>. However, centralisation becomes problematic when hierarchy prevents information from reaching senior decision-makers</w:t>
      </w:r>
      <w:r w:rsidR="00F600C4">
        <w:rPr>
          <w:rFonts w:ascii="Arial" w:hAnsi="Arial" w:cs="Arial"/>
          <w:lang w:val="en-US"/>
        </w:rPr>
        <w:t xml:space="preserve"> (</w:t>
      </w:r>
      <w:r w:rsidR="00F600C4" w:rsidRPr="00DE7C09">
        <w:rPr>
          <w:rFonts w:ascii="Arial" w:hAnsi="Arial" w:cs="Arial"/>
        </w:rPr>
        <w:t>Gill</w:t>
      </w:r>
      <w:r w:rsidR="00F600C4">
        <w:rPr>
          <w:rFonts w:ascii="Arial" w:hAnsi="Arial" w:cs="Arial"/>
        </w:rPr>
        <w:t>, 2019)</w:t>
      </w:r>
      <w:r w:rsidRPr="00107D20">
        <w:rPr>
          <w:rFonts w:ascii="Arial" w:hAnsi="Arial" w:cs="Arial"/>
          <w:lang w:val="en-US"/>
        </w:rPr>
        <w:t>. In Lewis's case, those closest to him recognised concerning changes but could not ensure appropriate senior intervention</w:t>
      </w:r>
      <w:r w:rsidR="00F600C4">
        <w:rPr>
          <w:rFonts w:ascii="Arial" w:hAnsi="Arial" w:cs="Arial"/>
          <w:lang w:val="en-US"/>
        </w:rPr>
        <w:t xml:space="preserve"> (</w:t>
      </w:r>
      <w:r w:rsidR="00F600C4" w:rsidRPr="00DA118C">
        <w:rPr>
          <w:rFonts w:ascii="Arial" w:hAnsi="Arial" w:cs="Arial"/>
        </w:rPr>
        <w:t>Mac</w:t>
      </w:r>
      <w:r w:rsidR="00F600C4">
        <w:rPr>
          <w:rFonts w:ascii="Arial" w:hAnsi="Arial" w:cs="Arial"/>
        </w:rPr>
        <w:t>, 2021)</w:t>
      </w:r>
      <w:r w:rsidRPr="00107D20">
        <w:rPr>
          <w:rFonts w:ascii="Arial" w:hAnsi="Arial" w:cs="Arial"/>
          <w:lang w:val="en-US"/>
        </w:rPr>
        <w:t>. This created a separation between responsibility for observing deterioration and authority to change the clinical plan. Thus, centralised authority can support consistency but may become unsafe during rapidly developing clinical crises when escalation is ineffective</w:t>
      </w:r>
      <w:r w:rsidR="00D5048B">
        <w:rPr>
          <w:rFonts w:ascii="Arial" w:hAnsi="Arial" w:cs="Arial"/>
          <w:lang w:val="en-US"/>
        </w:rPr>
        <w:t xml:space="preserve"> (</w:t>
      </w:r>
      <w:r w:rsidR="00D5048B" w:rsidRPr="00DE7C09">
        <w:rPr>
          <w:rFonts w:ascii="Arial" w:hAnsi="Arial" w:cs="Arial"/>
        </w:rPr>
        <w:t>Gill</w:t>
      </w:r>
      <w:r w:rsidR="00D5048B">
        <w:rPr>
          <w:rFonts w:ascii="Arial" w:hAnsi="Arial" w:cs="Arial"/>
        </w:rPr>
        <w:t>, 2019)</w:t>
      </w:r>
      <w:r w:rsidRPr="00107D20">
        <w:rPr>
          <w:rFonts w:ascii="Arial" w:hAnsi="Arial" w:cs="Arial"/>
          <w:lang w:val="en-US"/>
        </w:rPr>
        <w:t>.</w:t>
      </w:r>
    </w:p>
    <w:p w14:paraId="2A00E41F" w14:textId="77777777" w:rsidR="006B6266" w:rsidRPr="006B6266" w:rsidRDefault="006B6266" w:rsidP="00072559">
      <w:pPr>
        <w:pStyle w:val="Heading2"/>
        <w:rPr>
          <w:lang w:val="en-US"/>
        </w:rPr>
      </w:pPr>
      <w:bookmarkStart w:id="12" w:name="_Toc237170834"/>
      <w:r w:rsidRPr="006B6266">
        <w:rPr>
          <w:lang w:val="en-US"/>
        </w:rPr>
        <w:t>2.2.2 Advantages and Disadvantages of Centralisation</w:t>
      </w:r>
      <w:bookmarkEnd w:id="12"/>
    </w:p>
    <w:p w14:paraId="16678627" w14:textId="6C546B81" w:rsidR="00107D20" w:rsidRPr="00107D20" w:rsidRDefault="00107D20" w:rsidP="00107D20">
      <w:pPr>
        <w:spacing w:line="360" w:lineRule="auto"/>
        <w:jc w:val="both"/>
        <w:rPr>
          <w:rFonts w:ascii="Arial" w:hAnsi="Arial" w:cs="Arial"/>
          <w:lang w:val="en-US"/>
        </w:rPr>
      </w:pPr>
      <w:r w:rsidRPr="00107D20">
        <w:rPr>
          <w:rFonts w:ascii="Arial" w:hAnsi="Arial" w:cs="Arial"/>
          <w:lang w:val="en-US"/>
        </w:rPr>
        <w:t>Centralised decision-making can establish a clear chain of command, reducing uncertainty about responsibilities and accountability during clinical situations. It can also support consistent procedures, professional supervision, and organisational standards, particularly in teaching hospitals</w:t>
      </w:r>
      <w:r w:rsidR="00F02F70">
        <w:rPr>
          <w:rFonts w:ascii="Arial" w:hAnsi="Arial" w:cs="Arial"/>
          <w:lang w:val="en-US"/>
        </w:rPr>
        <w:t xml:space="preserve"> (</w:t>
      </w:r>
      <w:r w:rsidR="00F02F70" w:rsidRPr="00F02F70">
        <w:rPr>
          <w:rFonts w:ascii="Arial" w:hAnsi="Arial" w:cs="Arial"/>
        </w:rPr>
        <w:t>Ramsay</w:t>
      </w:r>
      <w:r w:rsidR="00F02F70">
        <w:rPr>
          <w:rFonts w:ascii="Arial" w:hAnsi="Arial" w:cs="Arial"/>
        </w:rPr>
        <w:t xml:space="preserve"> et al, 2025)</w:t>
      </w:r>
      <w:r w:rsidRPr="00107D20">
        <w:rPr>
          <w:rFonts w:ascii="Arial" w:hAnsi="Arial" w:cs="Arial"/>
          <w:lang w:val="en-US"/>
        </w:rPr>
        <w:t>. However, centralisation is effective only when senior authority is accessible when needed. In Lewis's case, an attending physician was available but was not contacted despite worsening clinical indicators</w:t>
      </w:r>
      <w:r w:rsidR="00F52004">
        <w:rPr>
          <w:rFonts w:ascii="Arial" w:hAnsi="Arial" w:cs="Arial"/>
          <w:lang w:val="en-US"/>
        </w:rPr>
        <w:t xml:space="preserve"> (</w:t>
      </w:r>
      <w:r w:rsidR="00F52004" w:rsidRPr="00F52004">
        <w:rPr>
          <w:rFonts w:ascii="Arial" w:hAnsi="Arial" w:cs="Arial"/>
        </w:rPr>
        <w:t>Shishkin</w:t>
      </w:r>
      <w:r w:rsidR="00F52004">
        <w:rPr>
          <w:rFonts w:ascii="Arial" w:hAnsi="Arial" w:cs="Arial"/>
        </w:rPr>
        <w:t xml:space="preserve"> et al, 2025)</w:t>
      </w:r>
      <w:r w:rsidRPr="00107D20">
        <w:rPr>
          <w:rFonts w:ascii="Arial" w:hAnsi="Arial" w:cs="Arial"/>
          <w:lang w:val="en-US"/>
        </w:rPr>
        <w:t>. Therefore, the key weakness was not centralised authority itself but the absence of effective mechanisms for transferring responsibility when the patient's condition exceeded junior clinicians' capabilities</w:t>
      </w:r>
      <w:r w:rsidR="00E2612B">
        <w:rPr>
          <w:rFonts w:ascii="Arial" w:hAnsi="Arial" w:cs="Arial"/>
          <w:lang w:val="en-US"/>
        </w:rPr>
        <w:t xml:space="preserve"> (</w:t>
      </w:r>
      <w:r w:rsidR="00E2612B" w:rsidRPr="00F02F70">
        <w:rPr>
          <w:rFonts w:ascii="Arial" w:hAnsi="Arial" w:cs="Arial"/>
        </w:rPr>
        <w:t>Ramsay</w:t>
      </w:r>
      <w:r w:rsidR="00E2612B">
        <w:rPr>
          <w:rFonts w:ascii="Arial" w:hAnsi="Arial" w:cs="Arial"/>
        </w:rPr>
        <w:t xml:space="preserve"> et al, 2025)</w:t>
      </w:r>
      <w:r w:rsidRPr="00107D20">
        <w:rPr>
          <w:rFonts w:ascii="Arial" w:hAnsi="Arial" w:cs="Arial"/>
          <w:lang w:val="en-US"/>
        </w:rPr>
        <w:t>.</w:t>
      </w:r>
    </w:p>
    <w:p w14:paraId="1C925239" w14:textId="52BB74F8" w:rsidR="00107D20" w:rsidRPr="00107D20" w:rsidRDefault="00107D20" w:rsidP="00107D20">
      <w:pPr>
        <w:spacing w:line="360" w:lineRule="auto"/>
        <w:jc w:val="both"/>
        <w:rPr>
          <w:rFonts w:ascii="Arial" w:hAnsi="Arial" w:cs="Arial"/>
          <w:lang w:val="en-US"/>
        </w:rPr>
      </w:pPr>
      <w:r w:rsidRPr="00107D20">
        <w:rPr>
          <w:rFonts w:ascii="Arial" w:hAnsi="Arial" w:cs="Arial"/>
          <w:lang w:val="en-US"/>
        </w:rPr>
        <w:t>The disadvantages of excessive hierarchy become evident when staff feel unable to challenge clinical decisions or escalate concerns</w:t>
      </w:r>
      <w:r w:rsidR="00E2612B">
        <w:rPr>
          <w:rFonts w:ascii="Arial" w:hAnsi="Arial" w:cs="Arial"/>
          <w:lang w:val="en-US"/>
        </w:rPr>
        <w:t xml:space="preserve"> (</w:t>
      </w:r>
      <w:r w:rsidR="00E2612B" w:rsidRPr="00F02F70">
        <w:rPr>
          <w:rFonts w:ascii="Arial" w:hAnsi="Arial" w:cs="Arial"/>
        </w:rPr>
        <w:t>Ramsay</w:t>
      </w:r>
      <w:r w:rsidR="00E2612B">
        <w:rPr>
          <w:rFonts w:ascii="Arial" w:hAnsi="Arial" w:cs="Arial"/>
        </w:rPr>
        <w:t xml:space="preserve"> et al, 2025)</w:t>
      </w:r>
      <w:r w:rsidRPr="00107D20">
        <w:rPr>
          <w:rFonts w:ascii="Arial" w:hAnsi="Arial" w:cs="Arial"/>
          <w:lang w:val="en-US"/>
        </w:rPr>
        <w:t>. In Lewis's case, junior clinicians managed complex deterioration without adequate senior intervention, while nurses and family members had limited influence over medical decisions</w:t>
      </w:r>
      <w:r w:rsidR="0022706C">
        <w:rPr>
          <w:rFonts w:ascii="Arial" w:hAnsi="Arial" w:cs="Arial"/>
          <w:lang w:val="en-US"/>
        </w:rPr>
        <w:t xml:space="preserve"> (</w:t>
      </w:r>
      <w:r w:rsidR="0022706C" w:rsidRPr="00DA118C">
        <w:rPr>
          <w:rFonts w:ascii="Arial" w:hAnsi="Arial" w:cs="Arial"/>
        </w:rPr>
        <w:t>Mac</w:t>
      </w:r>
      <w:r w:rsidR="0022706C">
        <w:rPr>
          <w:rFonts w:ascii="Arial" w:hAnsi="Arial" w:cs="Arial"/>
        </w:rPr>
        <w:t>, 2021)</w:t>
      </w:r>
      <w:r w:rsidRPr="00107D20">
        <w:rPr>
          <w:rFonts w:ascii="Arial" w:hAnsi="Arial" w:cs="Arial"/>
          <w:lang w:val="en-US"/>
        </w:rPr>
        <w:t>. This created a separation between information, expertise, and decision-making authority. Evidence from AHRQ's 2024 Hospital Survey on Patient Safety Culture, covering 445 hospitals, found that only 68% of respondents rated their work area as excellent or very good for patient safety</w:t>
      </w:r>
      <w:r w:rsidR="00E2612B">
        <w:rPr>
          <w:rFonts w:ascii="Arial" w:hAnsi="Arial" w:cs="Arial"/>
          <w:lang w:val="en-US"/>
        </w:rPr>
        <w:t xml:space="preserve"> (</w:t>
      </w:r>
      <w:r w:rsidR="00E2612B" w:rsidRPr="00E2612B">
        <w:rPr>
          <w:rFonts w:ascii="Arial" w:hAnsi="Arial" w:cs="Arial"/>
        </w:rPr>
        <w:t>Fekadu</w:t>
      </w:r>
      <w:r w:rsidR="00E2612B">
        <w:rPr>
          <w:rFonts w:ascii="Arial" w:hAnsi="Arial" w:cs="Arial"/>
        </w:rPr>
        <w:t xml:space="preserve"> et al, 2025)</w:t>
      </w:r>
      <w:r w:rsidRPr="00107D20">
        <w:rPr>
          <w:rFonts w:ascii="Arial" w:hAnsi="Arial" w:cs="Arial"/>
          <w:lang w:val="en-US"/>
        </w:rPr>
        <w:t>. The findings demonstrate the importance of communication, teamwork, staffing, and management support in maintaining effective safety cultures</w:t>
      </w:r>
      <w:r w:rsidR="00E2612B">
        <w:rPr>
          <w:rFonts w:ascii="Arial" w:hAnsi="Arial" w:cs="Arial"/>
          <w:lang w:val="en-US"/>
        </w:rPr>
        <w:t xml:space="preserve"> (</w:t>
      </w:r>
      <w:r w:rsidR="00E2612B" w:rsidRPr="00F52004">
        <w:rPr>
          <w:rFonts w:ascii="Arial" w:hAnsi="Arial" w:cs="Arial"/>
        </w:rPr>
        <w:t>Shishkin</w:t>
      </w:r>
      <w:r w:rsidR="00E2612B">
        <w:rPr>
          <w:rFonts w:ascii="Arial" w:hAnsi="Arial" w:cs="Arial"/>
        </w:rPr>
        <w:t xml:space="preserve"> et al, 2025)</w:t>
      </w:r>
      <w:r w:rsidRPr="00107D20">
        <w:rPr>
          <w:rFonts w:ascii="Arial" w:hAnsi="Arial" w:cs="Arial"/>
          <w:lang w:val="en-US"/>
        </w:rPr>
        <w:t>.</w:t>
      </w:r>
    </w:p>
    <w:p w14:paraId="59AB9479" w14:textId="77777777" w:rsidR="006B6266" w:rsidRPr="006B6266" w:rsidRDefault="006B6266" w:rsidP="00072559">
      <w:pPr>
        <w:pStyle w:val="Heading2"/>
        <w:rPr>
          <w:lang w:val="en-US"/>
        </w:rPr>
      </w:pPr>
      <w:bookmarkStart w:id="13" w:name="_Toc237170835"/>
      <w:r w:rsidRPr="006B6266">
        <w:rPr>
          <w:lang w:val="en-US"/>
        </w:rPr>
        <w:t>2.2.3 Decentralisation and Distributed Authority</w:t>
      </w:r>
      <w:bookmarkEnd w:id="13"/>
    </w:p>
    <w:p w14:paraId="424D6FDE" w14:textId="4CB30CD9" w:rsidR="008507E3" w:rsidRPr="008507E3" w:rsidRDefault="008507E3" w:rsidP="008507E3">
      <w:pPr>
        <w:spacing w:line="360" w:lineRule="auto"/>
        <w:jc w:val="both"/>
        <w:rPr>
          <w:rFonts w:ascii="Arial" w:hAnsi="Arial" w:cs="Arial"/>
          <w:lang w:val="en-US"/>
        </w:rPr>
      </w:pPr>
      <w:r w:rsidRPr="008507E3">
        <w:rPr>
          <w:rFonts w:ascii="Arial" w:hAnsi="Arial" w:cs="Arial"/>
          <w:lang w:val="en-US"/>
        </w:rPr>
        <w:t>Decentralisation distributes authority across organisational levels, enabling professionals closest to patients to participate more actively in decision-making. In healthcare, this may involve nurses, junior doctors, allied professionals, patients, and families being empowered to raise concerns and initiate escalation when deterioration occurs</w:t>
      </w:r>
      <w:r w:rsidR="007D13E7">
        <w:rPr>
          <w:rFonts w:ascii="Arial" w:hAnsi="Arial" w:cs="Arial"/>
          <w:lang w:val="en-US"/>
        </w:rPr>
        <w:t xml:space="preserve"> (</w:t>
      </w:r>
      <w:r w:rsidR="007D13E7" w:rsidRPr="007D13E7">
        <w:rPr>
          <w:rFonts w:ascii="Arial" w:hAnsi="Arial" w:cs="Arial"/>
        </w:rPr>
        <w:t>Ohrling</w:t>
      </w:r>
      <w:r w:rsidR="007D13E7">
        <w:rPr>
          <w:rFonts w:ascii="Arial" w:hAnsi="Arial" w:cs="Arial"/>
        </w:rPr>
        <w:t xml:space="preserve"> et al, 2021)</w:t>
      </w:r>
      <w:r w:rsidRPr="008507E3">
        <w:rPr>
          <w:rFonts w:ascii="Arial" w:hAnsi="Arial" w:cs="Arial"/>
          <w:lang w:val="en-US"/>
        </w:rPr>
        <w:t>. Applied to the Lewis Blackman case, decentralisation could have allowed nurses or Lewis's family to request urgent senior review without relying solely on the resident's judgement. This would not remove senior clinical authority but would create additional routes for concerns to reach appropriate decision-makers promptly</w:t>
      </w:r>
      <w:r w:rsidR="00A91EC7">
        <w:rPr>
          <w:rFonts w:ascii="Arial" w:hAnsi="Arial" w:cs="Arial"/>
          <w:lang w:val="en-US"/>
        </w:rPr>
        <w:t xml:space="preserve"> (</w:t>
      </w:r>
      <w:r w:rsidR="00A91EC7" w:rsidRPr="00A91EC7">
        <w:rPr>
          <w:rFonts w:ascii="Arial" w:hAnsi="Arial" w:cs="Arial"/>
          <w:lang w:val="en-US"/>
        </w:rPr>
        <w:t>Sapkota</w:t>
      </w:r>
      <w:r w:rsidR="00A91EC7">
        <w:rPr>
          <w:rFonts w:ascii="Arial" w:hAnsi="Arial" w:cs="Arial"/>
          <w:lang w:val="en-US"/>
        </w:rPr>
        <w:t xml:space="preserve"> et al, 2023)</w:t>
      </w:r>
      <w:r w:rsidRPr="008507E3">
        <w:rPr>
          <w:rFonts w:ascii="Arial" w:hAnsi="Arial" w:cs="Arial"/>
          <w:lang w:val="en-US"/>
        </w:rPr>
        <w:t>.</w:t>
      </w:r>
    </w:p>
    <w:p w14:paraId="2FC95CF5" w14:textId="3848FD80" w:rsidR="008507E3" w:rsidRPr="008507E3" w:rsidRDefault="008507E3" w:rsidP="008507E3">
      <w:pPr>
        <w:spacing w:line="360" w:lineRule="auto"/>
        <w:jc w:val="both"/>
        <w:rPr>
          <w:rFonts w:ascii="Arial" w:hAnsi="Arial" w:cs="Arial"/>
          <w:lang w:val="en-US"/>
        </w:rPr>
      </w:pPr>
      <w:r w:rsidRPr="008507E3">
        <w:rPr>
          <w:rFonts w:ascii="Arial" w:hAnsi="Arial" w:cs="Arial"/>
          <w:lang w:val="en-US"/>
        </w:rPr>
        <w:t>The subsequent Lewis Blackman Hospital Patient Safety Act provides an example of decentralised patient safety mechanisms responding to weaknesses identified in the case. South Carolina regulations require hospitals to establish procedures allowing patients to obtain prompt assistance for urgent healthcare concerns and enabling supervisory clinical staff to assess those concerns</w:t>
      </w:r>
      <w:r w:rsidR="004D564D">
        <w:rPr>
          <w:rFonts w:ascii="Arial" w:hAnsi="Arial" w:cs="Arial"/>
          <w:lang w:val="en-US"/>
        </w:rPr>
        <w:t xml:space="preserve"> </w:t>
      </w:r>
      <w:r w:rsidR="004D564D" w:rsidRPr="007D13E7">
        <w:rPr>
          <w:rFonts w:ascii="Arial" w:hAnsi="Arial" w:cs="Arial"/>
        </w:rPr>
        <w:t>Ohrling</w:t>
      </w:r>
      <w:r w:rsidR="004D564D">
        <w:rPr>
          <w:rFonts w:ascii="Arial" w:hAnsi="Arial" w:cs="Arial"/>
        </w:rPr>
        <w:t xml:space="preserve"> et al, 2021)</w:t>
      </w:r>
      <w:r w:rsidRPr="008507E3">
        <w:rPr>
          <w:rFonts w:ascii="Arial" w:hAnsi="Arial" w:cs="Arial"/>
          <w:lang w:val="en-US"/>
        </w:rPr>
        <w:t>. Hospitals must also provide information about clinical trainees and their roles. These measures strengthen the authority of patients and frontline staff by creating formal escalation pathways</w:t>
      </w:r>
      <w:r w:rsidR="004D564D">
        <w:rPr>
          <w:rFonts w:ascii="Arial" w:hAnsi="Arial" w:cs="Arial"/>
          <w:lang w:val="en-US"/>
        </w:rPr>
        <w:t xml:space="preserve"> (</w:t>
      </w:r>
      <w:r w:rsidR="004D564D" w:rsidRPr="00A91EC7">
        <w:rPr>
          <w:rFonts w:ascii="Arial" w:hAnsi="Arial" w:cs="Arial"/>
          <w:lang w:val="en-US"/>
        </w:rPr>
        <w:t>Sapkota</w:t>
      </w:r>
      <w:r w:rsidR="004D564D">
        <w:rPr>
          <w:rFonts w:ascii="Arial" w:hAnsi="Arial" w:cs="Arial"/>
          <w:lang w:val="en-US"/>
        </w:rPr>
        <w:t xml:space="preserve"> et al, 2023)</w:t>
      </w:r>
      <w:r w:rsidRPr="008507E3">
        <w:rPr>
          <w:rFonts w:ascii="Arial" w:hAnsi="Arial" w:cs="Arial"/>
          <w:lang w:val="en-US"/>
        </w:rPr>
        <w:t>. Therefore, the legislation demonstrates how lessons from Lewis's death contributed to structural changes designed to reduce dependence on a single hierarchical decision-making pathway</w:t>
      </w:r>
      <w:r w:rsidR="004D564D">
        <w:rPr>
          <w:rFonts w:ascii="Arial" w:hAnsi="Arial" w:cs="Arial"/>
          <w:lang w:val="en-US"/>
        </w:rPr>
        <w:t xml:space="preserve"> (</w:t>
      </w:r>
      <w:r w:rsidR="004D564D" w:rsidRPr="00A91EC7">
        <w:rPr>
          <w:rFonts w:ascii="Arial" w:hAnsi="Arial" w:cs="Arial"/>
          <w:lang w:val="en-US"/>
        </w:rPr>
        <w:t>Sapkota</w:t>
      </w:r>
      <w:r w:rsidR="004D564D">
        <w:rPr>
          <w:rFonts w:ascii="Arial" w:hAnsi="Arial" w:cs="Arial"/>
          <w:lang w:val="en-US"/>
        </w:rPr>
        <w:t xml:space="preserve"> et al, 2023)</w:t>
      </w:r>
      <w:r w:rsidRPr="008507E3">
        <w:rPr>
          <w:rFonts w:ascii="Arial" w:hAnsi="Arial" w:cs="Arial"/>
          <w:lang w:val="en-US"/>
        </w:rPr>
        <w:t>.</w:t>
      </w:r>
    </w:p>
    <w:p w14:paraId="45CE095F" w14:textId="77777777" w:rsidR="006B6266" w:rsidRPr="006B6266" w:rsidRDefault="006B6266" w:rsidP="00072559">
      <w:pPr>
        <w:pStyle w:val="Heading2"/>
        <w:rPr>
          <w:lang w:val="en-US"/>
        </w:rPr>
      </w:pPr>
      <w:bookmarkStart w:id="14" w:name="_Toc237170836"/>
      <w:r w:rsidRPr="006B6266">
        <w:rPr>
          <w:lang w:val="en-US"/>
        </w:rPr>
        <w:t>2.2.4 Advantages and Disadvantages of Decentralisation</w:t>
      </w:r>
      <w:bookmarkEnd w:id="14"/>
    </w:p>
    <w:p w14:paraId="052F87B5" w14:textId="306A5316" w:rsidR="00A61E16" w:rsidRPr="00A61E16" w:rsidRDefault="00A61E16" w:rsidP="00A61E16">
      <w:pPr>
        <w:spacing w:line="360" w:lineRule="auto"/>
        <w:jc w:val="both"/>
        <w:rPr>
          <w:rFonts w:ascii="Arial" w:hAnsi="Arial" w:cs="Arial"/>
          <w:lang w:val="en-US"/>
        </w:rPr>
      </w:pPr>
      <w:r w:rsidRPr="00A61E16">
        <w:rPr>
          <w:rFonts w:ascii="Arial" w:hAnsi="Arial" w:cs="Arial"/>
          <w:lang w:val="en-US"/>
        </w:rPr>
        <w:t>Decentralisation can improve responsiveness because decisions and concerns are addressed closer to the point of care. Frontline staff may recognise subtle changes in patients before senior clinicians, making their involvement valuable for early intervention</w:t>
      </w:r>
      <w:r w:rsidR="004D564D">
        <w:rPr>
          <w:rFonts w:ascii="Arial" w:hAnsi="Arial" w:cs="Arial"/>
          <w:lang w:val="en-US"/>
        </w:rPr>
        <w:t xml:space="preserve"> (</w:t>
      </w:r>
      <w:r w:rsidR="004D564D" w:rsidRPr="00A91EC7">
        <w:rPr>
          <w:rFonts w:ascii="Arial" w:hAnsi="Arial" w:cs="Arial"/>
          <w:lang w:val="en-US"/>
        </w:rPr>
        <w:t>Sapkota</w:t>
      </w:r>
      <w:r w:rsidR="004D564D">
        <w:rPr>
          <w:rFonts w:ascii="Arial" w:hAnsi="Arial" w:cs="Arial"/>
          <w:lang w:val="en-US"/>
        </w:rPr>
        <w:t xml:space="preserve"> et al, 2023)</w:t>
      </w:r>
      <w:r w:rsidRPr="00A61E16">
        <w:rPr>
          <w:rFonts w:ascii="Arial" w:hAnsi="Arial" w:cs="Arial"/>
          <w:lang w:val="en-US"/>
        </w:rPr>
        <w:t>. Empowering staff can reduce delays, strengthen teamwork, and increase engagement by demonstrating that professional observations are valued</w:t>
      </w:r>
      <w:r w:rsidR="004D564D">
        <w:rPr>
          <w:rFonts w:ascii="Arial" w:hAnsi="Arial" w:cs="Arial"/>
          <w:lang w:val="en-US"/>
        </w:rPr>
        <w:t xml:space="preserve"> (</w:t>
      </w:r>
      <w:r w:rsidR="004D564D" w:rsidRPr="004D564D">
        <w:rPr>
          <w:rFonts w:ascii="Arial" w:hAnsi="Arial" w:cs="Arial"/>
        </w:rPr>
        <w:t>Rotulo</w:t>
      </w:r>
      <w:r w:rsidR="004D564D">
        <w:rPr>
          <w:rFonts w:ascii="Arial" w:hAnsi="Arial" w:cs="Arial"/>
        </w:rPr>
        <w:t xml:space="preserve"> et al, 2023)</w:t>
      </w:r>
      <w:r w:rsidRPr="00A61E16">
        <w:rPr>
          <w:rFonts w:ascii="Arial" w:hAnsi="Arial" w:cs="Arial"/>
          <w:lang w:val="en-US"/>
        </w:rPr>
        <w:t>. However, effective decentralisation requires supportive organisational cultures, appropriate training, and clear responsibilities rather than simply transferring authority to frontline staff</w:t>
      </w:r>
      <w:r w:rsidR="00862A69">
        <w:rPr>
          <w:rFonts w:ascii="Arial" w:hAnsi="Arial" w:cs="Arial"/>
          <w:lang w:val="en-US"/>
        </w:rPr>
        <w:t xml:space="preserve"> (</w:t>
      </w:r>
      <w:r w:rsidR="00862A69" w:rsidRPr="00862A69">
        <w:rPr>
          <w:rFonts w:ascii="Arial" w:hAnsi="Arial" w:cs="Arial"/>
        </w:rPr>
        <w:t>Abughazalah</w:t>
      </w:r>
      <w:r w:rsidR="00862A69">
        <w:rPr>
          <w:rFonts w:ascii="Arial" w:hAnsi="Arial" w:cs="Arial"/>
        </w:rPr>
        <w:t xml:space="preserve"> et al, 2024)</w:t>
      </w:r>
      <w:r w:rsidRPr="00A61E16">
        <w:rPr>
          <w:rFonts w:ascii="Arial" w:hAnsi="Arial" w:cs="Arial"/>
          <w:lang w:val="en-US"/>
        </w:rPr>
        <w:t>.</w:t>
      </w:r>
    </w:p>
    <w:p w14:paraId="0B75E3C7" w14:textId="2582DE76" w:rsidR="00A61E16" w:rsidRPr="00A61E16" w:rsidRDefault="00A61E16" w:rsidP="00A61E16">
      <w:pPr>
        <w:spacing w:line="360" w:lineRule="auto"/>
        <w:jc w:val="both"/>
        <w:rPr>
          <w:rFonts w:ascii="Arial" w:hAnsi="Arial" w:cs="Arial"/>
          <w:lang w:val="en-US"/>
        </w:rPr>
      </w:pPr>
      <w:r w:rsidRPr="00A61E16">
        <w:rPr>
          <w:rFonts w:ascii="Arial" w:hAnsi="Arial" w:cs="Arial"/>
          <w:lang w:val="en-US"/>
        </w:rPr>
        <w:t>Nevertheless, excessive decentralisation may create inconsistent decisions, role ambiguity, and variation in practice when staff lack competence or access to senior support</w:t>
      </w:r>
      <w:r w:rsidR="00AA7CF9">
        <w:rPr>
          <w:rFonts w:ascii="Arial" w:hAnsi="Arial" w:cs="Arial"/>
          <w:lang w:val="en-US"/>
        </w:rPr>
        <w:t xml:space="preserve"> (</w:t>
      </w:r>
      <w:r w:rsidR="00AA7CF9" w:rsidRPr="00862A69">
        <w:rPr>
          <w:rFonts w:ascii="Arial" w:hAnsi="Arial" w:cs="Arial"/>
        </w:rPr>
        <w:t>Abughazalah</w:t>
      </w:r>
      <w:r w:rsidR="00AA7CF9">
        <w:rPr>
          <w:rFonts w:ascii="Arial" w:hAnsi="Arial" w:cs="Arial"/>
        </w:rPr>
        <w:t xml:space="preserve"> et al, 2024)</w:t>
      </w:r>
      <w:r w:rsidRPr="00A61E16">
        <w:rPr>
          <w:rFonts w:ascii="Arial" w:hAnsi="Arial" w:cs="Arial"/>
          <w:lang w:val="en-US"/>
        </w:rPr>
        <w:t>. The Lewis Blackman case demonstrates that neither complete centralisation nor decentralisation would automatically ensure safety. The critical issue is whether concerns reach an appropriate decision-maker promptly</w:t>
      </w:r>
      <w:r w:rsidR="00AA7CF9">
        <w:rPr>
          <w:rFonts w:ascii="Arial" w:hAnsi="Arial" w:cs="Arial"/>
          <w:lang w:val="en-US"/>
        </w:rPr>
        <w:t xml:space="preserve"> (</w:t>
      </w:r>
      <w:r w:rsidR="00AA7CF9" w:rsidRPr="004D564D">
        <w:rPr>
          <w:rFonts w:ascii="Arial" w:hAnsi="Arial" w:cs="Arial"/>
        </w:rPr>
        <w:t>Rotulo</w:t>
      </w:r>
      <w:r w:rsidR="00AA7CF9">
        <w:rPr>
          <w:rFonts w:ascii="Arial" w:hAnsi="Arial" w:cs="Arial"/>
        </w:rPr>
        <w:t xml:space="preserve"> et al, 2023)</w:t>
      </w:r>
      <w:r w:rsidRPr="00A61E16">
        <w:rPr>
          <w:rFonts w:ascii="Arial" w:hAnsi="Arial" w:cs="Arial"/>
          <w:lang w:val="en-US"/>
        </w:rPr>
        <w:t>. A balanced model should therefore combine centralised governance with decentralised escalation, enabling frontline professionals and families to raise concerns while maintaining senior accountability for complex clinical decisions</w:t>
      </w:r>
      <w:r w:rsidR="004D564D">
        <w:rPr>
          <w:rFonts w:ascii="Arial" w:hAnsi="Arial" w:cs="Arial"/>
          <w:lang w:val="en-US"/>
        </w:rPr>
        <w:t xml:space="preserve"> (</w:t>
      </w:r>
      <w:r w:rsidR="004D564D" w:rsidRPr="00A91EC7">
        <w:rPr>
          <w:rFonts w:ascii="Arial" w:hAnsi="Arial" w:cs="Arial"/>
          <w:lang w:val="en-US"/>
        </w:rPr>
        <w:t>Sapkota</w:t>
      </w:r>
      <w:r w:rsidR="004D564D">
        <w:rPr>
          <w:rFonts w:ascii="Arial" w:hAnsi="Arial" w:cs="Arial"/>
          <w:lang w:val="en-US"/>
        </w:rPr>
        <w:t xml:space="preserve"> et al, 2023)</w:t>
      </w:r>
      <w:r w:rsidRPr="00A61E16">
        <w:rPr>
          <w:rFonts w:ascii="Arial" w:hAnsi="Arial" w:cs="Arial"/>
          <w:lang w:val="en-US"/>
        </w:rPr>
        <w:t>.</w:t>
      </w:r>
    </w:p>
    <w:p w14:paraId="45DAD222" w14:textId="77777777" w:rsidR="006B6266" w:rsidRPr="006B6266" w:rsidRDefault="006B6266" w:rsidP="00072559">
      <w:pPr>
        <w:pStyle w:val="Heading2"/>
        <w:rPr>
          <w:lang w:val="en-US"/>
        </w:rPr>
      </w:pPr>
      <w:bookmarkStart w:id="15" w:name="_Toc237170837"/>
      <w:r w:rsidRPr="006B6266">
        <w:rPr>
          <w:lang w:val="en-US"/>
        </w:rPr>
        <w:t>2.2.5 Critical Comparison and Case Application</w:t>
      </w:r>
      <w:bookmarkEnd w:id="15"/>
    </w:p>
    <w:p w14:paraId="7CAA9510" w14:textId="742A478F" w:rsidR="00A61E16" w:rsidRPr="00A61E16" w:rsidRDefault="00A61E16" w:rsidP="00A61E16">
      <w:pPr>
        <w:spacing w:line="360" w:lineRule="auto"/>
        <w:jc w:val="both"/>
        <w:rPr>
          <w:rFonts w:ascii="Arial" w:hAnsi="Arial" w:cs="Arial"/>
          <w:lang w:val="en-US"/>
        </w:rPr>
      </w:pPr>
      <w:r w:rsidRPr="00A61E16">
        <w:rPr>
          <w:rFonts w:ascii="Arial" w:hAnsi="Arial" w:cs="Arial"/>
          <w:lang w:val="en-US"/>
        </w:rPr>
        <w:t>The Lewis Blackman case suggests that excessive reliance on hierarchical clinical authority hindered crisis management, decision-making, and accountability. Although authority was distributed among several professional groups, meaningful decisions remained strongly influenced by medical hierarchy</w:t>
      </w:r>
      <w:r w:rsidR="00AA7CF9">
        <w:rPr>
          <w:rFonts w:ascii="Arial" w:hAnsi="Arial" w:cs="Arial"/>
          <w:lang w:val="en-US"/>
        </w:rPr>
        <w:t xml:space="preserve"> (</w:t>
      </w:r>
      <w:r w:rsidR="00AA7CF9" w:rsidRPr="00862A69">
        <w:rPr>
          <w:rFonts w:ascii="Arial" w:hAnsi="Arial" w:cs="Arial"/>
        </w:rPr>
        <w:t>Abughazalah</w:t>
      </w:r>
      <w:r w:rsidR="00AA7CF9">
        <w:rPr>
          <w:rFonts w:ascii="Arial" w:hAnsi="Arial" w:cs="Arial"/>
        </w:rPr>
        <w:t xml:space="preserve"> et al, 2024)</w:t>
      </w:r>
      <w:r w:rsidRPr="00A61E16">
        <w:rPr>
          <w:rFonts w:ascii="Arial" w:hAnsi="Arial" w:cs="Arial"/>
          <w:lang w:val="en-US"/>
        </w:rPr>
        <w:t>. This created a structural weakness in which those closest to Lewis had important information about his deterioration but insufficient influence over escalation</w:t>
      </w:r>
      <w:r w:rsidR="00BC0093">
        <w:rPr>
          <w:rFonts w:ascii="Arial" w:hAnsi="Arial" w:cs="Arial"/>
          <w:lang w:val="en-US"/>
        </w:rPr>
        <w:t xml:space="preserve"> (</w:t>
      </w:r>
      <w:r w:rsidR="00BC0093" w:rsidRPr="00F52004">
        <w:rPr>
          <w:rFonts w:ascii="Arial" w:hAnsi="Arial" w:cs="Arial"/>
        </w:rPr>
        <w:t>Shishkin</w:t>
      </w:r>
      <w:r w:rsidR="00BC0093">
        <w:rPr>
          <w:rFonts w:ascii="Arial" w:hAnsi="Arial" w:cs="Arial"/>
        </w:rPr>
        <w:t xml:space="preserve"> et al, 2025)</w:t>
      </w:r>
      <w:r w:rsidRPr="00A61E16">
        <w:rPr>
          <w:rFonts w:ascii="Arial" w:hAnsi="Arial" w:cs="Arial"/>
          <w:lang w:val="en-US"/>
        </w:rPr>
        <w:t>. The problem was therefore not centralisation itself, but centralisation without effective escalation mechanisms. A safer structure would combine centralised governance with decentralised patient-level decision-making</w:t>
      </w:r>
      <w:r w:rsidR="00AA7CF9">
        <w:rPr>
          <w:rFonts w:ascii="Arial" w:hAnsi="Arial" w:cs="Arial"/>
          <w:lang w:val="en-US"/>
        </w:rPr>
        <w:t xml:space="preserve"> (</w:t>
      </w:r>
      <w:r w:rsidR="00AA7CF9" w:rsidRPr="00862A69">
        <w:rPr>
          <w:rFonts w:ascii="Arial" w:hAnsi="Arial" w:cs="Arial"/>
        </w:rPr>
        <w:t>Abughazalah</w:t>
      </w:r>
      <w:r w:rsidR="00AA7CF9">
        <w:rPr>
          <w:rFonts w:ascii="Arial" w:hAnsi="Arial" w:cs="Arial"/>
        </w:rPr>
        <w:t xml:space="preserve"> et al, 2024)</w:t>
      </w:r>
      <w:r w:rsidRPr="00A61E16">
        <w:rPr>
          <w:rFonts w:ascii="Arial" w:hAnsi="Arial" w:cs="Arial"/>
          <w:lang w:val="en-US"/>
        </w:rPr>
        <w:t>. Senior leaders should retain responsibility for standards, staffing, governance, and accountability, while nurses, junior doctors, patients, and families should have clear authority to request urgent review</w:t>
      </w:r>
      <w:r w:rsidR="00BC0093">
        <w:rPr>
          <w:rFonts w:ascii="Arial" w:hAnsi="Arial" w:cs="Arial"/>
          <w:lang w:val="en-US"/>
        </w:rPr>
        <w:t xml:space="preserve"> (</w:t>
      </w:r>
      <w:r w:rsidR="00BC0093" w:rsidRPr="00F52004">
        <w:rPr>
          <w:rFonts w:ascii="Arial" w:hAnsi="Arial" w:cs="Arial"/>
        </w:rPr>
        <w:t>Shishkin</w:t>
      </w:r>
      <w:r w:rsidR="00BC0093">
        <w:rPr>
          <w:rFonts w:ascii="Arial" w:hAnsi="Arial" w:cs="Arial"/>
        </w:rPr>
        <w:t xml:space="preserve"> et al, 2025)</w:t>
      </w:r>
      <w:r w:rsidRPr="00A61E16">
        <w:rPr>
          <w:rFonts w:ascii="Arial" w:hAnsi="Arial" w:cs="Arial"/>
          <w:lang w:val="en-US"/>
        </w:rPr>
        <w:t>. This hybrid approach would strengthen responsiveness, communication, and patient safety while maintaining appropriate senior oversight.</w:t>
      </w:r>
    </w:p>
    <w:p w14:paraId="0ADC774F" w14:textId="03775A5F" w:rsidR="006B6266" w:rsidRPr="006B6266" w:rsidRDefault="00706BCC" w:rsidP="00072559">
      <w:pPr>
        <w:pStyle w:val="Heading1"/>
        <w:rPr>
          <w:lang w:val="en-US"/>
        </w:rPr>
      </w:pPr>
      <w:bookmarkStart w:id="16" w:name="_Toc237170838"/>
      <w:r>
        <w:rPr>
          <w:lang w:val="en-US"/>
        </w:rPr>
        <w:t>2</w:t>
      </w:r>
      <w:r w:rsidR="006B6266" w:rsidRPr="006B6266">
        <w:rPr>
          <w:lang w:val="en-US"/>
        </w:rPr>
        <w:t>.</w:t>
      </w:r>
      <w:r>
        <w:rPr>
          <w:lang w:val="en-US"/>
        </w:rPr>
        <w:t>3</w:t>
      </w:r>
      <w:r w:rsidR="006B6266" w:rsidRPr="006B6266">
        <w:rPr>
          <w:lang w:val="en-US"/>
        </w:rPr>
        <w:t xml:space="preserve"> Leadership Theories and Application to the Case Study</w:t>
      </w:r>
      <w:bookmarkEnd w:id="16"/>
    </w:p>
    <w:p w14:paraId="29744EC7" w14:textId="77777777" w:rsidR="006B6266" w:rsidRPr="006B6266" w:rsidRDefault="006B6266" w:rsidP="00072559">
      <w:pPr>
        <w:pStyle w:val="Heading2"/>
        <w:rPr>
          <w:lang w:val="en-US"/>
        </w:rPr>
      </w:pPr>
      <w:bookmarkStart w:id="17" w:name="_Toc237170839"/>
      <w:r w:rsidRPr="006B6266">
        <w:rPr>
          <w:lang w:val="en-US"/>
        </w:rPr>
        <w:t>2.3.1 Transformational Leadership</w:t>
      </w:r>
      <w:bookmarkEnd w:id="17"/>
    </w:p>
    <w:p w14:paraId="7295B35C" w14:textId="107F1925" w:rsidR="00A61E16" w:rsidRPr="00A61E16" w:rsidRDefault="00A61E16" w:rsidP="00A61E16">
      <w:pPr>
        <w:spacing w:line="360" w:lineRule="auto"/>
        <w:jc w:val="both"/>
        <w:rPr>
          <w:rFonts w:ascii="Arial" w:hAnsi="Arial" w:cs="Arial"/>
          <w:lang w:val="en-US"/>
        </w:rPr>
      </w:pPr>
      <w:r w:rsidRPr="00A61E16">
        <w:rPr>
          <w:rFonts w:ascii="Arial" w:hAnsi="Arial" w:cs="Arial"/>
          <w:lang w:val="en-US"/>
        </w:rPr>
        <w:t>Transformational leadership is relevant to the Lewis Blackman case because it emphasises shared purpose, empowerment, communication, and cultural improvement. Transformational leaders encourage staff to move beyond basic compliance by developing collective responsibility for organisational goals and patient safety</w:t>
      </w:r>
      <w:r w:rsidR="00944641">
        <w:rPr>
          <w:rFonts w:ascii="Arial" w:hAnsi="Arial" w:cs="Arial"/>
          <w:lang w:val="en-US"/>
        </w:rPr>
        <w:t xml:space="preserve"> (</w:t>
      </w:r>
      <w:r w:rsidR="00944641" w:rsidRPr="00944641">
        <w:rPr>
          <w:rFonts w:ascii="Arial" w:hAnsi="Arial" w:cs="Arial"/>
        </w:rPr>
        <w:t>Nanjundeswaraswamy</w:t>
      </w:r>
      <w:r w:rsidR="00944641">
        <w:rPr>
          <w:rFonts w:ascii="Arial" w:hAnsi="Arial" w:cs="Arial"/>
        </w:rPr>
        <w:t xml:space="preserve"> et al, 2024)</w:t>
      </w:r>
      <w:r w:rsidRPr="00A61E16">
        <w:rPr>
          <w:rFonts w:ascii="Arial" w:hAnsi="Arial" w:cs="Arial"/>
          <w:lang w:val="en-US"/>
        </w:rPr>
        <w:t>. This approach supports speaking up, challenging unsafe decisions, learning from incidents, and reducing excessive professional hierarchy. In the Lewis Blackman case, these characteristics appeared insufficient, as nurses and family members had limited influence when concerns about Lewis's deterioration emerged</w:t>
      </w:r>
      <w:r w:rsidR="0081248B">
        <w:rPr>
          <w:rFonts w:ascii="Arial" w:hAnsi="Arial" w:cs="Arial"/>
          <w:lang w:val="en-US"/>
        </w:rPr>
        <w:t xml:space="preserve"> (</w:t>
      </w:r>
      <w:r w:rsidR="0081248B" w:rsidRPr="0081248B">
        <w:rPr>
          <w:rFonts w:ascii="Arial" w:hAnsi="Arial" w:cs="Arial"/>
        </w:rPr>
        <w:t>Singh</w:t>
      </w:r>
      <w:r w:rsidR="0081248B">
        <w:rPr>
          <w:rFonts w:ascii="Arial" w:hAnsi="Arial" w:cs="Arial"/>
        </w:rPr>
        <w:t xml:space="preserve"> et al, 2024)</w:t>
      </w:r>
      <w:r w:rsidRPr="00A61E16">
        <w:rPr>
          <w:rFonts w:ascii="Arial" w:hAnsi="Arial" w:cs="Arial"/>
          <w:lang w:val="en-US"/>
        </w:rPr>
        <w:t>.</w:t>
      </w:r>
    </w:p>
    <w:p w14:paraId="740ECEC0" w14:textId="283A79E1" w:rsidR="00A61E16" w:rsidRPr="00A61E16" w:rsidRDefault="00A61E16" w:rsidP="00A61E16">
      <w:pPr>
        <w:spacing w:line="360" w:lineRule="auto"/>
        <w:jc w:val="both"/>
        <w:rPr>
          <w:rFonts w:ascii="Arial" w:hAnsi="Arial" w:cs="Arial"/>
          <w:lang w:val="en-US"/>
        </w:rPr>
      </w:pPr>
      <w:r w:rsidRPr="00A61E16">
        <w:rPr>
          <w:rFonts w:ascii="Arial" w:hAnsi="Arial" w:cs="Arial"/>
          <w:lang w:val="en-US"/>
        </w:rPr>
        <w:t>A transformational approach could have created a culture where recognising and escalating deterioration was considered everyone's responsibility. Nurses identifying concerning symptoms should have felt empowered to request immediate senior assessment rather than relying solely on junior medical judgement</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A61E16">
        <w:rPr>
          <w:rFonts w:ascii="Arial" w:hAnsi="Arial" w:cs="Arial"/>
          <w:lang w:val="en-US"/>
        </w:rPr>
        <w:t>. Similarly, Lewis's mother's concerns should have been actively considered during decision-making. Transformational leadership could therefore have promoted open communication and strengthened teamwork, ensuring that patient safety information was valued regardless of professional position</w:t>
      </w:r>
      <w:r w:rsidR="00902892">
        <w:rPr>
          <w:rFonts w:ascii="Arial" w:hAnsi="Arial" w:cs="Arial"/>
          <w:lang w:val="en-US"/>
        </w:rPr>
        <w:t xml:space="preserve"> (</w:t>
      </w:r>
      <w:r w:rsidR="00902892" w:rsidRPr="00944641">
        <w:rPr>
          <w:rFonts w:ascii="Arial" w:hAnsi="Arial" w:cs="Arial"/>
        </w:rPr>
        <w:t>Nanjundeswaraswamy</w:t>
      </w:r>
      <w:r w:rsidR="00902892">
        <w:rPr>
          <w:rFonts w:ascii="Arial" w:hAnsi="Arial" w:cs="Arial"/>
        </w:rPr>
        <w:t xml:space="preserve"> et al, 2024)</w:t>
      </w:r>
      <w:r w:rsidRPr="00A61E16">
        <w:rPr>
          <w:rFonts w:ascii="Arial" w:hAnsi="Arial" w:cs="Arial"/>
          <w:lang w:val="en-US"/>
        </w:rPr>
        <w:t>.</w:t>
      </w:r>
    </w:p>
    <w:p w14:paraId="76BF8F14" w14:textId="77777777" w:rsidR="006B6266" w:rsidRPr="006B6266" w:rsidRDefault="006B6266" w:rsidP="00072559">
      <w:pPr>
        <w:pStyle w:val="Heading2"/>
        <w:rPr>
          <w:lang w:val="en-US"/>
        </w:rPr>
      </w:pPr>
      <w:bookmarkStart w:id="18" w:name="_Toc237170840"/>
      <w:r w:rsidRPr="006B6266">
        <w:rPr>
          <w:lang w:val="en-US"/>
        </w:rPr>
        <w:t>2.3.2 Transactional Leadership</w:t>
      </w:r>
      <w:bookmarkEnd w:id="18"/>
    </w:p>
    <w:p w14:paraId="2DE0F94A" w14:textId="3B1D41B0"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Transactional leadership focuses on defined responsibilities, compliance, performance expectations, monitoring, and accountability. This approach has value in healthcare because patient safety requires standardised procedures, clear professional responsibilities, and adherence to clinical protocols</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6B6266">
        <w:rPr>
          <w:rFonts w:ascii="Arial" w:hAnsi="Arial" w:cs="Arial"/>
          <w:lang w:val="en-US"/>
        </w:rPr>
        <w:t>. In the Lewis Blackman case, stronger transactional mechanisms could have established mandatory escalation requirements for abnormal observations and clear expectations concerning senior review of deteriorating postoperative patients</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6B6266">
        <w:rPr>
          <w:rFonts w:ascii="Arial" w:hAnsi="Arial" w:cs="Arial"/>
          <w:lang w:val="en-US"/>
        </w:rPr>
        <w:t>.</w:t>
      </w:r>
    </w:p>
    <w:p w14:paraId="2AC84BA6" w14:textId="4486C6F6" w:rsidR="006B6266" w:rsidRPr="006B6266" w:rsidRDefault="006B6266" w:rsidP="006B6266">
      <w:pPr>
        <w:spacing w:line="360" w:lineRule="auto"/>
        <w:jc w:val="both"/>
        <w:rPr>
          <w:rFonts w:ascii="Arial" w:hAnsi="Arial" w:cs="Arial"/>
          <w:lang w:val="en-US"/>
        </w:rPr>
      </w:pPr>
      <w:r w:rsidRPr="006B6266">
        <w:rPr>
          <w:rFonts w:ascii="Arial" w:hAnsi="Arial" w:cs="Arial"/>
          <w:lang w:val="en-US"/>
        </w:rPr>
        <w:t>However, transactional leadership alone would have been insufficient. Compliance-based systems can identify whether a protocol has been followed but may not address deeper cultural problems involving communication, professional hierarchy, or reluctance to challenge colleagues. The Lewis Blackman case illustrates this limitation because clinical processes existed within a teaching hospital, yet the overall response to deterioration remained inadequate</w:t>
      </w:r>
      <w:r w:rsidR="00902892">
        <w:rPr>
          <w:rFonts w:ascii="Arial" w:hAnsi="Arial" w:cs="Arial"/>
          <w:lang w:val="en-US"/>
        </w:rPr>
        <w:t xml:space="preserve"> (</w:t>
      </w:r>
      <w:r w:rsidR="00902892" w:rsidRPr="00944641">
        <w:rPr>
          <w:rFonts w:ascii="Arial" w:hAnsi="Arial" w:cs="Arial"/>
        </w:rPr>
        <w:t>Nanjundeswaraswamy</w:t>
      </w:r>
      <w:r w:rsidR="00902892">
        <w:rPr>
          <w:rFonts w:ascii="Arial" w:hAnsi="Arial" w:cs="Arial"/>
        </w:rPr>
        <w:t xml:space="preserve"> et al, 2024)</w:t>
      </w:r>
      <w:r w:rsidRPr="006B6266">
        <w:rPr>
          <w:rFonts w:ascii="Arial" w:hAnsi="Arial" w:cs="Arial"/>
          <w:lang w:val="en-US"/>
        </w:rPr>
        <w:t>. A purely transactional response could therefore focus on individual failures without addressing the organisational environment that allowed repeated warning signs to be discounted. Effective leadership should combine accountability with empowerment and learning rather than relying exclusively on rules and sanctions</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6B6266">
        <w:rPr>
          <w:rFonts w:ascii="Arial" w:hAnsi="Arial" w:cs="Arial"/>
          <w:lang w:val="en-US"/>
        </w:rPr>
        <w:t>.</w:t>
      </w:r>
    </w:p>
    <w:p w14:paraId="610AE8E2" w14:textId="77777777" w:rsidR="006B6266" w:rsidRPr="006B6266" w:rsidRDefault="006B6266" w:rsidP="00072559">
      <w:pPr>
        <w:pStyle w:val="Heading2"/>
        <w:rPr>
          <w:lang w:val="en-US"/>
        </w:rPr>
      </w:pPr>
      <w:bookmarkStart w:id="19" w:name="_Toc237170841"/>
      <w:r w:rsidRPr="006B6266">
        <w:rPr>
          <w:lang w:val="en-US"/>
        </w:rPr>
        <w:t>2.3.3 Situational Leadership</w:t>
      </w:r>
      <w:bookmarkEnd w:id="19"/>
    </w:p>
    <w:p w14:paraId="7A950E2C" w14:textId="4C7F25D8" w:rsidR="006B6266" w:rsidRPr="006B6266" w:rsidRDefault="006B6266" w:rsidP="006B6266">
      <w:pPr>
        <w:spacing w:line="360" w:lineRule="auto"/>
        <w:jc w:val="both"/>
        <w:rPr>
          <w:rFonts w:ascii="Arial" w:hAnsi="Arial" w:cs="Arial"/>
          <w:lang w:val="en-US"/>
        </w:rPr>
      </w:pPr>
      <w:r w:rsidRPr="006B6266">
        <w:rPr>
          <w:rFonts w:ascii="Arial" w:hAnsi="Arial" w:cs="Arial"/>
          <w:lang w:val="en-US"/>
        </w:rPr>
        <w:t>Situational leadership is particularly applicable to clinical environments because leadership requirements change according to the competence of staff and the complexity of circumstances</w:t>
      </w:r>
      <w:r w:rsidR="00902892">
        <w:rPr>
          <w:rFonts w:ascii="Arial" w:hAnsi="Arial" w:cs="Arial"/>
          <w:lang w:val="en-US"/>
        </w:rPr>
        <w:t xml:space="preserve"> (</w:t>
      </w:r>
      <w:r w:rsidR="00902892" w:rsidRPr="00944641">
        <w:rPr>
          <w:rFonts w:ascii="Arial" w:hAnsi="Arial" w:cs="Arial"/>
        </w:rPr>
        <w:t>Nanjundeswaraswamy</w:t>
      </w:r>
      <w:r w:rsidR="00902892">
        <w:rPr>
          <w:rFonts w:ascii="Arial" w:hAnsi="Arial" w:cs="Arial"/>
        </w:rPr>
        <w:t xml:space="preserve"> et al, 2024)</w:t>
      </w:r>
      <w:r w:rsidRPr="006B6266">
        <w:rPr>
          <w:rFonts w:ascii="Arial" w:hAnsi="Arial" w:cs="Arial"/>
          <w:lang w:val="en-US"/>
        </w:rPr>
        <w:t>. Junior clinicians may appropriately receive greater autonomy when managing routine cases but require increased supervision when a patient's condition becomes complex or unstable</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6B6266">
        <w:rPr>
          <w:rFonts w:ascii="Arial" w:hAnsi="Arial" w:cs="Arial"/>
          <w:lang w:val="en-US"/>
        </w:rPr>
        <w:t>. In Lewis's case, the situation changed substantially as postoperative symptoms progressed. The appropriate leadership response should therefore have shifted from routine supervision towards direct senior involvement</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6B6266">
        <w:rPr>
          <w:rFonts w:ascii="Arial" w:hAnsi="Arial" w:cs="Arial"/>
          <w:lang w:val="en-US"/>
        </w:rPr>
        <w:t>.</w:t>
      </w:r>
    </w:p>
    <w:p w14:paraId="434DB9A7" w14:textId="4EFC7586"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failure to make this transition represents an important leadership weakness. The presence of junior doctors was not itself inappropriate; teaching hospitals depend on supervised training</w:t>
      </w:r>
      <w:r w:rsidR="0081248B">
        <w:rPr>
          <w:rFonts w:ascii="Arial" w:hAnsi="Arial" w:cs="Arial"/>
          <w:lang w:val="en-US"/>
        </w:rPr>
        <w:t xml:space="preserve"> (</w:t>
      </w:r>
      <w:r w:rsidR="0081248B" w:rsidRPr="00A72309">
        <w:rPr>
          <w:rFonts w:ascii="Arial" w:hAnsi="Arial" w:cs="Arial"/>
        </w:rPr>
        <w:t>Khan</w:t>
      </w:r>
      <w:r w:rsidR="0081248B">
        <w:rPr>
          <w:rFonts w:ascii="Arial" w:hAnsi="Arial" w:cs="Arial"/>
        </w:rPr>
        <w:t xml:space="preserve"> et al, 2022)</w:t>
      </w:r>
      <w:r w:rsidRPr="006B6266">
        <w:rPr>
          <w:rFonts w:ascii="Arial" w:hAnsi="Arial" w:cs="Arial"/>
          <w:lang w:val="en-US"/>
        </w:rPr>
        <w:t>. The problem was the absence of effective escalation when the clinical situation exceeded the apparent capability of the junior team. Situational leadership would require senior clinicians to recognise this change and increase their involvement accordingly</w:t>
      </w:r>
      <w:r w:rsidR="00902892">
        <w:rPr>
          <w:rFonts w:ascii="Arial" w:hAnsi="Arial" w:cs="Arial"/>
          <w:lang w:val="en-US"/>
        </w:rPr>
        <w:t xml:space="preserve"> (</w:t>
      </w:r>
      <w:r w:rsidR="00902892" w:rsidRPr="00944641">
        <w:rPr>
          <w:rFonts w:ascii="Arial" w:hAnsi="Arial" w:cs="Arial"/>
        </w:rPr>
        <w:t>Nanjundeswaraswamy</w:t>
      </w:r>
      <w:r w:rsidR="00902892">
        <w:rPr>
          <w:rFonts w:ascii="Arial" w:hAnsi="Arial" w:cs="Arial"/>
        </w:rPr>
        <w:t xml:space="preserve"> et al, 2024)</w:t>
      </w:r>
      <w:r w:rsidRPr="006B6266">
        <w:rPr>
          <w:rFonts w:ascii="Arial" w:hAnsi="Arial" w:cs="Arial"/>
          <w:lang w:val="en-US"/>
        </w:rPr>
        <w:t>. This approach therefore offers a stronger explanation of what should have occurred than simply arguing that all decisions should have been centralised from the beginning.</w:t>
      </w:r>
    </w:p>
    <w:p w14:paraId="17D80553" w14:textId="77777777" w:rsidR="006B6266" w:rsidRPr="006B6266" w:rsidRDefault="006B6266" w:rsidP="00072559">
      <w:pPr>
        <w:pStyle w:val="Heading2"/>
        <w:rPr>
          <w:lang w:val="en-US"/>
        </w:rPr>
      </w:pPr>
      <w:bookmarkStart w:id="20" w:name="_Toc237170842"/>
      <w:r w:rsidRPr="006B6266">
        <w:rPr>
          <w:lang w:val="en-US"/>
        </w:rPr>
        <w:t>2.3.4 Reactive Versus Proactive Leadership</w:t>
      </w:r>
      <w:bookmarkEnd w:id="20"/>
    </w:p>
    <w:p w14:paraId="555109D5" w14:textId="239638E7"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leadership evident in the case can be criticised as predominantly reactive rather than proactive. Proactive leadership anticipates risks, establishes escalation systems, monitors warning indicators, and creates conditions in which problems are identified before they become crises</w:t>
      </w:r>
      <w:r w:rsidR="006C6A50">
        <w:rPr>
          <w:rFonts w:ascii="Arial" w:hAnsi="Arial" w:cs="Arial"/>
          <w:lang w:val="en-US"/>
        </w:rPr>
        <w:t xml:space="preserve"> (</w:t>
      </w:r>
      <w:r w:rsidR="006C6A50" w:rsidRPr="007E6514">
        <w:rPr>
          <w:rFonts w:ascii="Arial" w:hAnsi="Arial" w:cs="Arial"/>
        </w:rPr>
        <w:t>Stanley</w:t>
      </w:r>
      <w:r w:rsidR="006C6A50">
        <w:rPr>
          <w:rFonts w:ascii="Arial" w:hAnsi="Arial" w:cs="Arial"/>
        </w:rPr>
        <w:t>, 2022)</w:t>
      </w:r>
      <w:r w:rsidRPr="006B6266">
        <w:rPr>
          <w:rFonts w:ascii="Arial" w:hAnsi="Arial" w:cs="Arial"/>
          <w:lang w:val="en-US"/>
        </w:rPr>
        <w:t>. Reactive leadership responds after deterioration has become obvious and may therefore allow preventable harm to develop. Lewis's progressive clinical deterioration provided several opportunities for earlier intervention, yet the response remained focused on individual symptoms rather than recognising the overall pattern</w:t>
      </w:r>
      <w:r w:rsidR="00902892">
        <w:rPr>
          <w:rFonts w:ascii="Arial" w:hAnsi="Arial" w:cs="Arial"/>
          <w:lang w:val="en-US"/>
        </w:rPr>
        <w:t xml:space="preserve"> (</w:t>
      </w:r>
      <w:r w:rsidR="00902892" w:rsidRPr="00944641">
        <w:rPr>
          <w:rFonts w:ascii="Arial" w:hAnsi="Arial" w:cs="Arial"/>
        </w:rPr>
        <w:t>Nanjundeswaraswamy</w:t>
      </w:r>
      <w:r w:rsidR="00902892">
        <w:rPr>
          <w:rFonts w:ascii="Arial" w:hAnsi="Arial" w:cs="Arial"/>
        </w:rPr>
        <w:t xml:space="preserve"> et al, 2024)</w:t>
      </w:r>
      <w:r w:rsidRPr="006B6266">
        <w:rPr>
          <w:rFonts w:ascii="Arial" w:hAnsi="Arial" w:cs="Arial"/>
          <w:lang w:val="en-US"/>
        </w:rPr>
        <w:t>.</w:t>
      </w:r>
    </w:p>
    <w:p w14:paraId="20F31190" w14:textId="5675D38F"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consequences of weak proactive leadership are demonstrated by the wider patient safety burden. WHO reports that around one in ten patients is harmed during healthcare and that more than half of this harm is preventable. WHO also identifies organisational leadership, data-driven improvement, skilled staff, and patient and family involvement as necessary components of safer care</w:t>
      </w:r>
      <w:r w:rsidR="007E6514">
        <w:rPr>
          <w:rFonts w:ascii="Arial" w:hAnsi="Arial" w:cs="Arial"/>
          <w:lang w:val="en-US"/>
        </w:rPr>
        <w:t xml:space="preserve"> (</w:t>
      </w:r>
      <w:r w:rsidR="007E6514" w:rsidRPr="007E6514">
        <w:rPr>
          <w:rFonts w:ascii="Arial" w:hAnsi="Arial" w:cs="Arial"/>
        </w:rPr>
        <w:t>Stanley</w:t>
      </w:r>
      <w:r w:rsidR="007E6514">
        <w:rPr>
          <w:rFonts w:ascii="Arial" w:hAnsi="Arial" w:cs="Arial"/>
        </w:rPr>
        <w:t>, 2022)</w:t>
      </w:r>
      <w:r w:rsidRPr="006B6266">
        <w:rPr>
          <w:rFonts w:ascii="Arial" w:hAnsi="Arial" w:cs="Arial"/>
          <w:lang w:val="en-US"/>
        </w:rPr>
        <w:t>. The Lewis Blackman case therefore demonstrates that leadership effectiveness should be judged not only by responses to crises but by the extent to which leaders establish systems that prevent predictable failures</w:t>
      </w:r>
      <w:r w:rsidR="006C6A50">
        <w:rPr>
          <w:rFonts w:ascii="Arial" w:hAnsi="Arial" w:cs="Arial"/>
          <w:lang w:val="en-US"/>
        </w:rPr>
        <w:t xml:space="preserve"> (</w:t>
      </w:r>
      <w:r w:rsidR="006C6A50" w:rsidRPr="007E6514">
        <w:rPr>
          <w:rFonts w:ascii="Arial" w:hAnsi="Arial" w:cs="Arial"/>
        </w:rPr>
        <w:t>Stanley</w:t>
      </w:r>
      <w:r w:rsidR="006C6A50">
        <w:rPr>
          <w:rFonts w:ascii="Arial" w:hAnsi="Arial" w:cs="Arial"/>
        </w:rPr>
        <w:t>, 2022)</w:t>
      </w:r>
      <w:r w:rsidRPr="006B6266">
        <w:rPr>
          <w:rFonts w:ascii="Arial" w:hAnsi="Arial" w:cs="Arial"/>
          <w:lang w:val="en-US"/>
        </w:rPr>
        <w:t>.</w:t>
      </w:r>
    </w:p>
    <w:p w14:paraId="27F58B58" w14:textId="77777777" w:rsidR="006B6266" w:rsidRPr="006B6266" w:rsidRDefault="006B6266" w:rsidP="00072559">
      <w:pPr>
        <w:pStyle w:val="Heading2"/>
        <w:rPr>
          <w:lang w:val="en-US"/>
        </w:rPr>
      </w:pPr>
      <w:bookmarkStart w:id="21" w:name="_Toc237170843"/>
      <w:r w:rsidRPr="006B6266">
        <w:rPr>
          <w:lang w:val="en-US"/>
        </w:rPr>
        <w:t>2.3.5 Emotional Intelligence and Distributed Leadership</w:t>
      </w:r>
      <w:bookmarkEnd w:id="21"/>
    </w:p>
    <w:p w14:paraId="405EAE67" w14:textId="6AFF6C55" w:rsidR="006B6266" w:rsidRPr="006B6266" w:rsidRDefault="006B6266" w:rsidP="006B6266">
      <w:pPr>
        <w:spacing w:line="360" w:lineRule="auto"/>
        <w:jc w:val="both"/>
        <w:rPr>
          <w:rFonts w:ascii="Arial" w:hAnsi="Arial" w:cs="Arial"/>
          <w:lang w:val="en-US"/>
        </w:rPr>
      </w:pPr>
      <w:r w:rsidRPr="006B6266">
        <w:rPr>
          <w:rFonts w:ascii="Arial" w:hAnsi="Arial" w:cs="Arial"/>
          <w:lang w:val="en-US"/>
        </w:rPr>
        <w:t>Emotionally intelligent leadership is important in healthcare because it recognises staff concerns, patient experiences, and family perspectives. In the Lewis Blackman case, Lewis's mother's repeated concerns provided valuable information about his deteriorating condition</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6B6266">
        <w:rPr>
          <w:rFonts w:ascii="Arial" w:hAnsi="Arial" w:cs="Arial"/>
          <w:lang w:val="en-US"/>
        </w:rPr>
        <w:t>. Leaders who listen actively and respond appropriately to families can identify risks that may not be recognised through clinical observations alone</w:t>
      </w:r>
      <w:r w:rsidR="006230AC">
        <w:rPr>
          <w:rFonts w:ascii="Arial" w:hAnsi="Arial" w:cs="Arial"/>
          <w:lang w:val="en-US"/>
        </w:rPr>
        <w:t xml:space="preserve"> (</w:t>
      </w:r>
      <w:r w:rsidR="006230AC" w:rsidRPr="0066431B">
        <w:rPr>
          <w:rFonts w:ascii="Arial" w:hAnsi="Arial" w:cs="Arial"/>
        </w:rPr>
        <w:t>Stanley</w:t>
      </w:r>
      <w:r w:rsidR="006230AC">
        <w:rPr>
          <w:rFonts w:ascii="Arial" w:hAnsi="Arial" w:cs="Arial"/>
        </w:rPr>
        <w:t>, 2022)</w:t>
      </w:r>
      <w:r w:rsidRPr="006B6266">
        <w:rPr>
          <w:rFonts w:ascii="Arial" w:hAnsi="Arial" w:cs="Arial"/>
          <w:lang w:val="en-US"/>
        </w:rPr>
        <w:t>. Emotional intelligence therefore complements clinical expertise by promoting respectful, responsive, and patient-centred communication</w:t>
      </w:r>
      <w:r w:rsidR="00A72309">
        <w:rPr>
          <w:rFonts w:ascii="Arial" w:hAnsi="Arial" w:cs="Arial"/>
          <w:lang w:val="en-US"/>
        </w:rPr>
        <w:t xml:space="preserve"> (</w:t>
      </w:r>
      <w:r w:rsidR="00A72309" w:rsidRPr="00A72309">
        <w:rPr>
          <w:rFonts w:ascii="Arial" w:hAnsi="Arial" w:cs="Arial"/>
        </w:rPr>
        <w:t>Khan</w:t>
      </w:r>
      <w:r w:rsidR="00A72309">
        <w:rPr>
          <w:rFonts w:ascii="Arial" w:hAnsi="Arial" w:cs="Arial"/>
        </w:rPr>
        <w:t xml:space="preserve"> et al, 2022)</w:t>
      </w:r>
      <w:r w:rsidRPr="006B6266">
        <w:rPr>
          <w:rFonts w:ascii="Arial" w:hAnsi="Arial" w:cs="Arial"/>
          <w:lang w:val="en-US"/>
        </w:rPr>
        <w:t>.</w:t>
      </w:r>
    </w:p>
    <w:p w14:paraId="0B5584F5" w14:textId="58FF923A" w:rsidR="006B6266" w:rsidRPr="006B6266" w:rsidRDefault="006B6266" w:rsidP="006B6266">
      <w:pPr>
        <w:spacing w:line="360" w:lineRule="auto"/>
        <w:jc w:val="both"/>
        <w:rPr>
          <w:rFonts w:ascii="Arial" w:hAnsi="Arial" w:cs="Arial"/>
          <w:lang w:val="en-US"/>
        </w:rPr>
      </w:pPr>
      <w:r w:rsidRPr="006B6266">
        <w:rPr>
          <w:rFonts w:ascii="Arial" w:hAnsi="Arial" w:cs="Arial"/>
          <w:lang w:val="en-US"/>
        </w:rPr>
        <w:t>Distributed leadership can further strengthen patient safety by recognising that responsibility should be shared across the multidisciplinary team</w:t>
      </w:r>
      <w:r w:rsidR="006C6A50">
        <w:rPr>
          <w:rFonts w:ascii="Arial" w:hAnsi="Arial" w:cs="Arial"/>
          <w:lang w:val="en-US"/>
        </w:rPr>
        <w:t xml:space="preserve"> (</w:t>
      </w:r>
      <w:r w:rsidR="006C6A50" w:rsidRPr="007E6514">
        <w:rPr>
          <w:rFonts w:ascii="Arial" w:hAnsi="Arial" w:cs="Arial"/>
        </w:rPr>
        <w:t>Stanley</w:t>
      </w:r>
      <w:r w:rsidR="006C6A50">
        <w:rPr>
          <w:rFonts w:ascii="Arial" w:hAnsi="Arial" w:cs="Arial"/>
        </w:rPr>
        <w:t>, 2022)</w:t>
      </w:r>
      <w:r w:rsidRPr="006B6266">
        <w:rPr>
          <w:rFonts w:ascii="Arial" w:hAnsi="Arial" w:cs="Arial"/>
          <w:lang w:val="en-US"/>
        </w:rPr>
        <w:t>. Nurses, junior doctors, allied health professionals, and families should be encouraged to contribute to safety decisions while maintaining clear accountability</w:t>
      </w:r>
      <w:r w:rsidR="00902892">
        <w:rPr>
          <w:rFonts w:ascii="Arial" w:hAnsi="Arial" w:cs="Arial"/>
          <w:lang w:val="en-US"/>
        </w:rPr>
        <w:t xml:space="preserve"> (</w:t>
      </w:r>
      <w:r w:rsidR="00902892" w:rsidRPr="00A72309">
        <w:rPr>
          <w:rFonts w:ascii="Arial" w:hAnsi="Arial" w:cs="Arial"/>
        </w:rPr>
        <w:t>Khan</w:t>
      </w:r>
      <w:r w:rsidR="00902892">
        <w:rPr>
          <w:rFonts w:ascii="Arial" w:hAnsi="Arial" w:cs="Arial"/>
        </w:rPr>
        <w:t xml:space="preserve"> et al, 2022)</w:t>
      </w:r>
      <w:r w:rsidRPr="006B6266">
        <w:rPr>
          <w:rFonts w:ascii="Arial" w:hAnsi="Arial" w:cs="Arial"/>
          <w:lang w:val="en-US"/>
        </w:rPr>
        <w:t>. Therefore, the most appropriate approach for the case would combine transformational, situational, emotionally intelligent, and distributed leadership, supported by transactional mechanisms to maintain professional standards, accountability, and consistent clinical practice</w:t>
      </w:r>
      <w:r w:rsidR="00902892">
        <w:rPr>
          <w:rFonts w:ascii="Arial" w:hAnsi="Arial" w:cs="Arial"/>
          <w:lang w:val="en-US"/>
        </w:rPr>
        <w:t xml:space="preserve"> (</w:t>
      </w:r>
      <w:r w:rsidR="00902892" w:rsidRPr="0081248B">
        <w:rPr>
          <w:rFonts w:ascii="Arial" w:hAnsi="Arial" w:cs="Arial"/>
        </w:rPr>
        <w:t>Singh</w:t>
      </w:r>
      <w:r w:rsidR="00902892">
        <w:rPr>
          <w:rFonts w:ascii="Arial" w:hAnsi="Arial" w:cs="Arial"/>
        </w:rPr>
        <w:t xml:space="preserve"> et al, 2024)</w:t>
      </w:r>
      <w:r w:rsidRPr="006B6266">
        <w:rPr>
          <w:rFonts w:ascii="Arial" w:hAnsi="Arial" w:cs="Arial"/>
          <w:lang w:val="en-US"/>
        </w:rPr>
        <w:t>.</w:t>
      </w:r>
    </w:p>
    <w:p w14:paraId="58FB8B8E" w14:textId="77777777" w:rsidR="009822C1" w:rsidRDefault="006B6266" w:rsidP="009822C1">
      <w:pPr>
        <w:pStyle w:val="Heading1"/>
        <w:rPr>
          <w:bCs/>
          <w:lang w:val="en-US"/>
        </w:rPr>
      </w:pPr>
      <w:bookmarkStart w:id="22" w:name="_Toc237170844"/>
      <w:r>
        <w:rPr>
          <w:lang w:val="en-US"/>
        </w:rPr>
        <w:t>2</w:t>
      </w:r>
      <w:r w:rsidRPr="006B6266">
        <w:rPr>
          <w:lang w:val="en-US"/>
        </w:rPr>
        <w:t>.</w:t>
      </w:r>
      <w:r>
        <w:rPr>
          <w:lang w:val="en-US"/>
        </w:rPr>
        <w:t>4</w:t>
      </w:r>
      <w:r w:rsidRPr="006B6266">
        <w:rPr>
          <w:lang w:val="en-US"/>
        </w:rPr>
        <w:t xml:space="preserve"> </w:t>
      </w:r>
      <w:r w:rsidR="009822C1" w:rsidRPr="009822C1">
        <w:t>Leadership and Governance for Patient Safety Improvement</w:t>
      </w:r>
      <w:bookmarkEnd w:id="22"/>
    </w:p>
    <w:p w14:paraId="5E077E76" w14:textId="7FD99379" w:rsidR="006B6266" w:rsidRPr="006B6266" w:rsidRDefault="006B6266" w:rsidP="009822C1">
      <w:pPr>
        <w:pStyle w:val="Heading2"/>
        <w:rPr>
          <w:lang w:val="en-US"/>
        </w:rPr>
      </w:pPr>
      <w:bookmarkStart w:id="23" w:name="_Toc237170845"/>
      <w:r w:rsidRPr="006B6266">
        <w:rPr>
          <w:lang w:val="en-US"/>
        </w:rPr>
        <w:t>2.4.1 Leadership and Governance Failures</w:t>
      </w:r>
      <w:bookmarkEnd w:id="23"/>
    </w:p>
    <w:p w14:paraId="3307F9D1" w14:textId="4EB526C6"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Lewis Blackman case demonstrates that leadership and governance are closely connected to patient safety. Leadership influences communication and clinical decisions, while governance supports quality, accountability, and risk management</w:t>
      </w:r>
      <w:r w:rsidR="00AB1CD8">
        <w:rPr>
          <w:rFonts w:ascii="Arial" w:hAnsi="Arial" w:cs="Arial"/>
          <w:lang w:val="en-US"/>
        </w:rPr>
        <w:t xml:space="preserve"> (</w:t>
      </w:r>
      <w:r w:rsidR="00AB1CD8" w:rsidRPr="00AB1CD8">
        <w:rPr>
          <w:rFonts w:ascii="Arial" w:hAnsi="Arial" w:cs="Arial"/>
        </w:rPr>
        <w:t>Ledlow</w:t>
      </w:r>
      <w:r w:rsidR="00AB1CD8">
        <w:rPr>
          <w:rFonts w:ascii="Arial" w:hAnsi="Arial" w:cs="Arial"/>
        </w:rPr>
        <w:t xml:space="preserve"> et al, 2023)</w:t>
      </w:r>
      <w:r w:rsidRPr="006B6266">
        <w:rPr>
          <w:rFonts w:ascii="Arial" w:hAnsi="Arial" w:cs="Arial"/>
          <w:lang w:val="en-US"/>
        </w:rPr>
        <w:t>. In this case, clinical concerns were not effectively escalated, junior clinicians lacked sufficient senior intervention, and family concerns were not adequately addressed. These failures show that policies alone cannot ensure safety without effective leadership oversight and accountability</w:t>
      </w:r>
      <w:r w:rsidR="009822C1">
        <w:rPr>
          <w:rFonts w:ascii="Arial" w:hAnsi="Arial" w:cs="Arial"/>
          <w:lang w:val="en-US"/>
        </w:rPr>
        <w:t xml:space="preserve"> (</w:t>
      </w:r>
      <w:r w:rsidR="009822C1" w:rsidRPr="009822C1">
        <w:rPr>
          <w:rFonts w:ascii="Arial" w:hAnsi="Arial" w:cs="Arial"/>
        </w:rPr>
        <w:t>Ahmed</w:t>
      </w:r>
      <w:r w:rsidR="009822C1">
        <w:rPr>
          <w:rFonts w:ascii="Arial" w:hAnsi="Arial" w:cs="Arial"/>
        </w:rPr>
        <w:t xml:space="preserve"> et al, 2026)</w:t>
      </w:r>
      <w:r w:rsidRPr="006B6266">
        <w:rPr>
          <w:rFonts w:ascii="Arial" w:hAnsi="Arial" w:cs="Arial"/>
          <w:lang w:val="en-US"/>
        </w:rPr>
        <w:t>.</w:t>
      </w:r>
    </w:p>
    <w:p w14:paraId="540786D7" w14:textId="2B682CAA" w:rsidR="006B6266" w:rsidRPr="006B6266" w:rsidRDefault="006B6266" w:rsidP="006B6266">
      <w:pPr>
        <w:spacing w:line="360" w:lineRule="auto"/>
        <w:jc w:val="both"/>
        <w:rPr>
          <w:rFonts w:ascii="Arial" w:hAnsi="Arial" w:cs="Arial"/>
          <w:lang w:val="en-US"/>
        </w:rPr>
      </w:pPr>
      <w:r w:rsidRPr="006B6266">
        <w:rPr>
          <w:rFonts w:ascii="Arial" w:hAnsi="Arial" w:cs="Arial"/>
          <w:lang w:val="en-US"/>
        </w:rPr>
        <w:t>A major missed opportunity was the failure to recognise Lewis's continuing deterioration. His worsening pain, abdominal symptoms, reduced urine output, abnormal temperature, increasing heart rate, and later oxygenation problems required urgent assessment</w:t>
      </w:r>
      <w:r w:rsidR="00386842">
        <w:rPr>
          <w:rFonts w:ascii="Arial" w:hAnsi="Arial" w:cs="Arial"/>
          <w:lang w:val="en-US"/>
        </w:rPr>
        <w:t xml:space="preserve"> (</w:t>
      </w:r>
      <w:r w:rsidR="00386842" w:rsidRPr="00AB1CD8">
        <w:rPr>
          <w:rFonts w:ascii="Arial" w:hAnsi="Arial" w:cs="Arial"/>
        </w:rPr>
        <w:t>Ledlow</w:t>
      </w:r>
      <w:r w:rsidR="00386842">
        <w:rPr>
          <w:rFonts w:ascii="Arial" w:hAnsi="Arial" w:cs="Arial"/>
        </w:rPr>
        <w:t xml:space="preserve"> et al, 2023)</w:t>
      </w:r>
      <w:r w:rsidRPr="006B6266">
        <w:rPr>
          <w:rFonts w:ascii="Arial" w:hAnsi="Arial" w:cs="Arial"/>
          <w:lang w:val="en-US"/>
        </w:rPr>
        <w:t>. However, these warning signs were not effectively considered together. Stronger leadership, continuous monitoring, clear escalation procedures, and effective governance could have supported earlier recognition and intervention, reducing the risk of further deterioration</w:t>
      </w:r>
      <w:r w:rsidR="00E02297">
        <w:rPr>
          <w:rFonts w:ascii="Arial" w:hAnsi="Arial" w:cs="Arial"/>
          <w:lang w:val="en-US"/>
        </w:rPr>
        <w:t xml:space="preserve"> (</w:t>
      </w:r>
      <w:r w:rsidR="00E02297" w:rsidRPr="009822C1">
        <w:rPr>
          <w:rFonts w:ascii="Arial" w:hAnsi="Arial" w:cs="Arial"/>
        </w:rPr>
        <w:t>Ahmed</w:t>
      </w:r>
      <w:r w:rsidR="00E02297">
        <w:rPr>
          <w:rFonts w:ascii="Arial" w:hAnsi="Arial" w:cs="Arial"/>
        </w:rPr>
        <w:t xml:space="preserve"> et al, 2026)</w:t>
      </w:r>
      <w:r w:rsidRPr="006B6266">
        <w:rPr>
          <w:rFonts w:ascii="Arial" w:hAnsi="Arial" w:cs="Arial"/>
          <w:lang w:val="en-US"/>
        </w:rPr>
        <w:t>.</w:t>
      </w:r>
    </w:p>
    <w:p w14:paraId="2DEDB669" w14:textId="77777777" w:rsidR="006B6266" w:rsidRPr="006B6266" w:rsidRDefault="006B6266" w:rsidP="00072559">
      <w:pPr>
        <w:pStyle w:val="Heading2"/>
        <w:rPr>
          <w:lang w:val="en-US"/>
        </w:rPr>
      </w:pPr>
      <w:bookmarkStart w:id="24" w:name="_Toc237170846"/>
      <w:r w:rsidRPr="006B6266">
        <w:rPr>
          <w:lang w:val="en-US"/>
        </w:rPr>
        <w:t>2.4.2 Strengthening Escalation and Accountability</w:t>
      </w:r>
      <w:bookmarkEnd w:id="24"/>
    </w:p>
    <w:p w14:paraId="137B968A" w14:textId="34EB8216" w:rsidR="006B6266" w:rsidRPr="006B6266" w:rsidRDefault="006B6266" w:rsidP="006B6266">
      <w:pPr>
        <w:spacing w:line="360" w:lineRule="auto"/>
        <w:jc w:val="both"/>
        <w:rPr>
          <w:rFonts w:ascii="Arial" w:hAnsi="Arial" w:cs="Arial"/>
          <w:lang w:val="en-US"/>
        </w:rPr>
      </w:pPr>
      <w:r w:rsidRPr="006B6266">
        <w:rPr>
          <w:rFonts w:ascii="Arial" w:hAnsi="Arial" w:cs="Arial"/>
          <w:lang w:val="en-US"/>
        </w:rPr>
        <w:t>A major improvement would be the implementation of clear, standardised escalation pathways for deteriorating patients. Such systems should define when nurses, junior doctors, patients, and families can request immediate senior review</w:t>
      </w:r>
      <w:r w:rsidR="00EE4287">
        <w:rPr>
          <w:rFonts w:ascii="Arial" w:hAnsi="Arial" w:cs="Arial"/>
          <w:lang w:val="en-US"/>
        </w:rPr>
        <w:t xml:space="preserve"> (</w:t>
      </w:r>
      <w:r w:rsidR="00EE4287" w:rsidRPr="003F4F4E">
        <w:rPr>
          <w:rFonts w:ascii="Arial" w:hAnsi="Arial" w:cs="Arial"/>
        </w:rPr>
        <w:t>Fulop</w:t>
      </w:r>
      <w:r w:rsidR="00EE4287">
        <w:rPr>
          <w:rFonts w:ascii="Arial" w:hAnsi="Arial" w:cs="Arial"/>
        </w:rPr>
        <w:t xml:space="preserve"> </w:t>
      </w:r>
      <w:r w:rsidR="00EE4287" w:rsidRPr="003F4F4E">
        <w:rPr>
          <w:rFonts w:ascii="Arial" w:hAnsi="Arial" w:cs="Arial"/>
        </w:rPr>
        <w:t>and Ramsay</w:t>
      </w:r>
      <w:r w:rsidR="00EE4287">
        <w:rPr>
          <w:rFonts w:ascii="Arial" w:hAnsi="Arial" w:cs="Arial"/>
        </w:rPr>
        <w:t>, 2023)</w:t>
      </w:r>
      <w:r w:rsidRPr="006B6266">
        <w:rPr>
          <w:rFonts w:ascii="Arial" w:hAnsi="Arial" w:cs="Arial"/>
          <w:lang w:val="en-US"/>
        </w:rPr>
        <w:t>. Importantly, escalation should not depend entirely on the discretion of one junior clinician. A formal rapid-review mechanism would create an additional safety barrier when clinical concerns remain unresolved</w:t>
      </w:r>
      <w:r w:rsidR="00CA7DC4">
        <w:rPr>
          <w:rFonts w:ascii="Arial" w:hAnsi="Arial" w:cs="Arial"/>
          <w:lang w:val="en-US"/>
        </w:rPr>
        <w:t xml:space="preserve"> (</w:t>
      </w:r>
      <w:r w:rsidR="00CA7DC4" w:rsidRPr="00CA7DC4">
        <w:rPr>
          <w:rFonts w:ascii="Arial" w:hAnsi="Arial" w:cs="Arial"/>
        </w:rPr>
        <w:t>Hibbert</w:t>
      </w:r>
      <w:r w:rsidR="00CA7DC4">
        <w:rPr>
          <w:rFonts w:ascii="Arial" w:hAnsi="Arial" w:cs="Arial"/>
        </w:rPr>
        <w:t xml:space="preserve"> et al, 2023)</w:t>
      </w:r>
      <w:r w:rsidRPr="006B6266">
        <w:rPr>
          <w:rFonts w:ascii="Arial" w:hAnsi="Arial" w:cs="Arial"/>
          <w:lang w:val="en-US"/>
        </w:rPr>
        <w:t>.</w:t>
      </w:r>
    </w:p>
    <w:p w14:paraId="074AEF0C" w14:textId="49F6A7E5"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importance of this approach is demonstrated by the subsequent Lewis Blackman Hospital Patient Safety Act, which requires South Carolina hospitals to provide mechanisms through which patients can obtain prompt assistance with urgent personal healthcare concerns and procedures for supervisory clinical staff to assess those concerns</w:t>
      </w:r>
      <w:r w:rsidR="003F4F4E">
        <w:rPr>
          <w:rFonts w:ascii="Arial" w:hAnsi="Arial" w:cs="Arial"/>
          <w:lang w:val="en-US"/>
        </w:rPr>
        <w:t xml:space="preserve"> (</w:t>
      </w:r>
      <w:r w:rsidR="003F4F4E" w:rsidRPr="003F4F4E">
        <w:rPr>
          <w:rFonts w:ascii="Arial" w:hAnsi="Arial" w:cs="Arial"/>
        </w:rPr>
        <w:t>Fulop</w:t>
      </w:r>
      <w:r w:rsidR="009C20C3">
        <w:rPr>
          <w:rFonts w:ascii="Arial" w:hAnsi="Arial" w:cs="Arial"/>
        </w:rPr>
        <w:t xml:space="preserve"> </w:t>
      </w:r>
      <w:r w:rsidR="003F4F4E" w:rsidRPr="003F4F4E">
        <w:rPr>
          <w:rFonts w:ascii="Arial" w:hAnsi="Arial" w:cs="Arial"/>
        </w:rPr>
        <w:t>and Ramsay</w:t>
      </w:r>
      <w:r w:rsidR="003F4F4E">
        <w:rPr>
          <w:rFonts w:ascii="Arial" w:hAnsi="Arial" w:cs="Arial"/>
        </w:rPr>
        <w:t>, 2023)</w:t>
      </w:r>
      <w:r w:rsidRPr="006B6266">
        <w:rPr>
          <w:rFonts w:ascii="Arial" w:hAnsi="Arial" w:cs="Arial"/>
          <w:lang w:val="en-US"/>
        </w:rPr>
        <w:t>. This represents a direct organisational response to the weaknesses demonstrated by the case. The lesson for healthcare organisations is that escalation should be treated as a safety process rather than a challenge to professional authority</w:t>
      </w:r>
      <w:r w:rsidR="0077733C">
        <w:rPr>
          <w:rFonts w:ascii="Arial" w:hAnsi="Arial" w:cs="Arial"/>
          <w:lang w:val="en-US"/>
        </w:rPr>
        <w:t xml:space="preserve"> (</w:t>
      </w:r>
      <w:r w:rsidR="0077733C" w:rsidRPr="00CA7DC4">
        <w:rPr>
          <w:rFonts w:ascii="Arial" w:hAnsi="Arial" w:cs="Arial"/>
        </w:rPr>
        <w:t>Hibbert</w:t>
      </w:r>
      <w:r w:rsidR="0077733C">
        <w:rPr>
          <w:rFonts w:ascii="Arial" w:hAnsi="Arial" w:cs="Arial"/>
        </w:rPr>
        <w:t xml:space="preserve"> et al, 2023)</w:t>
      </w:r>
      <w:r w:rsidRPr="006B6266">
        <w:rPr>
          <w:rFonts w:ascii="Arial" w:hAnsi="Arial" w:cs="Arial"/>
          <w:lang w:val="en-US"/>
        </w:rPr>
        <w:t>.</w:t>
      </w:r>
    </w:p>
    <w:p w14:paraId="60C15AB3" w14:textId="77777777" w:rsidR="006B6266" w:rsidRPr="006B6266" w:rsidRDefault="006B6266" w:rsidP="00072559">
      <w:pPr>
        <w:pStyle w:val="Heading2"/>
        <w:rPr>
          <w:lang w:val="en-US"/>
        </w:rPr>
      </w:pPr>
      <w:bookmarkStart w:id="25" w:name="_Toc237170847"/>
      <w:r w:rsidRPr="006B6266">
        <w:rPr>
          <w:lang w:val="en-US"/>
        </w:rPr>
        <w:t>2.4.3 Improving Communication and Teamwork</w:t>
      </w:r>
      <w:bookmarkEnd w:id="25"/>
    </w:p>
    <w:p w14:paraId="74C17FD5" w14:textId="3B9FABC3" w:rsidR="006B6266" w:rsidRPr="006B6266" w:rsidRDefault="006B6266" w:rsidP="006B6266">
      <w:pPr>
        <w:spacing w:line="360" w:lineRule="auto"/>
        <w:jc w:val="both"/>
        <w:rPr>
          <w:rFonts w:ascii="Arial" w:hAnsi="Arial" w:cs="Arial"/>
          <w:lang w:val="en-US"/>
        </w:rPr>
      </w:pPr>
      <w:r w:rsidRPr="006B6266">
        <w:rPr>
          <w:rFonts w:ascii="Arial" w:hAnsi="Arial" w:cs="Arial"/>
          <w:lang w:val="en-US"/>
        </w:rPr>
        <w:t>Communication should also be strengthened through structured multidisciplinary handovers, clear documentation, escalation protocols, and opportunities for staff to challenge decisions</w:t>
      </w:r>
      <w:r w:rsidR="00EE4287">
        <w:rPr>
          <w:rFonts w:ascii="Arial" w:hAnsi="Arial" w:cs="Arial"/>
          <w:lang w:val="en-US"/>
        </w:rPr>
        <w:t xml:space="preserve"> (</w:t>
      </w:r>
      <w:r w:rsidR="00EE4287" w:rsidRPr="003F4F4E">
        <w:rPr>
          <w:rFonts w:ascii="Arial" w:hAnsi="Arial" w:cs="Arial"/>
        </w:rPr>
        <w:t>Fulop</w:t>
      </w:r>
      <w:r w:rsidR="00EE4287">
        <w:rPr>
          <w:rFonts w:ascii="Arial" w:hAnsi="Arial" w:cs="Arial"/>
        </w:rPr>
        <w:t xml:space="preserve"> </w:t>
      </w:r>
      <w:r w:rsidR="00EE4287" w:rsidRPr="003F4F4E">
        <w:rPr>
          <w:rFonts w:ascii="Arial" w:hAnsi="Arial" w:cs="Arial"/>
        </w:rPr>
        <w:t>and Ramsay</w:t>
      </w:r>
      <w:r w:rsidR="00EE4287">
        <w:rPr>
          <w:rFonts w:ascii="Arial" w:hAnsi="Arial" w:cs="Arial"/>
        </w:rPr>
        <w:t>, 2023)</w:t>
      </w:r>
      <w:r w:rsidRPr="006B6266">
        <w:rPr>
          <w:rFonts w:ascii="Arial" w:hAnsi="Arial" w:cs="Arial"/>
          <w:lang w:val="en-US"/>
        </w:rPr>
        <w:t>. A key weakness in the Lewis Blackman case was the failure to create a shared understanding of the patient's deteriorating condition. Information existed across different individuals but was not effectively combined into a coherent clinical assessment</w:t>
      </w:r>
      <w:r w:rsidR="00EC544A">
        <w:rPr>
          <w:rFonts w:ascii="Arial" w:hAnsi="Arial" w:cs="Arial"/>
          <w:lang w:val="en-US"/>
        </w:rPr>
        <w:t xml:space="preserve"> (</w:t>
      </w:r>
      <w:r w:rsidR="00EC544A" w:rsidRPr="009822C1">
        <w:rPr>
          <w:rFonts w:ascii="Arial" w:hAnsi="Arial" w:cs="Arial"/>
        </w:rPr>
        <w:t>Ahmed</w:t>
      </w:r>
      <w:r w:rsidR="00EC544A">
        <w:rPr>
          <w:rFonts w:ascii="Arial" w:hAnsi="Arial" w:cs="Arial"/>
        </w:rPr>
        <w:t xml:space="preserve"> et al, 2026)</w:t>
      </w:r>
      <w:r w:rsidRPr="006B6266">
        <w:rPr>
          <w:rFonts w:ascii="Arial" w:hAnsi="Arial" w:cs="Arial"/>
          <w:lang w:val="en-US"/>
        </w:rPr>
        <w:t>.</w:t>
      </w:r>
    </w:p>
    <w:p w14:paraId="3E52036B" w14:textId="5DDDFBC6" w:rsidR="006B6266" w:rsidRPr="006B6266" w:rsidRDefault="007D761F" w:rsidP="006B6266">
      <w:pPr>
        <w:spacing w:line="360" w:lineRule="auto"/>
        <w:jc w:val="both"/>
        <w:rPr>
          <w:rFonts w:ascii="Arial" w:hAnsi="Arial" w:cs="Arial"/>
          <w:lang w:val="en-US"/>
        </w:rPr>
      </w:pPr>
      <w:r w:rsidRPr="007D761F">
        <w:rPr>
          <w:rFonts w:ascii="Arial" w:hAnsi="Arial" w:cs="Arial"/>
          <w:lang w:val="en-US"/>
        </w:rPr>
        <w:t>Contemporary patient safety evidence indicates that organisational learning should be informed by measurable evidence rather than assumptions about existing practices. Fulop and Ramsay (2023) emphasise the value of examining organisational performance through staff experiences, reported incidents, and safety-related outcomes. For the Lewis Blackman case, such evidence could help identify recurring weaknesses, evaluate whether corrective actions are effective, and strengthen accountability</w:t>
      </w:r>
      <w:r>
        <w:rPr>
          <w:rFonts w:ascii="Arial" w:hAnsi="Arial" w:cs="Arial"/>
          <w:lang w:val="en-US"/>
        </w:rPr>
        <w:t xml:space="preserve"> (</w:t>
      </w:r>
      <w:r w:rsidRPr="009822C1">
        <w:rPr>
          <w:rFonts w:ascii="Arial" w:hAnsi="Arial" w:cs="Arial"/>
        </w:rPr>
        <w:t>Ahmed</w:t>
      </w:r>
      <w:r>
        <w:rPr>
          <w:rFonts w:ascii="Arial" w:hAnsi="Arial" w:cs="Arial"/>
        </w:rPr>
        <w:t xml:space="preserve"> et al, 2026)</w:t>
      </w:r>
      <w:r w:rsidRPr="007D761F">
        <w:rPr>
          <w:rFonts w:ascii="Arial" w:hAnsi="Arial" w:cs="Arial"/>
          <w:lang w:val="en-US"/>
        </w:rPr>
        <w:t>. Regular analysis of these indicators would enable leaders to recognise emerging risks, assess the impact of interventions, and make informed decisions about further improvement</w:t>
      </w:r>
      <w:r>
        <w:rPr>
          <w:rFonts w:ascii="Arial" w:hAnsi="Arial" w:cs="Arial"/>
          <w:lang w:val="en-US"/>
        </w:rPr>
        <w:t xml:space="preserve"> </w:t>
      </w:r>
      <w:r w:rsidR="00EE4287">
        <w:rPr>
          <w:rFonts w:ascii="Arial" w:hAnsi="Arial" w:cs="Arial"/>
          <w:lang w:val="en-US"/>
        </w:rPr>
        <w:t>(</w:t>
      </w:r>
      <w:r w:rsidR="00EE4287" w:rsidRPr="003F4F4E">
        <w:rPr>
          <w:rFonts w:ascii="Arial" w:hAnsi="Arial" w:cs="Arial"/>
        </w:rPr>
        <w:t>Fulop</w:t>
      </w:r>
      <w:r w:rsidR="00EE4287">
        <w:rPr>
          <w:rFonts w:ascii="Arial" w:hAnsi="Arial" w:cs="Arial"/>
        </w:rPr>
        <w:t xml:space="preserve"> </w:t>
      </w:r>
      <w:r w:rsidR="00EE4287" w:rsidRPr="003F4F4E">
        <w:rPr>
          <w:rFonts w:ascii="Arial" w:hAnsi="Arial" w:cs="Arial"/>
        </w:rPr>
        <w:t>and Ramsay</w:t>
      </w:r>
      <w:r w:rsidR="00EE4287">
        <w:rPr>
          <w:rFonts w:ascii="Arial" w:hAnsi="Arial" w:cs="Arial"/>
        </w:rPr>
        <w:t>, 2023)</w:t>
      </w:r>
      <w:r w:rsidR="006B6266" w:rsidRPr="006B6266">
        <w:rPr>
          <w:rFonts w:ascii="Arial" w:hAnsi="Arial" w:cs="Arial"/>
          <w:lang w:val="en-US"/>
        </w:rPr>
        <w:t>.</w:t>
      </w:r>
    </w:p>
    <w:p w14:paraId="6B59EF38" w14:textId="77777777" w:rsidR="006B6266" w:rsidRPr="006B6266" w:rsidRDefault="006B6266" w:rsidP="00072559">
      <w:pPr>
        <w:pStyle w:val="Heading2"/>
        <w:rPr>
          <w:lang w:val="en-US"/>
        </w:rPr>
      </w:pPr>
      <w:bookmarkStart w:id="26" w:name="_Toc237170848"/>
      <w:r w:rsidRPr="006B6266">
        <w:rPr>
          <w:lang w:val="en-US"/>
        </w:rPr>
        <w:t>2.4.4 Patient and Family Involvement</w:t>
      </w:r>
      <w:bookmarkEnd w:id="26"/>
    </w:p>
    <w:p w14:paraId="743B1EE4" w14:textId="42586DA1" w:rsidR="006B6266" w:rsidRPr="006B6266" w:rsidRDefault="006B6266" w:rsidP="006B6266">
      <w:pPr>
        <w:spacing w:line="360" w:lineRule="auto"/>
        <w:jc w:val="both"/>
        <w:rPr>
          <w:rFonts w:ascii="Arial" w:hAnsi="Arial" w:cs="Arial"/>
          <w:lang w:val="en-US"/>
        </w:rPr>
      </w:pPr>
      <w:r w:rsidRPr="006B6266">
        <w:rPr>
          <w:rFonts w:ascii="Arial" w:hAnsi="Arial" w:cs="Arial"/>
          <w:lang w:val="en-US"/>
        </w:rPr>
        <w:t>Another major lesson is the importance of treating patients and families as active safety partners. Lewis's mother repeatedly recognised that her son's condition was worsening, yet her concerns did not result in effective escalation</w:t>
      </w:r>
      <w:r w:rsidR="0077733C">
        <w:rPr>
          <w:rFonts w:ascii="Arial" w:hAnsi="Arial" w:cs="Arial"/>
          <w:lang w:val="en-US"/>
        </w:rPr>
        <w:t xml:space="preserve"> (</w:t>
      </w:r>
      <w:r w:rsidR="0077733C" w:rsidRPr="00CA7DC4">
        <w:rPr>
          <w:rFonts w:ascii="Arial" w:hAnsi="Arial" w:cs="Arial"/>
        </w:rPr>
        <w:t>Hibbert</w:t>
      </w:r>
      <w:r w:rsidR="0077733C">
        <w:rPr>
          <w:rFonts w:ascii="Arial" w:hAnsi="Arial" w:cs="Arial"/>
        </w:rPr>
        <w:t xml:space="preserve"> et al, 2023)</w:t>
      </w:r>
      <w:r w:rsidRPr="006B6266">
        <w:rPr>
          <w:rFonts w:ascii="Arial" w:hAnsi="Arial" w:cs="Arial"/>
          <w:lang w:val="en-US"/>
        </w:rPr>
        <w:t xml:space="preserve">. This represents a missed opportunity because families may observe changes continuously and provide information that </w:t>
      </w:r>
      <w:r w:rsidR="00DF6B08">
        <w:rPr>
          <w:rFonts w:ascii="Arial" w:hAnsi="Arial" w:cs="Arial"/>
          <w:lang w:val="en-US"/>
        </w:rPr>
        <w:t>complements</w:t>
      </w:r>
      <w:r w:rsidRPr="006B6266">
        <w:rPr>
          <w:rFonts w:ascii="Arial" w:hAnsi="Arial" w:cs="Arial"/>
          <w:lang w:val="en-US"/>
        </w:rPr>
        <w:t xml:space="preserve"> clinical measurements</w:t>
      </w:r>
      <w:r w:rsidR="00386842">
        <w:rPr>
          <w:rFonts w:ascii="Arial" w:hAnsi="Arial" w:cs="Arial"/>
          <w:lang w:val="en-US"/>
        </w:rPr>
        <w:t xml:space="preserve"> (</w:t>
      </w:r>
      <w:r w:rsidR="00386842" w:rsidRPr="00AB1CD8">
        <w:rPr>
          <w:rFonts w:ascii="Arial" w:hAnsi="Arial" w:cs="Arial"/>
        </w:rPr>
        <w:t>Ledlow</w:t>
      </w:r>
      <w:r w:rsidR="00386842">
        <w:rPr>
          <w:rFonts w:ascii="Arial" w:hAnsi="Arial" w:cs="Arial"/>
        </w:rPr>
        <w:t xml:space="preserve"> et al, 2023)</w:t>
      </w:r>
      <w:r w:rsidRPr="006B6266">
        <w:rPr>
          <w:rFonts w:ascii="Arial" w:hAnsi="Arial" w:cs="Arial"/>
          <w:lang w:val="en-US"/>
        </w:rPr>
        <w:t>.</w:t>
      </w:r>
    </w:p>
    <w:p w14:paraId="1B1D123B" w14:textId="7722EBEB" w:rsidR="006B6266" w:rsidRPr="006B6266" w:rsidRDefault="006B6266" w:rsidP="006B6266">
      <w:pPr>
        <w:spacing w:line="360" w:lineRule="auto"/>
        <w:jc w:val="both"/>
        <w:rPr>
          <w:rFonts w:ascii="Arial" w:hAnsi="Arial" w:cs="Arial"/>
          <w:lang w:val="en-US"/>
        </w:rPr>
      </w:pPr>
      <w:r w:rsidRPr="006B6266">
        <w:rPr>
          <w:rFonts w:ascii="Arial" w:hAnsi="Arial" w:cs="Arial"/>
          <w:lang w:val="en-US"/>
        </w:rPr>
        <w:t>Patient involvement should therefore be integrated into governance rather than treated as an optional aspect of compassionate care</w:t>
      </w:r>
      <w:r w:rsidR="0077733C">
        <w:rPr>
          <w:rFonts w:ascii="Arial" w:hAnsi="Arial" w:cs="Arial"/>
          <w:lang w:val="en-US"/>
        </w:rPr>
        <w:t xml:space="preserve"> (</w:t>
      </w:r>
      <w:r w:rsidR="0077733C" w:rsidRPr="00CA7DC4">
        <w:rPr>
          <w:rFonts w:ascii="Arial" w:hAnsi="Arial" w:cs="Arial"/>
        </w:rPr>
        <w:t>Hibbert</w:t>
      </w:r>
      <w:r w:rsidR="0077733C">
        <w:rPr>
          <w:rFonts w:ascii="Arial" w:hAnsi="Arial" w:cs="Arial"/>
        </w:rPr>
        <w:t xml:space="preserve"> et al, 2023)</w:t>
      </w:r>
      <w:r w:rsidRPr="006B6266">
        <w:rPr>
          <w:rFonts w:ascii="Arial" w:hAnsi="Arial" w:cs="Arial"/>
          <w:lang w:val="en-US"/>
        </w:rPr>
        <w:t>. Patients and families should receive clear information about who is responsible for their care, how to contact senior clinicians, and how to escalate unresolved concerns</w:t>
      </w:r>
      <w:r w:rsidR="00EC544A">
        <w:rPr>
          <w:rFonts w:ascii="Arial" w:hAnsi="Arial" w:cs="Arial"/>
          <w:lang w:val="en-US"/>
        </w:rPr>
        <w:t xml:space="preserve"> (</w:t>
      </w:r>
      <w:r w:rsidR="00EC544A" w:rsidRPr="009822C1">
        <w:rPr>
          <w:rFonts w:ascii="Arial" w:hAnsi="Arial" w:cs="Arial"/>
        </w:rPr>
        <w:t>Ahmed</w:t>
      </w:r>
      <w:r w:rsidR="00EC544A">
        <w:rPr>
          <w:rFonts w:ascii="Arial" w:hAnsi="Arial" w:cs="Arial"/>
        </w:rPr>
        <w:t xml:space="preserve"> et al, 2026)</w:t>
      </w:r>
      <w:r w:rsidRPr="006B6266">
        <w:rPr>
          <w:rFonts w:ascii="Arial" w:hAnsi="Arial" w:cs="Arial"/>
          <w:lang w:val="en-US"/>
        </w:rPr>
        <w:t>. The post-case South Carolina legislation demonstrates the practical value of this approach by requiring mechanisms for patients to obtain prompt assistance with urgent care concerns</w:t>
      </w:r>
      <w:r w:rsidR="00331828">
        <w:rPr>
          <w:rFonts w:ascii="Arial" w:hAnsi="Arial" w:cs="Arial"/>
          <w:lang w:val="en-US"/>
        </w:rPr>
        <w:t xml:space="preserve"> (</w:t>
      </w:r>
      <w:r w:rsidR="00331828" w:rsidRPr="00CA7DC4">
        <w:rPr>
          <w:rFonts w:ascii="Arial" w:hAnsi="Arial" w:cs="Arial"/>
        </w:rPr>
        <w:t>Hibbert</w:t>
      </w:r>
      <w:r w:rsidR="00331828">
        <w:rPr>
          <w:rFonts w:ascii="Arial" w:hAnsi="Arial" w:cs="Arial"/>
        </w:rPr>
        <w:t xml:space="preserve"> et al, 2023)</w:t>
      </w:r>
      <w:r w:rsidRPr="006B6266">
        <w:rPr>
          <w:rFonts w:ascii="Arial" w:hAnsi="Arial" w:cs="Arial"/>
          <w:lang w:val="en-US"/>
        </w:rPr>
        <w:t>. Such measures can strengthen accountability by creating an additional route through which organisational leaders become aware of potential safety problems</w:t>
      </w:r>
      <w:r w:rsidR="00386842">
        <w:rPr>
          <w:rFonts w:ascii="Arial" w:hAnsi="Arial" w:cs="Arial"/>
          <w:lang w:val="en-US"/>
        </w:rPr>
        <w:t xml:space="preserve"> (</w:t>
      </w:r>
      <w:r w:rsidR="00386842" w:rsidRPr="00AB1CD8">
        <w:rPr>
          <w:rFonts w:ascii="Arial" w:hAnsi="Arial" w:cs="Arial"/>
        </w:rPr>
        <w:t>Ledlow</w:t>
      </w:r>
      <w:r w:rsidR="00386842">
        <w:rPr>
          <w:rFonts w:ascii="Arial" w:hAnsi="Arial" w:cs="Arial"/>
        </w:rPr>
        <w:t xml:space="preserve"> et al, 2023)</w:t>
      </w:r>
      <w:r w:rsidRPr="006B6266">
        <w:rPr>
          <w:rFonts w:ascii="Arial" w:hAnsi="Arial" w:cs="Arial"/>
          <w:lang w:val="en-US"/>
        </w:rPr>
        <w:t>.</w:t>
      </w:r>
    </w:p>
    <w:p w14:paraId="45512F95" w14:textId="77777777" w:rsidR="006B6266" w:rsidRPr="006B6266" w:rsidRDefault="006B6266" w:rsidP="00072559">
      <w:pPr>
        <w:pStyle w:val="Heading2"/>
        <w:rPr>
          <w:lang w:val="en-US"/>
        </w:rPr>
      </w:pPr>
      <w:bookmarkStart w:id="27" w:name="_Toc237170849"/>
      <w:r w:rsidRPr="006B6266">
        <w:rPr>
          <w:lang w:val="en-US"/>
        </w:rPr>
        <w:t>2.4.5 Data, Feedback and Continuous Improvement</w:t>
      </w:r>
      <w:bookmarkEnd w:id="27"/>
    </w:p>
    <w:p w14:paraId="569B5246" w14:textId="4A24DDE0" w:rsidR="006B6266" w:rsidRPr="006B6266" w:rsidRDefault="006B6266" w:rsidP="006B6266">
      <w:pPr>
        <w:spacing w:line="360" w:lineRule="auto"/>
        <w:jc w:val="both"/>
        <w:rPr>
          <w:rFonts w:ascii="Arial" w:hAnsi="Arial" w:cs="Arial"/>
          <w:lang w:val="en-US"/>
        </w:rPr>
      </w:pPr>
      <w:r w:rsidRPr="006B6266">
        <w:rPr>
          <w:rFonts w:ascii="Arial" w:hAnsi="Arial" w:cs="Arial"/>
          <w:lang w:val="en-US"/>
        </w:rPr>
        <w:t>Healthcare organisations should establish measurable safety indicators to identify whether improvements are producing meaningful outcomes</w:t>
      </w:r>
      <w:r w:rsidR="00331828">
        <w:rPr>
          <w:rFonts w:ascii="Arial" w:hAnsi="Arial" w:cs="Arial"/>
          <w:lang w:val="en-US"/>
        </w:rPr>
        <w:t xml:space="preserve"> (</w:t>
      </w:r>
      <w:r w:rsidR="00331828" w:rsidRPr="00CA7DC4">
        <w:rPr>
          <w:rFonts w:ascii="Arial" w:hAnsi="Arial" w:cs="Arial"/>
        </w:rPr>
        <w:t>Hibbert</w:t>
      </w:r>
      <w:r w:rsidR="00331828">
        <w:rPr>
          <w:rFonts w:ascii="Arial" w:hAnsi="Arial" w:cs="Arial"/>
        </w:rPr>
        <w:t xml:space="preserve"> et al, 2023)</w:t>
      </w:r>
      <w:r w:rsidRPr="006B6266">
        <w:rPr>
          <w:rFonts w:ascii="Arial" w:hAnsi="Arial" w:cs="Arial"/>
          <w:lang w:val="en-US"/>
        </w:rPr>
        <w:t>. Relevant indicators could include the proportion of deteriorating patients receiving senior review within a defined period, compliance with escalation protocols, frequency of missed observations, staff perceptions of psychological safety, family complaints relating to ignored concerns, and response times to urgent clinical reviews</w:t>
      </w:r>
      <w:r w:rsidR="00EE4287">
        <w:rPr>
          <w:rFonts w:ascii="Arial" w:hAnsi="Arial" w:cs="Arial"/>
          <w:lang w:val="en-US"/>
        </w:rPr>
        <w:t xml:space="preserve"> (</w:t>
      </w:r>
      <w:r w:rsidR="00EE4287" w:rsidRPr="009822C1">
        <w:rPr>
          <w:rFonts w:ascii="Arial" w:hAnsi="Arial" w:cs="Arial"/>
        </w:rPr>
        <w:t>Ahmed</w:t>
      </w:r>
      <w:r w:rsidR="00EE4287">
        <w:rPr>
          <w:rFonts w:ascii="Arial" w:hAnsi="Arial" w:cs="Arial"/>
        </w:rPr>
        <w:t xml:space="preserve"> et al, 2026)</w:t>
      </w:r>
      <w:r w:rsidRPr="006B6266">
        <w:rPr>
          <w:rFonts w:ascii="Arial" w:hAnsi="Arial" w:cs="Arial"/>
          <w:lang w:val="en-US"/>
        </w:rPr>
        <w:t>. These indicators should be reviewed regularly by clinical governance committees and used to identify trends.</w:t>
      </w:r>
    </w:p>
    <w:p w14:paraId="1FB03DE5" w14:textId="2E8723D2"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use of data is essential because leadership improvement cannot depend solely on subjective perceptions. WHO identifies data-driven safety improvement and organisational leadership as important components of sustainable patient safety</w:t>
      </w:r>
      <w:r w:rsidR="00EE4287">
        <w:rPr>
          <w:rFonts w:ascii="Arial" w:hAnsi="Arial" w:cs="Arial"/>
          <w:lang w:val="en-US"/>
        </w:rPr>
        <w:t xml:space="preserve"> (</w:t>
      </w:r>
      <w:r w:rsidR="00EE4287" w:rsidRPr="009822C1">
        <w:rPr>
          <w:rFonts w:ascii="Arial" w:hAnsi="Arial" w:cs="Arial"/>
        </w:rPr>
        <w:t>Ahmed</w:t>
      </w:r>
      <w:r w:rsidR="00EE4287">
        <w:rPr>
          <w:rFonts w:ascii="Arial" w:hAnsi="Arial" w:cs="Arial"/>
        </w:rPr>
        <w:t xml:space="preserve"> et al, 2026)</w:t>
      </w:r>
      <w:r w:rsidRPr="006B6266">
        <w:rPr>
          <w:rFonts w:ascii="Arial" w:hAnsi="Arial" w:cs="Arial"/>
          <w:lang w:val="en-US"/>
        </w:rPr>
        <w:t>. AHRQ similarly provides structured safety culture measures that allow organisations to examine communication, teamwork, staffing, management support, and learning. Therefore, the organisation should adopt a continuous improvement cycle in which safety data are collected, analysed, discussed with staff and patients, and translated into measurable changes</w:t>
      </w:r>
      <w:r w:rsidR="00331828">
        <w:rPr>
          <w:rFonts w:ascii="Arial" w:hAnsi="Arial" w:cs="Arial"/>
          <w:lang w:val="en-US"/>
        </w:rPr>
        <w:t xml:space="preserve"> (</w:t>
      </w:r>
      <w:r w:rsidR="00331828" w:rsidRPr="00CA7DC4">
        <w:rPr>
          <w:rFonts w:ascii="Arial" w:hAnsi="Arial" w:cs="Arial"/>
        </w:rPr>
        <w:t>Hibbert</w:t>
      </w:r>
      <w:r w:rsidR="00331828">
        <w:rPr>
          <w:rFonts w:ascii="Arial" w:hAnsi="Arial" w:cs="Arial"/>
        </w:rPr>
        <w:t xml:space="preserve"> et al, 2023)</w:t>
      </w:r>
      <w:r w:rsidRPr="006B6266">
        <w:rPr>
          <w:rFonts w:ascii="Arial" w:hAnsi="Arial" w:cs="Arial"/>
          <w:lang w:val="en-US"/>
        </w:rPr>
        <w:t>.</w:t>
      </w:r>
    </w:p>
    <w:p w14:paraId="47433456" w14:textId="77777777" w:rsidR="006B6266" w:rsidRPr="006B6266" w:rsidRDefault="006B6266" w:rsidP="00072559">
      <w:pPr>
        <w:pStyle w:val="Heading2"/>
        <w:rPr>
          <w:lang w:val="en-US"/>
        </w:rPr>
      </w:pPr>
      <w:bookmarkStart w:id="28" w:name="_Toc237170850"/>
      <w:r w:rsidRPr="006B6266">
        <w:rPr>
          <w:lang w:val="en-US"/>
        </w:rPr>
        <w:t>2.4.6 Integrated Lessons for Healthcare Organisations</w:t>
      </w:r>
      <w:bookmarkEnd w:id="28"/>
    </w:p>
    <w:p w14:paraId="508F6FA3" w14:textId="18E15350"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central lesson from the Lewis Blackman case is that organisational structure, leadership, and system feedback must work together to protect patient safety</w:t>
      </w:r>
      <w:r w:rsidR="00331828">
        <w:rPr>
          <w:rFonts w:ascii="Arial" w:hAnsi="Arial" w:cs="Arial"/>
          <w:lang w:val="en-US"/>
        </w:rPr>
        <w:t xml:space="preserve"> (</w:t>
      </w:r>
      <w:r w:rsidR="00331828" w:rsidRPr="00AB1CD8">
        <w:rPr>
          <w:rFonts w:ascii="Arial" w:hAnsi="Arial" w:cs="Arial"/>
        </w:rPr>
        <w:t>Ledlow</w:t>
      </w:r>
      <w:r w:rsidR="00331828">
        <w:rPr>
          <w:rFonts w:ascii="Arial" w:hAnsi="Arial" w:cs="Arial"/>
        </w:rPr>
        <w:t xml:space="preserve"> et al, 2023)</w:t>
      </w:r>
      <w:r w:rsidRPr="006B6266">
        <w:rPr>
          <w:rFonts w:ascii="Arial" w:hAnsi="Arial" w:cs="Arial"/>
          <w:lang w:val="en-US"/>
        </w:rPr>
        <w:t>. Hierarchical structures can become unsafe when information fails to reach appropriate decision-makers, while decentralised authority can improve responsiveness when frontline staff are empowered and supported by effective governance</w:t>
      </w:r>
      <w:r w:rsidR="00386842">
        <w:rPr>
          <w:rFonts w:ascii="Arial" w:hAnsi="Arial" w:cs="Arial"/>
          <w:lang w:val="en-US"/>
        </w:rPr>
        <w:t xml:space="preserve"> (</w:t>
      </w:r>
      <w:r w:rsidR="00386842" w:rsidRPr="00AB1CD8">
        <w:rPr>
          <w:rFonts w:ascii="Arial" w:hAnsi="Arial" w:cs="Arial"/>
        </w:rPr>
        <w:t>Ledlow</w:t>
      </w:r>
      <w:r w:rsidR="00386842">
        <w:rPr>
          <w:rFonts w:ascii="Arial" w:hAnsi="Arial" w:cs="Arial"/>
        </w:rPr>
        <w:t xml:space="preserve"> et al, 2023)</w:t>
      </w:r>
      <w:r w:rsidRPr="006B6266">
        <w:rPr>
          <w:rFonts w:ascii="Arial" w:hAnsi="Arial" w:cs="Arial"/>
          <w:lang w:val="en-US"/>
        </w:rPr>
        <w:t>. Healthcare organisations should therefore combine strategic oversight with distributed responsibility, supported by competent staffing, senior supervision, open communication, patient involvement, reliable monitoring, and clear escalation procedures. Importantly, safety data should identify emerging risks before harm occurs</w:t>
      </w:r>
      <w:r w:rsidR="00331828">
        <w:rPr>
          <w:rFonts w:ascii="Arial" w:hAnsi="Arial" w:cs="Arial"/>
          <w:lang w:val="en-US"/>
        </w:rPr>
        <w:t xml:space="preserve"> (</w:t>
      </w:r>
      <w:r w:rsidR="00331828" w:rsidRPr="00CA7DC4">
        <w:rPr>
          <w:rFonts w:ascii="Arial" w:hAnsi="Arial" w:cs="Arial"/>
        </w:rPr>
        <w:t>Hibbert</w:t>
      </w:r>
      <w:r w:rsidR="00331828">
        <w:rPr>
          <w:rFonts w:ascii="Arial" w:hAnsi="Arial" w:cs="Arial"/>
        </w:rPr>
        <w:t xml:space="preserve"> et al, 2023)</w:t>
      </w:r>
      <w:r w:rsidRPr="006B6266">
        <w:rPr>
          <w:rFonts w:ascii="Arial" w:hAnsi="Arial" w:cs="Arial"/>
          <w:lang w:val="en-US"/>
        </w:rPr>
        <w:t>. Sustainable improvement requires proactive, learning-oriented leadership that continuously strengthens governance, accountability, and patient safety</w:t>
      </w:r>
      <w:r w:rsidR="00E64C7E">
        <w:rPr>
          <w:rFonts w:ascii="Arial" w:hAnsi="Arial" w:cs="Arial"/>
          <w:lang w:val="en-US"/>
        </w:rPr>
        <w:t xml:space="preserve"> (</w:t>
      </w:r>
      <w:r w:rsidR="00E64C7E" w:rsidRPr="009822C1">
        <w:rPr>
          <w:rFonts w:ascii="Arial" w:hAnsi="Arial" w:cs="Arial"/>
        </w:rPr>
        <w:t>Ahmed</w:t>
      </w:r>
      <w:r w:rsidR="00E64C7E">
        <w:rPr>
          <w:rFonts w:ascii="Arial" w:hAnsi="Arial" w:cs="Arial"/>
        </w:rPr>
        <w:t xml:space="preserve"> et al, 2026)</w:t>
      </w:r>
      <w:r w:rsidRPr="006B6266">
        <w:rPr>
          <w:rFonts w:ascii="Arial" w:hAnsi="Arial" w:cs="Arial"/>
          <w:lang w:val="en-US"/>
        </w:rPr>
        <w:t>.</w:t>
      </w:r>
    </w:p>
    <w:p w14:paraId="365D03E3" w14:textId="77777777" w:rsidR="006B6266" w:rsidRPr="006B6266" w:rsidRDefault="006B6266" w:rsidP="00072559">
      <w:pPr>
        <w:pStyle w:val="Heading1"/>
        <w:rPr>
          <w:lang w:val="en-US"/>
        </w:rPr>
      </w:pPr>
      <w:bookmarkStart w:id="29" w:name="_Toc237170851"/>
      <w:r w:rsidRPr="006B6266">
        <w:rPr>
          <w:lang w:val="en-US"/>
        </w:rPr>
        <w:t>3. Recommendations</w:t>
      </w:r>
      <w:bookmarkEnd w:id="29"/>
    </w:p>
    <w:p w14:paraId="4BBF7E54" w14:textId="4277E4EF" w:rsidR="006B6266" w:rsidRPr="001539D9" w:rsidRDefault="006B6266" w:rsidP="001539D9">
      <w:pPr>
        <w:spacing w:line="360" w:lineRule="auto"/>
        <w:jc w:val="both"/>
        <w:rPr>
          <w:rFonts w:ascii="Arial" w:hAnsi="Arial" w:cs="Arial"/>
          <w:b/>
          <w:bCs/>
          <w:lang w:val="en-US"/>
        </w:rPr>
      </w:pPr>
      <w:r w:rsidRPr="001539D9">
        <w:rPr>
          <w:rFonts w:ascii="Arial" w:hAnsi="Arial" w:cs="Arial"/>
          <w:b/>
          <w:bCs/>
          <w:lang w:val="en-US"/>
        </w:rPr>
        <w:t>Adopt a Hybrid Leadership and Governance Model</w:t>
      </w:r>
      <w:r w:rsidR="001539D9">
        <w:rPr>
          <w:rFonts w:ascii="Arial" w:hAnsi="Arial" w:cs="Arial"/>
          <w:b/>
          <w:bCs/>
          <w:lang w:val="en-US"/>
        </w:rPr>
        <w:t xml:space="preserve">: </w:t>
      </w:r>
      <w:r w:rsidRPr="001539D9">
        <w:rPr>
          <w:rFonts w:ascii="Arial" w:hAnsi="Arial" w:cs="Arial"/>
          <w:lang w:val="en-US"/>
        </w:rPr>
        <w:t>The organisation should adopt a hybrid leadership model that combines transformational, situational, distributed, and transactional approaches. Transformational leadership should establish a clear patient safety vision and promote a culture where staff and families feel empowered to raise concerns</w:t>
      </w:r>
      <w:r w:rsidR="00593D88" w:rsidRPr="001539D9">
        <w:rPr>
          <w:rFonts w:ascii="Arial" w:hAnsi="Arial" w:cs="Arial"/>
          <w:lang w:val="en-US"/>
        </w:rPr>
        <w:t xml:space="preserve"> (</w:t>
      </w:r>
      <w:r w:rsidR="00593D88" w:rsidRPr="001539D9">
        <w:rPr>
          <w:rFonts w:ascii="Arial" w:hAnsi="Arial" w:cs="Arial"/>
        </w:rPr>
        <w:t>Ledlow et al, 2023)</w:t>
      </w:r>
      <w:r w:rsidRPr="001539D9">
        <w:rPr>
          <w:rFonts w:ascii="Arial" w:hAnsi="Arial" w:cs="Arial"/>
          <w:lang w:val="en-US"/>
        </w:rPr>
        <w:t>. Situational leadership should ensure that senior clinicians increase their involvement when patient complexity or deterioration exceeds the competence of junior staff</w:t>
      </w:r>
      <w:r w:rsidR="00593D88" w:rsidRPr="001539D9">
        <w:rPr>
          <w:rFonts w:ascii="Arial" w:hAnsi="Arial" w:cs="Arial"/>
          <w:lang w:val="en-US"/>
        </w:rPr>
        <w:t xml:space="preserve"> (</w:t>
      </w:r>
      <w:r w:rsidR="00593D88" w:rsidRPr="001539D9">
        <w:rPr>
          <w:rFonts w:ascii="Arial" w:hAnsi="Arial" w:cs="Arial"/>
        </w:rPr>
        <w:t>Khan et al, 2022)</w:t>
      </w:r>
      <w:r w:rsidRPr="001539D9">
        <w:rPr>
          <w:rFonts w:ascii="Arial" w:hAnsi="Arial" w:cs="Arial"/>
          <w:lang w:val="en-US"/>
        </w:rPr>
        <w:t xml:space="preserve">. Distributed leadership should enable nurses and other frontline professionals to participate actively in safety decisions, while transactional mechanisms should maintain clear responsibilities, standards, and accountability. This combination would avoid excessive reliance on either rigid hierarchy or uncontrolled </w:t>
      </w:r>
      <w:r w:rsidR="001539D9" w:rsidRPr="001539D9">
        <w:rPr>
          <w:rFonts w:ascii="Arial" w:hAnsi="Arial" w:cs="Arial"/>
          <w:lang w:val="en-US"/>
        </w:rPr>
        <w:t>decentralisation</w:t>
      </w:r>
      <w:r w:rsidR="00593D88" w:rsidRPr="001539D9">
        <w:rPr>
          <w:rFonts w:ascii="Arial" w:hAnsi="Arial" w:cs="Arial"/>
          <w:lang w:val="en-US"/>
        </w:rPr>
        <w:t xml:space="preserve"> (</w:t>
      </w:r>
      <w:r w:rsidR="00593D88" w:rsidRPr="001539D9">
        <w:rPr>
          <w:rFonts w:ascii="Arial" w:hAnsi="Arial" w:cs="Arial"/>
        </w:rPr>
        <w:t>Ledlow et al, 2023)</w:t>
      </w:r>
      <w:r w:rsidRPr="001539D9">
        <w:rPr>
          <w:rFonts w:ascii="Arial" w:hAnsi="Arial" w:cs="Arial"/>
          <w:lang w:val="en-US"/>
        </w:rPr>
        <w:t>.</w:t>
      </w:r>
    </w:p>
    <w:p w14:paraId="1435BFCC" w14:textId="61580DFA" w:rsidR="006B6266" w:rsidRPr="001539D9" w:rsidRDefault="006B6266" w:rsidP="001539D9">
      <w:pPr>
        <w:spacing w:line="360" w:lineRule="auto"/>
        <w:jc w:val="both"/>
        <w:rPr>
          <w:rFonts w:ascii="Arial" w:hAnsi="Arial" w:cs="Arial"/>
          <w:b/>
          <w:bCs/>
          <w:lang w:val="en-US"/>
        </w:rPr>
      </w:pPr>
      <w:r w:rsidRPr="001539D9">
        <w:rPr>
          <w:rFonts w:ascii="Arial" w:hAnsi="Arial" w:cs="Arial"/>
          <w:b/>
          <w:bCs/>
          <w:lang w:val="en-US"/>
        </w:rPr>
        <w:t>Strengthen Clinical Escalation Systems</w:t>
      </w:r>
      <w:r w:rsidR="001539D9">
        <w:rPr>
          <w:rFonts w:ascii="Arial" w:hAnsi="Arial" w:cs="Arial"/>
          <w:b/>
          <w:bCs/>
          <w:lang w:val="en-US"/>
        </w:rPr>
        <w:t xml:space="preserve">: </w:t>
      </w:r>
      <w:r w:rsidRPr="001539D9">
        <w:rPr>
          <w:rFonts w:ascii="Arial" w:hAnsi="Arial" w:cs="Arial"/>
          <w:lang w:val="en-US"/>
        </w:rPr>
        <w:t>A standardised escalation pathway should be introduced for deteriorating patients. Nurses, junior doctors, patients, and families should have clearly defined mechanisms for requesting urgent senior review. Escalation should be triggered by clinical deterioration and concern rather than professional status</w:t>
      </w:r>
      <w:r w:rsidR="00593D88" w:rsidRPr="001539D9">
        <w:rPr>
          <w:rFonts w:ascii="Arial" w:hAnsi="Arial" w:cs="Arial"/>
          <w:lang w:val="en-US"/>
        </w:rPr>
        <w:t xml:space="preserve"> (</w:t>
      </w:r>
      <w:r w:rsidR="00593D88" w:rsidRPr="001539D9">
        <w:rPr>
          <w:rFonts w:ascii="Arial" w:hAnsi="Arial" w:cs="Arial"/>
        </w:rPr>
        <w:t>Mosadeghrad et al, 2017)</w:t>
      </w:r>
      <w:r w:rsidRPr="001539D9">
        <w:rPr>
          <w:rFonts w:ascii="Arial" w:hAnsi="Arial" w:cs="Arial"/>
          <w:lang w:val="en-US"/>
        </w:rPr>
        <w:t>. The organisation should monitor compliance with escalation procedures and review delays through clinical governance meetings. Senior clinicians should also conduct regular audits of cases involving unexpected deterioration to determine whether escalation occurred appropriately</w:t>
      </w:r>
      <w:r w:rsidR="00CC6334" w:rsidRPr="001539D9">
        <w:rPr>
          <w:rFonts w:ascii="Arial" w:hAnsi="Arial" w:cs="Arial"/>
          <w:lang w:val="en-US"/>
        </w:rPr>
        <w:t xml:space="preserve"> (</w:t>
      </w:r>
      <w:r w:rsidR="00CC6334" w:rsidRPr="001539D9">
        <w:rPr>
          <w:rFonts w:ascii="Arial" w:hAnsi="Arial" w:cs="Arial"/>
        </w:rPr>
        <w:t>Mosadeghrad et al, 2017)</w:t>
      </w:r>
      <w:r w:rsidRPr="001539D9">
        <w:rPr>
          <w:rFonts w:ascii="Arial" w:hAnsi="Arial" w:cs="Arial"/>
          <w:lang w:val="en-US"/>
        </w:rPr>
        <w:t>.</w:t>
      </w:r>
    </w:p>
    <w:p w14:paraId="7260BEE5" w14:textId="1CD20C47" w:rsidR="006B6266" w:rsidRPr="001539D9" w:rsidRDefault="006B6266" w:rsidP="001539D9">
      <w:pPr>
        <w:spacing w:line="360" w:lineRule="auto"/>
        <w:jc w:val="both"/>
        <w:rPr>
          <w:rFonts w:ascii="Arial" w:hAnsi="Arial" w:cs="Arial"/>
          <w:b/>
          <w:bCs/>
          <w:lang w:val="en-US"/>
        </w:rPr>
      </w:pPr>
      <w:r w:rsidRPr="001539D9">
        <w:rPr>
          <w:rFonts w:ascii="Arial" w:hAnsi="Arial" w:cs="Arial"/>
          <w:b/>
          <w:bCs/>
          <w:lang w:val="en-US"/>
        </w:rPr>
        <w:t>Improve Communication and Multidisciplinary Working</w:t>
      </w:r>
      <w:r w:rsidR="001539D9">
        <w:rPr>
          <w:rFonts w:ascii="Arial" w:hAnsi="Arial" w:cs="Arial"/>
          <w:b/>
          <w:bCs/>
          <w:lang w:val="en-US"/>
        </w:rPr>
        <w:t xml:space="preserve">: </w:t>
      </w:r>
      <w:r w:rsidRPr="001539D9">
        <w:rPr>
          <w:rFonts w:ascii="Arial" w:hAnsi="Arial" w:cs="Arial"/>
          <w:lang w:val="en-US"/>
        </w:rPr>
        <w:t>Structured multidisciplinary communication should become an organisational priority. Standardised handover processes, clear documentation, multidisciplinary safety briefings, and escalation protocols should be consistently implemented</w:t>
      </w:r>
      <w:r w:rsidR="00593D88" w:rsidRPr="001539D9">
        <w:rPr>
          <w:rFonts w:ascii="Arial" w:hAnsi="Arial" w:cs="Arial"/>
          <w:lang w:val="en-US"/>
        </w:rPr>
        <w:t xml:space="preserve"> (</w:t>
      </w:r>
      <w:r w:rsidR="00593D88" w:rsidRPr="001539D9">
        <w:rPr>
          <w:rFonts w:ascii="Arial" w:hAnsi="Arial" w:cs="Arial"/>
        </w:rPr>
        <w:t>Aaron et al, 2025)</w:t>
      </w:r>
      <w:r w:rsidRPr="001539D9">
        <w:rPr>
          <w:rFonts w:ascii="Arial" w:hAnsi="Arial" w:cs="Arial"/>
          <w:lang w:val="en-US"/>
        </w:rPr>
        <w:t xml:space="preserve">. Leaders should create psychological safety by ensuring that questioning or challenging a decision is treated as </w:t>
      </w:r>
      <w:r w:rsidR="00072559" w:rsidRPr="001539D9">
        <w:rPr>
          <w:rFonts w:ascii="Arial" w:hAnsi="Arial" w:cs="Arial"/>
          <w:lang w:val="en-US"/>
        </w:rPr>
        <w:t>patient</w:t>
      </w:r>
      <w:r w:rsidRPr="001539D9">
        <w:rPr>
          <w:rFonts w:ascii="Arial" w:hAnsi="Arial" w:cs="Arial"/>
          <w:lang w:val="en-US"/>
        </w:rPr>
        <w:t xml:space="preserve"> safety behaviour rather than professional insubordination. Staff should receive regular training in communication, teamwork, speaking up, and recognition of clinical deterioration</w:t>
      </w:r>
      <w:r w:rsidR="005D2ED6" w:rsidRPr="001539D9">
        <w:rPr>
          <w:rFonts w:ascii="Arial" w:hAnsi="Arial" w:cs="Arial"/>
          <w:lang w:val="en-US"/>
        </w:rPr>
        <w:t xml:space="preserve"> (</w:t>
      </w:r>
      <w:r w:rsidR="005D2ED6" w:rsidRPr="001539D9">
        <w:rPr>
          <w:rFonts w:ascii="Arial" w:hAnsi="Arial" w:cs="Arial"/>
        </w:rPr>
        <w:t>Aaron et al, 2025)</w:t>
      </w:r>
      <w:r w:rsidRPr="001539D9">
        <w:rPr>
          <w:rFonts w:ascii="Arial" w:hAnsi="Arial" w:cs="Arial"/>
          <w:lang w:val="en-US"/>
        </w:rPr>
        <w:t>.</w:t>
      </w:r>
    </w:p>
    <w:p w14:paraId="7D0395A4" w14:textId="3B8E84CF" w:rsidR="006B6266" w:rsidRPr="001539D9" w:rsidRDefault="006B6266" w:rsidP="001539D9">
      <w:pPr>
        <w:spacing w:line="360" w:lineRule="auto"/>
        <w:jc w:val="both"/>
        <w:rPr>
          <w:rFonts w:ascii="Arial" w:hAnsi="Arial" w:cs="Arial"/>
          <w:b/>
          <w:bCs/>
          <w:lang w:val="en-US"/>
        </w:rPr>
      </w:pPr>
      <w:r w:rsidRPr="001539D9">
        <w:rPr>
          <w:rFonts w:ascii="Arial" w:hAnsi="Arial" w:cs="Arial"/>
          <w:b/>
          <w:bCs/>
          <w:lang w:val="en-US"/>
        </w:rPr>
        <w:t>Empower Patients and Families</w:t>
      </w:r>
      <w:r w:rsidR="001539D9">
        <w:rPr>
          <w:rFonts w:ascii="Arial" w:hAnsi="Arial" w:cs="Arial"/>
          <w:b/>
          <w:bCs/>
          <w:lang w:val="en-US"/>
        </w:rPr>
        <w:t xml:space="preserve">: </w:t>
      </w:r>
      <w:r w:rsidRPr="001539D9">
        <w:rPr>
          <w:rFonts w:ascii="Arial" w:hAnsi="Arial" w:cs="Arial"/>
          <w:lang w:val="en-US"/>
        </w:rPr>
        <w:t>Patients and families should be formally incorporated into patient safety processes. At admission, patients should receive clear information about the roles of trainees, residents, nurses, and attending physicians, together with instructions for requesting senior review</w:t>
      </w:r>
      <w:r w:rsidR="00593D88" w:rsidRPr="001539D9">
        <w:rPr>
          <w:rFonts w:ascii="Arial" w:hAnsi="Arial" w:cs="Arial"/>
          <w:lang w:val="en-US"/>
        </w:rPr>
        <w:t xml:space="preserve"> (</w:t>
      </w:r>
      <w:r w:rsidR="00593D88" w:rsidRPr="001539D9">
        <w:rPr>
          <w:rFonts w:ascii="Arial" w:hAnsi="Arial" w:cs="Arial"/>
        </w:rPr>
        <w:t>Aaron et al, 2025)</w:t>
      </w:r>
      <w:r w:rsidRPr="001539D9">
        <w:rPr>
          <w:rFonts w:ascii="Arial" w:hAnsi="Arial" w:cs="Arial"/>
          <w:lang w:val="en-US"/>
        </w:rPr>
        <w:t>. A patient-activated escalation mechanism should be available when concerns are not adequately addressed. This recommendation directly reflects the lessons of the Lewis Blackman case and the subsequent South Carolina legislative response requiring mechanisms for patients to obtain prompt assistance</w:t>
      </w:r>
      <w:r w:rsidR="00CF4231" w:rsidRPr="001539D9">
        <w:rPr>
          <w:rFonts w:ascii="Arial" w:hAnsi="Arial" w:cs="Arial"/>
          <w:lang w:val="en-US"/>
        </w:rPr>
        <w:t xml:space="preserve"> (</w:t>
      </w:r>
      <w:r w:rsidR="00CF4231" w:rsidRPr="001539D9">
        <w:rPr>
          <w:rFonts w:ascii="Arial" w:hAnsi="Arial" w:cs="Arial"/>
        </w:rPr>
        <w:t>Bilimoria et al, 2017)</w:t>
      </w:r>
      <w:r w:rsidRPr="001539D9">
        <w:rPr>
          <w:rFonts w:ascii="Arial" w:hAnsi="Arial" w:cs="Arial"/>
          <w:lang w:val="en-US"/>
        </w:rPr>
        <w:t>.</w:t>
      </w:r>
    </w:p>
    <w:p w14:paraId="055438E2" w14:textId="0216516F" w:rsidR="006B6266" w:rsidRPr="001539D9" w:rsidRDefault="006B6266" w:rsidP="001539D9">
      <w:pPr>
        <w:spacing w:line="360" w:lineRule="auto"/>
        <w:jc w:val="both"/>
        <w:rPr>
          <w:rFonts w:ascii="Arial" w:hAnsi="Arial" w:cs="Arial"/>
          <w:lang w:val="en-US"/>
        </w:rPr>
      </w:pPr>
      <w:r w:rsidRPr="001539D9">
        <w:rPr>
          <w:rFonts w:ascii="Arial" w:hAnsi="Arial" w:cs="Arial"/>
          <w:b/>
          <w:bCs/>
          <w:lang w:val="en-US"/>
        </w:rPr>
        <w:t>Improve Technical and Allocative Efficiency</w:t>
      </w:r>
      <w:r w:rsidR="001539D9">
        <w:rPr>
          <w:rFonts w:ascii="Arial" w:hAnsi="Arial" w:cs="Arial"/>
          <w:lang w:val="en-US"/>
        </w:rPr>
        <w:t xml:space="preserve">: </w:t>
      </w:r>
      <w:r w:rsidRPr="001539D9">
        <w:rPr>
          <w:rFonts w:ascii="Arial" w:hAnsi="Arial" w:cs="Arial"/>
          <w:lang w:val="en-US"/>
        </w:rPr>
        <w:t>Technical efficiency should be improved by ensuring that existing clinical resources are used effectively. Reliable monitoring equipment, appropriate staffing, senior supervision, and standardised escalation systems should be available where they have the greatest influence on patient safety</w:t>
      </w:r>
      <w:r w:rsidR="00593D88" w:rsidRPr="001539D9">
        <w:rPr>
          <w:rFonts w:ascii="Arial" w:hAnsi="Arial" w:cs="Arial"/>
          <w:lang w:val="en-US"/>
        </w:rPr>
        <w:t xml:space="preserve"> (</w:t>
      </w:r>
      <w:r w:rsidR="00593D88" w:rsidRPr="001539D9">
        <w:rPr>
          <w:rFonts w:ascii="Arial" w:hAnsi="Arial" w:cs="Arial"/>
        </w:rPr>
        <w:t>Aaron et al, 2025)</w:t>
      </w:r>
      <w:r w:rsidRPr="001539D9">
        <w:rPr>
          <w:rFonts w:ascii="Arial" w:hAnsi="Arial" w:cs="Arial"/>
          <w:lang w:val="en-US"/>
        </w:rPr>
        <w:t>. Allocative efficiency requires organisational leaders to direct resources towards interventions that reduce avoidable harm rather than focusing exclusively on short-term operational pressures. Investment should prioritise workforce development, patient safety technology, staff training, and effective clinical governance</w:t>
      </w:r>
      <w:r w:rsidR="00593D88" w:rsidRPr="001539D9">
        <w:rPr>
          <w:rFonts w:ascii="Arial" w:hAnsi="Arial" w:cs="Arial"/>
          <w:lang w:val="en-US"/>
        </w:rPr>
        <w:t xml:space="preserve"> (</w:t>
      </w:r>
      <w:r w:rsidR="00593D88" w:rsidRPr="001539D9">
        <w:rPr>
          <w:rFonts w:ascii="Arial" w:hAnsi="Arial" w:cs="Arial"/>
        </w:rPr>
        <w:t>Mosadeghrad et al, 2017)</w:t>
      </w:r>
      <w:r w:rsidRPr="001539D9">
        <w:rPr>
          <w:rFonts w:ascii="Arial" w:hAnsi="Arial" w:cs="Arial"/>
          <w:lang w:val="en-US"/>
        </w:rPr>
        <w:t>.</w:t>
      </w:r>
    </w:p>
    <w:p w14:paraId="0B6A2927" w14:textId="5CAC1515" w:rsidR="006B6266" w:rsidRPr="001539D9" w:rsidRDefault="006B6266" w:rsidP="001539D9">
      <w:pPr>
        <w:spacing w:line="360" w:lineRule="auto"/>
        <w:jc w:val="both"/>
        <w:rPr>
          <w:rFonts w:ascii="Arial" w:hAnsi="Arial" w:cs="Arial"/>
          <w:b/>
          <w:bCs/>
          <w:lang w:val="en-US"/>
        </w:rPr>
      </w:pPr>
      <w:r w:rsidRPr="001539D9">
        <w:rPr>
          <w:rFonts w:ascii="Arial" w:hAnsi="Arial" w:cs="Arial"/>
          <w:b/>
          <w:bCs/>
          <w:lang w:val="en-US"/>
        </w:rPr>
        <w:t>Establish Continuous Learning and Accountability</w:t>
      </w:r>
      <w:r w:rsidR="001539D9">
        <w:rPr>
          <w:rFonts w:ascii="Arial" w:hAnsi="Arial" w:cs="Arial"/>
          <w:b/>
          <w:bCs/>
          <w:lang w:val="en-US"/>
        </w:rPr>
        <w:t xml:space="preserve">: </w:t>
      </w:r>
      <w:r w:rsidRPr="001539D9">
        <w:rPr>
          <w:rFonts w:ascii="Arial" w:hAnsi="Arial" w:cs="Arial"/>
          <w:lang w:val="en-US"/>
        </w:rPr>
        <w:t>A continuous learning framework should integrate incident reporting, staff surveys, patient feedback, clinical audits, and safety performance data. Measures could include escalation compliance, response times, communication failures, staff perceptions of safety, and patient complaints</w:t>
      </w:r>
      <w:r w:rsidR="00593D88" w:rsidRPr="001539D9">
        <w:rPr>
          <w:rFonts w:ascii="Arial" w:hAnsi="Arial" w:cs="Arial"/>
          <w:lang w:val="en-US"/>
        </w:rPr>
        <w:t xml:space="preserve"> (</w:t>
      </w:r>
      <w:r w:rsidR="00593D88" w:rsidRPr="001539D9">
        <w:rPr>
          <w:rFonts w:ascii="Arial" w:hAnsi="Arial" w:cs="Arial"/>
        </w:rPr>
        <w:t>Mosadeghrad et al, 2017)</w:t>
      </w:r>
      <w:r w:rsidRPr="001539D9">
        <w:rPr>
          <w:rFonts w:ascii="Arial" w:hAnsi="Arial" w:cs="Arial"/>
          <w:lang w:val="en-US"/>
        </w:rPr>
        <w:t>. AHRQ's safety culture framework provides measurable dimensions including communication openness, teamwork, staffing, management support, and organisational learning</w:t>
      </w:r>
      <w:r w:rsidR="00593D88" w:rsidRPr="001539D9">
        <w:rPr>
          <w:rFonts w:ascii="Arial" w:hAnsi="Arial" w:cs="Arial"/>
          <w:lang w:val="en-US"/>
        </w:rPr>
        <w:t xml:space="preserve"> (</w:t>
      </w:r>
      <w:r w:rsidR="00593D88" w:rsidRPr="001539D9">
        <w:rPr>
          <w:rFonts w:ascii="Arial" w:hAnsi="Arial" w:cs="Arial"/>
        </w:rPr>
        <w:t>Bilimoria et al, 2017)</w:t>
      </w:r>
      <w:r w:rsidRPr="001539D9">
        <w:rPr>
          <w:rFonts w:ascii="Arial" w:hAnsi="Arial" w:cs="Arial"/>
          <w:lang w:val="en-US"/>
        </w:rPr>
        <w:t>. The organisation should review these indicators regularly and publish improvement actions to demonstrate accountability. Lessons from incidents should be shared across departments so that learning extends beyond the unit where an event occurred</w:t>
      </w:r>
      <w:r w:rsidR="00593D88" w:rsidRPr="001539D9">
        <w:rPr>
          <w:rFonts w:ascii="Arial" w:hAnsi="Arial" w:cs="Arial"/>
          <w:lang w:val="en-US"/>
        </w:rPr>
        <w:t xml:space="preserve"> (</w:t>
      </w:r>
      <w:r w:rsidR="00593D88" w:rsidRPr="001539D9">
        <w:rPr>
          <w:rFonts w:ascii="Arial" w:hAnsi="Arial" w:cs="Arial"/>
        </w:rPr>
        <w:t>Bilimoria et al, 2017)</w:t>
      </w:r>
      <w:r w:rsidRPr="001539D9">
        <w:rPr>
          <w:rFonts w:ascii="Arial" w:hAnsi="Arial" w:cs="Arial"/>
          <w:lang w:val="en-US"/>
        </w:rPr>
        <w:t>.</w:t>
      </w:r>
    </w:p>
    <w:p w14:paraId="39150F63" w14:textId="2D327B88" w:rsidR="006B6266" w:rsidRPr="001539D9" w:rsidRDefault="006B6266" w:rsidP="001539D9">
      <w:pPr>
        <w:spacing w:line="360" w:lineRule="auto"/>
        <w:jc w:val="both"/>
        <w:rPr>
          <w:rFonts w:ascii="Arial" w:hAnsi="Arial" w:cs="Arial"/>
          <w:b/>
          <w:bCs/>
          <w:lang w:val="en-US"/>
        </w:rPr>
      </w:pPr>
      <w:r w:rsidRPr="001539D9">
        <w:rPr>
          <w:rFonts w:ascii="Arial" w:hAnsi="Arial" w:cs="Arial"/>
          <w:b/>
          <w:bCs/>
          <w:lang w:val="en-US"/>
        </w:rPr>
        <w:t>Co-production and Stakeholder Engagement</w:t>
      </w:r>
      <w:r w:rsidR="001539D9">
        <w:rPr>
          <w:rFonts w:ascii="Arial" w:hAnsi="Arial" w:cs="Arial"/>
          <w:b/>
          <w:bCs/>
          <w:lang w:val="en-US"/>
        </w:rPr>
        <w:t xml:space="preserve">: </w:t>
      </w:r>
      <w:r w:rsidRPr="001539D9">
        <w:rPr>
          <w:rFonts w:ascii="Arial" w:hAnsi="Arial" w:cs="Arial"/>
          <w:lang w:val="en-US"/>
        </w:rPr>
        <w:t>Finally, improvement should be developed through co-production involving clinicians, nurses, managers, patients, families, and patient safety representatives. This approach would ensure that interventions reflect both professional expertise and lived experience</w:t>
      </w:r>
      <w:r w:rsidR="00593D88" w:rsidRPr="001539D9">
        <w:rPr>
          <w:rFonts w:ascii="Arial" w:hAnsi="Arial" w:cs="Arial"/>
          <w:lang w:val="en-US"/>
        </w:rPr>
        <w:t xml:space="preserve"> (</w:t>
      </w:r>
      <w:r w:rsidR="00593D88" w:rsidRPr="001539D9">
        <w:rPr>
          <w:rFonts w:ascii="Arial" w:hAnsi="Arial" w:cs="Arial"/>
        </w:rPr>
        <w:t>Bilimoria et al, 2017)</w:t>
      </w:r>
      <w:r w:rsidRPr="001539D9">
        <w:rPr>
          <w:rFonts w:ascii="Arial" w:hAnsi="Arial" w:cs="Arial"/>
          <w:lang w:val="en-US"/>
        </w:rPr>
        <w:t>. Regular multidisciplinary safety meetings should provide opportunities to review data, identify risks, and agree improvement priorities</w:t>
      </w:r>
      <w:r w:rsidR="00593D88" w:rsidRPr="001539D9">
        <w:rPr>
          <w:rFonts w:ascii="Arial" w:hAnsi="Arial" w:cs="Arial"/>
          <w:lang w:val="en-US"/>
        </w:rPr>
        <w:t xml:space="preserve"> (</w:t>
      </w:r>
      <w:r w:rsidR="00593D88" w:rsidRPr="001539D9">
        <w:rPr>
          <w:rFonts w:ascii="Arial" w:hAnsi="Arial" w:cs="Arial"/>
        </w:rPr>
        <w:t>Mosadeghrad et al, 2017)</w:t>
      </w:r>
      <w:r w:rsidRPr="001539D9">
        <w:rPr>
          <w:rFonts w:ascii="Arial" w:hAnsi="Arial" w:cs="Arial"/>
          <w:lang w:val="en-US"/>
        </w:rPr>
        <w:t>. The overall objective should be to develop an organisational culture where leadership, governance, staff participation, and patient involvement operate together to prevent avoidable harm.</w:t>
      </w:r>
    </w:p>
    <w:p w14:paraId="77FC1F47" w14:textId="77777777" w:rsidR="006B6266" w:rsidRPr="006B6266" w:rsidRDefault="006B6266" w:rsidP="00072559">
      <w:pPr>
        <w:pStyle w:val="Heading1"/>
        <w:rPr>
          <w:lang w:val="en-US"/>
        </w:rPr>
      </w:pPr>
      <w:bookmarkStart w:id="30" w:name="_Toc237170852"/>
      <w:r w:rsidRPr="006B6266">
        <w:rPr>
          <w:lang w:val="en-US"/>
        </w:rPr>
        <w:t>4. Conclusion</w:t>
      </w:r>
      <w:bookmarkEnd w:id="30"/>
    </w:p>
    <w:p w14:paraId="0D492C48" w14:textId="77777777"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Lewis Blackman case demonstrates how weaknesses in organisational structure, leadership, communication, and governance can interact to create serious patient safety consequences. The case occurred in a U.S. teaching hospital, where repeated failures to recognise and respond to postoperative deterioration contributed to Lewis's death. Although several healthcare professionals were involved in his care, organisational hierarchy prevented concerns from being effectively escalated to appropriate senior clinicians. The analysis shows that neither centralisation nor decentralisation is inherently safe or unsafe. Centralised authority can provide accountability and consistency, while decentralisation can improve responsiveness and empower frontline staff. A balanced approach is therefore required, combining strong central governance with distributed responsibility for patient safety.</w:t>
      </w:r>
    </w:p>
    <w:p w14:paraId="4B347C54" w14:textId="77777777" w:rsidR="006B6266" w:rsidRPr="006B6266" w:rsidRDefault="006B6266" w:rsidP="006B6266">
      <w:pPr>
        <w:spacing w:line="360" w:lineRule="auto"/>
        <w:jc w:val="both"/>
        <w:rPr>
          <w:rFonts w:ascii="Arial" w:hAnsi="Arial" w:cs="Arial"/>
          <w:lang w:val="en-US"/>
        </w:rPr>
      </w:pPr>
      <w:r w:rsidRPr="006B6266">
        <w:rPr>
          <w:rFonts w:ascii="Arial" w:hAnsi="Arial" w:cs="Arial"/>
          <w:lang w:val="en-US"/>
        </w:rPr>
        <w:t>The leadership analysis demonstrates that transformational, situational, distributed, and emotionally intelligent leadership could have provided more effective responses to the circumstances surrounding the case. Transactional leadership remains valuable for maintaining standards and accountability but should be combined with empowerment and open communication. The case highlights the importance of proactive leadership that identifies risks, encourages staff and families to speak up, and supports timely escalation. Sustainable patient safety improvement also requires effective governance, multidisciplinary communication, continuous learning, and evidence-based monitoring. Healthcare organisations should use incident data, staff feedback, patient experiences, and clinical audits to identify weaknesses and evaluate improvement. Ultimately, the Lewis Blackman case demonstrates that strong leadership and governance are essential for creating safer, more accountable, and patient-centred healthcare systems.</w:t>
      </w:r>
    </w:p>
    <w:p w14:paraId="434E528E" w14:textId="77777777" w:rsidR="001A0031" w:rsidRPr="00FA6883" w:rsidRDefault="001A0031" w:rsidP="001A0031">
      <w:pPr>
        <w:pStyle w:val="Heading1"/>
        <w:rPr>
          <w:sz w:val="24"/>
          <w:szCs w:val="24"/>
          <w:lang w:val="en-US"/>
        </w:rPr>
      </w:pPr>
      <w:bookmarkStart w:id="31" w:name="_Toc237170853"/>
      <w:r>
        <w:rPr>
          <w:lang w:val="en-US"/>
        </w:rPr>
        <w:t>References</w:t>
      </w:r>
      <w:bookmarkEnd w:id="31"/>
    </w:p>
    <w:p w14:paraId="0F721FDE" w14:textId="35CA3DD8" w:rsidR="00593D88" w:rsidRDefault="00593D88" w:rsidP="00FE3C56">
      <w:pPr>
        <w:spacing w:line="360" w:lineRule="auto"/>
        <w:jc w:val="both"/>
        <w:rPr>
          <w:rFonts w:ascii="Arial" w:hAnsi="Arial" w:cs="Arial"/>
        </w:rPr>
      </w:pPr>
      <w:r w:rsidRPr="00593D88">
        <w:rPr>
          <w:rFonts w:ascii="Arial" w:hAnsi="Arial" w:cs="Arial"/>
        </w:rPr>
        <w:t xml:space="preserve">Aaron, D.G., Robertson, C.T., King, L.P. and Sage, W.M., </w:t>
      </w:r>
      <w:r w:rsidR="00E33891">
        <w:rPr>
          <w:rFonts w:ascii="Arial" w:hAnsi="Arial" w:cs="Arial"/>
        </w:rPr>
        <w:t>(</w:t>
      </w:r>
      <w:r w:rsidRPr="00593D88">
        <w:rPr>
          <w:rFonts w:ascii="Arial" w:hAnsi="Arial" w:cs="Arial"/>
        </w:rPr>
        <w:t>2025</w:t>
      </w:r>
      <w:r w:rsidR="00E33891">
        <w:rPr>
          <w:rFonts w:ascii="Arial" w:hAnsi="Arial" w:cs="Arial"/>
        </w:rPr>
        <w:t>)</w:t>
      </w:r>
      <w:r w:rsidRPr="00593D88">
        <w:rPr>
          <w:rFonts w:ascii="Arial" w:hAnsi="Arial" w:cs="Arial"/>
        </w:rPr>
        <w:t>. A new legal standard for medical malpractice. </w:t>
      </w:r>
      <w:r w:rsidRPr="00593D88">
        <w:rPr>
          <w:rFonts w:ascii="Arial" w:hAnsi="Arial" w:cs="Arial"/>
          <w:i/>
          <w:iCs/>
        </w:rPr>
        <w:t>Jama</w:t>
      </w:r>
      <w:r w:rsidRPr="00593D88">
        <w:rPr>
          <w:rFonts w:ascii="Arial" w:hAnsi="Arial" w:cs="Arial"/>
        </w:rPr>
        <w:t>, </w:t>
      </w:r>
      <w:r w:rsidRPr="00593D88">
        <w:rPr>
          <w:rFonts w:ascii="Arial" w:hAnsi="Arial" w:cs="Arial"/>
          <w:i/>
          <w:iCs/>
        </w:rPr>
        <w:t>333</w:t>
      </w:r>
      <w:r w:rsidRPr="00593D88">
        <w:rPr>
          <w:rFonts w:ascii="Arial" w:hAnsi="Arial" w:cs="Arial"/>
        </w:rPr>
        <w:t>(13), pp.1161-1165.</w:t>
      </w:r>
      <w:r>
        <w:rPr>
          <w:rFonts w:ascii="Arial" w:hAnsi="Arial" w:cs="Arial"/>
        </w:rPr>
        <w:t xml:space="preserve"> </w:t>
      </w:r>
      <w:hyperlink r:id="rId8" w:history="1">
        <w:r w:rsidRPr="00667218">
          <w:rPr>
            <w:rStyle w:val="Hyperlink"/>
            <w:rFonts w:ascii="Arial" w:hAnsi="Arial" w:cs="Arial"/>
          </w:rPr>
          <w:t>https://jamanetwork.com/journals/jama/article-abstract/2830847</w:t>
        </w:r>
      </w:hyperlink>
    </w:p>
    <w:p w14:paraId="4F66FF21" w14:textId="3AFCEFA9" w:rsidR="00862A69" w:rsidRDefault="00862A69" w:rsidP="00FE3C56">
      <w:pPr>
        <w:spacing w:line="360" w:lineRule="auto"/>
        <w:jc w:val="both"/>
        <w:rPr>
          <w:rFonts w:ascii="Arial" w:hAnsi="Arial" w:cs="Arial"/>
        </w:rPr>
      </w:pPr>
      <w:r w:rsidRPr="00862A69">
        <w:rPr>
          <w:rFonts w:ascii="Arial" w:hAnsi="Arial" w:cs="Arial"/>
        </w:rPr>
        <w:t xml:space="preserve">Abughazalah, M., Alsaggaf, W., Saifuddin, S. and Sarhan, S., </w:t>
      </w:r>
      <w:r w:rsidR="00E33891">
        <w:rPr>
          <w:rFonts w:ascii="Arial" w:hAnsi="Arial" w:cs="Arial"/>
        </w:rPr>
        <w:t>(</w:t>
      </w:r>
      <w:r w:rsidRPr="00862A69">
        <w:rPr>
          <w:rFonts w:ascii="Arial" w:hAnsi="Arial" w:cs="Arial"/>
        </w:rPr>
        <w:t>2024</w:t>
      </w:r>
      <w:r w:rsidR="00E33891">
        <w:rPr>
          <w:rFonts w:ascii="Arial" w:hAnsi="Arial" w:cs="Arial"/>
        </w:rPr>
        <w:t>)</w:t>
      </w:r>
      <w:r w:rsidRPr="00862A69">
        <w:rPr>
          <w:rFonts w:ascii="Arial" w:hAnsi="Arial" w:cs="Arial"/>
        </w:rPr>
        <w:t>. Centralized vs. decentralized cloud computing in healthcare. </w:t>
      </w:r>
      <w:r w:rsidRPr="00862A69">
        <w:rPr>
          <w:rFonts w:ascii="Arial" w:hAnsi="Arial" w:cs="Arial"/>
          <w:i/>
          <w:iCs/>
        </w:rPr>
        <w:t>Applied Sciences</w:t>
      </w:r>
      <w:r w:rsidRPr="00862A69">
        <w:rPr>
          <w:rFonts w:ascii="Arial" w:hAnsi="Arial" w:cs="Arial"/>
        </w:rPr>
        <w:t>, </w:t>
      </w:r>
      <w:r w:rsidRPr="00862A69">
        <w:rPr>
          <w:rFonts w:ascii="Arial" w:hAnsi="Arial" w:cs="Arial"/>
          <w:i/>
          <w:iCs/>
        </w:rPr>
        <w:t>14</w:t>
      </w:r>
      <w:r w:rsidRPr="00862A69">
        <w:rPr>
          <w:rFonts w:ascii="Arial" w:hAnsi="Arial" w:cs="Arial"/>
        </w:rPr>
        <w:t>(17), p.7765.</w:t>
      </w:r>
      <w:r>
        <w:rPr>
          <w:rFonts w:ascii="Arial" w:hAnsi="Arial" w:cs="Arial"/>
        </w:rPr>
        <w:t xml:space="preserve"> </w:t>
      </w:r>
      <w:hyperlink r:id="rId9" w:history="1">
        <w:r w:rsidRPr="00667218">
          <w:rPr>
            <w:rStyle w:val="Hyperlink"/>
            <w:rFonts w:ascii="Arial" w:hAnsi="Arial" w:cs="Arial"/>
          </w:rPr>
          <w:t>https://www.mdpi.com/2076-3417/14/17/7765</w:t>
        </w:r>
      </w:hyperlink>
    </w:p>
    <w:p w14:paraId="553AE40A" w14:textId="015667D8" w:rsidR="00CA7DC4" w:rsidRDefault="00CA7DC4" w:rsidP="00FE3C56">
      <w:pPr>
        <w:spacing w:line="360" w:lineRule="auto"/>
        <w:jc w:val="both"/>
        <w:rPr>
          <w:rFonts w:ascii="Arial" w:hAnsi="Arial" w:cs="Arial"/>
        </w:rPr>
      </w:pPr>
      <w:r w:rsidRPr="00CA7DC4">
        <w:rPr>
          <w:rFonts w:ascii="Arial" w:hAnsi="Arial" w:cs="Arial"/>
        </w:rPr>
        <w:t xml:space="preserve">Ahmed, S., Ashrafi, D.M., Ahammad, M.F., Rahman, M.K. and Sakib, M.N., </w:t>
      </w:r>
      <w:r w:rsidR="00E33891">
        <w:rPr>
          <w:rFonts w:ascii="Arial" w:hAnsi="Arial" w:cs="Arial"/>
        </w:rPr>
        <w:t>(</w:t>
      </w:r>
      <w:r w:rsidRPr="00CA7DC4">
        <w:rPr>
          <w:rFonts w:ascii="Arial" w:hAnsi="Arial" w:cs="Arial"/>
        </w:rPr>
        <w:t>2026</w:t>
      </w:r>
      <w:r w:rsidR="00E33891">
        <w:rPr>
          <w:rFonts w:ascii="Arial" w:hAnsi="Arial" w:cs="Arial"/>
        </w:rPr>
        <w:t>)</w:t>
      </w:r>
      <w:r w:rsidRPr="00CA7DC4">
        <w:rPr>
          <w:rFonts w:ascii="Arial" w:hAnsi="Arial" w:cs="Arial"/>
        </w:rPr>
        <w:t>. Role of governance on patient safety in private hospitals through the mediating effects of teamwork and continuous improvement. </w:t>
      </w:r>
      <w:r w:rsidRPr="00CA7DC4">
        <w:rPr>
          <w:rFonts w:ascii="Arial" w:hAnsi="Arial" w:cs="Arial"/>
          <w:i/>
          <w:iCs/>
        </w:rPr>
        <w:t>International Journal of Quality &amp; Reliability Management</w:t>
      </w:r>
      <w:r w:rsidRPr="00CA7DC4">
        <w:rPr>
          <w:rFonts w:ascii="Arial" w:hAnsi="Arial" w:cs="Arial"/>
        </w:rPr>
        <w:t>, </w:t>
      </w:r>
      <w:r w:rsidRPr="00CA7DC4">
        <w:rPr>
          <w:rFonts w:ascii="Arial" w:hAnsi="Arial" w:cs="Arial"/>
          <w:i/>
          <w:iCs/>
        </w:rPr>
        <w:t>43</w:t>
      </w:r>
      <w:r w:rsidRPr="00CA7DC4">
        <w:rPr>
          <w:rFonts w:ascii="Arial" w:hAnsi="Arial" w:cs="Arial"/>
        </w:rPr>
        <w:t>(2), pp.406-434.</w:t>
      </w:r>
      <w:r>
        <w:rPr>
          <w:rFonts w:ascii="Arial" w:hAnsi="Arial" w:cs="Arial"/>
        </w:rPr>
        <w:t xml:space="preserve"> </w:t>
      </w:r>
      <w:hyperlink r:id="rId10" w:history="1">
        <w:r w:rsidRPr="00667218">
          <w:rPr>
            <w:rStyle w:val="Hyperlink"/>
            <w:rFonts w:ascii="Arial" w:hAnsi="Arial" w:cs="Arial"/>
          </w:rPr>
          <w:t>https://www.emerald.com/ijqrm/article-abstract/doi/10.1108/IJQRM-04-2025-0115/1302094</w:t>
        </w:r>
      </w:hyperlink>
    </w:p>
    <w:p w14:paraId="7E9A4E7F" w14:textId="124AA8D0" w:rsidR="00CB105C" w:rsidRDefault="00CB105C" w:rsidP="00FE3C56">
      <w:pPr>
        <w:spacing w:line="360" w:lineRule="auto"/>
        <w:jc w:val="both"/>
        <w:rPr>
          <w:rFonts w:ascii="Arial" w:hAnsi="Arial" w:cs="Arial"/>
        </w:rPr>
      </w:pPr>
      <w:r w:rsidRPr="00CB105C">
        <w:rPr>
          <w:rFonts w:ascii="Arial" w:hAnsi="Arial" w:cs="Arial"/>
        </w:rPr>
        <w:t xml:space="preserve">Altmiller, G., </w:t>
      </w:r>
      <w:r w:rsidR="00760818">
        <w:rPr>
          <w:rFonts w:ascii="Arial" w:hAnsi="Arial" w:cs="Arial"/>
        </w:rPr>
        <w:t>(</w:t>
      </w:r>
      <w:r w:rsidRPr="00CB105C">
        <w:rPr>
          <w:rFonts w:ascii="Arial" w:hAnsi="Arial" w:cs="Arial"/>
        </w:rPr>
        <w:t>2022</w:t>
      </w:r>
      <w:r w:rsidR="00760818">
        <w:rPr>
          <w:rFonts w:ascii="Arial" w:hAnsi="Arial" w:cs="Arial"/>
        </w:rPr>
        <w:t>)</w:t>
      </w:r>
      <w:r w:rsidRPr="00CB105C">
        <w:rPr>
          <w:rFonts w:ascii="Arial" w:hAnsi="Arial" w:cs="Arial"/>
        </w:rPr>
        <w:t>. Patient safety and quality of care as measures of nursing competence. </w:t>
      </w:r>
      <w:r w:rsidRPr="00CB105C">
        <w:rPr>
          <w:rFonts w:ascii="Arial" w:hAnsi="Arial" w:cs="Arial"/>
          <w:i/>
          <w:iCs/>
        </w:rPr>
        <w:t>Quality and safety education for nurses: Core competencies for nursing leadership and care management</w:t>
      </w:r>
      <w:r w:rsidRPr="00CB105C">
        <w:rPr>
          <w:rFonts w:ascii="Arial" w:hAnsi="Arial" w:cs="Arial"/>
        </w:rPr>
        <w:t>, pp.1-40.</w:t>
      </w:r>
      <w:r>
        <w:rPr>
          <w:rFonts w:ascii="Arial" w:hAnsi="Arial" w:cs="Arial"/>
        </w:rPr>
        <w:t xml:space="preserve"> </w:t>
      </w:r>
      <w:hyperlink r:id="rId11" w:history="1">
        <w:r w:rsidRPr="00265D7A">
          <w:rPr>
            <w:rStyle w:val="Hyperlink"/>
            <w:rFonts w:ascii="Arial" w:hAnsi="Arial" w:cs="Arial"/>
          </w:rPr>
          <w:t>https://books.google.com/books?hl=en&amp;lr=&amp;id=PF9aEAAAQBAJ&amp;oi=fnd&amp;pg=PA3&amp;dq=the+Lewis+Blackman+case+reflect+broader+patient+safety+challenges+experienced+across+healthcare+systems+worldwide&amp;ots=R8GL8LkgrY&amp;sig=h5DNO2BEFcOr6yVENistjzQQmLs</w:t>
        </w:r>
      </w:hyperlink>
    </w:p>
    <w:p w14:paraId="6255C235" w14:textId="4C21DA4E" w:rsidR="00823EA5" w:rsidRDefault="00823EA5" w:rsidP="00FE3C56">
      <w:pPr>
        <w:spacing w:line="360" w:lineRule="auto"/>
        <w:jc w:val="both"/>
        <w:rPr>
          <w:rFonts w:ascii="Arial" w:hAnsi="Arial" w:cs="Arial"/>
        </w:rPr>
      </w:pPr>
      <w:r w:rsidRPr="00823EA5">
        <w:rPr>
          <w:rFonts w:ascii="Arial" w:hAnsi="Arial" w:cs="Arial"/>
        </w:rPr>
        <w:t xml:space="preserve">Barr, J. and Dowding, L., </w:t>
      </w:r>
      <w:r w:rsidR="00760818">
        <w:rPr>
          <w:rFonts w:ascii="Arial" w:hAnsi="Arial" w:cs="Arial"/>
        </w:rPr>
        <w:t>(</w:t>
      </w:r>
      <w:r w:rsidRPr="00823EA5">
        <w:rPr>
          <w:rFonts w:ascii="Arial" w:hAnsi="Arial" w:cs="Arial"/>
        </w:rPr>
        <w:t>2022</w:t>
      </w:r>
      <w:r w:rsidR="00760818">
        <w:rPr>
          <w:rFonts w:ascii="Arial" w:hAnsi="Arial" w:cs="Arial"/>
        </w:rPr>
        <w:t>)</w:t>
      </w:r>
      <w:r w:rsidRPr="00823EA5">
        <w:rPr>
          <w:rFonts w:ascii="Arial" w:hAnsi="Arial" w:cs="Arial"/>
        </w:rPr>
        <w:t>. Leadership in health care.</w:t>
      </w:r>
      <w:r>
        <w:rPr>
          <w:rFonts w:ascii="Arial" w:hAnsi="Arial" w:cs="Arial"/>
        </w:rPr>
        <w:t xml:space="preserve"> </w:t>
      </w:r>
      <w:hyperlink r:id="rId12" w:history="1">
        <w:r w:rsidRPr="00265D7A">
          <w:rPr>
            <w:rStyle w:val="Hyperlink"/>
            <w:rFonts w:ascii="Arial" w:hAnsi="Arial" w:cs="Arial"/>
          </w:rPr>
          <w:t>https://www.torrossa.com/gs/resourceProxy?an=5409523&amp;publisher=FZ7200</w:t>
        </w:r>
      </w:hyperlink>
    </w:p>
    <w:p w14:paraId="15208202" w14:textId="58F598BC" w:rsidR="00593D88" w:rsidRDefault="00593D88" w:rsidP="00FE3C56">
      <w:pPr>
        <w:spacing w:line="360" w:lineRule="auto"/>
        <w:jc w:val="both"/>
        <w:rPr>
          <w:rFonts w:ascii="Arial" w:hAnsi="Arial" w:cs="Arial"/>
        </w:rPr>
      </w:pPr>
      <w:r w:rsidRPr="00593D88">
        <w:rPr>
          <w:rFonts w:ascii="Arial" w:hAnsi="Arial" w:cs="Arial"/>
        </w:rPr>
        <w:t xml:space="preserve">Bilimoria, K.Y., Chung, J.W., Minami, C.A., Sohn, M.W., Pavey, E.S., Holl, J.L. and Mello, M.M., </w:t>
      </w:r>
      <w:r w:rsidR="00E33891">
        <w:rPr>
          <w:rFonts w:ascii="Arial" w:hAnsi="Arial" w:cs="Arial"/>
        </w:rPr>
        <w:t>(</w:t>
      </w:r>
      <w:r w:rsidRPr="00593D88">
        <w:rPr>
          <w:rFonts w:ascii="Arial" w:hAnsi="Arial" w:cs="Arial"/>
        </w:rPr>
        <w:t>2017</w:t>
      </w:r>
      <w:r w:rsidR="00E33891">
        <w:rPr>
          <w:rFonts w:ascii="Arial" w:hAnsi="Arial" w:cs="Arial"/>
        </w:rPr>
        <w:t>)</w:t>
      </w:r>
      <w:r w:rsidRPr="00593D88">
        <w:rPr>
          <w:rFonts w:ascii="Arial" w:hAnsi="Arial" w:cs="Arial"/>
        </w:rPr>
        <w:t>. Relationship between state malpractice environment and quality of health care in the United States. </w:t>
      </w:r>
      <w:r w:rsidRPr="00593D88">
        <w:rPr>
          <w:rFonts w:ascii="Arial" w:hAnsi="Arial" w:cs="Arial"/>
          <w:i/>
          <w:iCs/>
        </w:rPr>
        <w:t>The Joint Commission Journal on Quality and Patient Safety</w:t>
      </w:r>
      <w:r w:rsidRPr="00593D88">
        <w:rPr>
          <w:rFonts w:ascii="Arial" w:hAnsi="Arial" w:cs="Arial"/>
        </w:rPr>
        <w:t>, </w:t>
      </w:r>
      <w:r w:rsidRPr="00593D88">
        <w:rPr>
          <w:rFonts w:ascii="Arial" w:hAnsi="Arial" w:cs="Arial"/>
          <w:i/>
          <w:iCs/>
        </w:rPr>
        <w:t>43</w:t>
      </w:r>
      <w:r w:rsidRPr="00593D88">
        <w:rPr>
          <w:rFonts w:ascii="Arial" w:hAnsi="Arial" w:cs="Arial"/>
        </w:rPr>
        <w:t>(5), pp.241-250.</w:t>
      </w:r>
      <w:r>
        <w:rPr>
          <w:rFonts w:ascii="Arial" w:hAnsi="Arial" w:cs="Arial"/>
        </w:rPr>
        <w:t xml:space="preserve"> </w:t>
      </w:r>
      <w:hyperlink r:id="rId13" w:history="1">
        <w:r w:rsidRPr="00667218">
          <w:rPr>
            <w:rStyle w:val="Hyperlink"/>
            <w:rFonts w:ascii="Arial" w:hAnsi="Arial" w:cs="Arial"/>
          </w:rPr>
          <w:t>https://www.sciencedirect.com/science/article/pii/S1553725017300624</w:t>
        </w:r>
      </w:hyperlink>
    </w:p>
    <w:p w14:paraId="1AF627DE" w14:textId="48B64FCF" w:rsidR="00216EF8" w:rsidRDefault="00216EF8" w:rsidP="00FE3C56">
      <w:pPr>
        <w:spacing w:line="360" w:lineRule="auto"/>
        <w:jc w:val="both"/>
        <w:rPr>
          <w:rFonts w:ascii="Arial" w:hAnsi="Arial" w:cs="Arial"/>
        </w:rPr>
      </w:pPr>
      <w:r w:rsidRPr="00216EF8">
        <w:rPr>
          <w:rFonts w:ascii="Arial" w:hAnsi="Arial" w:cs="Arial"/>
        </w:rPr>
        <w:t xml:space="preserve">Cerela-Boltunova, O. and Millere, I., </w:t>
      </w:r>
      <w:r w:rsidR="00760818">
        <w:rPr>
          <w:rFonts w:ascii="Arial" w:hAnsi="Arial" w:cs="Arial"/>
        </w:rPr>
        <w:t>(</w:t>
      </w:r>
      <w:r w:rsidRPr="00216EF8">
        <w:rPr>
          <w:rFonts w:ascii="Arial" w:hAnsi="Arial" w:cs="Arial"/>
        </w:rPr>
        <w:t>2025</w:t>
      </w:r>
      <w:r w:rsidR="00760818">
        <w:rPr>
          <w:rFonts w:ascii="Arial" w:hAnsi="Arial" w:cs="Arial"/>
        </w:rPr>
        <w:t>)</w:t>
      </w:r>
      <w:r w:rsidRPr="00216EF8">
        <w:rPr>
          <w:rFonts w:ascii="Arial" w:hAnsi="Arial" w:cs="Arial"/>
        </w:rPr>
        <w:t>. Exploring the relation between nursing workload and moral distress, burnout, and turnover in Latvian intensive care units: an ecological analysis of parallel data. </w:t>
      </w:r>
      <w:r w:rsidRPr="00216EF8">
        <w:rPr>
          <w:rFonts w:ascii="Arial" w:hAnsi="Arial" w:cs="Arial"/>
          <w:i/>
          <w:iCs/>
        </w:rPr>
        <w:t>International Journal of Environmental Research and Public Health</w:t>
      </w:r>
      <w:r w:rsidRPr="00216EF8">
        <w:rPr>
          <w:rFonts w:ascii="Arial" w:hAnsi="Arial" w:cs="Arial"/>
        </w:rPr>
        <w:t>, </w:t>
      </w:r>
      <w:r w:rsidRPr="00216EF8">
        <w:rPr>
          <w:rFonts w:ascii="Arial" w:hAnsi="Arial" w:cs="Arial"/>
          <w:i/>
          <w:iCs/>
        </w:rPr>
        <w:t>22</w:t>
      </w:r>
      <w:r w:rsidRPr="00216EF8">
        <w:rPr>
          <w:rFonts w:ascii="Arial" w:hAnsi="Arial" w:cs="Arial"/>
        </w:rPr>
        <w:t>(9), p.1442.</w:t>
      </w:r>
      <w:r>
        <w:rPr>
          <w:rFonts w:ascii="Arial" w:hAnsi="Arial" w:cs="Arial"/>
        </w:rPr>
        <w:t xml:space="preserve"> </w:t>
      </w:r>
      <w:hyperlink r:id="rId14" w:history="1">
        <w:r w:rsidRPr="00265D7A">
          <w:rPr>
            <w:rStyle w:val="Hyperlink"/>
            <w:rFonts w:ascii="Arial" w:hAnsi="Arial" w:cs="Arial"/>
          </w:rPr>
          <w:t>https://www.mdpi.com/1660-4601/22/9/1442</w:t>
        </w:r>
      </w:hyperlink>
    </w:p>
    <w:p w14:paraId="168A4FC2" w14:textId="638AC5EF" w:rsidR="00086101" w:rsidRDefault="00086101" w:rsidP="00FE3C56">
      <w:pPr>
        <w:spacing w:line="360" w:lineRule="auto"/>
        <w:jc w:val="both"/>
        <w:rPr>
          <w:rFonts w:ascii="Arial" w:hAnsi="Arial" w:cs="Arial"/>
        </w:rPr>
      </w:pPr>
      <w:r w:rsidRPr="00086101">
        <w:rPr>
          <w:rFonts w:ascii="Arial" w:hAnsi="Arial" w:cs="Arial"/>
        </w:rPr>
        <w:t xml:space="preserve">Christensen, T., Lægreid, P. and Rykkja, L.H., </w:t>
      </w:r>
      <w:r w:rsidR="00760818">
        <w:rPr>
          <w:rFonts w:ascii="Arial" w:hAnsi="Arial" w:cs="Arial"/>
        </w:rPr>
        <w:t>(</w:t>
      </w:r>
      <w:r w:rsidRPr="00086101">
        <w:rPr>
          <w:rFonts w:ascii="Arial" w:hAnsi="Arial" w:cs="Arial"/>
        </w:rPr>
        <w:t>2016</w:t>
      </w:r>
      <w:r w:rsidR="00760818">
        <w:rPr>
          <w:rFonts w:ascii="Arial" w:hAnsi="Arial" w:cs="Arial"/>
        </w:rPr>
        <w:t>)</w:t>
      </w:r>
      <w:r w:rsidRPr="00086101">
        <w:rPr>
          <w:rFonts w:ascii="Arial" w:hAnsi="Arial" w:cs="Arial"/>
        </w:rPr>
        <w:t>. Organizing for crisis management: Building governance capacity and legitimacy. </w:t>
      </w:r>
      <w:r w:rsidRPr="00086101">
        <w:rPr>
          <w:rFonts w:ascii="Arial" w:hAnsi="Arial" w:cs="Arial"/>
          <w:i/>
          <w:iCs/>
        </w:rPr>
        <w:t>Public administration review</w:t>
      </w:r>
      <w:r w:rsidRPr="00086101">
        <w:rPr>
          <w:rFonts w:ascii="Arial" w:hAnsi="Arial" w:cs="Arial"/>
        </w:rPr>
        <w:t>, </w:t>
      </w:r>
      <w:r w:rsidRPr="00086101">
        <w:rPr>
          <w:rFonts w:ascii="Arial" w:hAnsi="Arial" w:cs="Arial"/>
          <w:i/>
          <w:iCs/>
        </w:rPr>
        <w:t>76</w:t>
      </w:r>
      <w:r w:rsidRPr="00086101">
        <w:rPr>
          <w:rFonts w:ascii="Arial" w:hAnsi="Arial" w:cs="Arial"/>
        </w:rPr>
        <w:t>(6), pp.887-897.</w:t>
      </w:r>
      <w:r>
        <w:rPr>
          <w:rFonts w:ascii="Arial" w:hAnsi="Arial" w:cs="Arial"/>
        </w:rPr>
        <w:t xml:space="preserve"> </w:t>
      </w:r>
      <w:hyperlink r:id="rId15" w:history="1">
        <w:r w:rsidRPr="00265D7A">
          <w:rPr>
            <w:rStyle w:val="Hyperlink"/>
            <w:rFonts w:ascii="Arial" w:hAnsi="Arial" w:cs="Arial"/>
          </w:rPr>
          <w:t>https://onlinelibrary.wiley.com/doi/abs/10.1111/puar.12558</w:t>
        </w:r>
      </w:hyperlink>
    </w:p>
    <w:p w14:paraId="43FDE266" w14:textId="24E633FD" w:rsidR="0022706C" w:rsidRDefault="0022706C" w:rsidP="00FE3C56">
      <w:pPr>
        <w:spacing w:line="360" w:lineRule="auto"/>
        <w:jc w:val="both"/>
        <w:rPr>
          <w:rFonts w:ascii="Arial" w:hAnsi="Arial" w:cs="Arial"/>
        </w:rPr>
      </w:pPr>
      <w:r w:rsidRPr="0022706C">
        <w:rPr>
          <w:rFonts w:ascii="Arial" w:hAnsi="Arial" w:cs="Arial"/>
        </w:rPr>
        <w:t xml:space="preserve">Fekadu, G., Marshall, A.P., Muir, R., Tobiano, G. and Ireland, M.J., </w:t>
      </w:r>
      <w:r w:rsidR="00E33891">
        <w:rPr>
          <w:rFonts w:ascii="Arial" w:hAnsi="Arial" w:cs="Arial"/>
        </w:rPr>
        <w:t>(</w:t>
      </w:r>
      <w:r w:rsidRPr="0022706C">
        <w:rPr>
          <w:rFonts w:ascii="Arial" w:hAnsi="Arial" w:cs="Arial"/>
        </w:rPr>
        <w:t>2025</w:t>
      </w:r>
      <w:r w:rsidR="00E33891">
        <w:rPr>
          <w:rFonts w:ascii="Arial" w:hAnsi="Arial" w:cs="Arial"/>
        </w:rPr>
        <w:t>)</w:t>
      </w:r>
      <w:r w:rsidRPr="0022706C">
        <w:rPr>
          <w:rFonts w:ascii="Arial" w:hAnsi="Arial" w:cs="Arial"/>
        </w:rPr>
        <w:t>. Psychometric evaluations of the hospital survey on patient safety culture version 2.0 in Ethiopia (E-HSoPSC 2.0): a cross-sectional study. </w:t>
      </w:r>
      <w:r w:rsidRPr="0022706C">
        <w:rPr>
          <w:rFonts w:ascii="Arial" w:hAnsi="Arial" w:cs="Arial"/>
          <w:i/>
          <w:iCs/>
        </w:rPr>
        <w:t>BMJ open</w:t>
      </w:r>
      <w:r w:rsidRPr="0022706C">
        <w:rPr>
          <w:rFonts w:ascii="Arial" w:hAnsi="Arial" w:cs="Arial"/>
        </w:rPr>
        <w:t>, </w:t>
      </w:r>
      <w:r w:rsidRPr="0022706C">
        <w:rPr>
          <w:rFonts w:ascii="Arial" w:hAnsi="Arial" w:cs="Arial"/>
          <w:i/>
          <w:iCs/>
        </w:rPr>
        <w:t>15</w:t>
      </w:r>
      <w:r w:rsidRPr="0022706C">
        <w:rPr>
          <w:rFonts w:ascii="Arial" w:hAnsi="Arial" w:cs="Arial"/>
        </w:rPr>
        <w:t>(11), p.e106109.</w:t>
      </w:r>
      <w:r>
        <w:rPr>
          <w:rFonts w:ascii="Arial" w:hAnsi="Arial" w:cs="Arial"/>
        </w:rPr>
        <w:t xml:space="preserve"> </w:t>
      </w:r>
      <w:hyperlink r:id="rId16" w:history="1">
        <w:r w:rsidRPr="00667218">
          <w:rPr>
            <w:rStyle w:val="Hyperlink"/>
            <w:rFonts w:ascii="Arial" w:hAnsi="Arial" w:cs="Arial"/>
          </w:rPr>
          <w:t>https://bmjopen.bmj.com/content/15/11/e106109.abstract</w:t>
        </w:r>
      </w:hyperlink>
    </w:p>
    <w:p w14:paraId="72802ECF" w14:textId="1F5FB499" w:rsidR="00386842" w:rsidRDefault="00386842" w:rsidP="00FE3C56">
      <w:pPr>
        <w:spacing w:line="360" w:lineRule="auto"/>
        <w:jc w:val="both"/>
        <w:rPr>
          <w:rFonts w:ascii="Arial" w:hAnsi="Arial" w:cs="Arial"/>
        </w:rPr>
      </w:pPr>
      <w:r w:rsidRPr="00386842">
        <w:rPr>
          <w:rFonts w:ascii="Arial" w:hAnsi="Arial" w:cs="Arial"/>
        </w:rPr>
        <w:t xml:space="preserve">Fulop, N.J. and Ramsay, A.I., </w:t>
      </w:r>
      <w:r w:rsidR="00E33891">
        <w:rPr>
          <w:rFonts w:ascii="Arial" w:hAnsi="Arial" w:cs="Arial"/>
        </w:rPr>
        <w:t>(</w:t>
      </w:r>
      <w:r w:rsidRPr="00386842">
        <w:rPr>
          <w:rFonts w:ascii="Arial" w:hAnsi="Arial" w:cs="Arial"/>
        </w:rPr>
        <w:t>2023</w:t>
      </w:r>
      <w:r w:rsidR="00E33891">
        <w:rPr>
          <w:rFonts w:ascii="Arial" w:hAnsi="Arial" w:cs="Arial"/>
        </w:rPr>
        <w:t>)</w:t>
      </w:r>
      <w:r w:rsidRPr="00386842">
        <w:rPr>
          <w:rFonts w:ascii="Arial" w:hAnsi="Arial" w:cs="Arial"/>
        </w:rPr>
        <w:t>. </w:t>
      </w:r>
      <w:r w:rsidRPr="00386842">
        <w:rPr>
          <w:rFonts w:ascii="Arial" w:hAnsi="Arial" w:cs="Arial"/>
          <w:i/>
          <w:iCs/>
        </w:rPr>
        <w:t>Governance and leadership</w:t>
      </w:r>
      <w:r w:rsidRPr="00386842">
        <w:rPr>
          <w:rFonts w:ascii="Arial" w:hAnsi="Arial" w:cs="Arial"/>
        </w:rPr>
        <w:t>. Cambridge university press.</w:t>
      </w:r>
      <w:r>
        <w:rPr>
          <w:rFonts w:ascii="Arial" w:hAnsi="Arial" w:cs="Arial"/>
        </w:rPr>
        <w:t xml:space="preserve"> </w:t>
      </w:r>
      <w:hyperlink r:id="rId17" w:history="1">
        <w:r w:rsidRPr="00667218">
          <w:rPr>
            <w:rStyle w:val="Hyperlink"/>
            <w:rFonts w:ascii="Arial" w:hAnsi="Arial" w:cs="Arial"/>
          </w:rPr>
          <w:t>https://www.cambridge.org/core/elements/governance-and-leadership/9FBFA3C48A57CCB5B97F5899895D011D</w:t>
        </w:r>
      </w:hyperlink>
    </w:p>
    <w:p w14:paraId="763053A5" w14:textId="070F56C3" w:rsidR="00A5390F" w:rsidRDefault="00A5390F" w:rsidP="00FE3C56">
      <w:pPr>
        <w:spacing w:line="360" w:lineRule="auto"/>
        <w:jc w:val="both"/>
        <w:rPr>
          <w:rFonts w:ascii="Arial" w:hAnsi="Arial" w:cs="Arial"/>
        </w:rPr>
      </w:pPr>
      <w:r w:rsidRPr="00A5390F">
        <w:rPr>
          <w:rFonts w:ascii="Arial" w:hAnsi="Arial" w:cs="Arial"/>
        </w:rPr>
        <w:t>Gill, R., 2019. </w:t>
      </w:r>
      <w:r w:rsidRPr="00A5390F">
        <w:rPr>
          <w:rFonts w:ascii="Arial" w:hAnsi="Arial" w:cs="Arial"/>
          <w:i/>
          <w:iCs/>
        </w:rPr>
        <w:t>The Response of the US Health Care System to the Institute of Medicine's Report on Medical Errors</w:t>
      </w:r>
      <w:r w:rsidRPr="00A5390F">
        <w:rPr>
          <w:rFonts w:ascii="Arial" w:hAnsi="Arial" w:cs="Arial"/>
        </w:rPr>
        <w:t> (Master's thesis, California State University, Bakersfield).</w:t>
      </w:r>
      <w:r>
        <w:rPr>
          <w:rFonts w:ascii="Arial" w:hAnsi="Arial" w:cs="Arial"/>
        </w:rPr>
        <w:t xml:space="preserve"> </w:t>
      </w:r>
      <w:hyperlink r:id="rId18" w:history="1">
        <w:r w:rsidRPr="00667218">
          <w:rPr>
            <w:rStyle w:val="Hyperlink"/>
            <w:rFonts w:ascii="Arial" w:hAnsi="Arial" w:cs="Arial"/>
          </w:rPr>
          <w:t>https://search.proquest.com/openview/0cd74078e17d4cd47cf9f35a99c9ca9d/1?pq-origsite=gscholar&amp;cbl=18750&amp;diss=y</w:t>
        </w:r>
      </w:hyperlink>
    </w:p>
    <w:p w14:paraId="39EF2D88" w14:textId="3FFA08CC" w:rsidR="006A5B2D" w:rsidRPr="00582CB6" w:rsidRDefault="006A5B2D" w:rsidP="00FE3C56">
      <w:pPr>
        <w:spacing w:line="360" w:lineRule="auto"/>
        <w:jc w:val="both"/>
        <w:rPr>
          <w:rFonts w:ascii="Arial" w:hAnsi="Arial" w:cs="Arial"/>
          <w:lang w:val="en-US"/>
        </w:rPr>
      </w:pPr>
      <w:r w:rsidRPr="006A5B2D">
        <w:rPr>
          <w:rFonts w:ascii="Arial" w:hAnsi="Arial" w:cs="Arial"/>
        </w:rPr>
        <w:t xml:space="preserve">Haskell, H., </w:t>
      </w:r>
      <w:r w:rsidR="00760818">
        <w:rPr>
          <w:rFonts w:ascii="Arial" w:hAnsi="Arial" w:cs="Arial"/>
        </w:rPr>
        <w:t>(</w:t>
      </w:r>
      <w:r w:rsidRPr="006A5B2D">
        <w:rPr>
          <w:rFonts w:ascii="Arial" w:hAnsi="Arial" w:cs="Arial"/>
        </w:rPr>
        <w:t>2025</w:t>
      </w:r>
      <w:r w:rsidR="00760818">
        <w:rPr>
          <w:rFonts w:ascii="Arial" w:hAnsi="Arial" w:cs="Arial"/>
        </w:rPr>
        <w:t>)</w:t>
      </w:r>
      <w:r w:rsidRPr="006A5B2D">
        <w:rPr>
          <w:rFonts w:ascii="Arial" w:hAnsi="Arial" w:cs="Arial"/>
        </w:rPr>
        <w:t>. The voice that is missing: the evolving role of patients and families in escalation of care. In </w:t>
      </w:r>
      <w:r w:rsidRPr="006A5B2D">
        <w:rPr>
          <w:rFonts w:ascii="Arial" w:hAnsi="Arial" w:cs="Arial"/>
          <w:i/>
          <w:iCs/>
        </w:rPr>
        <w:t>Textbook of Rapid Response Systems: Concept and Implementation</w:t>
      </w:r>
      <w:r w:rsidRPr="006A5B2D">
        <w:rPr>
          <w:rFonts w:ascii="Arial" w:hAnsi="Arial" w:cs="Arial"/>
        </w:rPr>
        <w:t xml:space="preserve"> (pp. 3-14). </w:t>
      </w:r>
      <w:r w:rsidRPr="006B6266">
        <w:rPr>
          <w:rFonts w:ascii="Arial" w:hAnsi="Arial" w:cs="Arial"/>
          <w:lang w:val="en-US"/>
        </w:rPr>
        <w:t xml:space="preserve">Cham: Springer Nature Switzerland. </w:t>
      </w:r>
      <w:hyperlink r:id="rId19" w:history="1">
        <w:r w:rsidRPr="00582CB6">
          <w:rPr>
            <w:rStyle w:val="Hyperlink"/>
            <w:rFonts w:ascii="Arial" w:hAnsi="Arial" w:cs="Arial"/>
            <w:lang w:val="en-US"/>
          </w:rPr>
          <w:t>https://link.springer.com/chapter/10.1007/978-3-031-67951-3_1</w:t>
        </w:r>
      </w:hyperlink>
    </w:p>
    <w:p w14:paraId="5DA605C5" w14:textId="58F72AB6" w:rsidR="00CA7DC4" w:rsidRDefault="00CA7DC4" w:rsidP="00FE3C56">
      <w:pPr>
        <w:spacing w:line="360" w:lineRule="auto"/>
        <w:jc w:val="both"/>
        <w:rPr>
          <w:rFonts w:ascii="Arial" w:hAnsi="Arial" w:cs="Arial"/>
        </w:rPr>
      </w:pPr>
      <w:r w:rsidRPr="00CA7DC4">
        <w:rPr>
          <w:rFonts w:ascii="Arial" w:hAnsi="Arial" w:cs="Arial"/>
        </w:rPr>
        <w:t xml:space="preserve">Hibbert, P.D., Stewart, S., Wiles, L.K., Braithwaite, J., Runciman, W.B. and Thomas, M.J., </w:t>
      </w:r>
      <w:r w:rsidR="00E33891">
        <w:rPr>
          <w:rFonts w:ascii="Arial" w:hAnsi="Arial" w:cs="Arial"/>
        </w:rPr>
        <w:t>(</w:t>
      </w:r>
      <w:r w:rsidRPr="00CA7DC4">
        <w:rPr>
          <w:rFonts w:ascii="Arial" w:hAnsi="Arial" w:cs="Arial"/>
        </w:rPr>
        <w:t>2023</w:t>
      </w:r>
      <w:r w:rsidR="00E33891">
        <w:rPr>
          <w:rFonts w:ascii="Arial" w:hAnsi="Arial" w:cs="Arial"/>
        </w:rPr>
        <w:t>)</w:t>
      </w:r>
      <w:r w:rsidRPr="00CA7DC4">
        <w:rPr>
          <w:rFonts w:ascii="Arial" w:hAnsi="Arial" w:cs="Arial"/>
        </w:rPr>
        <w:t>. Improving patient safety governance and systems through learning from successes and failures: qualitative surveys and interviews with international experts. </w:t>
      </w:r>
      <w:r w:rsidRPr="00CA7DC4">
        <w:rPr>
          <w:rFonts w:ascii="Arial" w:hAnsi="Arial" w:cs="Arial"/>
          <w:i/>
          <w:iCs/>
        </w:rPr>
        <w:t>International Journal for Quality in Health Care</w:t>
      </w:r>
      <w:r w:rsidRPr="00CA7DC4">
        <w:rPr>
          <w:rFonts w:ascii="Arial" w:hAnsi="Arial" w:cs="Arial"/>
        </w:rPr>
        <w:t>, </w:t>
      </w:r>
      <w:r w:rsidRPr="00CA7DC4">
        <w:rPr>
          <w:rFonts w:ascii="Arial" w:hAnsi="Arial" w:cs="Arial"/>
          <w:i/>
          <w:iCs/>
        </w:rPr>
        <w:t>35</w:t>
      </w:r>
      <w:r w:rsidRPr="00CA7DC4">
        <w:rPr>
          <w:rFonts w:ascii="Arial" w:hAnsi="Arial" w:cs="Arial"/>
        </w:rPr>
        <w:t>(4), p.0.</w:t>
      </w:r>
      <w:r>
        <w:rPr>
          <w:rFonts w:ascii="Arial" w:hAnsi="Arial" w:cs="Arial"/>
        </w:rPr>
        <w:t xml:space="preserve"> </w:t>
      </w:r>
      <w:hyperlink r:id="rId20" w:history="1">
        <w:r w:rsidRPr="00667218">
          <w:rPr>
            <w:rStyle w:val="Hyperlink"/>
            <w:rFonts w:ascii="Arial" w:hAnsi="Arial" w:cs="Arial"/>
          </w:rPr>
          <w:t>https://pmc.ncbi.nlm.nih.gov/articles/PMC10656601/</w:t>
        </w:r>
      </w:hyperlink>
    </w:p>
    <w:p w14:paraId="57EE93DE" w14:textId="5DB0AB3C" w:rsidR="00582CB6" w:rsidRDefault="00582CB6" w:rsidP="00FE3C56">
      <w:pPr>
        <w:spacing w:line="360" w:lineRule="auto"/>
        <w:jc w:val="both"/>
        <w:rPr>
          <w:rFonts w:ascii="Arial" w:hAnsi="Arial" w:cs="Arial"/>
          <w:lang w:val="en-US"/>
        </w:rPr>
      </w:pPr>
      <w:r w:rsidRPr="00582CB6">
        <w:rPr>
          <w:rFonts w:ascii="Arial" w:hAnsi="Arial" w:cs="Arial"/>
        </w:rPr>
        <w:t xml:space="preserve">Johnson, J.K., Haskell, H. and Barach, P., </w:t>
      </w:r>
      <w:r w:rsidR="00760818">
        <w:rPr>
          <w:rFonts w:ascii="Arial" w:hAnsi="Arial" w:cs="Arial"/>
        </w:rPr>
        <w:t>(</w:t>
      </w:r>
      <w:r w:rsidRPr="00582CB6">
        <w:rPr>
          <w:rFonts w:ascii="Arial" w:hAnsi="Arial" w:cs="Arial"/>
        </w:rPr>
        <w:t>2016</w:t>
      </w:r>
      <w:r w:rsidR="00760818">
        <w:rPr>
          <w:rFonts w:ascii="Arial" w:hAnsi="Arial" w:cs="Arial"/>
        </w:rPr>
        <w:t>)</w:t>
      </w:r>
      <w:r w:rsidRPr="00582CB6">
        <w:rPr>
          <w:rFonts w:ascii="Arial" w:hAnsi="Arial" w:cs="Arial"/>
        </w:rPr>
        <w:t>. </w:t>
      </w:r>
      <w:r w:rsidRPr="00582CB6">
        <w:rPr>
          <w:rFonts w:ascii="Arial" w:hAnsi="Arial" w:cs="Arial"/>
          <w:i/>
          <w:iCs/>
        </w:rPr>
        <w:t>Case studies in patient safety: foundations for core competencies</w:t>
      </w:r>
      <w:r w:rsidRPr="00582CB6">
        <w:rPr>
          <w:rFonts w:ascii="Arial" w:hAnsi="Arial" w:cs="Arial"/>
        </w:rPr>
        <w:t>. Jones &amp; Bartlett Publishers.</w:t>
      </w:r>
      <w:r w:rsidRPr="00582CB6">
        <w:rPr>
          <w:rFonts w:ascii="Arial" w:hAnsi="Arial" w:cs="Arial"/>
          <w:lang w:val="en-US"/>
        </w:rPr>
        <w:t xml:space="preserve"> </w:t>
      </w:r>
      <w:hyperlink r:id="rId21" w:history="1">
        <w:r w:rsidRPr="00265D7A">
          <w:rPr>
            <w:rStyle w:val="Hyperlink"/>
            <w:rFonts w:ascii="Arial" w:hAnsi="Arial" w:cs="Arial"/>
            <w:lang w:val="en-US"/>
          </w:rPr>
          <w:t>https://books.google.com/books?hl=en&amp;lr=&amp;id=Y4qHCgAAQBAJ&amp;oi=fnd&amp;pg=PR1&amp;dq=the+Lewis+Blackman+case+reflect+broader+patient+safety+challenges+experienced+across+healthcare+systems+worldwide&amp;ots=4Sk_ZHU6sa&amp;sig=dY9G6DMybS_eeD7V0dDS-pf892M</w:t>
        </w:r>
      </w:hyperlink>
    </w:p>
    <w:p w14:paraId="41BEB15A" w14:textId="1A92C199" w:rsidR="00A72309" w:rsidRDefault="00A72309" w:rsidP="00FE3C56">
      <w:pPr>
        <w:spacing w:line="360" w:lineRule="auto"/>
        <w:jc w:val="both"/>
        <w:rPr>
          <w:rFonts w:ascii="Arial" w:hAnsi="Arial" w:cs="Arial"/>
        </w:rPr>
      </w:pPr>
      <w:r w:rsidRPr="00A72309">
        <w:rPr>
          <w:rFonts w:ascii="Arial" w:hAnsi="Arial" w:cs="Arial"/>
        </w:rPr>
        <w:t xml:space="preserve">Khan, S.N., Rehman, H.M. and Javaid, M., </w:t>
      </w:r>
      <w:r w:rsidR="00E33891">
        <w:rPr>
          <w:rFonts w:ascii="Arial" w:hAnsi="Arial" w:cs="Arial"/>
        </w:rPr>
        <w:t>(</w:t>
      </w:r>
      <w:r w:rsidRPr="00A72309">
        <w:rPr>
          <w:rFonts w:ascii="Arial" w:hAnsi="Arial" w:cs="Arial"/>
        </w:rPr>
        <w:t>2022</w:t>
      </w:r>
      <w:r w:rsidR="00E33891">
        <w:rPr>
          <w:rFonts w:ascii="Arial" w:hAnsi="Arial" w:cs="Arial"/>
        </w:rPr>
        <w:t>)</w:t>
      </w:r>
      <w:r w:rsidRPr="00A72309">
        <w:rPr>
          <w:rFonts w:ascii="Arial" w:hAnsi="Arial" w:cs="Arial"/>
        </w:rPr>
        <w:t>. Overview of leadership approaches. In </w:t>
      </w:r>
      <w:r w:rsidRPr="00A72309">
        <w:rPr>
          <w:rFonts w:ascii="Arial" w:hAnsi="Arial" w:cs="Arial"/>
          <w:i/>
          <w:iCs/>
        </w:rPr>
        <w:t>Leadership and followership in an organizational change context</w:t>
      </w:r>
      <w:r w:rsidRPr="00A72309">
        <w:rPr>
          <w:rFonts w:ascii="Arial" w:hAnsi="Arial" w:cs="Arial"/>
        </w:rPr>
        <w:t> (pp. 1-21). IGI Global Scientific Publishing.</w:t>
      </w:r>
      <w:r>
        <w:rPr>
          <w:rFonts w:ascii="Arial" w:hAnsi="Arial" w:cs="Arial"/>
        </w:rPr>
        <w:t xml:space="preserve"> </w:t>
      </w:r>
      <w:hyperlink r:id="rId22" w:history="1">
        <w:r w:rsidRPr="00667218">
          <w:rPr>
            <w:rStyle w:val="Hyperlink"/>
            <w:rFonts w:ascii="Arial" w:hAnsi="Arial" w:cs="Arial"/>
          </w:rPr>
          <w:t>https://www.igi-global.com/chapter/overview-of-leadership-approaches/287639</w:t>
        </w:r>
      </w:hyperlink>
    </w:p>
    <w:p w14:paraId="63E68EEA" w14:textId="75B6F5F4" w:rsidR="003A44C9" w:rsidRDefault="003A44C9" w:rsidP="00FE3C56">
      <w:pPr>
        <w:spacing w:line="360" w:lineRule="auto"/>
        <w:jc w:val="both"/>
        <w:rPr>
          <w:rFonts w:ascii="Arial" w:hAnsi="Arial" w:cs="Arial"/>
        </w:rPr>
      </w:pPr>
      <w:r w:rsidRPr="003A44C9">
        <w:rPr>
          <w:rFonts w:ascii="Arial" w:hAnsi="Arial" w:cs="Arial"/>
        </w:rPr>
        <w:t xml:space="preserve">Ledlow, G.J.R., Bosworth, M. and Maryon, T., </w:t>
      </w:r>
      <w:r w:rsidR="00E33891">
        <w:rPr>
          <w:rFonts w:ascii="Arial" w:hAnsi="Arial" w:cs="Arial"/>
        </w:rPr>
        <w:t>(</w:t>
      </w:r>
      <w:r w:rsidRPr="003A44C9">
        <w:rPr>
          <w:rFonts w:ascii="Arial" w:hAnsi="Arial" w:cs="Arial"/>
        </w:rPr>
        <w:t>2023</w:t>
      </w:r>
      <w:r w:rsidR="00E33891">
        <w:rPr>
          <w:rFonts w:ascii="Arial" w:hAnsi="Arial" w:cs="Arial"/>
        </w:rPr>
        <w:t>)</w:t>
      </w:r>
      <w:r w:rsidRPr="003A44C9">
        <w:rPr>
          <w:rFonts w:ascii="Arial" w:hAnsi="Arial" w:cs="Arial"/>
        </w:rPr>
        <w:t>. </w:t>
      </w:r>
      <w:r w:rsidRPr="003A44C9">
        <w:rPr>
          <w:rFonts w:ascii="Arial" w:hAnsi="Arial" w:cs="Arial"/>
          <w:i/>
          <w:iCs/>
        </w:rPr>
        <w:t>Leadership for health professionals: Theory, skills, and applications</w:t>
      </w:r>
      <w:r w:rsidRPr="003A44C9">
        <w:rPr>
          <w:rFonts w:ascii="Arial" w:hAnsi="Arial" w:cs="Arial"/>
        </w:rPr>
        <w:t>. Jones &amp; Bartlett Learning.</w:t>
      </w:r>
      <w:r>
        <w:rPr>
          <w:rFonts w:ascii="Arial" w:hAnsi="Arial" w:cs="Arial"/>
        </w:rPr>
        <w:t xml:space="preserve"> </w:t>
      </w:r>
      <w:hyperlink r:id="rId23" w:history="1">
        <w:r w:rsidRPr="00667218">
          <w:rPr>
            <w:rStyle w:val="Hyperlink"/>
            <w:rFonts w:ascii="Arial" w:hAnsi="Arial" w:cs="Arial"/>
          </w:rPr>
          <w:t>https://books.google.com/books?hl=en&amp;lr=&amp;id=SI6kEAAAQBAJ&amp;oi=fnd&amp;pg=PP1&amp;dq=Leadership+Theories+and+Application+to+the+healthcare:+Transformational+,+Transactional+,+Situational,+Reactive+Versus+Proactive+Leadership+,+Emotional+Intelligence+and+Distributed+Leadership&amp;ots=hXILiLwWnW&amp;sig=9Hu-tIznl5lEEc3Y9YReUUvBMDY</w:t>
        </w:r>
      </w:hyperlink>
    </w:p>
    <w:p w14:paraId="0D27E888" w14:textId="22357BDF" w:rsidR="00DA118C" w:rsidRDefault="00DA118C" w:rsidP="00FE3C56">
      <w:pPr>
        <w:spacing w:line="360" w:lineRule="auto"/>
        <w:jc w:val="both"/>
        <w:rPr>
          <w:rFonts w:ascii="Arial" w:hAnsi="Arial" w:cs="Arial"/>
        </w:rPr>
      </w:pPr>
      <w:r w:rsidRPr="00DA118C">
        <w:rPr>
          <w:rFonts w:ascii="Arial" w:hAnsi="Arial" w:cs="Arial"/>
        </w:rPr>
        <w:t xml:space="preserve">Mac DC, M.J.R., </w:t>
      </w:r>
      <w:r w:rsidR="00E33891">
        <w:rPr>
          <w:rFonts w:ascii="Arial" w:hAnsi="Arial" w:cs="Arial"/>
        </w:rPr>
        <w:t>(</w:t>
      </w:r>
      <w:r w:rsidRPr="00DA118C">
        <w:rPr>
          <w:rFonts w:ascii="Arial" w:hAnsi="Arial" w:cs="Arial"/>
        </w:rPr>
        <w:t>2021</w:t>
      </w:r>
      <w:r w:rsidR="00E33891">
        <w:rPr>
          <w:rFonts w:ascii="Arial" w:hAnsi="Arial" w:cs="Arial"/>
        </w:rPr>
        <w:t>)</w:t>
      </w:r>
      <w:r w:rsidRPr="00DA118C">
        <w:rPr>
          <w:rFonts w:ascii="Arial" w:hAnsi="Arial" w:cs="Arial"/>
        </w:rPr>
        <w:t>. Hospital-Based Massage Therapy. </w:t>
      </w:r>
      <w:r w:rsidRPr="00DA118C">
        <w:rPr>
          <w:rFonts w:ascii="Arial" w:hAnsi="Arial" w:cs="Arial"/>
          <w:i/>
          <w:iCs/>
        </w:rPr>
        <w:t>Mosby's Pathology for Massage Professionals-E-Book: Mosby's Pathology for Massage Professionals-E-Book</w:t>
      </w:r>
      <w:r w:rsidRPr="00DA118C">
        <w:rPr>
          <w:rFonts w:ascii="Arial" w:hAnsi="Arial" w:cs="Arial"/>
        </w:rPr>
        <w:t>, p.465.</w:t>
      </w:r>
      <w:r>
        <w:rPr>
          <w:rFonts w:ascii="Arial" w:hAnsi="Arial" w:cs="Arial"/>
        </w:rPr>
        <w:t xml:space="preserve"> </w:t>
      </w:r>
      <w:hyperlink r:id="rId24" w:history="1">
        <w:r w:rsidRPr="00667218">
          <w:rPr>
            <w:rStyle w:val="Hyperlink"/>
            <w:rFonts w:ascii="Arial" w:hAnsi="Arial" w:cs="Arial"/>
          </w:rPr>
          <w:t>https://books.google.com/books?hl=en&amp;lr=&amp;id=KT1BEAAAQBAJ&amp;oi=fnd&amp;pg=PA465&amp;dq=The+Lewis+Blackman+story+is+a+case+of+medical+malpractice+and+negligence+Centralised+Decision-Making+in+the+Case&amp;ots=5DFO4l3vqh&amp;sig=WsffN3yBbGXz8dx0k5mgetPNnGw</w:t>
        </w:r>
      </w:hyperlink>
    </w:p>
    <w:p w14:paraId="177FE517" w14:textId="3C0E56E2" w:rsidR="00F42BC5" w:rsidRDefault="00F42BC5" w:rsidP="00FE3C56">
      <w:pPr>
        <w:spacing w:line="360" w:lineRule="auto"/>
        <w:jc w:val="both"/>
        <w:rPr>
          <w:rFonts w:ascii="Arial" w:hAnsi="Arial" w:cs="Arial"/>
        </w:rPr>
      </w:pPr>
      <w:r w:rsidRPr="00582CB6">
        <w:rPr>
          <w:rFonts w:ascii="Arial" w:hAnsi="Arial" w:cs="Arial"/>
          <w:lang w:val="en-US"/>
        </w:rPr>
        <w:t xml:space="preserve">Moody-Williams, J., </w:t>
      </w:r>
      <w:r w:rsidR="00760818">
        <w:rPr>
          <w:rFonts w:ascii="Arial" w:hAnsi="Arial" w:cs="Arial"/>
          <w:lang w:val="en-US"/>
        </w:rPr>
        <w:t>(</w:t>
      </w:r>
      <w:r w:rsidRPr="00582CB6">
        <w:rPr>
          <w:rFonts w:ascii="Arial" w:hAnsi="Arial" w:cs="Arial"/>
          <w:lang w:val="en-US"/>
        </w:rPr>
        <w:t>2020</w:t>
      </w:r>
      <w:r w:rsidR="00760818">
        <w:rPr>
          <w:rFonts w:ascii="Arial" w:hAnsi="Arial" w:cs="Arial"/>
          <w:lang w:val="en-US"/>
        </w:rPr>
        <w:t>)</w:t>
      </w:r>
      <w:r w:rsidRPr="00582CB6">
        <w:rPr>
          <w:rFonts w:ascii="Arial" w:hAnsi="Arial" w:cs="Arial"/>
          <w:lang w:val="en-US"/>
        </w:rPr>
        <w:t>. </w:t>
      </w:r>
      <w:r w:rsidRPr="00F42BC5">
        <w:rPr>
          <w:rFonts w:ascii="Arial" w:hAnsi="Arial" w:cs="Arial"/>
          <w:i/>
          <w:iCs/>
        </w:rPr>
        <w:t>A journey towards patient-centered healthcare quality</w:t>
      </w:r>
      <w:r w:rsidRPr="00F42BC5">
        <w:rPr>
          <w:rFonts w:ascii="Arial" w:hAnsi="Arial" w:cs="Arial"/>
        </w:rPr>
        <w:t>. Springer International Publishing.</w:t>
      </w:r>
      <w:r>
        <w:rPr>
          <w:rFonts w:ascii="Arial" w:hAnsi="Arial" w:cs="Arial"/>
        </w:rPr>
        <w:t xml:space="preserve"> </w:t>
      </w:r>
      <w:hyperlink r:id="rId25" w:history="1">
        <w:r w:rsidRPr="00265D7A">
          <w:rPr>
            <w:rStyle w:val="Hyperlink"/>
            <w:rFonts w:ascii="Arial" w:hAnsi="Arial" w:cs="Arial"/>
          </w:rPr>
          <w:t>https://link.springer.com/content/pdf/10.1007/978-3-030-26311-9.pdf</w:t>
        </w:r>
      </w:hyperlink>
    </w:p>
    <w:p w14:paraId="1C4F3B49" w14:textId="711B1AD4" w:rsidR="00CC6334" w:rsidRDefault="00CC6334" w:rsidP="00FE3C56">
      <w:pPr>
        <w:spacing w:line="360" w:lineRule="auto"/>
        <w:jc w:val="both"/>
        <w:rPr>
          <w:rFonts w:ascii="Arial" w:hAnsi="Arial" w:cs="Arial"/>
        </w:rPr>
      </w:pPr>
      <w:r w:rsidRPr="00CC6334">
        <w:rPr>
          <w:rFonts w:ascii="Arial" w:hAnsi="Arial" w:cs="Arial"/>
        </w:rPr>
        <w:t xml:space="preserve">Mosadeghrad, A.M. and Woldemichael, A., </w:t>
      </w:r>
      <w:r w:rsidR="00E33891">
        <w:rPr>
          <w:rFonts w:ascii="Arial" w:hAnsi="Arial" w:cs="Arial"/>
        </w:rPr>
        <w:t>(</w:t>
      </w:r>
      <w:r w:rsidRPr="00CC6334">
        <w:rPr>
          <w:rFonts w:ascii="Arial" w:hAnsi="Arial" w:cs="Arial"/>
        </w:rPr>
        <w:t>2017</w:t>
      </w:r>
      <w:r w:rsidR="00E33891">
        <w:rPr>
          <w:rFonts w:ascii="Arial" w:hAnsi="Arial" w:cs="Arial"/>
        </w:rPr>
        <w:t>)</w:t>
      </w:r>
      <w:r w:rsidRPr="00CC6334">
        <w:rPr>
          <w:rFonts w:ascii="Arial" w:hAnsi="Arial" w:cs="Arial"/>
        </w:rPr>
        <w:t>. Application of quality management in promoting patient safety and preventing medical errors. In </w:t>
      </w:r>
      <w:r w:rsidRPr="00CC6334">
        <w:rPr>
          <w:rFonts w:ascii="Arial" w:hAnsi="Arial" w:cs="Arial"/>
          <w:i/>
          <w:iCs/>
        </w:rPr>
        <w:t>Impact of medical errors and malpractice on health economics, quality, and patient safety</w:t>
      </w:r>
      <w:r w:rsidRPr="00CC6334">
        <w:rPr>
          <w:rFonts w:ascii="Arial" w:hAnsi="Arial" w:cs="Arial"/>
        </w:rPr>
        <w:t> (pp. 91-112). IGI Global Scientific Publishing.</w:t>
      </w:r>
      <w:r>
        <w:rPr>
          <w:rFonts w:ascii="Arial" w:hAnsi="Arial" w:cs="Arial"/>
        </w:rPr>
        <w:t xml:space="preserve"> </w:t>
      </w:r>
      <w:hyperlink r:id="rId26" w:history="1">
        <w:r w:rsidRPr="00667218">
          <w:rPr>
            <w:rStyle w:val="Hyperlink"/>
            <w:rFonts w:ascii="Arial" w:hAnsi="Arial" w:cs="Arial"/>
          </w:rPr>
          <w:t>https://www.igi-global.com/chapter/application-of-quality-management-in-promoting-patient-safety-and-preventing-medical-errors/176496</w:t>
        </w:r>
      </w:hyperlink>
    </w:p>
    <w:p w14:paraId="785A66B8" w14:textId="0D374498" w:rsidR="00183CA1" w:rsidRDefault="00183CA1" w:rsidP="00FE3C56">
      <w:pPr>
        <w:spacing w:line="360" w:lineRule="auto"/>
        <w:jc w:val="both"/>
        <w:rPr>
          <w:rFonts w:ascii="Arial" w:hAnsi="Arial" w:cs="Arial"/>
        </w:rPr>
      </w:pPr>
      <w:r w:rsidRPr="00183CA1">
        <w:rPr>
          <w:rFonts w:ascii="Arial" w:hAnsi="Arial" w:cs="Arial"/>
        </w:rPr>
        <w:t xml:space="preserve">Mushta, J., L. Rush, K. and Andersen, E., </w:t>
      </w:r>
      <w:r w:rsidR="00760818">
        <w:rPr>
          <w:rFonts w:ascii="Arial" w:hAnsi="Arial" w:cs="Arial"/>
        </w:rPr>
        <w:t>(</w:t>
      </w:r>
      <w:r w:rsidRPr="00183CA1">
        <w:rPr>
          <w:rFonts w:ascii="Arial" w:hAnsi="Arial" w:cs="Arial"/>
        </w:rPr>
        <w:t>2018</w:t>
      </w:r>
      <w:r w:rsidR="00760818">
        <w:rPr>
          <w:rFonts w:ascii="Arial" w:hAnsi="Arial" w:cs="Arial"/>
        </w:rPr>
        <w:t>)</w:t>
      </w:r>
      <w:r w:rsidRPr="00183CA1">
        <w:rPr>
          <w:rFonts w:ascii="Arial" w:hAnsi="Arial" w:cs="Arial"/>
        </w:rPr>
        <w:t>, January. Failure to rescue as a nurse</w:t>
      </w:r>
      <w:r w:rsidRPr="00183CA1">
        <w:rPr>
          <w:rFonts w:ascii="Cambria Math" w:hAnsi="Cambria Math" w:cs="Cambria Math"/>
        </w:rPr>
        <w:t>‐</w:t>
      </w:r>
      <w:r w:rsidRPr="00183CA1">
        <w:rPr>
          <w:rFonts w:ascii="Arial" w:hAnsi="Arial" w:cs="Arial"/>
        </w:rPr>
        <w:t>sensitive indicator. In </w:t>
      </w:r>
      <w:r w:rsidRPr="00183CA1">
        <w:rPr>
          <w:rFonts w:ascii="Arial" w:hAnsi="Arial" w:cs="Arial"/>
          <w:i/>
          <w:iCs/>
        </w:rPr>
        <w:t>Nursing forum</w:t>
      </w:r>
      <w:r w:rsidRPr="00183CA1">
        <w:rPr>
          <w:rFonts w:ascii="Arial" w:hAnsi="Arial" w:cs="Arial"/>
        </w:rPr>
        <w:t> (Vol. 53, No. 1, pp. 84-92).</w:t>
      </w:r>
      <w:r>
        <w:rPr>
          <w:rFonts w:ascii="Arial" w:hAnsi="Arial" w:cs="Arial"/>
        </w:rPr>
        <w:t xml:space="preserve"> </w:t>
      </w:r>
      <w:hyperlink r:id="rId27" w:history="1">
        <w:r w:rsidRPr="00265D7A">
          <w:rPr>
            <w:rStyle w:val="Hyperlink"/>
            <w:rFonts w:ascii="Arial" w:hAnsi="Arial" w:cs="Arial"/>
          </w:rPr>
          <w:t>https://onlinelibrary.wiley.com/doi/abs/10.1111/nuf.12215</w:t>
        </w:r>
      </w:hyperlink>
    </w:p>
    <w:p w14:paraId="47FB22DC" w14:textId="540508A0" w:rsidR="00A72309" w:rsidRDefault="00A72309" w:rsidP="00FE3C56">
      <w:pPr>
        <w:spacing w:line="360" w:lineRule="auto"/>
        <w:jc w:val="both"/>
        <w:rPr>
          <w:rFonts w:ascii="Arial" w:hAnsi="Arial" w:cs="Arial"/>
        </w:rPr>
      </w:pPr>
      <w:r w:rsidRPr="00A72309">
        <w:rPr>
          <w:rFonts w:ascii="Arial" w:hAnsi="Arial" w:cs="Arial"/>
        </w:rPr>
        <w:t xml:space="preserve">Nanjundeswaraswamy, T.S., Nagesh, P., Bharath, S. and Vignesh, K.M., </w:t>
      </w:r>
      <w:r w:rsidR="00E33891">
        <w:rPr>
          <w:rFonts w:ascii="Arial" w:hAnsi="Arial" w:cs="Arial"/>
        </w:rPr>
        <w:t>(</w:t>
      </w:r>
      <w:r w:rsidRPr="00A72309">
        <w:rPr>
          <w:rFonts w:ascii="Arial" w:hAnsi="Arial" w:cs="Arial"/>
        </w:rPr>
        <w:t>2024</w:t>
      </w:r>
      <w:r w:rsidR="00E33891">
        <w:rPr>
          <w:rFonts w:ascii="Arial" w:hAnsi="Arial" w:cs="Arial"/>
        </w:rPr>
        <w:t>)</w:t>
      </w:r>
      <w:r w:rsidRPr="00A72309">
        <w:rPr>
          <w:rFonts w:ascii="Arial" w:hAnsi="Arial" w:cs="Arial"/>
        </w:rPr>
        <w:t>. Leadership theories and styles-a systematic literature review and narrative synthesis. </w:t>
      </w:r>
      <w:r w:rsidRPr="00A72309">
        <w:rPr>
          <w:rFonts w:ascii="Arial" w:hAnsi="Arial" w:cs="Arial"/>
          <w:i/>
          <w:iCs/>
        </w:rPr>
        <w:t>Human Resources Management and Services</w:t>
      </w:r>
      <w:r w:rsidRPr="00A72309">
        <w:rPr>
          <w:rFonts w:ascii="Arial" w:hAnsi="Arial" w:cs="Arial"/>
        </w:rPr>
        <w:t>, </w:t>
      </w:r>
      <w:r w:rsidRPr="00A72309">
        <w:rPr>
          <w:rFonts w:ascii="Arial" w:hAnsi="Arial" w:cs="Arial"/>
          <w:i/>
          <w:iCs/>
        </w:rPr>
        <w:t>6</w:t>
      </w:r>
      <w:r w:rsidRPr="00A72309">
        <w:rPr>
          <w:rFonts w:ascii="Arial" w:hAnsi="Arial" w:cs="Arial"/>
        </w:rPr>
        <w:t>(3), pp.3477-3477.</w:t>
      </w:r>
      <w:r>
        <w:rPr>
          <w:rFonts w:ascii="Arial" w:hAnsi="Arial" w:cs="Arial"/>
        </w:rPr>
        <w:t xml:space="preserve"> </w:t>
      </w:r>
      <w:hyperlink r:id="rId28" w:history="1">
        <w:r w:rsidRPr="00667218">
          <w:rPr>
            <w:rStyle w:val="Hyperlink"/>
            <w:rFonts w:ascii="Arial" w:hAnsi="Arial" w:cs="Arial"/>
          </w:rPr>
          <w:t>https://www.academia.edu/download/117087082/3315.pdf</w:t>
        </w:r>
      </w:hyperlink>
    </w:p>
    <w:p w14:paraId="153E4A6A" w14:textId="4BB05D61" w:rsidR="003B69F7" w:rsidRDefault="003B69F7" w:rsidP="00FE3C56">
      <w:pPr>
        <w:spacing w:line="360" w:lineRule="auto"/>
        <w:jc w:val="both"/>
        <w:rPr>
          <w:rFonts w:ascii="Arial" w:hAnsi="Arial" w:cs="Arial"/>
        </w:rPr>
      </w:pPr>
      <w:r w:rsidRPr="003B69F7">
        <w:rPr>
          <w:rFonts w:ascii="Arial" w:hAnsi="Arial" w:cs="Arial"/>
        </w:rPr>
        <w:t xml:space="preserve">Ngoya Ntumba, M., Edwards, E., Haegdorens, F., Walsh, P. and Subbe, C.P., </w:t>
      </w:r>
      <w:r w:rsidR="00760818">
        <w:rPr>
          <w:rFonts w:ascii="Arial" w:hAnsi="Arial" w:cs="Arial"/>
        </w:rPr>
        <w:t>(</w:t>
      </w:r>
      <w:r w:rsidRPr="003B69F7">
        <w:rPr>
          <w:rFonts w:ascii="Arial" w:hAnsi="Arial" w:cs="Arial"/>
        </w:rPr>
        <w:t>2023</w:t>
      </w:r>
      <w:r w:rsidR="00760818">
        <w:rPr>
          <w:rFonts w:ascii="Arial" w:hAnsi="Arial" w:cs="Arial"/>
        </w:rPr>
        <w:t>)</w:t>
      </w:r>
      <w:r w:rsidRPr="003B69F7">
        <w:rPr>
          <w:rFonts w:ascii="Arial" w:hAnsi="Arial" w:cs="Arial"/>
        </w:rPr>
        <w:t>. Patient activated rapid response–the ‘999’for patients admitted to hospital. </w:t>
      </w:r>
      <w:r w:rsidRPr="003B69F7">
        <w:rPr>
          <w:rFonts w:ascii="Arial" w:hAnsi="Arial" w:cs="Arial"/>
          <w:i/>
          <w:iCs/>
        </w:rPr>
        <w:t>Journal of Patient Safety and Risk Management</w:t>
      </w:r>
      <w:r w:rsidRPr="003B69F7">
        <w:rPr>
          <w:rFonts w:ascii="Arial" w:hAnsi="Arial" w:cs="Arial"/>
        </w:rPr>
        <w:t>, </w:t>
      </w:r>
      <w:r w:rsidRPr="003B69F7">
        <w:rPr>
          <w:rFonts w:ascii="Arial" w:hAnsi="Arial" w:cs="Arial"/>
          <w:i/>
          <w:iCs/>
        </w:rPr>
        <w:t>28</w:t>
      </w:r>
      <w:r w:rsidRPr="003B69F7">
        <w:rPr>
          <w:rFonts w:ascii="Arial" w:hAnsi="Arial" w:cs="Arial"/>
        </w:rPr>
        <w:t>(4), pp.156-162.</w:t>
      </w:r>
      <w:r>
        <w:rPr>
          <w:rFonts w:ascii="Arial" w:hAnsi="Arial" w:cs="Arial"/>
        </w:rPr>
        <w:t xml:space="preserve"> </w:t>
      </w:r>
      <w:hyperlink r:id="rId29" w:history="1">
        <w:r w:rsidRPr="00265D7A">
          <w:rPr>
            <w:rStyle w:val="Hyperlink"/>
            <w:rFonts w:ascii="Arial" w:hAnsi="Arial" w:cs="Arial"/>
          </w:rPr>
          <w:t>https://journals.sagepub.com/doi/abs/10.1177/25160435231199338</w:t>
        </w:r>
      </w:hyperlink>
    </w:p>
    <w:p w14:paraId="3CCED9E1" w14:textId="19E474AF" w:rsidR="00A91EC7" w:rsidRDefault="00A91EC7" w:rsidP="00FE3C56">
      <w:pPr>
        <w:spacing w:line="360" w:lineRule="auto"/>
        <w:jc w:val="both"/>
        <w:rPr>
          <w:rFonts w:ascii="Arial" w:hAnsi="Arial" w:cs="Arial"/>
        </w:rPr>
      </w:pPr>
      <w:r w:rsidRPr="00A91EC7">
        <w:rPr>
          <w:rFonts w:ascii="Arial" w:hAnsi="Arial" w:cs="Arial"/>
        </w:rPr>
        <w:t xml:space="preserve">Ohrling, M., Tolf, S., Solberg-Carlsson, K. and Brommels, M., </w:t>
      </w:r>
      <w:r w:rsidR="00E33891">
        <w:rPr>
          <w:rFonts w:ascii="Arial" w:hAnsi="Arial" w:cs="Arial"/>
        </w:rPr>
        <w:t>(</w:t>
      </w:r>
      <w:r w:rsidRPr="00A91EC7">
        <w:rPr>
          <w:rFonts w:ascii="Arial" w:hAnsi="Arial" w:cs="Arial"/>
        </w:rPr>
        <w:t>2021</w:t>
      </w:r>
      <w:r w:rsidR="00E33891">
        <w:rPr>
          <w:rFonts w:ascii="Arial" w:hAnsi="Arial" w:cs="Arial"/>
        </w:rPr>
        <w:t>)</w:t>
      </w:r>
      <w:r w:rsidRPr="00A91EC7">
        <w:rPr>
          <w:rFonts w:ascii="Arial" w:hAnsi="Arial" w:cs="Arial"/>
        </w:rPr>
        <w:t>. That's how it should work: the perceptions of a senior management on the value of decentralisation in a service delivery organisation. </w:t>
      </w:r>
      <w:r w:rsidRPr="00A91EC7">
        <w:rPr>
          <w:rFonts w:ascii="Arial" w:hAnsi="Arial" w:cs="Arial"/>
          <w:i/>
          <w:iCs/>
        </w:rPr>
        <w:t>Journal of Health Organization and Management</w:t>
      </w:r>
      <w:r w:rsidRPr="00A91EC7">
        <w:rPr>
          <w:rFonts w:ascii="Arial" w:hAnsi="Arial" w:cs="Arial"/>
        </w:rPr>
        <w:t>, </w:t>
      </w:r>
      <w:r w:rsidRPr="00A91EC7">
        <w:rPr>
          <w:rFonts w:ascii="Arial" w:hAnsi="Arial" w:cs="Arial"/>
          <w:i/>
          <w:iCs/>
        </w:rPr>
        <w:t>35</w:t>
      </w:r>
      <w:r w:rsidRPr="00A91EC7">
        <w:rPr>
          <w:rFonts w:ascii="Arial" w:hAnsi="Arial" w:cs="Arial"/>
        </w:rPr>
        <w:t>(5), pp.596-613.</w:t>
      </w:r>
      <w:r>
        <w:rPr>
          <w:rFonts w:ascii="Arial" w:hAnsi="Arial" w:cs="Arial"/>
        </w:rPr>
        <w:t xml:space="preserve"> </w:t>
      </w:r>
      <w:hyperlink r:id="rId30" w:history="1">
        <w:r w:rsidRPr="00667218">
          <w:rPr>
            <w:rStyle w:val="Hyperlink"/>
            <w:rFonts w:ascii="Arial" w:hAnsi="Arial" w:cs="Arial"/>
          </w:rPr>
          <w:t>https://www.emerald.com/jhom/article/35/5/596/214580</w:t>
        </w:r>
      </w:hyperlink>
    </w:p>
    <w:p w14:paraId="21A7E620" w14:textId="4B667A3F" w:rsidR="007552C8" w:rsidRDefault="007552C8" w:rsidP="00FE3C56">
      <w:pPr>
        <w:spacing w:line="360" w:lineRule="auto"/>
        <w:jc w:val="both"/>
        <w:rPr>
          <w:rFonts w:ascii="Arial" w:hAnsi="Arial" w:cs="Arial"/>
        </w:rPr>
      </w:pPr>
      <w:r w:rsidRPr="007552C8">
        <w:rPr>
          <w:rFonts w:ascii="Arial" w:hAnsi="Arial" w:cs="Arial"/>
        </w:rPr>
        <w:t xml:space="preserve">Ramsay, A.I., Ramsay, A., Tomini, S.M., Tomini, S., Gandhi, S., Fulop, N.J., Fulop, N. and Morris, S., </w:t>
      </w:r>
      <w:r w:rsidR="00E33891">
        <w:rPr>
          <w:rFonts w:ascii="Arial" w:hAnsi="Arial" w:cs="Arial"/>
        </w:rPr>
        <w:t>(</w:t>
      </w:r>
      <w:r w:rsidRPr="007552C8">
        <w:rPr>
          <w:rFonts w:ascii="Arial" w:hAnsi="Arial" w:cs="Arial"/>
        </w:rPr>
        <w:t>2025</w:t>
      </w:r>
      <w:r w:rsidR="00E33891">
        <w:rPr>
          <w:rFonts w:ascii="Arial" w:hAnsi="Arial" w:cs="Arial"/>
        </w:rPr>
        <w:t>)</w:t>
      </w:r>
      <w:r w:rsidRPr="007552C8">
        <w:rPr>
          <w:rFonts w:ascii="Arial" w:hAnsi="Arial" w:cs="Arial"/>
        </w:rPr>
        <w:t>. Centralisation of specialised healthcare services: a scoping review of definitions, types, and impact on outcomes. </w:t>
      </w:r>
      <w:r w:rsidRPr="007552C8">
        <w:rPr>
          <w:rFonts w:ascii="Arial" w:hAnsi="Arial" w:cs="Arial"/>
          <w:i/>
          <w:iCs/>
        </w:rPr>
        <w:t>Health and Social Care Delivery Research</w:t>
      </w:r>
      <w:r w:rsidRPr="007552C8">
        <w:rPr>
          <w:rFonts w:ascii="Arial" w:hAnsi="Arial" w:cs="Arial"/>
        </w:rPr>
        <w:t>, (43), pp.1-70.</w:t>
      </w:r>
      <w:r w:rsidR="00F52004">
        <w:rPr>
          <w:rFonts w:ascii="Arial" w:hAnsi="Arial" w:cs="Arial"/>
        </w:rPr>
        <w:t xml:space="preserve"> </w:t>
      </w:r>
      <w:hyperlink r:id="rId31" w:history="1">
        <w:r w:rsidR="00F52004" w:rsidRPr="00667218">
          <w:rPr>
            <w:rStyle w:val="Hyperlink"/>
            <w:rFonts w:ascii="Arial" w:hAnsi="Arial" w:cs="Arial"/>
          </w:rPr>
          <w:t>https://journalslibrary.nihr.ac.uk/hsdr/published-articles/REMD6648</w:t>
        </w:r>
      </w:hyperlink>
    </w:p>
    <w:p w14:paraId="6728DA40" w14:textId="2166AD06" w:rsidR="006F3E50" w:rsidRDefault="006F3E50" w:rsidP="00FE3C56">
      <w:pPr>
        <w:spacing w:line="360" w:lineRule="auto"/>
        <w:jc w:val="both"/>
        <w:rPr>
          <w:rFonts w:ascii="Arial" w:hAnsi="Arial" w:cs="Arial"/>
        </w:rPr>
      </w:pPr>
      <w:r w:rsidRPr="006F3E50">
        <w:rPr>
          <w:rFonts w:ascii="Arial" w:hAnsi="Arial" w:cs="Arial"/>
        </w:rPr>
        <w:t xml:space="preserve">Rai, S. and Devaiah, V.H., </w:t>
      </w:r>
      <w:r w:rsidR="00E33891">
        <w:rPr>
          <w:rFonts w:ascii="Arial" w:hAnsi="Arial" w:cs="Arial"/>
        </w:rPr>
        <w:t>(</w:t>
      </w:r>
      <w:r w:rsidRPr="006F3E50">
        <w:rPr>
          <w:rFonts w:ascii="Arial" w:hAnsi="Arial" w:cs="Arial"/>
        </w:rPr>
        <w:t>2019</w:t>
      </w:r>
      <w:r w:rsidR="00E33891">
        <w:rPr>
          <w:rFonts w:ascii="Arial" w:hAnsi="Arial" w:cs="Arial"/>
        </w:rPr>
        <w:t>)</w:t>
      </w:r>
      <w:r w:rsidRPr="006F3E50">
        <w:rPr>
          <w:rFonts w:ascii="Arial" w:hAnsi="Arial" w:cs="Arial"/>
        </w:rPr>
        <w:t>. The need for healthcare reforms: is no-fault liability the solution to medical malpractice?. </w:t>
      </w:r>
      <w:r w:rsidRPr="006F3E50">
        <w:rPr>
          <w:rFonts w:ascii="Arial" w:hAnsi="Arial" w:cs="Arial"/>
          <w:i/>
          <w:iCs/>
        </w:rPr>
        <w:t>Asian Bioethics Review</w:t>
      </w:r>
      <w:r w:rsidRPr="006F3E50">
        <w:rPr>
          <w:rFonts w:ascii="Arial" w:hAnsi="Arial" w:cs="Arial"/>
        </w:rPr>
        <w:t>, </w:t>
      </w:r>
      <w:r w:rsidRPr="006F3E50">
        <w:rPr>
          <w:rFonts w:ascii="Arial" w:hAnsi="Arial" w:cs="Arial"/>
          <w:i/>
          <w:iCs/>
        </w:rPr>
        <w:t>11</w:t>
      </w:r>
      <w:r w:rsidRPr="006F3E50">
        <w:rPr>
          <w:rFonts w:ascii="Arial" w:hAnsi="Arial" w:cs="Arial"/>
        </w:rPr>
        <w:t>(1), pp.81-93.</w:t>
      </w:r>
      <w:r>
        <w:rPr>
          <w:rFonts w:ascii="Arial" w:hAnsi="Arial" w:cs="Arial"/>
        </w:rPr>
        <w:t xml:space="preserve"> </w:t>
      </w:r>
      <w:hyperlink r:id="rId32" w:history="1">
        <w:r w:rsidRPr="00265D7A">
          <w:rPr>
            <w:rStyle w:val="Hyperlink"/>
            <w:rFonts w:ascii="Arial" w:hAnsi="Arial" w:cs="Arial"/>
          </w:rPr>
          <w:t>https://link.springer.com/article/10.1007/s41649-019-00081-7</w:t>
        </w:r>
      </w:hyperlink>
    </w:p>
    <w:p w14:paraId="1BE8DBDA" w14:textId="0EAD6280" w:rsidR="00862A69" w:rsidRPr="00542C9A" w:rsidRDefault="00862A69" w:rsidP="00FE3C56">
      <w:pPr>
        <w:spacing w:line="360" w:lineRule="auto"/>
        <w:jc w:val="both"/>
        <w:rPr>
          <w:rFonts w:ascii="Arial" w:hAnsi="Arial" w:cs="Arial"/>
          <w:lang w:val="en-US"/>
        </w:rPr>
      </w:pPr>
      <w:r w:rsidRPr="00862A69">
        <w:rPr>
          <w:rFonts w:ascii="Arial" w:hAnsi="Arial" w:cs="Arial"/>
        </w:rPr>
        <w:t xml:space="preserve">Rotulo, A., Paraskevopoulou, C. and Kondilis, E., </w:t>
      </w:r>
      <w:r w:rsidR="00E33891">
        <w:rPr>
          <w:rFonts w:ascii="Arial" w:hAnsi="Arial" w:cs="Arial"/>
        </w:rPr>
        <w:t>(</w:t>
      </w:r>
      <w:r w:rsidRPr="00862A69">
        <w:rPr>
          <w:rFonts w:ascii="Arial" w:hAnsi="Arial" w:cs="Arial"/>
        </w:rPr>
        <w:t>2023</w:t>
      </w:r>
      <w:r w:rsidR="00E33891">
        <w:rPr>
          <w:rFonts w:ascii="Arial" w:hAnsi="Arial" w:cs="Arial"/>
        </w:rPr>
        <w:t>)</w:t>
      </w:r>
      <w:r w:rsidRPr="00862A69">
        <w:rPr>
          <w:rFonts w:ascii="Arial" w:hAnsi="Arial" w:cs="Arial"/>
        </w:rPr>
        <w:t>. The dangers of fiscal decentralisation in healthcare: a response to the recent commentaries. </w:t>
      </w:r>
      <w:r w:rsidRPr="00862A69">
        <w:rPr>
          <w:rFonts w:ascii="Arial" w:hAnsi="Arial" w:cs="Arial"/>
          <w:i/>
          <w:iCs/>
        </w:rPr>
        <w:t>International Journal of Health Policy and Management</w:t>
      </w:r>
      <w:r w:rsidRPr="00862A69">
        <w:rPr>
          <w:rFonts w:ascii="Arial" w:hAnsi="Arial" w:cs="Arial"/>
        </w:rPr>
        <w:t>, </w:t>
      </w:r>
      <w:r w:rsidRPr="00862A69">
        <w:rPr>
          <w:rFonts w:ascii="Arial" w:hAnsi="Arial" w:cs="Arial"/>
          <w:i/>
          <w:iCs/>
        </w:rPr>
        <w:t>12</w:t>
      </w:r>
      <w:r w:rsidRPr="00862A69">
        <w:rPr>
          <w:rFonts w:ascii="Arial" w:hAnsi="Arial" w:cs="Arial"/>
        </w:rPr>
        <w:t>, p.8266.</w:t>
      </w:r>
      <w:r w:rsidRPr="00862A69">
        <w:rPr>
          <w:rFonts w:ascii="Arial" w:hAnsi="Arial" w:cs="Arial"/>
          <w:lang w:val="en-US"/>
        </w:rPr>
        <w:t xml:space="preserve"> </w:t>
      </w:r>
      <w:hyperlink r:id="rId33" w:history="1">
        <w:r w:rsidRPr="00542C9A">
          <w:rPr>
            <w:rStyle w:val="Hyperlink"/>
            <w:rFonts w:ascii="Arial" w:hAnsi="Arial" w:cs="Arial"/>
            <w:lang w:val="en-US"/>
          </w:rPr>
          <w:t>https://pmc.ncbi.nlm.nih.gov/articles/PMC10590225/</w:t>
        </w:r>
      </w:hyperlink>
    </w:p>
    <w:p w14:paraId="105658C6" w14:textId="55B7825B" w:rsidR="00A91EC7" w:rsidRDefault="00A91EC7" w:rsidP="00FE3C56">
      <w:pPr>
        <w:spacing w:line="360" w:lineRule="auto"/>
        <w:jc w:val="both"/>
        <w:rPr>
          <w:rFonts w:ascii="Arial" w:hAnsi="Arial" w:cs="Arial"/>
        </w:rPr>
      </w:pPr>
      <w:r w:rsidRPr="00A91EC7">
        <w:rPr>
          <w:rFonts w:ascii="Arial" w:hAnsi="Arial" w:cs="Arial"/>
          <w:lang w:val="sv-SE"/>
        </w:rPr>
        <w:t xml:space="preserve">Sapkota, S., Dhakal, A., Rushton, S., van Teijlingen, E., Marahatta, S.B., Balen, J. and Lee, A.C., </w:t>
      </w:r>
      <w:r w:rsidR="00E33891">
        <w:rPr>
          <w:rFonts w:ascii="Arial" w:hAnsi="Arial" w:cs="Arial"/>
          <w:lang w:val="sv-SE"/>
        </w:rPr>
        <w:t>(</w:t>
      </w:r>
      <w:r w:rsidRPr="00A91EC7">
        <w:rPr>
          <w:rFonts w:ascii="Arial" w:hAnsi="Arial" w:cs="Arial"/>
          <w:lang w:val="sv-SE"/>
        </w:rPr>
        <w:t>2023</w:t>
      </w:r>
      <w:r w:rsidR="00E33891">
        <w:rPr>
          <w:rFonts w:ascii="Arial" w:hAnsi="Arial" w:cs="Arial"/>
          <w:lang w:val="sv-SE"/>
        </w:rPr>
        <w:t>)</w:t>
      </w:r>
      <w:r w:rsidRPr="00A91EC7">
        <w:rPr>
          <w:rFonts w:ascii="Arial" w:hAnsi="Arial" w:cs="Arial"/>
          <w:lang w:val="sv-SE"/>
        </w:rPr>
        <w:t xml:space="preserve">. </w:t>
      </w:r>
      <w:r w:rsidRPr="00A91EC7">
        <w:rPr>
          <w:rFonts w:ascii="Arial" w:hAnsi="Arial" w:cs="Arial"/>
        </w:rPr>
        <w:t>The impact of decentralisation on health systems: a systematic review of reviews. </w:t>
      </w:r>
      <w:r w:rsidRPr="00A91EC7">
        <w:rPr>
          <w:rFonts w:ascii="Arial" w:hAnsi="Arial" w:cs="Arial"/>
          <w:i/>
          <w:iCs/>
        </w:rPr>
        <w:t>BMJ Global Health</w:t>
      </w:r>
      <w:r w:rsidRPr="00A91EC7">
        <w:rPr>
          <w:rFonts w:ascii="Arial" w:hAnsi="Arial" w:cs="Arial"/>
        </w:rPr>
        <w:t>, </w:t>
      </w:r>
      <w:r w:rsidRPr="00A91EC7">
        <w:rPr>
          <w:rFonts w:ascii="Arial" w:hAnsi="Arial" w:cs="Arial"/>
          <w:i/>
          <w:iCs/>
        </w:rPr>
        <w:t>8</w:t>
      </w:r>
      <w:r w:rsidRPr="00A91EC7">
        <w:rPr>
          <w:rFonts w:ascii="Arial" w:hAnsi="Arial" w:cs="Arial"/>
        </w:rPr>
        <w:t>(12), p.e013317.</w:t>
      </w:r>
      <w:r>
        <w:rPr>
          <w:rFonts w:ascii="Arial" w:hAnsi="Arial" w:cs="Arial"/>
        </w:rPr>
        <w:t xml:space="preserve"> </w:t>
      </w:r>
      <w:hyperlink r:id="rId34" w:history="1">
        <w:r w:rsidRPr="00667218">
          <w:rPr>
            <w:rStyle w:val="Hyperlink"/>
            <w:rFonts w:ascii="Arial" w:hAnsi="Arial" w:cs="Arial"/>
          </w:rPr>
          <w:t>https://gh.bmj.com/content/8/12/e013317</w:t>
        </w:r>
      </w:hyperlink>
    </w:p>
    <w:p w14:paraId="207CF0AD" w14:textId="2856A674" w:rsidR="0081248B" w:rsidRDefault="0081248B" w:rsidP="00FE3C56">
      <w:pPr>
        <w:spacing w:line="360" w:lineRule="auto"/>
        <w:jc w:val="both"/>
        <w:rPr>
          <w:rFonts w:ascii="Arial" w:hAnsi="Arial" w:cs="Arial"/>
        </w:rPr>
      </w:pPr>
      <w:r w:rsidRPr="0081248B">
        <w:rPr>
          <w:rFonts w:ascii="Arial" w:hAnsi="Arial" w:cs="Arial"/>
        </w:rPr>
        <w:t xml:space="preserve">Singh, P.K., Singh, S., Kumari, V. and Tiwari, M., </w:t>
      </w:r>
      <w:r w:rsidR="00E33891">
        <w:rPr>
          <w:rFonts w:ascii="Arial" w:hAnsi="Arial" w:cs="Arial"/>
        </w:rPr>
        <w:t>(</w:t>
      </w:r>
      <w:r w:rsidRPr="0081248B">
        <w:rPr>
          <w:rFonts w:ascii="Arial" w:hAnsi="Arial" w:cs="Arial"/>
        </w:rPr>
        <w:t>2024</w:t>
      </w:r>
      <w:r w:rsidR="00E33891">
        <w:rPr>
          <w:rFonts w:ascii="Arial" w:hAnsi="Arial" w:cs="Arial"/>
        </w:rPr>
        <w:t>)</w:t>
      </w:r>
      <w:r w:rsidRPr="0081248B">
        <w:rPr>
          <w:rFonts w:ascii="Arial" w:hAnsi="Arial" w:cs="Arial"/>
        </w:rPr>
        <w:t>. Navigating healthcare leadership: Theories, challenges, and practical insights for the future. </w:t>
      </w:r>
      <w:r w:rsidRPr="0081248B">
        <w:rPr>
          <w:rFonts w:ascii="Arial" w:hAnsi="Arial" w:cs="Arial"/>
          <w:i/>
          <w:iCs/>
        </w:rPr>
        <w:t>Journal of postgraduate medicine</w:t>
      </w:r>
      <w:r w:rsidRPr="0081248B">
        <w:rPr>
          <w:rFonts w:ascii="Arial" w:hAnsi="Arial" w:cs="Arial"/>
        </w:rPr>
        <w:t>, </w:t>
      </w:r>
      <w:r w:rsidRPr="0081248B">
        <w:rPr>
          <w:rFonts w:ascii="Arial" w:hAnsi="Arial" w:cs="Arial"/>
          <w:i/>
          <w:iCs/>
        </w:rPr>
        <w:t>70</w:t>
      </w:r>
      <w:r w:rsidRPr="0081248B">
        <w:rPr>
          <w:rFonts w:ascii="Arial" w:hAnsi="Arial" w:cs="Arial"/>
        </w:rPr>
        <w:t>(4), p.232.</w:t>
      </w:r>
      <w:r>
        <w:rPr>
          <w:rFonts w:ascii="Arial" w:hAnsi="Arial" w:cs="Arial"/>
        </w:rPr>
        <w:t xml:space="preserve"> </w:t>
      </w:r>
      <w:hyperlink r:id="rId35" w:history="1">
        <w:r w:rsidRPr="00667218">
          <w:rPr>
            <w:rStyle w:val="Hyperlink"/>
            <w:rFonts w:ascii="Arial" w:hAnsi="Arial" w:cs="Arial"/>
          </w:rPr>
          <w:t>https://pmc.ncbi.nlm.nih.gov/articles/PMC11722716/</w:t>
        </w:r>
      </w:hyperlink>
    </w:p>
    <w:p w14:paraId="34FE79F8" w14:textId="6CC05F4E" w:rsidR="00F52004" w:rsidRDefault="00F52004" w:rsidP="00FE3C56">
      <w:pPr>
        <w:spacing w:line="360" w:lineRule="auto"/>
        <w:jc w:val="both"/>
        <w:rPr>
          <w:rFonts w:ascii="Arial" w:hAnsi="Arial" w:cs="Arial"/>
        </w:rPr>
      </w:pPr>
      <w:r w:rsidRPr="00F52004">
        <w:rPr>
          <w:rFonts w:ascii="Arial" w:hAnsi="Arial" w:cs="Arial"/>
        </w:rPr>
        <w:t xml:space="preserve">Shishkin, S., Sheiman, I., Potapchik, E., Vlassov, V. and Sazhina, S., </w:t>
      </w:r>
      <w:r w:rsidR="00E33891">
        <w:rPr>
          <w:rFonts w:ascii="Arial" w:hAnsi="Arial" w:cs="Arial"/>
        </w:rPr>
        <w:t>(</w:t>
      </w:r>
      <w:r w:rsidRPr="00F52004">
        <w:rPr>
          <w:rFonts w:ascii="Arial" w:hAnsi="Arial" w:cs="Arial"/>
        </w:rPr>
        <w:t>2025</w:t>
      </w:r>
      <w:r w:rsidR="00E33891">
        <w:rPr>
          <w:rFonts w:ascii="Arial" w:hAnsi="Arial" w:cs="Arial"/>
        </w:rPr>
        <w:t>)</w:t>
      </w:r>
      <w:r w:rsidRPr="00F52004">
        <w:rPr>
          <w:rFonts w:ascii="Arial" w:hAnsi="Arial" w:cs="Arial"/>
        </w:rPr>
        <w:t>. The impact of centralization on structural changes in healthcare: when it works. </w:t>
      </w:r>
      <w:r w:rsidRPr="00F52004">
        <w:rPr>
          <w:rFonts w:ascii="Arial" w:hAnsi="Arial" w:cs="Arial"/>
          <w:i/>
          <w:iCs/>
        </w:rPr>
        <w:t>Frontiers in Health Services</w:t>
      </w:r>
      <w:r w:rsidRPr="00F52004">
        <w:rPr>
          <w:rFonts w:ascii="Arial" w:hAnsi="Arial" w:cs="Arial"/>
        </w:rPr>
        <w:t>, </w:t>
      </w:r>
      <w:r w:rsidRPr="00F52004">
        <w:rPr>
          <w:rFonts w:ascii="Arial" w:hAnsi="Arial" w:cs="Arial"/>
          <w:i/>
          <w:iCs/>
        </w:rPr>
        <w:t>5</w:t>
      </w:r>
      <w:r w:rsidRPr="00F52004">
        <w:rPr>
          <w:rFonts w:ascii="Arial" w:hAnsi="Arial" w:cs="Arial"/>
        </w:rPr>
        <w:t>, p.1484225.</w:t>
      </w:r>
      <w:r>
        <w:rPr>
          <w:rFonts w:ascii="Arial" w:hAnsi="Arial" w:cs="Arial"/>
        </w:rPr>
        <w:t xml:space="preserve"> </w:t>
      </w:r>
      <w:hyperlink r:id="rId36" w:history="1">
        <w:r w:rsidRPr="00667218">
          <w:rPr>
            <w:rStyle w:val="Hyperlink"/>
            <w:rFonts w:ascii="Arial" w:hAnsi="Arial" w:cs="Arial"/>
          </w:rPr>
          <w:t>https://www.frontiersin.org/journals/health-services/articles/10.3389/frhs.2025.1484225/full</w:t>
        </w:r>
      </w:hyperlink>
    </w:p>
    <w:p w14:paraId="77D40258" w14:textId="67DFC172" w:rsidR="001E789A" w:rsidRDefault="001E789A" w:rsidP="00FE3C56">
      <w:pPr>
        <w:spacing w:line="360" w:lineRule="auto"/>
        <w:jc w:val="both"/>
        <w:rPr>
          <w:rFonts w:ascii="Arial" w:hAnsi="Arial" w:cs="Arial"/>
        </w:rPr>
      </w:pPr>
      <w:r w:rsidRPr="001E789A">
        <w:rPr>
          <w:rFonts w:ascii="Arial" w:hAnsi="Arial" w:cs="Arial"/>
        </w:rPr>
        <w:t xml:space="preserve">Smith, T., Fowler-Davis, S., Nancarrow, S., Ariss, S.M.B. and Enderby, P., </w:t>
      </w:r>
      <w:r w:rsidR="00E33891">
        <w:rPr>
          <w:rFonts w:ascii="Arial" w:hAnsi="Arial" w:cs="Arial"/>
        </w:rPr>
        <w:t>(</w:t>
      </w:r>
      <w:r w:rsidRPr="001E789A">
        <w:rPr>
          <w:rFonts w:ascii="Arial" w:hAnsi="Arial" w:cs="Arial"/>
        </w:rPr>
        <w:t>2018</w:t>
      </w:r>
      <w:r w:rsidR="00E33891">
        <w:rPr>
          <w:rFonts w:ascii="Arial" w:hAnsi="Arial" w:cs="Arial"/>
        </w:rPr>
        <w:t>)</w:t>
      </w:r>
      <w:r w:rsidRPr="001E789A">
        <w:rPr>
          <w:rFonts w:ascii="Arial" w:hAnsi="Arial" w:cs="Arial"/>
        </w:rPr>
        <w:t>. Leadership in interprofessional health and social care teams: a literature review. </w:t>
      </w:r>
      <w:r w:rsidRPr="001E789A">
        <w:rPr>
          <w:rFonts w:ascii="Arial" w:hAnsi="Arial" w:cs="Arial"/>
          <w:i/>
          <w:iCs/>
        </w:rPr>
        <w:t>Leadership in health services</w:t>
      </w:r>
      <w:r w:rsidRPr="001E789A">
        <w:rPr>
          <w:rFonts w:ascii="Arial" w:hAnsi="Arial" w:cs="Arial"/>
        </w:rPr>
        <w:t>, </w:t>
      </w:r>
      <w:r w:rsidRPr="001E789A">
        <w:rPr>
          <w:rFonts w:ascii="Arial" w:hAnsi="Arial" w:cs="Arial"/>
          <w:i/>
          <w:iCs/>
        </w:rPr>
        <w:t>31</w:t>
      </w:r>
      <w:r w:rsidRPr="001E789A">
        <w:rPr>
          <w:rFonts w:ascii="Arial" w:hAnsi="Arial" w:cs="Arial"/>
        </w:rPr>
        <w:t>(4), pp.452-467.</w:t>
      </w:r>
      <w:r>
        <w:rPr>
          <w:rFonts w:ascii="Arial" w:hAnsi="Arial" w:cs="Arial"/>
        </w:rPr>
        <w:t xml:space="preserve"> </w:t>
      </w:r>
      <w:hyperlink r:id="rId37" w:history="1">
        <w:r w:rsidRPr="00265D7A">
          <w:rPr>
            <w:rStyle w:val="Hyperlink"/>
            <w:rFonts w:ascii="Arial" w:hAnsi="Arial" w:cs="Arial"/>
          </w:rPr>
          <w:t>https://www.emerald.com/lhs/article/31/4/452/270988</w:t>
        </w:r>
      </w:hyperlink>
    </w:p>
    <w:p w14:paraId="10784968" w14:textId="29649FB4" w:rsidR="001A2EE5" w:rsidRDefault="001A2EE5" w:rsidP="00FE3C56">
      <w:pPr>
        <w:spacing w:line="360" w:lineRule="auto"/>
        <w:jc w:val="both"/>
        <w:rPr>
          <w:rFonts w:ascii="Arial" w:hAnsi="Arial" w:cs="Arial"/>
        </w:rPr>
      </w:pPr>
      <w:r w:rsidRPr="001A2EE5">
        <w:rPr>
          <w:rFonts w:ascii="Arial" w:hAnsi="Arial" w:cs="Arial"/>
        </w:rPr>
        <w:t xml:space="preserve">Stucky, C.H., Wymer, J.A. and House, S., </w:t>
      </w:r>
      <w:r w:rsidR="00E33891">
        <w:rPr>
          <w:rFonts w:ascii="Arial" w:hAnsi="Arial" w:cs="Arial"/>
        </w:rPr>
        <w:t>(</w:t>
      </w:r>
      <w:r w:rsidRPr="001A2EE5">
        <w:rPr>
          <w:rFonts w:ascii="Arial" w:hAnsi="Arial" w:cs="Arial"/>
        </w:rPr>
        <w:t>2022</w:t>
      </w:r>
      <w:r w:rsidR="00E33891">
        <w:rPr>
          <w:rFonts w:ascii="Arial" w:hAnsi="Arial" w:cs="Arial"/>
        </w:rPr>
        <w:t>)</w:t>
      </w:r>
      <w:r w:rsidRPr="001A2EE5">
        <w:rPr>
          <w:rFonts w:ascii="Arial" w:hAnsi="Arial" w:cs="Arial"/>
        </w:rPr>
        <w:t>. Nurse leaders: transforming interprofessional relationships to bridge healthcare quality and safety. </w:t>
      </w:r>
      <w:r w:rsidRPr="001A2EE5">
        <w:rPr>
          <w:rFonts w:ascii="Arial" w:hAnsi="Arial" w:cs="Arial"/>
          <w:i/>
          <w:iCs/>
        </w:rPr>
        <w:t>Nurse Leader</w:t>
      </w:r>
      <w:r w:rsidRPr="001A2EE5">
        <w:rPr>
          <w:rFonts w:ascii="Arial" w:hAnsi="Arial" w:cs="Arial"/>
        </w:rPr>
        <w:t>, </w:t>
      </w:r>
      <w:r w:rsidRPr="001A2EE5">
        <w:rPr>
          <w:rFonts w:ascii="Arial" w:hAnsi="Arial" w:cs="Arial"/>
          <w:i/>
          <w:iCs/>
        </w:rPr>
        <w:t>20</w:t>
      </w:r>
      <w:r w:rsidRPr="001A2EE5">
        <w:rPr>
          <w:rFonts w:ascii="Arial" w:hAnsi="Arial" w:cs="Arial"/>
        </w:rPr>
        <w:t>(4), pp.375-380.</w:t>
      </w:r>
      <w:r>
        <w:rPr>
          <w:rFonts w:ascii="Arial" w:hAnsi="Arial" w:cs="Arial"/>
        </w:rPr>
        <w:t xml:space="preserve"> </w:t>
      </w:r>
      <w:hyperlink r:id="rId38" w:history="1">
        <w:r w:rsidRPr="00265D7A">
          <w:rPr>
            <w:rStyle w:val="Hyperlink"/>
            <w:rFonts w:ascii="Arial" w:hAnsi="Arial" w:cs="Arial"/>
          </w:rPr>
          <w:t>https://www.sciencedirect.com/science/article/pii/S1541461221002731</w:t>
        </w:r>
      </w:hyperlink>
    </w:p>
    <w:p w14:paraId="196D3215" w14:textId="4B09D534" w:rsidR="0066431B" w:rsidRDefault="0066431B" w:rsidP="00FE3C56">
      <w:pPr>
        <w:spacing w:line="360" w:lineRule="auto"/>
        <w:jc w:val="both"/>
        <w:rPr>
          <w:rFonts w:ascii="Arial" w:hAnsi="Arial" w:cs="Arial"/>
        </w:rPr>
      </w:pPr>
      <w:r w:rsidRPr="0066431B">
        <w:rPr>
          <w:rFonts w:ascii="Arial" w:hAnsi="Arial" w:cs="Arial"/>
        </w:rPr>
        <w:t xml:space="preserve">Stanley, D., </w:t>
      </w:r>
      <w:r w:rsidR="00E33891">
        <w:rPr>
          <w:rFonts w:ascii="Arial" w:hAnsi="Arial" w:cs="Arial"/>
        </w:rPr>
        <w:t>(</w:t>
      </w:r>
      <w:r w:rsidRPr="0066431B">
        <w:rPr>
          <w:rFonts w:ascii="Arial" w:hAnsi="Arial" w:cs="Arial"/>
        </w:rPr>
        <w:t>2022</w:t>
      </w:r>
      <w:r w:rsidR="00E33891">
        <w:rPr>
          <w:rFonts w:ascii="Arial" w:hAnsi="Arial" w:cs="Arial"/>
        </w:rPr>
        <w:t>)</w:t>
      </w:r>
      <w:r w:rsidRPr="0066431B">
        <w:rPr>
          <w:rFonts w:ascii="Arial" w:hAnsi="Arial" w:cs="Arial"/>
        </w:rPr>
        <w:t>. Leadership theories and styles. </w:t>
      </w:r>
      <w:r w:rsidRPr="0066431B">
        <w:rPr>
          <w:rFonts w:ascii="Arial" w:hAnsi="Arial" w:cs="Arial"/>
          <w:i/>
          <w:iCs/>
        </w:rPr>
        <w:t>Clinical leadership in nursing and healthcare</w:t>
      </w:r>
      <w:r w:rsidRPr="0066431B">
        <w:rPr>
          <w:rFonts w:ascii="Arial" w:hAnsi="Arial" w:cs="Arial"/>
        </w:rPr>
        <w:t>, pp.31-60.</w:t>
      </w:r>
      <w:r>
        <w:rPr>
          <w:rFonts w:ascii="Arial" w:hAnsi="Arial" w:cs="Arial"/>
        </w:rPr>
        <w:t xml:space="preserve"> </w:t>
      </w:r>
      <w:hyperlink r:id="rId39" w:history="1">
        <w:r w:rsidRPr="00667218">
          <w:rPr>
            <w:rStyle w:val="Hyperlink"/>
            <w:rFonts w:ascii="Arial" w:hAnsi="Arial" w:cs="Arial"/>
          </w:rPr>
          <w:t>https://onlinelibrary.wiley.com/doi/abs/10.1002/9781119869375.ch2</w:t>
        </w:r>
      </w:hyperlink>
    </w:p>
    <w:p w14:paraId="6D3706B0" w14:textId="60ECE0D2" w:rsidR="00216EF8" w:rsidRDefault="00216EF8" w:rsidP="00FE3C56">
      <w:pPr>
        <w:spacing w:line="360" w:lineRule="auto"/>
        <w:jc w:val="both"/>
        <w:rPr>
          <w:rFonts w:ascii="Arial" w:hAnsi="Arial" w:cs="Arial"/>
        </w:rPr>
      </w:pPr>
      <w:r w:rsidRPr="00216EF8">
        <w:rPr>
          <w:rFonts w:ascii="Arial" w:hAnsi="Arial" w:cs="Arial"/>
        </w:rPr>
        <w:t xml:space="preserve">Taylor, M., </w:t>
      </w:r>
      <w:r w:rsidR="00E33891">
        <w:rPr>
          <w:rFonts w:ascii="Arial" w:hAnsi="Arial" w:cs="Arial"/>
        </w:rPr>
        <w:t>(</w:t>
      </w:r>
      <w:r w:rsidRPr="00216EF8">
        <w:rPr>
          <w:rFonts w:ascii="Arial" w:hAnsi="Arial" w:cs="Arial"/>
        </w:rPr>
        <w:t>2024</w:t>
      </w:r>
      <w:r w:rsidR="00E33891">
        <w:rPr>
          <w:rFonts w:ascii="Arial" w:hAnsi="Arial" w:cs="Arial"/>
        </w:rPr>
        <w:t>)</w:t>
      </w:r>
      <w:r w:rsidRPr="00216EF8">
        <w:rPr>
          <w:rFonts w:ascii="Arial" w:hAnsi="Arial" w:cs="Arial"/>
        </w:rPr>
        <w:t>. </w:t>
      </w:r>
      <w:r w:rsidRPr="00216EF8">
        <w:rPr>
          <w:rFonts w:ascii="Arial" w:hAnsi="Arial" w:cs="Arial"/>
          <w:i/>
          <w:iCs/>
        </w:rPr>
        <w:t>Hospital, Heal Thyself: One Brilliant Mathematician's Proven Plan for Saving Hospitals, Many Lives, and Billions of Dollars</w:t>
      </w:r>
      <w:r w:rsidRPr="00216EF8">
        <w:rPr>
          <w:rFonts w:ascii="Arial" w:hAnsi="Arial" w:cs="Arial"/>
        </w:rPr>
        <w:t>. John Wiley &amp; Sons.</w:t>
      </w:r>
      <w:r>
        <w:rPr>
          <w:rFonts w:ascii="Arial" w:hAnsi="Arial" w:cs="Arial"/>
        </w:rPr>
        <w:t xml:space="preserve"> </w:t>
      </w:r>
      <w:hyperlink r:id="rId40" w:history="1">
        <w:r w:rsidRPr="00265D7A">
          <w:rPr>
            <w:rStyle w:val="Hyperlink"/>
            <w:rFonts w:ascii="Arial" w:hAnsi="Arial" w:cs="Arial"/>
          </w:rPr>
          <w:t>https://books.google.com/books?hl=en&amp;lr=&amp;id=z93-EAAAQBAJ&amp;oi=fnd&amp;pg=PA1&amp;dq=The+Lewis+Blackman+Challenges+Affecting+Patient+Safety+Increasing+patient+complexity,+workforce+shortages,+heavy+clinical+workloads,+financial+constraints&amp;ots=6fKx07Qsv7&amp;sig=cDaIeZo4ucW9eNuxAz3jftNhtd8</w:t>
        </w:r>
      </w:hyperlink>
    </w:p>
    <w:p w14:paraId="6767583F" w14:textId="2EA714A1" w:rsidR="00FE24AD" w:rsidRDefault="001A0031" w:rsidP="00FE3C56">
      <w:pPr>
        <w:spacing w:line="360" w:lineRule="auto"/>
        <w:jc w:val="both"/>
        <w:rPr>
          <w:rFonts w:ascii="Arial" w:hAnsi="Arial" w:cs="Arial"/>
        </w:rPr>
      </w:pPr>
      <w:r w:rsidRPr="001A0031">
        <w:rPr>
          <w:rFonts w:ascii="Arial" w:hAnsi="Arial" w:cs="Arial"/>
        </w:rPr>
        <w:t xml:space="preserve">Taylor, J. and Staniszewska, S., </w:t>
      </w:r>
      <w:r w:rsidR="00E33891">
        <w:rPr>
          <w:rFonts w:ascii="Arial" w:hAnsi="Arial" w:cs="Arial"/>
        </w:rPr>
        <w:t>(</w:t>
      </w:r>
      <w:r w:rsidRPr="001A0031">
        <w:rPr>
          <w:rFonts w:ascii="Arial" w:hAnsi="Arial" w:cs="Arial"/>
        </w:rPr>
        <w:t>2023</w:t>
      </w:r>
      <w:r w:rsidR="00E33891">
        <w:rPr>
          <w:rFonts w:ascii="Arial" w:hAnsi="Arial" w:cs="Arial"/>
        </w:rPr>
        <w:t>)</w:t>
      </w:r>
      <w:r w:rsidRPr="001A0031">
        <w:rPr>
          <w:rFonts w:ascii="Arial" w:hAnsi="Arial" w:cs="Arial"/>
        </w:rPr>
        <w:t>. Leadership for patient-centred care. In </w:t>
      </w:r>
      <w:r w:rsidRPr="001A0031">
        <w:rPr>
          <w:rFonts w:ascii="Arial" w:hAnsi="Arial" w:cs="Arial"/>
          <w:i/>
          <w:iCs/>
        </w:rPr>
        <w:t>Research Handbook on Leadership in Healthcare</w:t>
      </w:r>
      <w:r w:rsidRPr="001A0031">
        <w:rPr>
          <w:rFonts w:ascii="Arial" w:hAnsi="Arial" w:cs="Arial"/>
        </w:rPr>
        <w:t> (pp. 351-366). Edward Elgar Publishing.</w:t>
      </w:r>
      <w:r>
        <w:rPr>
          <w:rFonts w:ascii="Arial" w:hAnsi="Arial" w:cs="Arial"/>
        </w:rPr>
        <w:t xml:space="preserve"> </w:t>
      </w:r>
      <w:hyperlink r:id="rId41" w:history="1">
        <w:r w:rsidRPr="00265D7A">
          <w:rPr>
            <w:rStyle w:val="Hyperlink"/>
            <w:rFonts w:ascii="Arial" w:hAnsi="Arial" w:cs="Arial"/>
          </w:rPr>
          <w:t>https://www.elgaronline.com/edcollchap/book/9781800886254/book-part-9781800886254-28.xml</w:t>
        </w:r>
      </w:hyperlink>
    </w:p>
    <w:p w14:paraId="7560BD0F" w14:textId="75D833D7" w:rsidR="001A0031" w:rsidRDefault="003443CC" w:rsidP="00FE3C56">
      <w:pPr>
        <w:spacing w:line="360" w:lineRule="auto"/>
        <w:jc w:val="both"/>
        <w:rPr>
          <w:rFonts w:ascii="Arial" w:hAnsi="Arial" w:cs="Arial"/>
        </w:rPr>
      </w:pPr>
      <w:r>
        <w:rPr>
          <w:rFonts w:ascii="Arial" w:hAnsi="Arial" w:cs="Arial"/>
        </w:rPr>
        <w:t xml:space="preserve">WHO (2023), </w:t>
      </w:r>
      <w:hyperlink r:id="rId42" w:history="1">
        <w:r w:rsidR="00542C9A" w:rsidRPr="007014DE">
          <w:rPr>
            <w:rStyle w:val="Hyperlink"/>
          </w:rPr>
          <w:t>https://www.who.int/news-room/fact-sheets/detail/patient-safety</w:t>
        </w:r>
      </w:hyperlink>
    </w:p>
    <w:p w14:paraId="7C4A450C" w14:textId="77777777" w:rsidR="00542C9A" w:rsidRDefault="00542C9A" w:rsidP="00FE3C56">
      <w:pPr>
        <w:spacing w:line="360" w:lineRule="auto"/>
        <w:jc w:val="both"/>
        <w:rPr>
          <w:rFonts w:ascii="Arial" w:hAnsi="Arial" w:cs="Arial"/>
        </w:rPr>
      </w:pPr>
    </w:p>
    <w:p w14:paraId="1FB59483" w14:textId="77777777" w:rsidR="003443CC" w:rsidRPr="001A0031" w:rsidRDefault="003443CC" w:rsidP="00FE3C56">
      <w:pPr>
        <w:spacing w:line="360" w:lineRule="auto"/>
        <w:jc w:val="both"/>
        <w:rPr>
          <w:rFonts w:ascii="Arial" w:hAnsi="Arial" w:cs="Arial"/>
        </w:rPr>
      </w:pPr>
    </w:p>
    <w:p w14:paraId="66ACDBFB" w14:textId="77777777" w:rsidR="00FE24AD" w:rsidRDefault="00FE24AD" w:rsidP="00FE3C56">
      <w:pPr>
        <w:spacing w:line="360" w:lineRule="auto"/>
        <w:jc w:val="both"/>
        <w:rPr>
          <w:rFonts w:ascii="Arial" w:hAnsi="Arial" w:cs="Arial"/>
          <w:lang w:val="en-US"/>
        </w:rPr>
      </w:pPr>
    </w:p>
    <w:p w14:paraId="1C3FE82A" w14:textId="77777777" w:rsidR="00FE24AD" w:rsidRDefault="00FE24AD" w:rsidP="00FE3C56">
      <w:pPr>
        <w:spacing w:line="360" w:lineRule="auto"/>
        <w:jc w:val="both"/>
        <w:rPr>
          <w:rFonts w:ascii="Arial" w:hAnsi="Arial" w:cs="Arial"/>
          <w:lang w:val="en-US"/>
        </w:rPr>
      </w:pPr>
    </w:p>
    <w:p w14:paraId="3A772698" w14:textId="77777777" w:rsidR="00FE24AD" w:rsidRDefault="00FE24AD" w:rsidP="00FE3C56">
      <w:pPr>
        <w:spacing w:line="360" w:lineRule="auto"/>
        <w:jc w:val="both"/>
        <w:rPr>
          <w:rFonts w:ascii="Arial" w:hAnsi="Arial" w:cs="Arial"/>
          <w:lang w:val="en-US"/>
        </w:rPr>
      </w:pPr>
    </w:p>
    <w:sectPr w:rsidR="00FE24AD" w:rsidSect="001E5CB8">
      <w:footerReference w:type="default" r:id="rId43"/>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0C7A3E" w14:textId="77777777" w:rsidR="003E49BB" w:rsidRDefault="003E49BB" w:rsidP="001E5CB8">
      <w:pPr>
        <w:spacing w:after="0" w:line="240" w:lineRule="auto"/>
      </w:pPr>
      <w:r>
        <w:separator/>
      </w:r>
    </w:p>
  </w:endnote>
  <w:endnote w:type="continuationSeparator" w:id="0">
    <w:p w14:paraId="0DEC328B" w14:textId="77777777" w:rsidR="003E49BB" w:rsidRDefault="003E49BB" w:rsidP="001E5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84075418"/>
      <w:docPartObj>
        <w:docPartGallery w:val="Page Numbers (Bottom of Page)"/>
        <w:docPartUnique/>
      </w:docPartObj>
    </w:sdtPr>
    <w:sdtEndPr/>
    <w:sdtContent>
      <w:p w14:paraId="0F4CB03F" w14:textId="2EE2EB98" w:rsidR="001E5CB8" w:rsidRDefault="001E5CB8">
        <w:pPr>
          <w:pStyle w:val="Footer"/>
          <w:jc w:val="center"/>
        </w:pPr>
        <w:r>
          <w:fldChar w:fldCharType="begin"/>
        </w:r>
        <w:r>
          <w:instrText>PAGE   \* MERGEFORMAT</w:instrText>
        </w:r>
        <w:r>
          <w:fldChar w:fldCharType="separate"/>
        </w:r>
        <w:r>
          <w:t>2</w:t>
        </w:r>
        <w:r>
          <w:fldChar w:fldCharType="end"/>
        </w:r>
      </w:p>
    </w:sdtContent>
  </w:sdt>
  <w:p w14:paraId="44CE16C0" w14:textId="77777777" w:rsidR="001E5CB8" w:rsidRDefault="001E5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4FD36B" w14:textId="77777777" w:rsidR="003E49BB" w:rsidRDefault="003E49BB" w:rsidP="001E5CB8">
      <w:pPr>
        <w:spacing w:after="0" w:line="240" w:lineRule="auto"/>
      </w:pPr>
      <w:r>
        <w:separator/>
      </w:r>
    </w:p>
  </w:footnote>
  <w:footnote w:type="continuationSeparator" w:id="0">
    <w:p w14:paraId="714F49A5" w14:textId="77777777" w:rsidR="003E49BB" w:rsidRDefault="003E49BB" w:rsidP="001E5CB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3C2"/>
    <w:rsid w:val="0002060D"/>
    <w:rsid w:val="000524AF"/>
    <w:rsid w:val="00072559"/>
    <w:rsid w:val="00086101"/>
    <w:rsid w:val="000A2EDB"/>
    <w:rsid w:val="000B34CE"/>
    <w:rsid w:val="000B3EA4"/>
    <w:rsid w:val="000C379C"/>
    <w:rsid w:val="000E49D8"/>
    <w:rsid w:val="000F545C"/>
    <w:rsid w:val="00107D20"/>
    <w:rsid w:val="00110B36"/>
    <w:rsid w:val="00115F6B"/>
    <w:rsid w:val="001175C5"/>
    <w:rsid w:val="001539D9"/>
    <w:rsid w:val="001767D3"/>
    <w:rsid w:val="00183CA1"/>
    <w:rsid w:val="00186F51"/>
    <w:rsid w:val="001A0031"/>
    <w:rsid w:val="001A2EE5"/>
    <w:rsid w:val="001C2ED4"/>
    <w:rsid w:val="001C62F7"/>
    <w:rsid w:val="001E5CB8"/>
    <w:rsid w:val="001E789A"/>
    <w:rsid w:val="00216EF8"/>
    <w:rsid w:val="0022706C"/>
    <w:rsid w:val="00297448"/>
    <w:rsid w:val="002A3B13"/>
    <w:rsid w:val="002F098C"/>
    <w:rsid w:val="002F1731"/>
    <w:rsid w:val="003209A6"/>
    <w:rsid w:val="00331828"/>
    <w:rsid w:val="003443CC"/>
    <w:rsid w:val="00352797"/>
    <w:rsid w:val="00352A40"/>
    <w:rsid w:val="00365540"/>
    <w:rsid w:val="00373E27"/>
    <w:rsid w:val="00381978"/>
    <w:rsid w:val="00386842"/>
    <w:rsid w:val="003A44C9"/>
    <w:rsid w:val="003A6697"/>
    <w:rsid w:val="003B69F7"/>
    <w:rsid w:val="003E49BB"/>
    <w:rsid w:val="003F2985"/>
    <w:rsid w:val="003F4F4E"/>
    <w:rsid w:val="00493311"/>
    <w:rsid w:val="004D564D"/>
    <w:rsid w:val="00504A66"/>
    <w:rsid w:val="00542C9A"/>
    <w:rsid w:val="005640A7"/>
    <w:rsid w:val="0057474B"/>
    <w:rsid w:val="00582CB6"/>
    <w:rsid w:val="00593D88"/>
    <w:rsid w:val="005D2ED6"/>
    <w:rsid w:val="005F4DB6"/>
    <w:rsid w:val="00606CE2"/>
    <w:rsid w:val="006230AC"/>
    <w:rsid w:val="00644BC5"/>
    <w:rsid w:val="006553FE"/>
    <w:rsid w:val="0066431B"/>
    <w:rsid w:val="006A0D38"/>
    <w:rsid w:val="006A5B2D"/>
    <w:rsid w:val="006B6266"/>
    <w:rsid w:val="006C6A50"/>
    <w:rsid w:val="006D5A15"/>
    <w:rsid w:val="006F3E50"/>
    <w:rsid w:val="006F5897"/>
    <w:rsid w:val="00706BCC"/>
    <w:rsid w:val="007106CD"/>
    <w:rsid w:val="00720933"/>
    <w:rsid w:val="007552C8"/>
    <w:rsid w:val="00760818"/>
    <w:rsid w:val="0077733C"/>
    <w:rsid w:val="007D13E7"/>
    <w:rsid w:val="007D761F"/>
    <w:rsid w:val="007E6514"/>
    <w:rsid w:val="0081248B"/>
    <w:rsid w:val="00814898"/>
    <w:rsid w:val="00823EA5"/>
    <w:rsid w:val="00834A3D"/>
    <w:rsid w:val="00837EEC"/>
    <w:rsid w:val="008507E3"/>
    <w:rsid w:val="00862A69"/>
    <w:rsid w:val="008668F8"/>
    <w:rsid w:val="008A4756"/>
    <w:rsid w:val="008A6FF7"/>
    <w:rsid w:val="008C28AA"/>
    <w:rsid w:val="009023C2"/>
    <w:rsid w:val="00902892"/>
    <w:rsid w:val="00944641"/>
    <w:rsid w:val="009822C1"/>
    <w:rsid w:val="009B08B8"/>
    <w:rsid w:val="009C20C3"/>
    <w:rsid w:val="00A5390F"/>
    <w:rsid w:val="00A61E16"/>
    <w:rsid w:val="00A72309"/>
    <w:rsid w:val="00A76671"/>
    <w:rsid w:val="00A91EC7"/>
    <w:rsid w:val="00AA7CF9"/>
    <w:rsid w:val="00AB1CD8"/>
    <w:rsid w:val="00AD5689"/>
    <w:rsid w:val="00AD7377"/>
    <w:rsid w:val="00B5045E"/>
    <w:rsid w:val="00B540D8"/>
    <w:rsid w:val="00BB5CB2"/>
    <w:rsid w:val="00BC0093"/>
    <w:rsid w:val="00C22124"/>
    <w:rsid w:val="00C45656"/>
    <w:rsid w:val="00C55D44"/>
    <w:rsid w:val="00C65EA8"/>
    <w:rsid w:val="00C974F8"/>
    <w:rsid w:val="00CA7DC4"/>
    <w:rsid w:val="00CB105C"/>
    <w:rsid w:val="00CC5543"/>
    <w:rsid w:val="00CC6334"/>
    <w:rsid w:val="00CE3966"/>
    <w:rsid w:val="00CE4C88"/>
    <w:rsid w:val="00CF4231"/>
    <w:rsid w:val="00D01498"/>
    <w:rsid w:val="00D330D5"/>
    <w:rsid w:val="00D3754C"/>
    <w:rsid w:val="00D5048B"/>
    <w:rsid w:val="00D91EB2"/>
    <w:rsid w:val="00DA118C"/>
    <w:rsid w:val="00DE0020"/>
    <w:rsid w:val="00DE7C09"/>
    <w:rsid w:val="00DF6B08"/>
    <w:rsid w:val="00E02297"/>
    <w:rsid w:val="00E2612B"/>
    <w:rsid w:val="00E33891"/>
    <w:rsid w:val="00E64C7E"/>
    <w:rsid w:val="00EA4DCF"/>
    <w:rsid w:val="00EC544A"/>
    <w:rsid w:val="00EE086D"/>
    <w:rsid w:val="00EE4287"/>
    <w:rsid w:val="00EF1E56"/>
    <w:rsid w:val="00F02F70"/>
    <w:rsid w:val="00F32F87"/>
    <w:rsid w:val="00F42BC5"/>
    <w:rsid w:val="00F52004"/>
    <w:rsid w:val="00F600C4"/>
    <w:rsid w:val="00F84C55"/>
    <w:rsid w:val="00FA6883"/>
    <w:rsid w:val="00FE0E20"/>
    <w:rsid w:val="00FE24AD"/>
    <w:rsid w:val="00FE3C5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6E3F6"/>
  <w15:chartTrackingRefBased/>
  <w15:docId w15:val="{725BBD51-EAF7-442B-83CF-0E04BB2A5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unhideWhenUsed/>
    <w:qFormat/>
    <w:rsid w:val="00606CE2"/>
    <w:pPr>
      <w:keepNext/>
      <w:keepLines/>
      <w:spacing w:before="160" w:after="80"/>
      <w:outlineLvl w:val="2"/>
    </w:pPr>
    <w:rPr>
      <w:rFonts w:ascii="Arial" w:eastAsiaTheme="majorEastAsia" w:hAnsi="Arial" w:cs="Arial"/>
      <w:b/>
      <w:color w:val="000000" w:themeColor="text1"/>
    </w:rPr>
  </w:style>
  <w:style w:type="paragraph" w:styleId="Heading4">
    <w:name w:val="heading 4"/>
    <w:basedOn w:val="Normal"/>
    <w:next w:val="Normal"/>
    <w:link w:val="Heading4Char"/>
    <w:uiPriority w:val="9"/>
    <w:semiHidden/>
    <w:unhideWhenUsed/>
    <w:qFormat/>
    <w:rsid w:val="009023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3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3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3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3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3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rsid w:val="00606CE2"/>
    <w:rPr>
      <w:rFonts w:ascii="Arial" w:eastAsiaTheme="majorEastAsia" w:hAnsi="Arial" w:cs="Arial"/>
      <w:b/>
      <w:color w:val="000000" w:themeColor="text1"/>
      <w:lang w:val="en-GB"/>
    </w:rPr>
  </w:style>
  <w:style w:type="character" w:customStyle="1" w:styleId="Heading4Char">
    <w:name w:val="Heading 4 Char"/>
    <w:basedOn w:val="DefaultParagraphFont"/>
    <w:link w:val="Heading4"/>
    <w:uiPriority w:val="9"/>
    <w:semiHidden/>
    <w:rsid w:val="009023C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023C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023C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023C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023C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023C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023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3C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023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3C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023C2"/>
    <w:pPr>
      <w:spacing w:before="160"/>
      <w:jc w:val="center"/>
    </w:pPr>
    <w:rPr>
      <w:i/>
      <w:iCs/>
      <w:color w:val="404040" w:themeColor="text1" w:themeTint="BF"/>
    </w:rPr>
  </w:style>
  <w:style w:type="character" w:customStyle="1" w:styleId="QuoteChar">
    <w:name w:val="Quote Char"/>
    <w:basedOn w:val="DefaultParagraphFont"/>
    <w:link w:val="Quote"/>
    <w:uiPriority w:val="29"/>
    <w:rsid w:val="009023C2"/>
    <w:rPr>
      <w:i/>
      <w:iCs/>
      <w:color w:val="404040" w:themeColor="text1" w:themeTint="BF"/>
      <w:lang w:val="en-GB"/>
    </w:rPr>
  </w:style>
  <w:style w:type="paragraph" w:styleId="ListParagraph">
    <w:name w:val="List Paragraph"/>
    <w:basedOn w:val="Normal"/>
    <w:uiPriority w:val="34"/>
    <w:qFormat/>
    <w:rsid w:val="009023C2"/>
    <w:pPr>
      <w:ind w:left="720"/>
      <w:contextualSpacing/>
    </w:pPr>
  </w:style>
  <w:style w:type="character" w:styleId="IntenseEmphasis">
    <w:name w:val="Intense Emphasis"/>
    <w:basedOn w:val="DefaultParagraphFont"/>
    <w:uiPriority w:val="21"/>
    <w:qFormat/>
    <w:rsid w:val="009023C2"/>
    <w:rPr>
      <w:i/>
      <w:iCs/>
      <w:color w:val="0F4761" w:themeColor="accent1" w:themeShade="BF"/>
    </w:rPr>
  </w:style>
  <w:style w:type="paragraph" w:styleId="IntenseQuote">
    <w:name w:val="Intense Quote"/>
    <w:basedOn w:val="Normal"/>
    <w:next w:val="Normal"/>
    <w:link w:val="IntenseQuoteChar"/>
    <w:uiPriority w:val="30"/>
    <w:qFormat/>
    <w:rsid w:val="009023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3C2"/>
    <w:rPr>
      <w:i/>
      <w:iCs/>
      <w:color w:val="0F4761" w:themeColor="accent1" w:themeShade="BF"/>
      <w:lang w:val="en-GB"/>
    </w:rPr>
  </w:style>
  <w:style w:type="character" w:styleId="IntenseReference">
    <w:name w:val="Intense Reference"/>
    <w:basedOn w:val="DefaultParagraphFont"/>
    <w:uiPriority w:val="32"/>
    <w:qFormat/>
    <w:rsid w:val="009023C2"/>
    <w:rPr>
      <w:b/>
      <w:bCs/>
      <w:smallCaps/>
      <w:color w:val="0F4761" w:themeColor="accent1" w:themeShade="BF"/>
      <w:spacing w:val="5"/>
    </w:rPr>
  </w:style>
  <w:style w:type="character" w:styleId="Hyperlink">
    <w:name w:val="Hyperlink"/>
    <w:basedOn w:val="DefaultParagraphFont"/>
    <w:uiPriority w:val="99"/>
    <w:unhideWhenUsed/>
    <w:rsid w:val="00F32F87"/>
    <w:rPr>
      <w:color w:val="467886" w:themeColor="hyperlink"/>
      <w:u w:val="single"/>
    </w:rPr>
  </w:style>
  <w:style w:type="character" w:styleId="UnresolvedMention">
    <w:name w:val="Unresolved Mention"/>
    <w:basedOn w:val="DefaultParagraphFont"/>
    <w:uiPriority w:val="99"/>
    <w:semiHidden/>
    <w:unhideWhenUsed/>
    <w:rsid w:val="00F32F87"/>
    <w:rPr>
      <w:color w:val="605E5C"/>
      <w:shd w:val="clear" w:color="auto" w:fill="E1DFDD"/>
    </w:rPr>
  </w:style>
  <w:style w:type="character" w:styleId="FollowedHyperlink">
    <w:name w:val="FollowedHyperlink"/>
    <w:basedOn w:val="DefaultParagraphFont"/>
    <w:uiPriority w:val="99"/>
    <w:semiHidden/>
    <w:unhideWhenUsed/>
    <w:rsid w:val="001A0031"/>
    <w:rPr>
      <w:color w:val="96607D" w:themeColor="followedHyperlink"/>
      <w:u w:val="single"/>
    </w:rPr>
  </w:style>
  <w:style w:type="paragraph" w:styleId="Header">
    <w:name w:val="header"/>
    <w:basedOn w:val="Normal"/>
    <w:link w:val="HeaderChar"/>
    <w:uiPriority w:val="99"/>
    <w:unhideWhenUsed/>
    <w:rsid w:val="001E5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CB8"/>
    <w:rPr>
      <w:lang w:val="en-GB"/>
    </w:rPr>
  </w:style>
  <w:style w:type="paragraph" w:styleId="Footer">
    <w:name w:val="footer"/>
    <w:basedOn w:val="Normal"/>
    <w:link w:val="FooterChar"/>
    <w:uiPriority w:val="99"/>
    <w:unhideWhenUsed/>
    <w:rsid w:val="001E5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CB8"/>
    <w:rPr>
      <w:lang w:val="en-GB"/>
    </w:rPr>
  </w:style>
  <w:style w:type="paragraph" w:styleId="TOCHeading">
    <w:name w:val="TOC Heading"/>
    <w:basedOn w:val="Heading1"/>
    <w:next w:val="Normal"/>
    <w:uiPriority w:val="39"/>
    <w:unhideWhenUsed/>
    <w:qFormat/>
    <w:rsid w:val="00DE0020"/>
    <w:pPr>
      <w:spacing w:before="240" w:after="0" w:line="259" w:lineRule="auto"/>
      <w:outlineLvl w:val="9"/>
    </w:pPr>
    <w:rPr>
      <w:rFonts w:asciiTheme="majorHAnsi"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E0020"/>
    <w:pPr>
      <w:spacing w:after="100"/>
    </w:pPr>
  </w:style>
  <w:style w:type="paragraph" w:styleId="TOC2">
    <w:name w:val="toc 2"/>
    <w:basedOn w:val="Normal"/>
    <w:next w:val="Normal"/>
    <w:autoRedefine/>
    <w:uiPriority w:val="39"/>
    <w:unhideWhenUsed/>
    <w:rsid w:val="00DE0020"/>
    <w:pPr>
      <w:spacing w:after="100"/>
      <w:ind w:left="240"/>
    </w:pPr>
  </w:style>
  <w:style w:type="character" w:customStyle="1" w:styleId="s6">
    <w:name w:val="s6"/>
    <w:basedOn w:val="DefaultParagraphFont"/>
    <w:rsid w:val="00644BC5"/>
  </w:style>
  <w:style w:type="character" w:customStyle="1" w:styleId="apple-converted-space">
    <w:name w:val="apple-converted-space"/>
    <w:basedOn w:val="DefaultParagraphFont"/>
    <w:rsid w:val="00644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553725017300624" TargetMode="External"/><Relationship Id="rId18" Type="http://schemas.openxmlformats.org/officeDocument/2006/relationships/hyperlink" Target="https://search.proquest.com/openview/0cd74078e17d4cd47cf9f35a99c9ca9d/1?pq-origsite=gscholar&amp;cbl=18750&amp;diss=y" TargetMode="External"/><Relationship Id="rId26" Type="http://schemas.openxmlformats.org/officeDocument/2006/relationships/hyperlink" Target="https://www.igi-global.com/chapter/application-of-quality-management-in-promoting-patient-safety-and-preventing-medical-errors/176496" TargetMode="External"/><Relationship Id="rId39" Type="http://schemas.openxmlformats.org/officeDocument/2006/relationships/hyperlink" Target="https://onlinelibrary.wiley.com/doi/abs/10.1002/9781119869375.ch2" TargetMode="External"/><Relationship Id="rId21" Type="http://schemas.openxmlformats.org/officeDocument/2006/relationships/hyperlink" Target="https://books.google.com/books?hl=en&amp;lr=&amp;id=Y4qHCgAAQBAJ&amp;oi=fnd&amp;pg=PR1&amp;dq=the+Lewis+Blackman+case+reflect+broader+patient+safety+challenges+experienced+across+healthcare+systems+worldwide&amp;ots=4Sk_ZHU6sa&amp;sig=dY9G6DMybS_eeD7V0dDS-pf892M" TargetMode="External"/><Relationship Id="rId34" Type="http://schemas.openxmlformats.org/officeDocument/2006/relationships/hyperlink" Target="https://gh.bmj.com/content/8/12/e013317" TargetMode="External"/><Relationship Id="rId42" Type="http://schemas.openxmlformats.org/officeDocument/2006/relationships/hyperlink" Target="https://www.who.int/news-room/fact-sheets/detail/patient-safety" TargetMode="External"/><Relationship Id="rId7" Type="http://schemas.openxmlformats.org/officeDocument/2006/relationships/hyperlink" Target="https://psmf.org/story/lewis-blackman/" TargetMode="External"/><Relationship Id="rId2" Type="http://schemas.openxmlformats.org/officeDocument/2006/relationships/settings" Target="settings.xml"/><Relationship Id="rId16" Type="http://schemas.openxmlformats.org/officeDocument/2006/relationships/hyperlink" Target="https://bmjopen.bmj.com/content/15/11/e106109.abstract" TargetMode="External"/><Relationship Id="rId29" Type="http://schemas.openxmlformats.org/officeDocument/2006/relationships/hyperlink" Target="https://journals.sagepub.com/doi/abs/10.1177/25160435231199338"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ooks.google.com/books?hl=en&amp;lr=&amp;id=PF9aEAAAQBAJ&amp;oi=fnd&amp;pg=PA3&amp;dq=the+Lewis+Blackman+case+reflect+broader+patient+safety+challenges+experienced+across+healthcare+systems+worldwide&amp;ots=R8GL8LkgrY&amp;sig=h5DNO2BEFcOr6yVENistjzQQmLs" TargetMode="External"/><Relationship Id="rId24" Type="http://schemas.openxmlformats.org/officeDocument/2006/relationships/hyperlink" Target="https://books.google.com/books?hl=en&amp;lr=&amp;id=KT1BEAAAQBAJ&amp;oi=fnd&amp;pg=PA465&amp;dq=The+Lewis+Blackman+story+is+a+case+of+medical+malpractice+and+negligence+Centralised+Decision-Making+in+the+Case&amp;ots=5DFO4l3vqh&amp;sig=WsffN3yBbGXz8dx0k5mgetPNnGw" TargetMode="External"/><Relationship Id="rId32" Type="http://schemas.openxmlformats.org/officeDocument/2006/relationships/hyperlink" Target="https://link.springer.com/article/10.1007/s41649-019-00081-7" TargetMode="External"/><Relationship Id="rId37" Type="http://schemas.openxmlformats.org/officeDocument/2006/relationships/hyperlink" Target="https://www.emerald.com/lhs/article/31/4/452/270988" TargetMode="External"/><Relationship Id="rId40" Type="http://schemas.openxmlformats.org/officeDocument/2006/relationships/hyperlink" Target="https://books.google.com/books?hl=en&amp;lr=&amp;id=z93-EAAAQBAJ&amp;oi=fnd&amp;pg=PA1&amp;dq=The+Lewis+Blackman+Challenges+Affecting+Patient+Safety+Increasing+patient+complexity,+workforce+shortages,+heavy+clinical+workloads,+financial+constraints&amp;ots=6fKx07Qsv7&amp;sig=cDaIeZo4ucW9eNuxAz3jftNhtd8"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onlinelibrary.wiley.com/doi/abs/10.1111/puar.12558" TargetMode="External"/><Relationship Id="rId23" Type="http://schemas.openxmlformats.org/officeDocument/2006/relationships/hyperlink" Target="https://books.google.com/books?hl=en&amp;lr=&amp;id=SI6kEAAAQBAJ&amp;oi=fnd&amp;pg=PP1&amp;dq=Leadership+Theories+and+Application+to+the+healthcare:+Transformational+,+Transactional+,+Situational,+Reactive+Versus+Proactive+Leadership+,+Emotional+Intelligence+and+Distributed+Leadership&amp;ots=hXILiLwWnW&amp;sig=9Hu-tIznl5lEEc3Y9YReUUvBMDY" TargetMode="External"/><Relationship Id="rId28" Type="http://schemas.openxmlformats.org/officeDocument/2006/relationships/hyperlink" Target="https://www.academia.edu/download/117087082/3315.pdf" TargetMode="External"/><Relationship Id="rId36" Type="http://schemas.openxmlformats.org/officeDocument/2006/relationships/hyperlink" Target="https://www.frontiersin.org/journals/health-services/articles/10.3389/frhs.2025.1484225/full" TargetMode="External"/><Relationship Id="rId10" Type="http://schemas.openxmlformats.org/officeDocument/2006/relationships/hyperlink" Target="https://www.emerald.com/ijqrm/article-abstract/doi/10.1108/IJQRM-04-2025-0115/1302094" TargetMode="External"/><Relationship Id="rId19" Type="http://schemas.openxmlformats.org/officeDocument/2006/relationships/hyperlink" Target="https://link.springer.com/chapter/10.1007/978-3-031-67951-3_1" TargetMode="External"/><Relationship Id="rId31" Type="http://schemas.openxmlformats.org/officeDocument/2006/relationships/hyperlink" Target="https://journalslibrary.nihr.ac.uk/hsdr/published-articles/REMD6648"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mdpi.com/2076-3417/14/17/7765" TargetMode="External"/><Relationship Id="rId14" Type="http://schemas.openxmlformats.org/officeDocument/2006/relationships/hyperlink" Target="https://www.mdpi.com/1660-4601/22/9/1442" TargetMode="External"/><Relationship Id="rId22" Type="http://schemas.openxmlformats.org/officeDocument/2006/relationships/hyperlink" Target="https://www.igi-global.com/chapter/overview-of-leadership-approaches/287639" TargetMode="External"/><Relationship Id="rId27" Type="http://schemas.openxmlformats.org/officeDocument/2006/relationships/hyperlink" Target="https://onlinelibrary.wiley.com/doi/abs/10.1111/nuf.12215" TargetMode="External"/><Relationship Id="rId30" Type="http://schemas.openxmlformats.org/officeDocument/2006/relationships/hyperlink" Target="https://www.emerald.com/jhom/article/35/5/596/214580" TargetMode="External"/><Relationship Id="rId35" Type="http://schemas.openxmlformats.org/officeDocument/2006/relationships/hyperlink" Target="https://pmc.ncbi.nlm.nih.gov/articles/PMC11722716/" TargetMode="External"/><Relationship Id="rId43" Type="http://schemas.openxmlformats.org/officeDocument/2006/relationships/footer" Target="footer1.xml"/><Relationship Id="rId8" Type="http://schemas.openxmlformats.org/officeDocument/2006/relationships/hyperlink" Target="https://jamanetwork.com/journals/jama/article-abstract/2830847" TargetMode="External"/><Relationship Id="rId3" Type="http://schemas.openxmlformats.org/officeDocument/2006/relationships/webSettings" Target="webSettings.xml"/><Relationship Id="rId12" Type="http://schemas.openxmlformats.org/officeDocument/2006/relationships/hyperlink" Target="https://www.torrossa.com/gs/resourceProxy?an=5409523&amp;publisher=FZ7200" TargetMode="External"/><Relationship Id="rId17" Type="http://schemas.openxmlformats.org/officeDocument/2006/relationships/hyperlink" Target="https://www.cambridge.org/core/elements/governance-and-leadership/9FBFA3C48A57CCB5B97F5899895D011D" TargetMode="External"/><Relationship Id="rId25" Type="http://schemas.openxmlformats.org/officeDocument/2006/relationships/hyperlink" Target="https://link.springer.com/content/pdf/10.1007/978-3-030-26311-9.pdf" TargetMode="External"/><Relationship Id="rId33" Type="http://schemas.openxmlformats.org/officeDocument/2006/relationships/hyperlink" Target="https://pmc.ncbi.nlm.nih.gov/articles/PMC10590225/" TargetMode="External"/><Relationship Id="rId38" Type="http://schemas.openxmlformats.org/officeDocument/2006/relationships/hyperlink" Target="https://www.sciencedirect.com/science/article/pii/S1541461221002731" TargetMode="External"/><Relationship Id="rId20" Type="http://schemas.openxmlformats.org/officeDocument/2006/relationships/hyperlink" Target="https://pmc.ncbi.nlm.nih.gov/articles/PMC10656601/" TargetMode="External"/><Relationship Id="rId41" Type="http://schemas.openxmlformats.org/officeDocument/2006/relationships/hyperlink" Target="https://www.elgaronline.com/edcollchap/book/9781800886254/book-part-9781800886254-28.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8540</Words>
  <Characters>48679</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Shani Soliya</cp:lastModifiedBy>
  <cp:revision>2</cp:revision>
  <dcterms:created xsi:type="dcterms:W3CDTF">2026-08-11T12:29:00Z</dcterms:created>
  <dcterms:modified xsi:type="dcterms:W3CDTF">2026-08-11T12:29:00Z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39a53ad5-5193-49fd-918a-584c01467097</vt:lpwstr>
  </property>
</Properties>
</file>